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Solution Architecture</w:t>
      </w:r>
    </w:p>
    <w:p>
      <w:r>
        <w:rPr>
          <w:color w:val="475569"/>
          <w:sz w:val="24"/>
        </w:rPr>
        <w:t>Layered architecture aligned to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Components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Collect input and show lifecycle state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form, incident detail, dashboard, filters, timeline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Application &amp; Automation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Apply lifecycle rules and trigger automated actions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Validation, triage, routing, status transitions, SLA checks, escalation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Persist operational and audit information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Incidents, users/roles, status history, SLA events, audit log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 scheduled checks and message delivery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Scheduler/background worker, notification service</w:t>
            </w:r>
          </w:p>
        </w:tc>
      </w:tr>
    </w:tbl>
    <w:p>
      <w:pPr>
        <w:pStyle w:val="Heading1"/>
      </w:pPr>
      <w:r>
        <w:t>Architecture Principle</w:t>
      </w:r>
    </w:p>
    <w:p>
      <w:pPr>
        <w:spacing w:after="140"/>
      </w:pPr>
      <w:r>
        <w:t>Keep user interaction, lifecycle logic, persistent data and scheduled automation separated so the project remains understandable and maintainable.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