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Empathy Map Canvas</w:t>
      </w:r>
    </w:p>
    <w:p>
      <w:r>
        <w:rPr>
          <w:color w:val="475569"/>
          <w:sz w:val="24"/>
        </w:rPr>
        <w:t>Understanding the people involved in reporting, managing and resolving incidents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Target Users</w:t>
      </w:r>
    </w:p>
    <w:p>
      <w:pPr>
        <w:spacing w:after="140"/>
      </w:pPr>
      <w:r>
        <w:t>The project serves people who report incidents, handle assigned work, supervise incident flow and review lifecycle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 Insight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SAYS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“I need to report the issue quickly.”  •  “Who owns my incident?”  •  “Is the response still within SLA?”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THINKS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The issue may affect normal work. Missing updates can delay decisions. Status information should be trustworthy.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DOES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Reports an incident, checks status, adds investigation updates, reassigns work when authorized and confirms resolution.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FEELS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Uncertain when ownership is unclear; pressured when SLA risk grows; confident when the lifecycle is visible.</w:t>
            </w:r>
          </w:p>
        </w:tc>
      </w:tr>
    </w:tbl>
    <w:p>
      <w:pPr>
        <w:pStyle w:val="Heading1"/>
      </w:pPr>
      <w:r>
        <w:t>2. Pains</w:t>
      </w:r>
    </w:p>
    <w:p>
      <w:pPr>
        <w:pStyle w:val="ListBullet"/>
      </w:pPr>
      <w:r>
        <w:t>Incident details may arrive incomplete or inconsistently.</w:t>
      </w:r>
    </w:p>
    <w:p>
      <w:pPr>
        <w:pStyle w:val="ListBullet"/>
      </w:pPr>
      <w:r>
        <w:t>Manual ownership hand-offs can slow the first response.</w:t>
      </w:r>
    </w:p>
    <w:p>
      <w:pPr>
        <w:pStyle w:val="ListBullet"/>
      </w:pPr>
      <w:r>
        <w:t>SLA risk can be identified too late without automatic monitoring.</w:t>
      </w:r>
    </w:p>
    <w:p>
      <w:pPr>
        <w:pStyle w:val="ListBullet"/>
      </w:pPr>
      <w:r>
        <w:t>Lifecycle history can become fragmented across separate updates.</w:t>
      </w:r>
    </w:p>
    <w:p>
      <w:pPr>
        <w:pStyle w:val="Heading1"/>
      </w:pPr>
      <w:r>
        <w:t>3. Gains</w:t>
      </w:r>
    </w:p>
    <w:p>
      <w:pPr>
        <w:pStyle w:val="ListBullet"/>
      </w:pPr>
      <w:r>
        <w:t>One place to create and follow an incident.</w:t>
      </w:r>
    </w:p>
    <w:p>
      <w:pPr>
        <w:pStyle w:val="ListBullet"/>
      </w:pPr>
      <w:r>
        <w:t>Clear ownership and current status.</w:t>
      </w:r>
    </w:p>
    <w:p>
      <w:pPr>
        <w:pStyle w:val="ListBullet"/>
      </w:pPr>
      <w:r>
        <w:t>Automatic SLA monitoring and escalation.</w:t>
      </w:r>
    </w:p>
    <w:p>
      <w:pPr>
        <w:pStyle w:val="ListBullet"/>
      </w:pPr>
      <w:r>
        <w:t>A chronological, audit-ready history from creation to closure.</w:t>
      </w:r>
    </w:p>
    <w:p>
      <w:pPr>
        <w:pStyle w:val="Heading1"/>
      </w:pPr>
      <w:r>
        <w:t>4. Design Insight</w:t>
      </w:r>
    </w:p>
    <w:p>
      <w:pPr>
        <w:spacing w:after="140"/>
      </w:pPr>
      <w:r>
        <w:t>The system should make the next lifecycle action explicit, reduce avoidable manual follow-up and preserve evidence of every important transition.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