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Solution Requirements</w:t>
      </w:r>
    </w:p>
    <w:p>
      <w:r>
        <w:rPr>
          <w:color w:val="475569"/>
          <w:sz w:val="24"/>
        </w:rPr>
        <w:t>Functional and quality requirements for Incident Life Cycle Automation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Shanmugapriya M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pPr>
        <w:pStyle w:val="Heading1"/>
      </w:pPr>
      <w:r>
        <w:t>1.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Intake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Create an incident with title, description, source, category, impact, urgency and timestamp.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Identification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Generate a unique incident ID and initialize the lifecycle state.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Determine or capture priority using impact/urgency and configured rules.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Assignment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Route an incident to the appropriate queue or owner and record the change.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 Tracking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Start the applicable SLA timer and expose due / risk state.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Escalation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Trigger an escalation when defined SLA conditions are reached.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Investigation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Allow authorized users to add work notes and status updates.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Resolution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Record resolution details and resolution time before moving to Resolved.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Closure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Complete the final closure action while retaining the lifecycle record.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Maintain chronological status, owner, priority and action history.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Search &amp; Dashboard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View and filter incidents by useful operational fields.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Role Access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Limit actions according to the user's role.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Record important changes with actor, action and timestamp.</w:t>
            </w:r>
          </w:p>
        </w:tc>
      </w:tr>
    </w:tbl>
    <w:p>
      <w:pPr>
        <w:pStyle w:val="Heading1"/>
      </w:pPr>
      <w:r>
        <w:t>2.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Quality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NFR-01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Usability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Common incident actions should be understandable with minimal training.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NFR-02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Authenticated access, role checks and secure session handling should be used.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NFR-03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Successful lifecycle updates should remain consistent with their history.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NFR-04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Common incident views and actions should remain responsive under expected project load.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NFR-05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Lifecycle rules should be organized so priority, routing and SLA logic can be updated.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NFR-06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Important lifecycle transitions should be traceable by user, time and action.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Shanmugapriya M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