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2256" w:type="dxa"/>
        <w:tblInd w:w="108" w:type="dxa"/>
        <w:tblLook w:val="04A0"/>
      </w:tblPr>
      <w:tblGrid>
        <w:gridCol w:w="12256"/>
      </w:tblGrid>
      <w:tr w:rsidR="00C94757" w:rsidRPr="00F3309E" w:rsidTr="00C94757">
        <w:trPr>
          <w:trHeight w:val="1635"/>
        </w:trPr>
        <w:tc>
          <w:tcPr>
            <w:tcW w:w="12256" w:type="dxa"/>
            <w:tcBorders>
              <w:top w:val="nil"/>
              <w:left w:val="nil"/>
              <w:bottom w:val="nil"/>
              <w:right w:val="nil"/>
            </w:tcBorders>
            <w:shd w:val="clear" w:color="auto" w:fill="auto"/>
            <w:noWrap/>
            <w:vAlign w:val="bottom"/>
            <w:hideMark/>
          </w:tcPr>
          <w:p w:rsidR="00C94757" w:rsidRPr="00F3309E" w:rsidRDefault="00B2353C" w:rsidP="00C94757">
            <w:pPr>
              <w:spacing w:after="0" w:line="240" w:lineRule="auto"/>
              <w:rPr>
                <w:rFonts w:ascii="Times New Roman" w:eastAsia="Times New Roman" w:hAnsi="Times New Roman" w:cs="Times New Roman"/>
                <w:b/>
                <w:color w:val="000000"/>
                <w:sz w:val="28"/>
                <w:szCs w:val="28"/>
              </w:rPr>
            </w:pPr>
            <w:r w:rsidRPr="00F3309E">
              <w:rPr>
                <w:rFonts w:ascii="Times New Roman" w:eastAsia="Times New Roman" w:hAnsi="Times New Roman" w:cs="Times New Roman"/>
                <w:b/>
                <w:noProof/>
                <w:color w:val="000000"/>
                <w:sz w:val="28"/>
                <w:szCs w:val="28"/>
              </w:rPr>
              <w:drawing>
                <wp:anchor distT="0" distB="0" distL="114300" distR="114300" simplePos="0" relativeHeight="251660288" behindDoc="0" locked="0" layoutInCell="1" allowOverlap="1">
                  <wp:simplePos x="0" y="0"/>
                  <wp:positionH relativeFrom="column">
                    <wp:posOffset>-887730</wp:posOffset>
                  </wp:positionH>
                  <wp:positionV relativeFrom="paragraph">
                    <wp:posOffset>-833120</wp:posOffset>
                  </wp:positionV>
                  <wp:extent cx="1343025" cy="857250"/>
                  <wp:effectExtent l="19050" t="0" r="9525" b="0"/>
                  <wp:wrapNone/>
                  <wp:docPr id="3" name="Picture 0"/>
                  <wp:cNvGraphicFramePr/>
                  <a:graphic xmlns:a="http://schemas.openxmlformats.org/drawingml/2006/main">
                    <a:graphicData uri="http://schemas.openxmlformats.org/drawingml/2006/picture">
                      <pic:pic xmlns:pic="http://schemas.openxmlformats.org/drawingml/2006/picture">
                        <pic:nvPicPr>
                          <pic:cNvPr id="5" name="Picture 0" descr="Kalyan.png"/>
                          <pic:cNvPicPr>
                            <a:picLocks noChangeAspect="1" noChangeArrowheads="1"/>
                          </pic:cNvPicPr>
                        </pic:nvPicPr>
                        <pic:blipFill>
                          <a:blip r:embed="rId8"/>
                          <a:srcRect/>
                          <a:stretch>
                            <a:fillRect/>
                          </a:stretch>
                        </pic:blipFill>
                        <pic:spPr bwMode="auto">
                          <a:xfrm>
                            <a:off x="0" y="0"/>
                            <a:ext cx="1343025" cy="857250"/>
                          </a:xfrm>
                          <a:prstGeom prst="rect">
                            <a:avLst/>
                          </a:prstGeom>
                          <a:noFill/>
                        </pic:spPr>
                      </pic:pic>
                    </a:graphicData>
                  </a:graphic>
                </wp:anchor>
              </w:drawing>
            </w:r>
            <w:r w:rsidR="00C94757" w:rsidRPr="00F3309E">
              <w:rPr>
                <w:rFonts w:ascii="Times New Roman" w:eastAsia="Times New Roman" w:hAnsi="Times New Roman" w:cs="Times New Roman"/>
                <w:b/>
                <w:color w:val="000000"/>
                <w:sz w:val="28"/>
                <w:szCs w:val="28"/>
              </w:rPr>
              <w:t>Kalyan Jewellers – Mini FMVA Project Report-One Page Profile</w:t>
            </w:r>
            <w:r w:rsidR="0030576E" w:rsidRPr="00F3309E">
              <w:rPr>
                <w:rFonts w:ascii="Times New Roman" w:eastAsia="Times New Roman" w:hAnsi="Times New Roman" w:cs="Times New Roman"/>
                <w:b/>
                <w:color w:val="000000"/>
                <w:sz w:val="28"/>
                <w:szCs w:val="28"/>
              </w:rPr>
              <w:t xml:space="preserve"> By Shanmuk Yadav</w:t>
            </w:r>
          </w:p>
          <w:p w:rsidR="0030576E" w:rsidRPr="00F3309E" w:rsidRDefault="0030576E" w:rsidP="00C94757">
            <w:pPr>
              <w:spacing w:after="0" w:line="240" w:lineRule="auto"/>
              <w:rPr>
                <w:rFonts w:ascii="Times New Roman" w:eastAsia="Times New Roman" w:hAnsi="Times New Roman" w:cs="Times New Roman"/>
                <w:color w:val="000000"/>
                <w:sz w:val="28"/>
                <w:szCs w:val="28"/>
              </w:rPr>
            </w:pPr>
            <w:r w:rsidRPr="00F3309E">
              <w:rPr>
                <w:rFonts w:ascii="Times New Roman" w:eastAsia="Times New Roman" w:hAnsi="Times New Roman" w:cs="Times New Roman"/>
                <w:b/>
                <w:color w:val="000000"/>
                <w:sz w:val="28"/>
                <w:szCs w:val="28"/>
              </w:rPr>
              <w:t>Course –Investment Banking and Financial Analysis</w:t>
            </w:r>
            <w:r w:rsidRPr="00F3309E">
              <w:rPr>
                <w:rFonts w:ascii="Times New Roman" w:eastAsia="Times New Roman" w:hAnsi="Times New Roman" w:cs="Times New Roman"/>
                <w:color w:val="000000"/>
                <w:sz w:val="28"/>
                <w:szCs w:val="28"/>
              </w:rPr>
              <w:t>-</w:t>
            </w:r>
          </w:p>
          <w:tbl>
            <w:tblPr>
              <w:tblW w:w="0" w:type="auto"/>
              <w:tblCellSpacing w:w="0" w:type="dxa"/>
              <w:tblCellMar>
                <w:left w:w="0" w:type="dxa"/>
                <w:right w:w="0" w:type="dxa"/>
              </w:tblCellMar>
              <w:tblLook w:val="04A0"/>
            </w:tblPr>
            <w:tblGrid>
              <w:gridCol w:w="12040"/>
            </w:tblGrid>
            <w:tr w:rsidR="00C94757" w:rsidRPr="00F3309E">
              <w:trPr>
                <w:trHeight w:val="1635"/>
                <w:tblCellSpacing w:w="0" w:type="dxa"/>
              </w:trPr>
              <w:tc>
                <w:tcPr>
                  <w:tcW w:w="12240" w:type="dxa"/>
                  <w:tcBorders>
                    <w:top w:val="single" w:sz="4" w:space="0" w:color="auto"/>
                    <w:left w:val="nil"/>
                    <w:bottom w:val="nil"/>
                    <w:right w:val="nil"/>
                  </w:tcBorders>
                  <w:shd w:val="clear" w:color="auto" w:fill="auto"/>
                  <w:vAlign w:val="bottom"/>
                  <w:hideMark/>
                </w:tcPr>
                <w:p w:rsidR="00B2353C" w:rsidRPr="00F3309E" w:rsidRDefault="00B2353C" w:rsidP="00C94757">
                  <w:pPr>
                    <w:spacing w:after="0" w:line="240" w:lineRule="auto"/>
                    <w:rPr>
                      <w:rFonts w:ascii="Times New Roman" w:eastAsia="Times New Roman" w:hAnsi="Times New Roman" w:cs="Times New Roman"/>
                      <w:color w:val="000000"/>
                      <w:sz w:val="24"/>
                      <w:szCs w:val="24"/>
                    </w:rPr>
                  </w:pPr>
                </w:p>
                <w:p w:rsidR="00B2353C" w:rsidRPr="00F3309E" w:rsidRDefault="00C94757" w:rsidP="00C94757">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Kalyan Jewellers India Ltd., founded in 1993, is one of India’s most recognized</w:t>
                  </w:r>
                </w:p>
                <w:p w:rsidR="00B2353C" w:rsidRPr="00F3309E" w:rsidRDefault="00C94757" w:rsidP="00C94757">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jewellery retail chains. The company operates more than 200 stores across India and the Middle East. </w:t>
                  </w:r>
                </w:p>
                <w:p w:rsidR="00B2353C" w:rsidRPr="00F3309E" w:rsidRDefault="005110B5" w:rsidP="00B2353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offers gold Jewellery, diamond J</w:t>
                  </w:r>
                  <w:r w:rsidR="00C94757" w:rsidRPr="00F3309E">
                    <w:rPr>
                      <w:rFonts w:ascii="Times New Roman" w:eastAsia="Times New Roman" w:hAnsi="Times New Roman" w:cs="Times New Roman"/>
                      <w:color w:val="000000"/>
                      <w:sz w:val="24"/>
                      <w:szCs w:val="24"/>
                    </w:rPr>
                    <w:t xml:space="preserve">ewellery, bridal collections, daily-wear ornaments, </w:t>
                  </w:r>
                </w:p>
                <w:p w:rsidR="00C94757" w:rsidRPr="00F3309E" w:rsidRDefault="00F3309E"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Hallmark-certified</w:t>
                  </w:r>
                  <w:r w:rsidR="00C94757" w:rsidRPr="00F3309E">
                    <w:rPr>
                      <w:rFonts w:ascii="Times New Roman" w:eastAsia="Times New Roman" w:hAnsi="Times New Roman" w:cs="Times New Roman"/>
                      <w:color w:val="000000"/>
                      <w:sz w:val="24"/>
                      <w:szCs w:val="24"/>
                    </w:rPr>
                    <w:t xml:space="preserve"> products.</w:t>
                  </w:r>
                </w:p>
                <w:p w:rsidR="00B2353C" w:rsidRPr="00F3309E" w:rsidRDefault="00B2353C" w:rsidP="00B2353C">
                  <w:pPr>
                    <w:spacing w:after="0" w:line="240" w:lineRule="auto"/>
                    <w:rPr>
                      <w:rFonts w:ascii="Times New Roman" w:eastAsia="Times New Roman" w:hAnsi="Times New Roman" w:cs="Times New Roman"/>
                      <w:color w:val="000000"/>
                      <w:sz w:val="24"/>
                      <w:szCs w:val="24"/>
                    </w:rPr>
                  </w:pPr>
                </w:p>
                <w:p w:rsidR="00B2353C" w:rsidRPr="00F3309E" w:rsidRDefault="00B2353C" w:rsidP="00B2353C">
                  <w:pPr>
                    <w:rPr>
                      <w:rFonts w:ascii="Times New Roman" w:hAnsi="Times New Roman" w:cs="Times New Roman"/>
                      <w:b/>
                      <w:bCs/>
                      <w:color w:val="FFFFFF"/>
                      <w:sz w:val="24"/>
                      <w:szCs w:val="24"/>
                    </w:rPr>
                  </w:pPr>
                  <w:r w:rsidRPr="00F3309E">
                    <w:rPr>
                      <w:rFonts w:ascii="Times New Roman" w:hAnsi="Times New Roman" w:cs="Times New Roman"/>
                      <w:b/>
                      <w:bCs/>
                      <w:color w:val="FFFFFF"/>
                      <w:sz w:val="24"/>
                      <w:szCs w:val="24"/>
                    </w:rPr>
                    <w:t xml:space="preserve">                       Share price 5yrs</w:t>
                  </w:r>
                </w:p>
                <w:p w:rsidR="00B2353C" w:rsidRPr="00F3309E" w:rsidRDefault="00B2353C" w:rsidP="00B2353C">
                  <w:pPr>
                    <w:spacing w:after="0" w:line="240" w:lineRule="auto"/>
                    <w:rPr>
                      <w:rFonts w:ascii="Times New Roman" w:eastAsia="Times New Roman" w:hAnsi="Times New Roman" w:cs="Times New Roman"/>
                      <w:color w:val="000000"/>
                      <w:sz w:val="24"/>
                      <w:szCs w:val="24"/>
                    </w:rPr>
                  </w:pPr>
                </w:p>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noProof/>
                      <w:color w:val="000000"/>
                      <w:sz w:val="24"/>
                      <w:szCs w:val="24"/>
                    </w:rPr>
                    <w:drawing>
                      <wp:inline distT="0" distB="0" distL="0" distR="0">
                        <wp:extent cx="2882531" cy="1645531"/>
                        <wp:effectExtent l="19050" t="0" r="0" b="0"/>
                        <wp:docPr id="16" name="Picture 6" descr="chart.png"/>
                        <wp:cNvGraphicFramePr/>
                        <a:graphic xmlns:a="http://schemas.openxmlformats.org/drawingml/2006/main">
                          <a:graphicData uri="http://schemas.openxmlformats.org/drawingml/2006/picture">
                            <pic:pic xmlns:pic="http://schemas.openxmlformats.org/drawingml/2006/picture">
                              <pic:nvPicPr>
                                <pic:cNvPr id="3" name="Picture 2" descr="chart.png"/>
                                <pic:cNvPicPr/>
                              </pic:nvPicPr>
                              <pic:blipFill>
                                <a:blip r:embed="rId9" cstate="print"/>
                                <a:stretch>
                                  <a:fillRect/>
                                </a:stretch>
                              </pic:blipFill>
                              <pic:spPr>
                                <a:xfrm>
                                  <a:off x="0" y="0"/>
                                  <a:ext cx="2886683" cy="1647901"/>
                                </a:xfrm>
                                <a:prstGeom prst="rect">
                                  <a:avLst/>
                                </a:prstGeom>
                              </pic:spPr>
                            </pic:pic>
                          </a:graphicData>
                        </a:graphic>
                      </wp:inline>
                    </w:drawing>
                  </w:r>
                  <w:r w:rsidR="00C40C8F" w:rsidRPr="00F3309E">
                    <w:rPr>
                      <w:rFonts w:ascii="Times New Roman" w:eastAsia="Times New Roman" w:hAnsi="Times New Roman" w:cs="Times New Roman"/>
                      <w:noProof/>
                      <w:color w:val="000000"/>
                      <w:sz w:val="24"/>
                      <w:szCs w:val="24"/>
                    </w:rPr>
                    <w:drawing>
                      <wp:inline distT="0" distB="0" distL="0" distR="0">
                        <wp:extent cx="3170717" cy="1648047"/>
                        <wp:effectExtent l="19050" t="0" r="0" b="0"/>
                        <wp:docPr id="24" name="Picture 7" descr="chart (1).png"/>
                        <wp:cNvGraphicFramePr/>
                        <a:graphic xmlns:a="http://schemas.openxmlformats.org/drawingml/2006/main">
                          <a:graphicData uri="http://schemas.openxmlformats.org/drawingml/2006/picture">
                            <pic:pic xmlns:pic="http://schemas.openxmlformats.org/drawingml/2006/picture">
                              <pic:nvPicPr>
                                <pic:cNvPr id="4" name="Picture 3" descr="chart (1).png"/>
                                <pic:cNvPicPr/>
                              </pic:nvPicPr>
                              <pic:blipFill>
                                <a:blip r:embed="rId10" cstate="print"/>
                                <a:stretch>
                                  <a:fillRect/>
                                </a:stretch>
                              </pic:blipFill>
                              <pic:spPr>
                                <a:xfrm>
                                  <a:off x="0" y="0"/>
                                  <a:ext cx="3182034" cy="1653929"/>
                                </a:xfrm>
                                <a:prstGeom prst="rect">
                                  <a:avLst/>
                                </a:prstGeom>
                              </pic:spPr>
                            </pic:pic>
                          </a:graphicData>
                        </a:graphic>
                      </wp:inline>
                    </w:drawing>
                  </w:r>
                </w:p>
                <w:p w:rsidR="00B2353C" w:rsidRPr="00F3309E" w:rsidRDefault="00B2353C" w:rsidP="00B2353C">
                  <w:pPr>
                    <w:spacing w:after="0" w:line="240" w:lineRule="auto"/>
                    <w:rPr>
                      <w:rFonts w:ascii="Times New Roman" w:eastAsia="Times New Roman" w:hAnsi="Times New Roman" w:cs="Times New Roman"/>
                      <w:color w:val="000000"/>
                      <w:sz w:val="24"/>
                      <w:szCs w:val="24"/>
                    </w:rPr>
                  </w:pPr>
                </w:p>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r>
          </w:tbl>
          <w:p w:rsidR="00C94757" w:rsidRPr="00F3309E" w:rsidRDefault="00C94757" w:rsidP="00C94757">
            <w:pPr>
              <w:spacing w:after="0" w:line="240" w:lineRule="auto"/>
              <w:rPr>
                <w:rFonts w:ascii="Times New Roman" w:eastAsia="Times New Roman" w:hAnsi="Times New Roman" w:cs="Times New Roman"/>
                <w:color w:val="000000"/>
                <w:sz w:val="24"/>
                <w:szCs w:val="24"/>
              </w:rPr>
            </w:pPr>
          </w:p>
        </w:tc>
      </w:tr>
    </w:tbl>
    <w:p w:rsidR="00C94757" w:rsidRPr="00F3309E" w:rsidRDefault="00C94757" w:rsidP="00D72D5E">
      <w:pPr>
        <w:spacing w:before="100" w:beforeAutospacing="1" w:after="100" w:afterAutospacing="1" w:line="240" w:lineRule="auto"/>
        <w:outlineLvl w:val="2"/>
        <w:rPr>
          <w:rFonts w:ascii="Times New Roman" w:eastAsia="Times New Roman" w:hAnsi="Times New Roman" w:cs="Times New Roman"/>
          <w:b/>
          <w:bCs/>
          <w:sz w:val="24"/>
          <w:szCs w:val="24"/>
        </w:rPr>
      </w:pPr>
    </w:p>
    <w:tbl>
      <w:tblPr>
        <w:tblW w:w="9000" w:type="dxa"/>
        <w:tblInd w:w="103" w:type="dxa"/>
        <w:tblLook w:val="04A0"/>
      </w:tblPr>
      <w:tblGrid>
        <w:gridCol w:w="2740"/>
        <w:gridCol w:w="1040"/>
        <w:gridCol w:w="1000"/>
        <w:gridCol w:w="1080"/>
        <w:gridCol w:w="1540"/>
        <w:gridCol w:w="1600"/>
      </w:tblGrid>
      <w:tr w:rsidR="00B2353C" w:rsidRPr="00F3309E" w:rsidTr="00B2353C">
        <w:trPr>
          <w:trHeight w:val="345"/>
        </w:trPr>
        <w:tc>
          <w:tcPr>
            <w:tcW w:w="2740" w:type="dxa"/>
            <w:tcBorders>
              <w:top w:val="single" w:sz="4" w:space="0" w:color="auto"/>
              <w:left w:val="single" w:sz="4" w:space="0" w:color="auto"/>
              <w:bottom w:val="nil"/>
              <w:right w:val="single" w:sz="4" w:space="0" w:color="auto"/>
            </w:tcBorders>
            <w:shd w:val="clear" w:color="000000" w:fill="4F94D9"/>
            <w:vAlign w:val="center"/>
            <w:hideMark/>
          </w:tcPr>
          <w:p w:rsidR="00B2353C" w:rsidRPr="00F3309E" w:rsidRDefault="00B2353C" w:rsidP="00B2353C">
            <w:pPr>
              <w:spacing w:after="0" w:line="240" w:lineRule="auto"/>
              <w:rPr>
                <w:rFonts w:ascii="Times New Roman" w:eastAsia="Times New Roman" w:hAnsi="Times New Roman" w:cs="Times New Roman"/>
                <w:b/>
                <w:bCs/>
                <w:color w:val="FFFFFF"/>
                <w:sz w:val="24"/>
                <w:szCs w:val="24"/>
              </w:rPr>
            </w:pPr>
            <w:r w:rsidRPr="00F3309E">
              <w:rPr>
                <w:rFonts w:ascii="Times New Roman" w:eastAsia="Times New Roman" w:hAnsi="Times New Roman" w:cs="Times New Roman"/>
                <w:b/>
                <w:bCs/>
                <w:color w:val="FFFFFF"/>
                <w:sz w:val="24"/>
                <w:szCs w:val="24"/>
              </w:rPr>
              <w:t>Key Financial Metrics</w:t>
            </w:r>
          </w:p>
        </w:tc>
        <w:tc>
          <w:tcPr>
            <w:tcW w:w="1040" w:type="dxa"/>
            <w:tcBorders>
              <w:top w:val="single" w:sz="4" w:space="0" w:color="auto"/>
              <w:left w:val="nil"/>
              <w:bottom w:val="nil"/>
              <w:right w:val="single" w:sz="4" w:space="0" w:color="auto"/>
            </w:tcBorders>
            <w:shd w:val="clear" w:color="000000" w:fill="4F94D9"/>
            <w:vAlign w:val="center"/>
            <w:hideMark/>
          </w:tcPr>
          <w:p w:rsidR="00B2353C" w:rsidRPr="00F3309E" w:rsidRDefault="00B2353C" w:rsidP="00B2353C">
            <w:pPr>
              <w:spacing w:after="0" w:line="240" w:lineRule="auto"/>
              <w:rPr>
                <w:rFonts w:ascii="Times New Roman" w:eastAsia="Times New Roman" w:hAnsi="Times New Roman" w:cs="Times New Roman"/>
                <w:b/>
                <w:bCs/>
                <w:color w:val="FFFFFF"/>
                <w:sz w:val="24"/>
                <w:szCs w:val="24"/>
              </w:rPr>
            </w:pPr>
            <w:r w:rsidRPr="00F3309E">
              <w:rPr>
                <w:rFonts w:ascii="Times New Roman" w:eastAsia="Times New Roman" w:hAnsi="Times New Roman" w:cs="Times New Roman"/>
                <w:b/>
                <w:bCs/>
                <w:color w:val="FFFFFF"/>
                <w:sz w:val="24"/>
                <w:szCs w:val="24"/>
              </w:rPr>
              <w:t>21-Mar</w:t>
            </w:r>
          </w:p>
        </w:tc>
        <w:tc>
          <w:tcPr>
            <w:tcW w:w="1000" w:type="dxa"/>
            <w:tcBorders>
              <w:top w:val="single" w:sz="4" w:space="0" w:color="auto"/>
              <w:left w:val="nil"/>
              <w:bottom w:val="nil"/>
              <w:right w:val="single" w:sz="4" w:space="0" w:color="auto"/>
            </w:tcBorders>
            <w:shd w:val="clear" w:color="000000" w:fill="4F94D9"/>
            <w:vAlign w:val="center"/>
            <w:hideMark/>
          </w:tcPr>
          <w:p w:rsidR="00B2353C" w:rsidRPr="00F3309E" w:rsidRDefault="00B2353C" w:rsidP="00B2353C">
            <w:pPr>
              <w:spacing w:after="0" w:line="240" w:lineRule="auto"/>
              <w:rPr>
                <w:rFonts w:ascii="Times New Roman" w:eastAsia="Times New Roman" w:hAnsi="Times New Roman" w:cs="Times New Roman"/>
                <w:b/>
                <w:bCs/>
                <w:color w:val="FFFFFF"/>
                <w:sz w:val="24"/>
                <w:szCs w:val="24"/>
              </w:rPr>
            </w:pPr>
            <w:r w:rsidRPr="00F3309E">
              <w:rPr>
                <w:rFonts w:ascii="Times New Roman" w:eastAsia="Times New Roman" w:hAnsi="Times New Roman" w:cs="Times New Roman"/>
                <w:b/>
                <w:bCs/>
                <w:color w:val="FFFFFF"/>
                <w:sz w:val="24"/>
                <w:szCs w:val="24"/>
              </w:rPr>
              <w:t>22-Mar</w:t>
            </w:r>
          </w:p>
        </w:tc>
        <w:tc>
          <w:tcPr>
            <w:tcW w:w="1080" w:type="dxa"/>
            <w:tcBorders>
              <w:top w:val="single" w:sz="4" w:space="0" w:color="auto"/>
              <w:left w:val="nil"/>
              <w:bottom w:val="nil"/>
              <w:right w:val="single" w:sz="4" w:space="0" w:color="auto"/>
            </w:tcBorders>
            <w:shd w:val="clear" w:color="000000" w:fill="4F94D9"/>
            <w:vAlign w:val="center"/>
            <w:hideMark/>
          </w:tcPr>
          <w:p w:rsidR="00B2353C" w:rsidRPr="00F3309E" w:rsidRDefault="00B2353C" w:rsidP="00B2353C">
            <w:pPr>
              <w:spacing w:after="0" w:line="240" w:lineRule="auto"/>
              <w:rPr>
                <w:rFonts w:ascii="Times New Roman" w:eastAsia="Times New Roman" w:hAnsi="Times New Roman" w:cs="Times New Roman"/>
                <w:b/>
                <w:bCs/>
                <w:color w:val="FFFFFF"/>
                <w:sz w:val="24"/>
                <w:szCs w:val="24"/>
              </w:rPr>
            </w:pPr>
            <w:r w:rsidRPr="00F3309E">
              <w:rPr>
                <w:rFonts w:ascii="Times New Roman" w:eastAsia="Times New Roman" w:hAnsi="Times New Roman" w:cs="Times New Roman"/>
                <w:b/>
                <w:bCs/>
                <w:color w:val="FFFFFF"/>
                <w:sz w:val="24"/>
                <w:szCs w:val="24"/>
              </w:rPr>
              <w:t>23-Mar</w:t>
            </w:r>
          </w:p>
        </w:tc>
        <w:tc>
          <w:tcPr>
            <w:tcW w:w="1540" w:type="dxa"/>
            <w:tcBorders>
              <w:top w:val="single" w:sz="4" w:space="0" w:color="auto"/>
              <w:left w:val="nil"/>
              <w:bottom w:val="nil"/>
              <w:right w:val="single" w:sz="4" w:space="0" w:color="auto"/>
            </w:tcBorders>
            <w:shd w:val="clear" w:color="000000" w:fill="4F94D9"/>
            <w:vAlign w:val="center"/>
            <w:hideMark/>
          </w:tcPr>
          <w:p w:rsidR="00B2353C" w:rsidRPr="00F3309E" w:rsidRDefault="00B2353C" w:rsidP="00B2353C">
            <w:pPr>
              <w:spacing w:after="0" w:line="240" w:lineRule="auto"/>
              <w:rPr>
                <w:rFonts w:ascii="Times New Roman" w:eastAsia="Times New Roman" w:hAnsi="Times New Roman" w:cs="Times New Roman"/>
                <w:b/>
                <w:bCs/>
                <w:color w:val="FFFFFF"/>
                <w:sz w:val="24"/>
                <w:szCs w:val="24"/>
              </w:rPr>
            </w:pPr>
            <w:r w:rsidRPr="00F3309E">
              <w:rPr>
                <w:rFonts w:ascii="Times New Roman" w:eastAsia="Times New Roman" w:hAnsi="Times New Roman" w:cs="Times New Roman"/>
                <w:b/>
                <w:bCs/>
                <w:color w:val="FFFFFF"/>
                <w:sz w:val="24"/>
                <w:szCs w:val="24"/>
              </w:rPr>
              <w:t>24-Mar</w:t>
            </w:r>
          </w:p>
        </w:tc>
        <w:tc>
          <w:tcPr>
            <w:tcW w:w="1600" w:type="dxa"/>
            <w:tcBorders>
              <w:top w:val="single" w:sz="4" w:space="0" w:color="auto"/>
              <w:left w:val="nil"/>
              <w:bottom w:val="nil"/>
              <w:right w:val="single" w:sz="4" w:space="0" w:color="auto"/>
            </w:tcBorders>
            <w:shd w:val="clear" w:color="000000" w:fill="4F94D9"/>
            <w:vAlign w:val="center"/>
            <w:hideMark/>
          </w:tcPr>
          <w:p w:rsidR="00B2353C" w:rsidRPr="00F3309E" w:rsidRDefault="00B2353C" w:rsidP="00B2353C">
            <w:pPr>
              <w:spacing w:after="0" w:line="240" w:lineRule="auto"/>
              <w:rPr>
                <w:rFonts w:ascii="Times New Roman" w:eastAsia="Times New Roman" w:hAnsi="Times New Roman" w:cs="Times New Roman"/>
                <w:b/>
                <w:bCs/>
                <w:color w:val="FFFFFF"/>
                <w:sz w:val="24"/>
                <w:szCs w:val="24"/>
              </w:rPr>
            </w:pPr>
            <w:r w:rsidRPr="00F3309E">
              <w:rPr>
                <w:rFonts w:ascii="Times New Roman" w:eastAsia="Times New Roman" w:hAnsi="Times New Roman" w:cs="Times New Roman"/>
                <w:b/>
                <w:bCs/>
                <w:color w:val="FFFFFF"/>
                <w:sz w:val="24"/>
                <w:szCs w:val="24"/>
              </w:rPr>
              <w:t>25-Mar</w:t>
            </w:r>
          </w:p>
        </w:tc>
      </w:tr>
      <w:tr w:rsidR="00B2353C" w:rsidRPr="00F3309E" w:rsidTr="00B2353C">
        <w:trPr>
          <w:trHeight w:val="285"/>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Revenue (₹ Cr)</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8,573</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10,818</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14,071</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18,548</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25,045</w:t>
            </w:r>
          </w:p>
        </w:tc>
      </w:tr>
      <w:tr w:rsidR="00B2353C" w:rsidRPr="00F3309E" w:rsidTr="00B2353C">
        <w:trPr>
          <w:trHeight w:val="270"/>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Revenue Growth (YoY)</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w:t>
            </w:r>
          </w:p>
        </w:tc>
      </w:tr>
      <w:tr w:rsidR="00B2353C" w:rsidRPr="00F3309E" w:rsidTr="00B2353C">
        <w:trPr>
          <w:trHeight w:val="285"/>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EBITDA (₹ Cr)</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1,180</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1,380</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1,820</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2,410</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3,350</w:t>
            </w:r>
          </w:p>
        </w:tc>
      </w:tr>
      <w:tr w:rsidR="00B2353C" w:rsidRPr="00F3309E" w:rsidTr="00B2353C">
        <w:trPr>
          <w:trHeight w:val="270"/>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EBITDA Margin (%)</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13.80%</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12.80%</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12.90%</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13.00%</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13.40%</w:t>
            </w:r>
          </w:p>
        </w:tc>
      </w:tr>
      <w:tr w:rsidR="00B2353C" w:rsidRPr="00F3309E" w:rsidTr="00B2353C">
        <w:trPr>
          <w:trHeight w:val="285"/>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Adj. PAT (₹ Cr)</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224</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433</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597</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715</w:t>
            </w:r>
          </w:p>
        </w:tc>
      </w:tr>
      <w:tr w:rsidR="00B2353C" w:rsidRPr="00F3309E" w:rsidTr="00B2353C">
        <w:trPr>
          <w:trHeight w:val="285"/>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Adj. EPS (₹)</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-0.1</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5.8</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6.9</w:t>
            </w:r>
          </w:p>
        </w:tc>
      </w:tr>
      <w:tr w:rsidR="00B2353C" w:rsidRPr="00F3309E" w:rsidTr="00B2353C">
        <w:trPr>
          <w:trHeight w:val="285"/>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ROCE (%)</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w:t>
            </w:r>
          </w:p>
        </w:tc>
      </w:tr>
      <w:tr w:rsidR="00B2353C" w:rsidRPr="00F3309E" w:rsidTr="00B2353C">
        <w:trPr>
          <w:trHeight w:val="285"/>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ROE (%)</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w:t>
            </w:r>
          </w:p>
        </w:tc>
      </w:tr>
      <w:tr w:rsidR="00B2353C" w:rsidRPr="00F3309E" w:rsidTr="00B2353C">
        <w:trPr>
          <w:trHeight w:val="300"/>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Debt (₹ Cr)</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2,281</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3,252</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3,313</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2,510</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1,369</w:t>
            </w:r>
          </w:p>
        </w:tc>
      </w:tr>
      <w:tr w:rsidR="00B2353C" w:rsidRPr="00F3309E" w:rsidTr="00B2353C">
        <w:trPr>
          <w:trHeight w:val="300"/>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Debt / EBITDA</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1.9x</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2.4x</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1.8x</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1.0x</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0.4x</w:t>
            </w:r>
          </w:p>
        </w:tc>
      </w:tr>
      <w:tr w:rsidR="00B2353C" w:rsidRPr="00F3309E" w:rsidTr="00B2353C">
        <w:trPr>
          <w:trHeight w:val="270"/>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Dividend Per Share</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0.5</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0.8</w:t>
            </w:r>
          </w:p>
        </w:tc>
      </w:tr>
      <w:tr w:rsidR="00B2353C" w:rsidRPr="00F3309E" w:rsidTr="00B2353C">
        <w:trPr>
          <w:trHeight w:val="285"/>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P/E (x)</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52x</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28x</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34x</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48x</w:t>
            </w:r>
          </w:p>
        </w:tc>
      </w:tr>
      <w:tr w:rsidR="00B2353C" w:rsidRPr="00F3309E" w:rsidTr="00B2353C">
        <w:trPr>
          <w:trHeight w:val="285"/>
        </w:trPr>
        <w:tc>
          <w:tcPr>
            <w:tcW w:w="27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EV/EBITDA (x)</w:t>
            </w:r>
          </w:p>
        </w:tc>
        <w:tc>
          <w:tcPr>
            <w:tcW w:w="10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18x</w:t>
            </w:r>
          </w:p>
        </w:tc>
        <w:tc>
          <w:tcPr>
            <w:tcW w:w="10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16x</w:t>
            </w:r>
          </w:p>
        </w:tc>
        <w:tc>
          <w:tcPr>
            <w:tcW w:w="108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14x</w:t>
            </w:r>
          </w:p>
        </w:tc>
        <w:tc>
          <w:tcPr>
            <w:tcW w:w="154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18x</w:t>
            </w:r>
          </w:p>
        </w:tc>
        <w:tc>
          <w:tcPr>
            <w:tcW w:w="1600" w:type="dxa"/>
            <w:tcBorders>
              <w:top w:val="nil"/>
              <w:left w:val="nil"/>
              <w:bottom w:val="single" w:sz="4" w:space="0" w:color="auto"/>
              <w:right w:val="nil"/>
            </w:tcBorders>
            <w:shd w:val="clear" w:color="auto" w:fill="auto"/>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24x</w:t>
            </w:r>
          </w:p>
        </w:tc>
      </w:tr>
    </w:tbl>
    <w:p w:rsidR="00B2353C" w:rsidRPr="00F3309E" w:rsidRDefault="00B2353C" w:rsidP="00D72D5E">
      <w:pPr>
        <w:spacing w:before="100" w:beforeAutospacing="1" w:after="100" w:afterAutospacing="1" w:line="240" w:lineRule="auto"/>
        <w:outlineLvl w:val="2"/>
        <w:rPr>
          <w:rFonts w:ascii="Times New Roman" w:eastAsia="Times New Roman" w:hAnsi="Times New Roman" w:cs="Times New Roman"/>
          <w:b/>
          <w:bCs/>
          <w:sz w:val="24"/>
          <w:szCs w:val="24"/>
        </w:rPr>
      </w:pPr>
    </w:p>
    <w:p w:rsidR="00C40C8F" w:rsidRPr="00F3309E" w:rsidRDefault="00B2353C" w:rsidP="00D72D5E">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 xml:space="preserve">     </w:t>
      </w:r>
    </w:p>
    <w:p w:rsidR="00B2353C" w:rsidRPr="00F3309E" w:rsidRDefault="00B2353C" w:rsidP="00D72D5E">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 xml:space="preserve">            </w:t>
      </w:r>
    </w:p>
    <w:tbl>
      <w:tblPr>
        <w:tblW w:w="7508" w:type="dxa"/>
        <w:tblInd w:w="108" w:type="dxa"/>
        <w:tblLook w:val="04A0"/>
      </w:tblPr>
      <w:tblGrid>
        <w:gridCol w:w="4702"/>
        <w:gridCol w:w="221"/>
        <w:gridCol w:w="3564"/>
        <w:gridCol w:w="981"/>
      </w:tblGrid>
      <w:tr w:rsidR="00B2353C" w:rsidRPr="00F3309E" w:rsidTr="00B2353C">
        <w:trPr>
          <w:trHeight w:val="345"/>
        </w:trPr>
        <w:tc>
          <w:tcPr>
            <w:tcW w:w="5316" w:type="dxa"/>
            <w:gridSpan w:val="2"/>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b/>
                <w:bCs/>
                <w:color w:val="000000"/>
                <w:sz w:val="28"/>
                <w:szCs w:val="28"/>
              </w:rPr>
            </w:pPr>
            <w:r w:rsidRPr="00F3309E">
              <w:rPr>
                <w:rFonts w:ascii="Times New Roman" w:eastAsia="Times New Roman" w:hAnsi="Times New Roman" w:cs="Times New Roman"/>
                <w:b/>
                <w:bCs/>
                <w:color w:val="000000"/>
                <w:sz w:val="28"/>
                <w:szCs w:val="28"/>
              </w:rPr>
              <w:lastRenderedPageBreak/>
              <w:t>Objective of the Financial Model</w:t>
            </w: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r>
      <w:tr w:rsidR="00B2353C" w:rsidRPr="00F3309E" w:rsidTr="00B2353C">
        <w:trPr>
          <w:trHeight w:val="585"/>
        </w:trPr>
        <w:tc>
          <w:tcPr>
            <w:tcW w:w="7508" w:type="dxa"/>
            <w:gridSpan w:val="4"/>
            <w:tcBorders>
              <w:top w:val="nil"/>
              <w:left w:val="nil"/>
              <w:bottom w:val="nil"/>
              <w:right w:val="nil"/>
            </w:tcBorders>
            <w:shd w:val="clear" w:color="auto" w:fill="auto"/>
            <w:noWrap/>
            <w:vAlign w:val="bottom"/>
            <w:hideMark/>
          </w:tcPr>
          <w:p w:rsidR="00B2353C" w:rsidRPr="00F3309E" w:rsidRDefault="00B2353C"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Forecast the company’s </w:t>
            </w:r>
            <w:r w:rsidRPr="00F3309E">
              <w:rPr>
                <w:rFonts w:ascii="Times New Roman" w:eastAsia="Times New Roman" w:hAnsi="Times New Roman" w:cs="Times New Roman"/>
                <w:b/>
                <w:bCs/>
                <w:color w:val="000000"/>
                <w:sz w:val="24"/>
                <w:szCs w:val="24"/>
              </w:rPr>
              <w:t>financial performance for the next 5–10 years</w:t>
            </w:r>
          </w:p>
        </w:tc>
      </w:tr>
      <w:tr w:rsidR="00B2353C" w:rsidRPr="00F3309E" w:rsidTr="00B2353C">
        <w:trPr>
          <w:trHeight w:val="315"/>
        </w:trPr>
        <w:tc>
          <w:tcPr>
            <w:tcW w:w="7508" w:type="dxa"/>
            <w:gridSpan w:val="4"/>
            <w:tcBorders>
              <w:top w:val="nil"/>
              <w:left w:val="nil"/>
              <w:bottom w:val="nil"/>
              <w:right w:val="nil"/>
            </w:tcBorders>
            <w:shd w:val="clear" w:color="auto" w:fill="auto"/>
            <w:noWrap/>
            <w:vAlign w:val="bottom"/>
            <w:hideMark/>
          </w:tcPr>
          <w:p w:rsidR="00B2353C" w:rsidRPr="00F3309E" w:rsidRDefault="00B2353C"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Build </w:t>
            </w:r>
            <w:r w:rsidRPr="00F3309E">
              <w:rPr>
                <w:rFonts w:ascii="Times New Roman" w:eastAsia="Times New Roman" w:hAnsi="Times New Roman" w:cs="Times New Roman"/>
                <w:b/>
                <w:bCs/>
                <w:color w:val="000000"/>
                <w:sz w:val="24"/>
                <w:szCs w:val="24"/>
              </w:rPr>
              <w:t>integrated financial statements</w:t>
            </w:r>
            <w:r w:rsidRPr="00F3309E">
              <w:rPr>
                <w:rFonts w:ascii="Times New Roman" w:eastAsia="Times New Roman" w:hAnsi="Times New Roman" w:cs="Times New Roman"/>
                <w:color w:val="000000"/>
                <w:sz w:val="24"/>
                <w:szCs w:val="24"/>
              </w:rPr>
              <w:t xml:space="preserve"> (P&amp;L, Balance Sheet, Cash Flow)</w:t>
            </w:r>
          </w:p>
        </w:tc>
      </w:tr>
      <w:tr w:rsidR="00B2353C" w:rsidRPr="00F3309E" w:rsidTr="00B2353C">
        <w:trPr>
          <w:trHeight w:val="300"/>
        </w:trPr>
        <w:tc>
          <w:tcPr>
            <w:tcW w:w="5308" w:type="dxa"/>
            <w:tcBorders>
              <w:top w:val="nil"/>
              <w:left w:val="nil"/>
              <w:bottom w:val="nil"/>
              <w:right w:val="nil"/>
            </w:tcBorders>
            <w:shd w:val="clear" w:color="auto" w:fill="auto"/>
            <w:noWrap/>
            <w:vAlign w:val="bottom"/>
            <w:hideMark/>
          </w:tcPr>
          <w:p w:rsidR="00B2353C" w:rsidRPr="00F3309E" w:rsidRDefault="00B2353C"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Conduct </w:t>
            </w:r>
            <w:r w:rsidRPr="00F3309E">
              <w:rPr>
                <w:rFonts w:ascii="Times New Roman" w:eastAsia="Times New Roman" w:hAnsi="Times New Roman" w:cs="Times New Roman"/>
                <w:b/>
                <w:bCs/>
                <w:color w:val="000000"/>
                <w:sz w:val="24"/>
                <w:szCs w:val="24"/>
              </w:rPr>
              <w:t>valuation</w:t>
            </w:r>
            <w:r w:rsidRPr="00F3309E">
              <w:rPr>
                <w:rFonts w:ascii="Times New Roman" w:eastAsia="Times New Roman" w:hAnsi="Times New Roman" w:cs="Times New Roman"/>
                <w:color w:val="000000"/>
                <w:sz w:val="24"/>
                <w:szCs w:val="24"/>
              </w:rPr>
              <w:t xml:space="preserve"> using:</w:t>
            </w:r>
          </w:p>
        </w:tc>
        <w:tc>
          <w:tcPr>
            <w:tcW w:w="8"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r>
      <w:tr w:rsidR="00B2353C" w:rsidRPr="00F3309E" w:rsidTr="00B2353C">
        <w:trPr>
          <w:trHeight w:val="315"/>
        </w:trPr>
        <w:tc>
          <w:tcPr>
            <w:tcW w:w="5308" w:type="dxa"/>
            <w:tcBorders>
              <w:top w:val="nil"/>
              <w:left w:val="nil"/>
              <w:bottom w:val="nil"/>
              <w:right w:val="nil"/>
            </w:tcBorders>
            <w:shd w:val="clear" w:color="auto" w:fill="auto"/>
            <w:noWrap/>
            <w:vAlign w:val="bottom"/>
            <w:hideMark/>
          </w:tcPr>
          <w:p w:rsidR="00B2353C" w:rsidRPr="00F3309E" w:rsidRDefault="00B2353C" w:rsidP="00F3309E">
            <w:pPr>
              <w:spacing w:after="0" w:line="240" w:lineRule="auto"/>
              <w:ind w:firstLineChars="200" w:firstLine="48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-DCF (FCFF and FCFE)</w:t>
            </w:r>
          </w:p>
        </w:tc>
        <w:tc>
          <w:tcPr>
            <w:tcW w:w="8"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r>
      <w:tr w:rsidR="00B2353C" w:rsidRPr="00F3309E" w:rsidTr="00B2353C">
        <w:trPr>
          <w:trHeight w:val="285"/>
        </w:trPr>
        <w:tc>
          <w:tcPr>
            <w:tcW w:w="5308" w:type="dxa"/>
            <w:tcBorders>
              <w:top w:val="nil"/>
              <w:left w:val="nil"/>
              <w:bottom w:val="nil"/>
              <w:right w:val="nil"/>
            </w:tcBorders>
            <w:shd w:val="clear" w:color="auto" w:fill="auto"/>
            <w:noWrap/>
            <w:vAlign w:val="bottom"/>
            <w:hideMark/>
          </w:tcPr>
          <w:p w:rsidR="00B2353C" w:rsidRPr="00F3309E" w:rsidRDefault="00B2353C" w:rsidP="00F3309E">
            <w:pPr>
              <w:spacing w:after="0" w:line="240" w:lineRule="auto"/>
              <w:ind w:firstLineChars="200" w:firstLine="48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-Comparable Company Analysis (CCA)</w:t>
            </w:r>
          </w:p>
        </w:tc>
        <w:tc>
          <w:tcPr>
            <w:tcW w:w="8"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r>
      <w:tr w:rsidR="00B2353C" w:rsidRPr="00F3309E" w:rsidTr="00B2353C">
        <w:trPr>
          <w:trHeight w:val="315"/>
        </w:trPr>
        <w:tc>
          <w:tcPr>
            <w:tcW w:w="5308" w:type="dxa"/>
            <w:tcBorders>
              <w:top w:val="nil"/>
              <w:left w:val="nil"/>
              <w:bottom w:val="nil"/>
              <w:right w:val="nil"/>
            </w:tcBorders>
            <w:shd w:val="clear" w:color="auto" w:fill="auto"/>
            <w:noWrap/>
            <w:vAlign w:val="bottom"/>
            <w:hideMark/>
          </w:tcPr>
          <w:p w:rsidR="00B2353C" w:rsidRPr="00F3309E" w:rsidRDefault="00B2353C"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-Precedent Transaction Analysis </w:t>
            </w:r>
          </w:p>
          <w:p w:rsidR="00270E1D" w:rsidRPr="00F3309E" w:rsidRDefault="00270E1D" w:rsidP="00F3309E">
            <w:pPr>
              <w:spacing w:after="0" w:line="240" w:lineRule="auto"/>
              <w:ind w:firstLineChars="100" w:firstLine="240"/>
              <w:rPr>
                <w:rFonts w:ascii="Times New Roman" w:eastAsia="Times New Roman" w:hAnsi="Times New Roman" w:cs="Times New Roman"/>
                <w:color w:val="000000"/>
                <w:sz w:val="24"/>
                <w:szCs w:val="24"/>
              </w:rPr>
            </w:pPr>
          </w:p>
          <w:tbl>
            <w:tblPr>
              <w:tblW w:w="3780" w:type="dxa"/>
              <w:tblLook w:val="04A0"/>
            </w:tblPr>
            <w:tblGrid>
              <w:gridCol w:w="2740"/>
              <w:gridCol w:w="1040"/>
            </w:tblGrid>
            <w:tr w:rsidR="00270E1D" w:rsidRPr="00F3309E" w:rsidTr="00270E1D">
              <w:trPr>
                <w:trHeight w:val="345"/>
              </w:trPr>
              <w:tc>
                <w:tcPr>
                  <w:tcW w:w="3780" w:type="dxa"/>
                  <w:gridSpan w:val="2"/>
                  <w:tcBorders>
                    <w:top w:val="single" w:sz="4" w:space="0" w:color="auto"/>
                    <w:left w:val="single" w:sz="4" w:space="0" w:color="auto"/>
                    <w:bottom w:val="single" w:sz="4" w:space="0" w:color="auto"/>
                    <w:right w:val="nil"/>
                  </w:tcBorders>
                  <w:shd w:val="clear" w:color="000000" w:fill="215E9B"/>
                  <w:vAlign w:val="center"/>
                  <w:hideMark/>
                </w:tcPr>
                <w:p w:rsidR="00270E1D" w:rsidRPr="00F3309E" w:rsidRDefault="00270E1D" w:rsidP="00270E1D">
                  <w:pPr>
                    <w:spacing w:after="0" w:line="240" w:lineRule="auto"/>
                    <w:jc w:val="center"/>
                    <w:rPr>
                      <w:rFonts w:ascii="Times New Roman" w:eastAsia="Times New Roman" w:hAnsi="Times New Roman" w:cs="Times New Roman"/>
                      <w:b/>
                      <w:bCs/>
                      <w:color w:val="FFFFFF"/>
                      <w:sz w:val="24"/>
                      <w:szCs w:val="24"/>
                    </w:rPr>
                  </w:pPr>
                  <w:r w:rsidRPr="00F3309E">
                    <w:rPr>
                      <w:rFonts w:ascii="Times New Roman" w:eastAsia="Times New Roman" w:hAnsi="Times New Roman" w:cs="Times New Roman"/>
                      <w:b/>
                      <w:bCs/>
                      <w:color w:val="FFFFFF"/>
                      <w:sz w:val="24"/>
                      <w:szCs w:val="24"/>
                    </w:rPr>
                    <w:t>Top Institutional Holders (Sep-25)</w:t>
                  </w:r>
                </w:p>
              </w:tc>
            </w:tr>
            <w:tr w:rsidR="00270E1D" w:rsidRPr="00F3309E" w:rsidTr="00270E1D">
              <w:trPr>
                <w:trHeight w:val="58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Highdell Investment (Promoter)</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0.574</w:t>
                  </w:r>
                </w:p>
              </w:tc>
            </w:tr>
            <w:tr w:rsidR="00270E1D" w:rsidRPr="00F3309E" w:rsidTr="00270E1D">
              <w:trPr>
                <w:trHeight w:val="31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HDFC Mutual Fund</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0.058</w:t>
                  </w:r>
                </w:p>
              </w:tc>
            </w:tr>
            <w:tr w:rsidR="00270E1D" w:rsidRPr="00F3309E" w:rsidTr="00270E1D">
              <w:trPr>
                <w:trHeight w:val="300"/>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SBI Mutual Fund</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0.042</w:t>
                  </w:r>
                </w:p>
              </w:tc>
            </w:tr>
            <w:tr w:rsidR="00270E1D" w:rsidRPr="00F3309E" w:rsidTr="00270E1D">
              <w:trPr>
                <w:trHeight w:val="31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ICICI Prudential MF</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0.036</w:t>
                  </w:r>
                </w:p>
              </w:tc>
            </w:tr>
            <w:tr w:rsidR="00270E1D" w:rsidRPr="00F3309E" w:rsidTr="00270E1D">
              <w:trPr>
                <w:trHeight w:val="28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Axis Mutual Fund</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0.029</w:t>
                  </w:r>
                </w:p>
              </w:tc>
            </w:tr>
            <w:tr w:rsidR="00270E1D" w:rsidRPr="00F3309E" w:rsidTr="00270E1D">
              <w:trPr>
                <w:trHeight w:val="31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Motilal Oswal MF</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0.021</w:t>
                  </w:r>
                </w:p>
              </w:tc>
            </w:tr>
            <w:tr w:rsidR="00270E1D" w:rsidRPr="00F3309E" w:rsidTr="00270E1D">
              <w:trPr>
                <w:trHeight w:val="28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Total Institutional Holding</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r>
          </w:tbl>
          <w:p w:rsidR="00270E1D" w:rsidRPr="00F3309E" w:rsidRDefault="00270E1D" w:rsidP="00F3309E">
            <w:pPr>
              <w:spacing w:after="0" w:line="240" w:lineRule="auto"/>
              <w:ind w:firstLineChars="100" w:firstLine="240"/>
              <w:rPr>
                <w:rFonts w:ascii="Times New Roman" w:eastAsia="Times New Roman" w:hAnsi="Times New Roman" w:cs="Times New Roman"/>
                <w:color w:val="000000"/>
                <w:sz w:val="24"/>
                <w:szCs w:val="24"/>
              </w:rPr>
            </w:pPr>
          </w:p>
        </w:tc>
        <w:tc>
          <w:tcPr>
            <w:tcW w:w="8"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tbl>
            <w:tblPr>
              <w:tblW w:w="3780" w:type="dxa"/>
              <w:tblLook w:val="04A0"/>
            </w:tblPr>
            <w:tblGrid>
              <w:gridCol w:w="2740"/>
              <w:gridCol w:w="1040"/>
            </w:tblGrid>
            <w:tr w:rsidR="00270E1D" w:rsidRPr="00F3309E" w:rsidTr="00270E1D">
              <w:trPr>
                <w:trHeight w:val="285"/>
              </w:trPr>
              <w:tc>
                <w:tcPr>
                  <w:tcW w:w="3780" w:type="dxa"/>
                  <w:gridSpan w:val="2"/>
                  <w:tcBorders>
                    <w:top w:val="single" w:sz="4" w:space="0" w:color="auto"/>
                    <w:left w:val="single" w:sz="4" w:space="0" w:color="auto"/>
                    <w:bottom w:val="single" w:sz="4" w:space="0" w:color="auto"/>
                    <w:right w:val="nil"/>
                  </w:tcBorders>
                  <w:shd w:val="clear" w:color="000000" w:fill="215E9B"/>
                  <w:vAlign w:val="center"/>
                  <w:hideMark/>
                </w:tcPr>
                <w:p w:rsidR="00270E1D" w:rsidRPr="00F3309E" w:rsidRDefault="00270E1D" w:rsidP="00270E1D">
                  <w:pPr>
                    <w:spacing w:after="0" w:line="240" w:lineRule="auto"/>
                    <w:jc w:val="center"/>
                    <w:rPr>
                      <w:rFonts w:ascii="Times New Roman" w:eastAsia="Times New Roman" w:hAnsi="Times New Roman" w:cs="Times New Roman"/>
                      <w:b/>
                      <w:bCs/>
                      <w:color w:val="FFFFFF"/>
                      <w:sz w:val="24"/>
                      <w:szCs w:val="24"/>
                    </w:rPr>
                  </w:pPr>
                  <w:r w:rsidRPr="00F3309E">
                    <w:rPr>
                      <w:rFonts w:ascii="Times New Roman" w:eastAsia="Times New Roman" w:hAnsi="Times New Roman" w:cs="Times New Roman"/>
                      <w:b/>
                      <w:bCs/>
                      <w:color w:val="FFFFFF"/>
                      <w:sz w:val="24"/>
                      <w:szCs w:val="24"/>
                    </w:rPr>
                    <w:t>Key Ratios &amp; Valuation</w:t>
                  </w:r>
                </w:p>
              </w:tc>
            </w:tr>
            <w:tr w:rsidR="00270E1D" w:rsidRPr="00F3309E" w:rsidTr="00270E1D">
              <w:trPr>
                <w:trHeight w:val="28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P/E (FY26E)</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32x</w:t>
                  </w:r>
                </w:p>
              </w:tc>
            </w:tr>
            <w:tr w:rsidR="00270E1D" w:rsidRPr="00F3309E" w:rsidTr="00270E1D">
              <w:trPr>
                <w:trHeight w:val="28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P/E (FY27E)</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26x</w:t>
                  </w:r>
                </w:p>
              </w:tc>
            </w:tr>
            <w:tr w:rsidR="00270E1D" w:rsidRPr="00F3309E" w:rsidTr="00270E1D">
              <w:trPr>
                <w:trHeight w:val="31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EV/EBITDA (FY26E)</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18x</w:t>
                  </w:r>
                </w:p>
              </w:tc>
            </w:tr>
            <w:tr w:rsidR="00270E1D" w:rsidRPr="00F3309E" w:rsidTr="00270E1D">
              <w:trPr>
                <w:trHeight w:val="31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Price to Book</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9.8x</w:t>
                  </w:r>
                </w:p>
              </w:tc>
            </w:tr>
            <w:tr w:rsidR="00270E1D" w:rsidRPr="00F3309E" w:rsidTr="00270E1D">
              <w:trPr>
                <w:trHeight w:val="315"/>
              </w:trPr>
              <w:tc>
                <w:tcPr>
                  <w:tcW w:w="27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Dividend Yield</w:t>
                  </w:r>
                </w:p>
              </w:tc>
              <w:tc>
                <w:tcPr>
                  <w:tcW w:w="1040" w:type="dxa"/>
                  <w:tcBorders>
                    <w:top w:val="nil"/>
                    <w:left w:val="nil"/>
                    <w:bottom w:val="single" w:sz="4" w:space="0" w:color="auto"/>
                    <w:right w:val="nil"/>
                  </w:tcBorders>
                  <w:shd w:val="clear" w:color="auto" w:fill="auto"/>
                  <w:vAlign w:val="bottom"/>
                  <w:hideMark/>
                </w:tcPr>
                <w:p w:rsidR="00270E1D" w:rsidRPr="00F3309E" w:rsidRDefault="00270E1D" w:rsidP="00270E1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0.003</w:t>
                  </w:r>
                </w:p>
              </w:tc>
            </w:tr>
          </w:tbl>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B2353C" w:rsidRPr="00F3309E" w:rsidRDefault="00B2353C" w:rsidP="00B2353C">
            <w:pPr>
              <w:spacing w:after="0" w:line="240" w:lineRule="auto"/>
              <w:rPr>
                <w:rFonts w:ascii="Times New Roman" w:eastAsia="Times New Roman" w:hAnsi="Times New Roman" w:cs="Times New Roman"/>
                <w:color w:val="000000"/>
                <w:sz w:val="24"/>
                <w:szCs w:val="24"/>
              </w:rPr>
            </w:pPr>
          </w:p>
        </w:tc>
      </w:tr>
    </w:tbl>
    <w:p w:rsidR="00C40C8F" w:rsidRPr="00F3309E" w:rsidRDefault="00C40C8F" w:rsidP="00D72D5E">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 xml:space="preserve">                   </w:t>
      </w:r>
      <w:r w:rsidR="00270E1D" w:rsidRPr="00F3309E">
        <w:rPr>
          <w:rFonts w:ascii="Times New Roman" w:eastAsia="Times New Roman" w:hAnsi="Times New Roman" w:cs="Times New Roman"/>
          <w:b/>
          <w:bCs/>
          <w:noProof/>
          <w:sz w:val="24"/>
          <w:szCs w:val="24"/>
        </w:rPr>
        <w:drawing>
          <wp:inline distT="0" distB="0" distL="0" distR="0">
            <wp:extent cx="5116476" cy="3615069"/>
            <wp:effectExtent l="19050" t="0" r="7974" b="0"/>
            <wp:docPr id="32" name="Picture 13" descr="chart (2).png"/>
            <wp:cNvGraphicFramePr/>
            <a:graphic xmlns:a="http://schemas.openxmlformats.org/drawingml/2006/main">
              <a:graphicData uri="http://schemas.openxmlformats.org/drawingml/2006/picture">
                <pic:pic xmlns:pic="http://schemas.openxmlformats.org/drawingml/2006/picture">
                  <pic:nvPicPr>
                    <pic:cNvPr id="6" name="Picture 5" descr="chart (2).png"/>
                    <pic:cNvPicPr>
                      <a:picLocks noChangeAspect="1"/>
                    </pic:cNvPicPr>
                  </pic:nvPicPr>
                  <pic:blipFill>
                    <a:blip r:embed="rId11" cstate="print"/>
                    <a:srcRect t="-15353" r="1660" b="-109544"/>
                    <a:stretch>
                      <a:fillRect/>
                    </a:stretch>
                  </pic:blipFill>
                  <pic:spPr>
                    <a:xfrm rot="10800000" flipH="1" flipV="1">
                      <a:off x="0" y="0"/>
                      <a:ext cx="5116476" cy="3615069"/>
                    </a:xfrm>
                    <a:prstGeom prst="rect">
                      <a:avLst/>
                    </a:prstGeom>
                  </pic:spPr>
                </pic:pic>
              </a:graphicData>
            </a:graphic>
          </wp:inline>
        </w:drawing>
      </w:r>
      <w:r w:rsidRPr="00F3309E">
        <w:rPr>
          <w:rFonts w:ascii="Times New Roman" w:eastAsia="Times New Roman" w:hAnsi="Times New Roman" w:cs="Times New Roman"/>
          <w:b/>
          <w:bCs/>
          <w:sz w:val="24"/>
          <w:szCs w:val="24"/>
        </w:rPr>
        <w:t xml:space="preserve">              </w:t>
      </w:r>
      <w:r w:rsidR="00B2353C" w:rsidRPr="00F3309E">
        <w:rPr>
          <w:rFonts w:ascii="Times New Roman" w:eastAsia="Times New Roman" w:hAnsi="Times New Roman" w:cs="Times New Roman"/>
          <w:b/>
          <w:bCs/>
          <w:sz w:val="24"/>
          <w:szCs w:val="24"/>
        </w:rPr>
        <w:t xml:space="preserve">        </w:t>
      </w:r>
      <w:r w:rsidRPr="00F3309E">
        <w:rPr>
          <w:rFonts w:ascii="Times New Roman" w:eastAsia="Times New Roman" w:hAnsi="Times New Roman" w:cs="Times New Roman"/>
          <w:b/>
          <w:bCs/>
          <w:sz w:val="24"/>
          <w:szCs w:val="24"/>
        </w:rPr>
        <w:t xml:space="preserve">                                                       </w:t>
      </w:r>
      <w:r w:rsidR="00B2353C" w:rsidRPr="00F3309E">
        <w:rPr>
          <w:rFonts w:ascii="Times New Roman" w:eastAsia="Times New Roman" w:hAnsi="Times New Roman" w:cs="Times New Roman"/>
          <w:b/>
          <w:bCs/>
          <w:sz w:val="24"/>
          <w:szCs w:val="24"/>
        </w:rPr>
        <w:t xml:space="preserve">  </w:t>
      </w:r>
    </w:p>
    <w:tbl>
      <w:tblPr>
        <w:tblW w:w="26568" w:type="dxa"/>
        <w:tblInd w:w="108" w:type="dxa"/>
        <w:tblLook w:val="04A0"/>
      </w:tblPr>
      <w:tblGrid>
        <w:gridCol w:w="7308"/>
        <w:gridCol w:w="222"/>
        <w:gridCol w:w="222"/>
        <w:gridCol w:w="222"/>
        <w:gridCol w:w="222"/>
        <w:gridCol w:w="1616"/>
        <w:gridCol w:w="1096"/>
        <w:gridCol w:w="1096"/>
        <w:gridCol w:w="1096"/>
        <w:gridCol w:w="1096"/>
        <w:gridCol w:w="1096"/>
        <w:gridCol w:w="1096"/>
        <w:gridCol w:w="1096"/>
        <w:gridCol w:w="1096"/>
        <w:gridCol w:w="1096"/>
        <w:gridCol w:w="1096"/>
        <w:gridCol w:w="1096"/>
        <w:gridCol w:w="1096"/>
        <w:gridCol w:w="1096"/>
        <w:gridCol w:w="1096"/>
        <w:gridCol w:w="1096"/>
        <w:gridCol w:w="1096"/>
      </w:tblGrid>
      <w:tr w:rsidR="00C40C8F" w:rsidRPr="00F3309E" w:rsidTr="00C40C8F">
        <w:trPr>
          <w:trHeight w:val="285"/>
        </w:trPr>
        <w:tc>
          <w:tcPr>
            <w:tcW w:w="7416" w:type="dxa"/>
            <w:gridSpan w:val="5"/>
            <w:tcBorders>
              <w:top w:val="nil"/>
              <w:left w:val="nil"/>
              <w:bottom w:val="nil"/>
              <w:right w:val="nil"/>
            </w:tcBorders>
            <w:shd w:val="clear" w:color="auto" w:fill="auto"/>
            <w:noWrap/>
            <w:vAlign w:val="bottom"/>
            <w:hideMark/>
          </w:tcPr>
          <w:p w:rsidR="00270E1D" w:rsidRPr="00F3309E" w:rsidRDefault="00270E1D" w:rsidP="00C40C8F">
            <w:pPr>
              <w:spacing w:after="0" w:line="240" w:lineRule="auto"/>
              <w:rPr>
                <w:rFonts w:ascii="Times New Roman" w:eastAsia="Times New Roman" w:hAnsi="Times New Roman" w:cs="Times New Roman"/>
                <w:color w:val="000000"/>
                <w:sz w:val="24"/>
                <w:szCs w:val="24"/>
              </w:rPr>
            </w:pPr>
          </w:p>
          <w:p w:rsidR="00270E1D" w:rsidRPr="00F3309E" w:rsidRDefault="00270E1D" w:rsidP="00C40C8F">
            <w:pPr>
              <w:spacing w:after="0" w:line="240" w:lineRule="auto"/>
              <w:rPr>
                <w:rFonts w:ascii="Times New Roman" w:eastAsia="Times New Roman" w:hAnsi="Times New Roman" w:cs="Times New Roman"/>
                <w:color w:val="000000"/>
                <w:sz w:val="24"/>
                <w:szCs w:val="24"/>
              </w:rPr>
            </w:pPr>
          </w:p>
          <w:p w:rsidR="00270E1D" w:rsidRPr="00F3309E" w:rsidRDefault="00270E1D" w:rsidP="00C40C8F">
            <w:pPr>
              <w:spacing w:after="0" w:line="240" w:lineRule="auto"/>
              <w:rPr>
                <w:rFonts w:ascii="Times New Roman" w:eastAsia="Times New Roman" w:hAnsi="Times New Roman" w:cs="Times New Roman"/>
                <w:color w:val="000000"/>
                <w:sz w:val="24"/>
                <w:szCs w:val="24"/>
              </w:rPr>
            </w:pPr>
          </w:p>
          <w:p w:rsidR="00270E1D" w:rsidRPr="00F3309E" w:rsidRDefault="00270E1D" w:rsidP="00C40C8F">
            <w:pPr>
              <w:spacing w:after="0" w:line="240" w:lineRule="auto"/>
              <w:rPr>
                <w:rFonts w:ascii="Times New Roman" w:eastAsia="Times New Roman" w:hAnsi="Times New Roman" w:cs="Times New Roman"/>
                <w:color w:val="000000"/>
                <w:sz w:val="24"/>
                <w:szCs w:val="24"/>
              </w:rPr>
            </w:pPr>
          </w:p>
          <w:p w:rsidR="00270E1D" w:rsidRPr="00F3309E" w:rsidRDefault="00270E1D" w:rsidP="00C40C8F">
            <w:pPr>
              <w:spacing w:after="0" w:line="240" w:lineRule="auto"/>
              <w:rPr>
                <w:rFonts w:ascii="Times New Roman" w:eastAsia="Times New Roman" w:hAnsi="Times New Roman" w:cs="Times New Roman"/>
                <w:color w:val="000000"/>
                <w:sz w:val="24"/>
                <w:szCs w:val="24"/>
              </w:rPr>
            </w:pPr>
          </w:p>
          <w:p w:rsidR="00270E1D" w:rsidRPr="00F3309E" w:rsidRDefault="00270E1D" w:rsidP="00C40C8F">
            <w:pPr>
              <w:spacing w:after="0" w:line="240" w:lineRule="auto"/>
              <w:rPr>
                <w:rFonts w:ascii="Times New Roman" w:eastAsia="Times New Roman" w:hAnsi="Times New Roman" w:cs="Times New Roman"/>
                <w:color w:val="000000"/>
                <w:sz w:val="24"/>
                <w:szCs w:val="24"/>
              </w:rPr>
            </w:pPr>
          </w:p>
          <w:p w:rsidR="00C40C8F" w:rsidRPr="00F3309E" w:rsidRDefault="00C40C8F" w:rsidP="00C40C8F">
            <w:pPr>
              <w:spacing w:after="0" w:line="240" w:lineRule="auto"/>
              <w:rPr>
                <w:rFonts w:ascii="Times New Roman" w:eastAsia="Times New Roman" w:hAnsi="Times New Roman" w:cs="Times New Roman"/>
                <w:b/>
                <w:color w:val="000000"/>
                <w:sz w:val="24"/>
                <w:szCs w:val="24"/>
              </w:rPr>
            </w:pPr>
            <w:r w:rsidRPr="00F3309E">
              <w:rPr>
                <w:rFonts w:ascii="Times New Roman" w:eastAsia="Times New Roman" w:hAnsi="Times New Roman" w:cs="Times New Roman"/>
                <w:b/>
                <w:color w:val="000000"/>
                <w:sz w:val="24"/>
                <w:szCs w:val="24"/>
              </w:rPr>
              <w:t>Recent Updates on Kalyan Jewellers India Ltd. (As of November 30, 2025)</w:t>
            </w:r>
          </w:p>
        </w:tc>
        <w:tc>
          <w:tcPr>
            <w:tcW w:w="161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7308"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61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7335" w:type="dxa"/>
            <w:gridSpan w:val="2"/>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b/>
                <w:color w:val="000000"/>
                <w:sz w:val="24"/>
                <w:szCs w:val="24"/>
              </w:rPr>
            </w:pPr>
            <w:r w:rsidRPr="00F3309E">
              <w:rPr>
                <w:rFonts w:ascii="Times New Roman" w:eastAsia="Times New Roman" w:hAnsi="Times New Roman" w:cs="Times New Roman"/>
                <w:b/>
                <w:color w:val="000000"/>
                <w:sz w:val="24"/>
                <w:szCs w:val="24"/>
              </w:rPr>
              <w:t>Financial &amp; Performance Highlights</w:t>
            </w: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61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26568" w:type="dxa"/>
            <w:gridSpan w:val="22"/>
            <w:tcBorders>
              <w:top w:val="nil"/>
              <w:left w:val="nil"/>
              <w:bottom w:val="nil"/>
              <w:right w:val="nil"/>
            </w:tcBorders>
            <w:shd w:val="clear" w:color="auto" w:fill="auto"/>
            <w:noWrap/>
            <w:vAlign w:val="bottom"/>
            <w:hideMark/>
          </w:tcPr>
          <w:p w:rsidR="00C40C8F" w:rsidRPr="00F3309E" w:rsidRDefault="00F3309E" w:rsidP="00C40C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40C8F" w:rsidRPr="00F3309E">
              <w:rPr>
                <w:rFonts w:ascii="Times New Roman" w:eastAsia="Times New Roman" w:hAnsi="Times New Roman" w:cs="Times New Roman"/>
                <w:color w:val="000000"/>
                <w:sz w:val="24"/>
                <w:szCs w:val="24"/>
              </w:rPr>
              <w:t>Q2 FY26 Res</w:t>
            </w:r>
            <w:r>
              <w:rPr>
                <w:rFonts w:ascii="Times New Roman" w:eastAsia="Times New Roman" w:hAnsi="Times New Roman" w:cs="Times New Roman"/>
                <w:color w:val="000000"/>
                <w:sz w:val="24"/>
                <w:szCs w:val="24"/>
              </w:rPr>
              <w:t>ults (Jul-Sep 2025)</w:t>
            </w:r>
            <w:r w:rsidR="00C40C8F" w:rsidRPr="00F3309E">
              <w:rPr>
                <w:rFonts w:ascii="Times New Roman" w:eastAsia="Times New Roman" w:hAnsi="Times New Roman" w:cs="Times New Roman"/>
                <w:color w:val="000000"/>
                <w:sz w:val="24"/>
                <w:szCs w:val="24"/>
              </w:rPr>
              <w:t xml:space="preserve">: Announced on November 7, consolidated revenue surged 30% YoY </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to ₹7,856 Cr, driven by festive/wedding demand (31% growth in India, 17% internationally). </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EBITDA jumped 56% to ₹497 Cr (6.3% margin), PAT nearly doubled to</w:t>
            </w:r>
          </w:p>
        </w:tc>
      </w:tr>
      <w:tr w:rsidR="00C40C8F" w:rsidRPr="00F3309E" w:rsidTr="00C40C8F">
        <w:trPr>
          <w:trHeight w:val="285"/>
        </w:trPr>
        <w:tc>
          <w:tcPr>
            <w:tcW w:w="26568" w:type="dxa"/>
            <w:gridSpan w:val="22"/>
            <w:tcBorders>
              <w:top w:val="nil"/>
              <w:left w:val="nil"/>
              <w:bottom w:val="nil"/>
              <w:right w:val="nil"/>
            </w:tcBorders>
            <w:shd w:val="clear" w:color="auto" w:fill="auto"/>
            <w:noWrap/>
            <w:vAlign w:val="bottom"/>
            <w:hideMark/>
          </w:tcPr>
          <w:p w:rsidR="00C40C8F" w:rsidRPr="00F3309E" w:rsidRDefault="00F3309E" w:rsidP="00C40C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40C8F" w:rsidRPr="00F3309E">
              <w:rPr>
                <w:rFonts w:ascii="Times New Roman" w:eastAsia="Times New Roman" w:hAnsi="Times New Roman" w:cs="Times New Roman"/>
                <w:color w:val="000000"/>
                <w:sz w:val="24"/>
                <w:szCs w:val="24"/>
              </w:rPr>
              <w:t>Stock Performance**: Shares trading at ~₹505 (up 1.8% on Nov 30), with 52-week range ₹</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210–₹795. YTD return +105%, but mildly bearish </w:t>
            </w:r>
            <w:r w:rsidR="00F3309E" w:rsidRPr="00F3309E">
              <w:rPr>
                <w:rFonts w:ascii="Times New Roman" w:eastAsia="Times New Roman" w:hAnsi="Times New Roman" w:cs="Times New Roman"/>
                <w:color w:val="000000"/>
                <w:sz w:val="24"/>
                <w:szCs w:val="24"/>
              </w:rPr>
              <w:t>technical’s</w:t>
            </w:r>
            <w:r w:rsidRPr="00F3309E">
              <w:rPr>
                <w:rFonts w:ascii="Times New Roman" w:eastAsia="Times New Roman" w:hAnsi="Times New Roman" w:cs="Times New Roman"/>
                <w:color w:val="000000"/>
                <w:sz w:val="24"/>
                <w:szCs w:val="24"/>
              </w:rPr>
              <w:t xml:space="preserve"> (Nov 26 close ₹497, down 35% YTD</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vs. Sensex +9.6%). Analysts (Motilal </w:t>
            </w:r>
            <w:r w:rsidR="00F3309E" w:rsidRPr="00F3309E">
              <w:rPr>
                <w:rFonts w:ascii="Times New Roman" w:eastAsia="Times New Roman" w:hAnsi="Times New Roman" w:cs="Times New Roman"/>
                <w:color w:val="000000"/>
                <w:sz w:val="24"/>
                <w:szCs w:val="24"/>
              </w:rPr>
              <w:t>Oswald</w:t>
            </w:r>
            <w:r w:rsidRPr="00F3309E">
              <w:rPr>
                <w:rFonts w:ascii="Times New Roman" w:eastAsia="Times New Roman" w:hAnsi="Times New Roman" w:cs="Times New Roman"/>
                <w:color w:val="000000"/>
                <w:sz w:val="24"/>
                <w:szCs w:val="24"/>
              </w:rPr>
              <w:t>) reiterate BUY with ₹675 target</w:t>
            </w:r>
          </w:p>
        </w:tc>
      </w:tr>
      <w:tr w:rsidR="00C40C8F" w:rsidRPr="00F3309E" w:rsidTr="00C40C8F">
        <w:trPr>
          <w:trHeight w:val="285"/>
        </w:trPr>
        <w:tc>
          <w:tcPr>
            <w:tcW w:w="18896" w:type="dxa"/>
            <w:gridSpan w:val="15"/>
            <w:tcBorders>
              <w:top w:val="nil"/>
              <w:left w:val="nil"/>
              <w:bottom w:val="nil"/>
              <w:right w:val="nil"/>
            </w:tcBorders>
            <w:shd w:val="clear" w:color="auto" w:fill="auto"/>
            <w:noWrap/>
            <w:vAlign w:val="bottom"/>
            <w:hideMark/>
          </w:tcPr>
          <w:p w:rsidR="00C40C8F" w:rsidRPr="00F3309E" w:rsidRDefault="00F3309E" w:rsidP="00C40C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40C8F" w:rsidRPr="00F3309E">
              <w:rPr>
                <w:rFonts w:ascii="Times New Roman" w:eastAsia="Times New Roman" w:hAnsi="Times New Roman" w:cs="Times New Roman"/>
                <w:color w:val="000000"/>
                <w:sz w:val="24"/>
                <w:szCs w:val="24"/>
              </w:rPr>
              <w:t xml:space="preserve">ESOP Amendment**: Board approved doubling Employee Stock Option Plan 2020 pool to 6 Mn </w:t>
            </w:r>
          </w:p>
          <w:p w:rsidR="00C40C8F" w:rsidRPr="00F3309E" w:rsidRDefault="007C4C47" w:rsidP="00C40C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options (from 3 </w:t>
            </w:r>
            <w:r w:rsidR="00C40C8F" w:rsidRPr="00F3309E">
              <w:rPr>
                <w:rFonts w:ascii="Times New Roman" w:eastAsia="Times New Roman" w:hAnsi="Times New Roman" w:cs="Times New Roman"/>
                <w:color w:val="000000"/>
                <w:sz w:val="24"/>
                <w:szCs w:val="24"/>
              </w:rPr>
              <w:t>Mn), pending shareholder nod, to aid talent retention amid expansion.</w:t>
            </w: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7308"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61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7335" w:type="dxa"/>
            <w:gridSpan w:val="2"/>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b/>
                <w:color w:val="000000"/>
                <w:sz w:val="24"/>
                <w:szCs w:val="24"/>
              </w:rPr>
            </w:pPr>
            <w:r w:rsidRPr="00F3309E">
              <w:rPr>
                <w:rFonts w:ascii="Times New Roman" w:eastAsia="Times New Roman" w:hAnsi="Times New Roman" w:cs="Times New Roman"/>
                <w:b/>
                <w:color w:val="000000"/>
                <w:sz w:val="24"/>
                <w:szCs w:val="24"/>
              </w:rPr>
              <w:t>Business &amp; Strategic Developments</w:t>
            </w: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61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26568" w:type="dxa"/>
            <w:gridSpan w:val="22"/>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r w:rsidR="00F3309E">
              <w:rPr>
                <w:rFonts w:ascii="Times New Roman" w:eastAsia="Times New Roman" w:hAnsi="Times New Roman" w:cs="Times New Roman"/>
                <w:color w:val="000000"/>
                <w:sz w:val="24"/>
                <w:szCs w:val="24"/>
              </w:rPr>
              <w:t xml:space="preserve"> Expansion Push</w:t>
            </w:r>
            <w:r w:rsidRPr="00F3309E">
              <w:rPr>
                <w:rFonts w:ascii="Times New Roman" w:eastAsia="Times New Roman" w:hAnsi="Times New Roman" w:cs="Times New Roman"/>
                <w:color w:val="000000"/>
                <w:sz w:val="24"/>
                <w:szCs w:val="24"/>
              </w:rPr>
              <w:t xml:space="preserve">: Added 30 showrooms in Q2 (15 Kalyan, 15 Candere in India; 2 </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Kalyan in Middle East).</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Total: 300 Kalyan (174 FOCO) + 96 Candere (54 FOCO) in India; 38 Kalyan (4 FOCO) in Middle East + 2 </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in USA. Candere sales up 9x to ₹160 Cr in FY25, </w:t>
            </w:r>
          </w:p>
        </w:tc>
      </w:tr>
      <w:tr w:rsidR="00C40C8F" w:rsidRPr="00F3309E" w:rsidTr="00C40C8F">
        <w:trPr>
          <w:trHeight w:val="285"/>
        </w:trPr>
        <w:tc>
          <w:tcPr>
            <w:tcW w:w="24376" w:type="dxa"/>
            <w:gridSpan w:val="20"/>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**Market Sentiment**: Wedding season buzz positions Kalyan as top pick alongside Titan/Nykaa; </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X chatter highlights breakout potential (targets ₹580–₹785, SL ₹424). ROE hit 25% in FY25, with </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cash balance sheet (₹-205 Cr net debt TTM).</w:t>
            </w: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26568" w:type="dxa"/>
            <w:gridSpan w:val="22"/>
            <w:tcBorders>
              <w:top w:val="nil"/>
              <w:left w:val="nil"/>
              <w:bottom w:val="nil"/>
              <w:right w:val="nil"/>
            </w:tcBorders>
            <w:shd w:val="clear" w:color="auto" w:fill="auto"/>
            <w:noWrap/>
            <w:vAlign w:val="bottom"/>
            <w:hideMark/>
          </w:tcPr>
          <w:p w:rsidR="00C40C8F" w:rsidRPr="00F3309E" w:rsidRDefault="00F3309E" w:rsidP="00C40C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Founder Spotlight</w:t>
            </w:r>
            <w:r w:rsidR="00C40C8F" w:rsidRPr="00F3309E">
              <w:rPr>
                <w:rFonts w:ascii="Times New Roman" w:eastAsia="Times New Roman" w:hAnsi="Times New Roman" w:cs="Times New Roman"/>
                <w:color w:val="000000"/>
                <w:sz w:val="24"/>
                <w:szCs w:val="24"/>
              </w:rPr>
              <w:t xml:space="preserve">: Forbes Asia (Nov 2025 issue) profiles T.S. Kalyanaraman (net worth ~$2.5 Bn) </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on booming wedding jewelry amid gold price surge; Chennai flagship buzzes with expat/urban buyers,</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emphasizing premiumization (e.g., Art Nouveau collecti</w:t>
            </w:r>
            <w:r w:rsidR="00F3309E">
              <w:rPr>
                <w:rFonts w:ascii="Times New Roman" w:eastAsia="Times New Roman" w:hAnsi="Times New Roman" w:cs="Times New Roman"/>
                <w:color w:val="000000"/>
                <w:sz w:val="24"/>
                <w:szCs w:val="24"/>
              </w:rPr>
              <w:t>on</w:t>
            </w:r>
          </w:p>
        </w:tc>
      </w:tr>
      <w:tr w:rsidR="00C40C8F" w:rsidRPr="00F3309E" w:rsidTr="00C40C8F">
        <w:trPr>
          <w:trHeight w:val="285"/>
        </w:trPr>
        <w:tc>
          <w:tcPr>
            <w:tcW w:w="7308"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61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7308"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b/>
                <w:color w:val="000000"/>
                <w:sz w:val="24"/>
                <w:szCs w:val="24"/>
              </w:rPr>
            </w:pPr>
            <w:r w:rsidRPr="00F3309E">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b/>
                <w:color w:val="000000"/>
                <w:sz w:val="24"/>
                <w:szCs w:val="24"/>
              </w:rPr>
              <w:t>Outlook &amp; Risks</w:t>
            </w: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61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285"/>
        </w:trPr>
        <w:tc>
          <w:tcPr>
            <w:tcW w:w="26568" w:type="dxa"/>
            <w:gridSpan w:val="22"/>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Strong festive tailwinds + 500+ stores/e-commerce push eye 30%+ CAGR, but gold </w:t>
            </w:r>
          </w:p>
          <w:p w:rsidR="00C40C8F" w:rsidRPr="00F3309E" w:rsidRDefault="00AE28A0"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Volatility/competition</w:t>
            </w:r>
            <w:r w:rsidR="00C40C8F" w:rsidRPr="00F3309E">
              <w:rPr>
                <w:rFonts w:ascii="Times New Roman" w:eastAsia="Times New Roman" w:hAnsi="Times New Roman" w:cs="Times New Roman"/>
                <w:color w:val="000000"/>
                <w:sz w:val="24"/>
                <w:szCs w:val="24"/>
              </w:rPr>
              <w:t xml:space="preserve"> (Titan) loom. Consensus: Strong BUY, 15–23% upside to ₹440–₹480</w:t>
            </w:r>
          </w:p>
          <w:p w:rsidR="00C40C8F" w:rsidRPr="00F3309E" w:rsidRDefault="00C40C8F" w:rsidP="00C40C8F">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(wait, update to ₹675 per MO). Market cap ~₹52,100 Cr; EV ₹51,800 Cr (net cash adjusted).</w:t>
            </w:r>
          </w:p>
        </w:tc>
      </w:tr>
      <w:tr w:rsidR="00C40C8F" w:rsidRPr="00F3309E" w:rsidTr="00C40C8F">
        <w:trPr>
          <w:trHeight w:val="285"/>
        </w:trPr>
        <w:tc>
          <w:tcPr>
            <w:tcW w:w="7308"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27"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61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r w:rsidR="00C40C8F" w:rsidRPr="00F3309E" w:rsidTr="00C40C8F">
        <w:trPr>
          <w:trHeight w:val="300"/>
        </w:trPr>
        <w:tc>
          <w:tcPr>
            <w:tcW w:w="25472" w:type="dxa"/>
            <w:gridSpan w:val="21"/>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xml:space="preserve">Sources: Screener.in, The Valuation School, Yahoo Finance, Investing.com, </w:t>
            </w:r>
            <w:hyperlink r:id="rId12" w:history="1">
              <w:r w:rsidRPr="00F3309E">
                <w:rPr>
                  <w:rStyle w:val="Hyperlink"/>
                  <w:rFonts w:ascii="Times New Roman" w:eastAsia="Times New Roman" w:hAnsi="Times New Roman" w:cs="Times New Roman"/>
                  <w:b/>
                  <w:bCs/>
                  <w:sz w:val="24"/>
                  <w:szCs w:val="24"/>
                </w:rPr>
                <w:t>www.nseindia.com</w:t>
              </w:r>
            </w:hyperlink>
            <w:r w:rsidRPr="00F3309E">
              <w:rPr>
                <w:rFonts w:ascii="Times New Roman" w:eastAsia="Times New Roman" w:hAnsi="Times New Roman" w:cs="Times New Roman"/>
                <w:b/>
                <w:bCs/>
                <w:color w:val="000000"/>
                <w:sz w:val="24"/>
                <w:szCs w:val="24"/>
              </w:rPr>
              <w:t xml:space="preserve">, </w:t>
            </w:r>
          </w:p>
          <w:p w:rsidR="00F3309E" w:rsidRDefault="00C40C8F" w:rsidP="00C40C8F">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Hindustan Uniliver Annual Report, www.hul.co.in, Wikipedia, Moneycontrol, Tickertape,</w:t>
            </w:r>
          </w:p>
          <w:p w:rsidR="00C40C8F" w:rsidRPr="00F3309E" w:rsidRDefault="00C40C8F" w:rsidP="00C40C8F">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xml:space="preserve"> EquityMaster, Quartr, https://www.hul.co.in/investors</w:t>
            </w:r>
          </w:p>
        </w:tc>
        <w:tc>
          <w:tcPr>
            <w:tcW w:w="1096" w:type="dxa"/>
            <w:tcBorders>
              <w:top w:val="nil"/>
              <w:left w:val="nil"/>
              <w:bottom w:val="nil"/>
              <w:right w:val="nil"/>
            </w:tcBorders>
            <w:shd w:val="clear" w:color="auto" w:fill="auto"/>
            <w:noWrap/>
            <w:vAlign w:val="bottom"/>
            <w:hideMark/>
          </w:tcPr>
          <w:p w:rsidR="00C40C8F" w:rsidRPr="00F3309E" w:rsidRDefault="00C40C8F" w:rsidP="00C40C8F">
            <w:pPr>
              <w:spacing w:after="0" w:line="240" w:lineRule="auto"/>
              <w:rPr>
                <w:rFonts w:ascii="Times New Roman" w:eastAsia="Times New Roman" w:hAnsi="Times New Roman" w:cs="Times New Roman"/>
                <w:color w:val="000000"/>
                <w:sz w:val="24"/>
                <w:szCs w:val="24"/>
              </w:rPr>
            </w:pPr>
          </w:p>
        </w:tc>
      </w:tr>
    </w:tbl>
    <w:p w:rsidR="00B2353C" w:rsidRPr="00F3309E" w:rsidRDefault="00B2353C" w:rsidP="00D72D5E">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 xml:space="preserve">                                             </w:t>
      </w:r>
    </w:p>
    <w:p w:rsidR="00B2353C" w:rsidRPr="00F3309E" w:rsidRDefault="00B2353C" w:rsidP="00D72D5E">
      <w:pPr>
        <w:spacing w:before="100" w:beforeAutospacing="1" w:after="100" w:afterAutospacing="1" w:line="240" w:lineRule="auto"/>
        <w:outlineLvl w:val="2"/>
        <w:rPr>
          <w:rFonts w:ascii="Times New Roman" w:eastAsia="Times New Roman" w:hAnsi="Times New Roman" w:cs="Times New Roman"/>
          <w:b/>
          <w:bCs/>
          <w:sz w:val="24"/>
          <w:szCs w:val="24"/>
        </w:rPr>
      </w:pPr>
    </w:p>
    <w:p w:rsidR="00B2353C" w:rsidRPr="00F3309E" w:rsidRDefault="00B2353C" w:rsidP="00D72D5E">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 xml:space="preserve">                                                                  </w:t>
      </w:r>
    </w:p>
    <w:p w:rsidR="00B2353C" w:rsidRPr="00F3309E" w:rsidRDefault="00B2353C" w:rsidP="00D72D5E">
      <w:pPr>
        <w:spacing w:before="100" w:beforeAutospacing="1" w:after="100" w:afterAutospacing="1" w:line="240" w:lineRule="auto"/>
        <w:outlineLvl w:val="2"/>
        <w:rPr>
          <w:rFonts w:ascii="Times New Roman" w:eastAsia="Times New Roman" w:hAnsi="Times New Roman" w:cs="Times New Roman"/>
          <w:b/>
          <w:bCs/>
          <w:sz w:val="24"/>
          <w:szCs w:val="24"/>
        </w:rPr>
      </w:pPr>
    </w:p>
    <w:p w:rsidR="00270E1D" w:rsidRPr="00F3309E" w:rsidRDefault="00270E1D" w:rsidP="00D72D5E">
      <w:pPr>
        <w:spacing w:before="100" w:beforeAutospacing="1" w:after="100" w:afterAutospacing="1" w:line="240" w:lineRule="auto"/>
        <w:outlineLvl w:val="2"/>
        <w:rPr>
          <w:rFonts w:ascii="Times New Roman" w:eastAsia="Times New Roman" w:hAnsi="Times New Roman" w:cs="Times New Roman"/>
          <w:b/>
          <w:bCs/>
          <w:sz w:val="24"/>
          <w:szCs w:val="24"/>
        </w:rPr>
      </w:pPr>
    </w:p>
    <w:p w:rsidR="00D72D5E" w:rsidRPr="007C4C47" w:rsidRDefault="00D72D5E" w:rsidP="00D72D5E">
      <w:pPr>
        <w:spacing w:before="100" w:beforeAutospacing="1" w:after="100" w:afterAutospacing="1" w:line="240" w:lineRule="auto"/>
        <w:outlineLvl w:val="2"/>
        <w:rPr>
          <w:rFonts w:ascii="Times New Roman" w:eastAsia="Times New Roman" w:hAnsi="Times New Roman" w:cs="Times New Roman"/>
          <w:b/>
          <w:bCs/>
          <w:sz w:val="24"/>
          <w:szCs w:val="24"/>
        </w:rPr>
      </w:pPr>
      <w:r w:rsidRPr="007C4C47">
        <w:rPr>
          <w:rFonts w:ascii="Times New Roman" w:eastAsia="Times New Roman" w:hAnsi="Times New Roman" w:cs="Times New Roman"/>
          <w:b/>
          <w:bCs/>
          <w:sz w:val="24"/>
          <w:szCs w:val="24"/>
        </w:rPr>
        <w:lastRenderedPageBreak/>
        <w:t>1. Executive Summary</w:t>
      </w:r>
    </w:p>
    <w:p w:rsidR="00D72D5E" w:rsidRPr="00F3309E" w:rsidRDefault="00D72D5E" w:rsidP="00C40C8F">
      <w:p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Kalyan Jewellers is uniquely positioned to capture the ongoing organised-shift in India’s ₹6–7 lakh crore jewellery </w:t>
      </w:r>
      <w:r w:rsidR="00AE28A0" w:rsidRPr="00F3309E">
        <w:rPr>
          <w:rFonts w:ascii="Times New Roman" w:eastAsia="Times New Roman" w:hAnsi="Times New Roman" w:cs="Times New Roman"/>
          <w:sz w:val="24"/>
          <w:szCs w:val="24"/>
        </w:rPr>
        <w:t>markets</w:t>
      </w:r>
      <w:r w:rsidRPr="00F3309E">
        <w:rPr>
          <w:rFonts w:ascii="Times New Roman" w:eastAsia="Times New Roman" w:hAnsi="Times New Roman" w:cs="Times New Roman"/>
          <w:sz w:val="24"/>
          <w:szCs w:val="24"/>
        </w:rPr>
        <w:t xml:space="preserve">. The company is transitioning from a capital-intensive, inventory-heavy model to a </w:t>
      </w:r>
      <w:r w:rsidRPr="00F3309E">
        <w:rPr>
          <w:rFonts w:ascii="Times New Roman" w:eastAsia="Times New Roman" w:hAnsi="Times New Roman" w:cs="Times New Roman"/>
          <w:b/>
          <w:bCs/>
          <w:sz w:val="24"/>
          <w:szCs w:val="24"/>
        </w:rPr>
        <w:t>franchise-led, asset-light, high-margin cash compounder</w:t>
      </w:r>
      <w:r w:rsidRPr="00F3309E">
        <w:rPr>
          <w:rFonts w:ascii="Times New Roman" w:eastAsia="Times New Roman" w:hAnsi="Times New Roman" w:cs="Times New Roman"/>
          <w:sz w:val="24"/>
          <w:szCs w:val="24"/>
        </w:rPr>
        <w:t>.</w:t>
      </w:r>
    </w:p>
    <w:p w:rsidR="00D72D5E" w:rsidRPr="00F3309E" w:rsidRDefault="00384241" w:rsidP="00384241">
      <w:pPr>
        <w:pStyle w:val="NormalWeb"/>
        <w:rPr>
          <w:b/>
        </w:rPr>
      </w:pPr>
      <w:r w:rsidRPr="00F3309E">
        <w:rPr>
          <w:b/>
        </w:rPr>
        <w:t>Business Drivers &amp; Revenue Assumptions</w:t>
      </w:r>
    </w:p>
    <w:tbl>
      <w:tblPr>
        <w:tblW w:w="10280" w:type="dxa"/>
        <w:tblInd w:w="93" w:type="dxa"/>
        <w:tblLook w:val="04A0"/>
      </w:tblPr>
      <w:tblGrid>
        <w:gridCol w:w="1900"/>
        <w:gridCol w:w="1900"/>
        <w:gridCol w:w="1900"/>
        <w:gridCol w:w="1900"/>
        <w:gridCol w:w="2680"/>
      </w:tblGrid>
      <w:tr w:rsidR="00D72D5E" w:rsidRPr="00F3309E" w:rsidTr="00D72D5E">
        <w:trPr>
          <w:trHeight w:val="300"/>
        </w:trPr>
        <w:tc>
          <w:tcPr>
            <w:tcW w:w="1900" w:type="dxa"/>
            <w:tcBorders>
              <w:top w:val="nil"/>
              <w:left w:val="nil"/>
              <w:bottom w:val="nil"/>
              <w:right w:val="nil"/>
            </w:tcBorders>
            <w:shd w:val="clear" w:color="000000" w:fill="0070C0"/>
            <w:vAlign w:val="center"/>
            <w:hideMark/>
          </w:tcPr>
          <w:p w:rsidR="00D72D5E" w:rsidRPr="00F3309E" w:rsidRDefault="00D72D5E" w:rsidP="00D72D5E">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Item</w:t>
            </w:r>
          </w:p>
        </w:tc>
        <w:tc>
          <w:tcPr>
            <w:tcW w:w="1900" w:type="dxa"/>
            <w:tcBorders>
              <w:top w:val="nil"/>
              <w:left w:val="nil"/>
              <w:bottom w:val="nil"/>
              <w:right w:val="nil"/>
            </w:tcBorders>
            <w:shd w:val="clear" w:color="000000" w:fill="0070C0"/>
            <w:vAlign w:val="center"/>
            <w:hideMark/>
          </w:tcPr>
          <w:p w:rsidR="00D72D5E" w:rsidRPr="00F3309E" w:rsidRDefault="00D72D5E" w:rsidP="00D72D5E">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1900" w:type="dxa"/>
            <w:tcBorders>
              <w:top w:val="nil"/>
              <w:left w:val="nil"/>
              <w:bottom w:val="nil"/>
              <w:right w:val="nil"/>
            </w:tcBorders>
            <w:shd w:val="clear" w:color="000000" w:fill="0070C0"/>
            <w:vAlign w:val="center"/>
            <w:hideMark/>
          </w:tcPr>
          <w:p w:rsidR="00D72D5E" w:rsidRPr="00F3309E" w:rsidRDefault="00D72D5E" w:rsidP="00D72D5E">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1900" w:type="dxa"/>
            <w:tcBorders>
              <w:top w:val="nil"/>
              <w:left w:val="nil"/>
              <w:bottom w:val="nil"/>
              <w:right w:val="nil"/>
            </w:tcBorders>
            <w:shd w:val="clear" w:color="000000" w:fill="0070C0"/>
            <w:vAlign w:val="center"/>
            <w:hideMark/>
          </w:tcPr>
          <w:p w:rsidR="00D72D5E" w:rsidRPr="00F3309E" w:rsidRDefault="00D72D5E" w:rsidP="00D72D5E">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c>
          <w:tcPr>
            <w:tcW w:w="2680" w:type="dxa"/>
            <w:tcBorders>
              <w:top w:val="nil"/>
              <w:left w:val="nil"/>
              <w:bottom w:val="nil"/>
              <w:right w:val="nil"/>
            </w:tcBorders>
            <w:shd w:val="clear" w:color="000000" w:fill="0070C0"/>
            <w:vAlign w:val="center"/>
            <w:hideMark/>
          </w:tcPr>
          <w:p w:rsidR="00D72D5E" w:rsidRPr="00F3309E" w:rsidRDefault="00D72D5E" w:rsidP="00D72D5E">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CAGR/Trend</w:t>
            </w:r>
          </w:p>
        </w:tc>
      </w:tr>
      <w:tr w:rsidR="00D72D5E" w:rsidRPr="00F3309E" w:rsidTr="00D72D5E">
        <w:trPr>
          <w:trHeight w:val="570"/>
        </w:trPr>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Gold jewellery volume (tonnes)</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15.7</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35.6</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57.6</w:t>
            </w:r>
          </w:p>
        </w:tc>
        <w:tc>
          <w:tcPr>
            <w:tcW w:w="268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+15 % volume CAGR</w:t>
            </w:r>
          </w:p>
        </w:tc>
      </w:tr>
      <w:tr w:rsidR="00D72D5E" w:rsidRPr="00F3309E" w:rsidTr="00D72D5E">
        <w:trPr>
          <w:trHeight w:val="570"/>
        </w:trPr>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Avg. gold price (₹/10g)</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48,000</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62,000</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85,260</w:t>
            </w:r>
          </w:p>
        </w:tc>
        <w:tc>
          <w:tcPr>
            <w:tcW w:w="268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+4 % long-term inflation</w:t>
            </w:r>
          </w:p>
        </w:tc>
      </w:tr>
      <w:tr w:rsidR="00D72D5E" w:rsidRPr="00F3309E" w:rsidTr="00D72D5E">
        <w:trPr>
          <w:trHeight w:val="570"/>
        </w:trPr>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Making charge (₹/gram)</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1,029</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2,900</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4,391</w:t>
            </w:r>
          </w:p>
        </w:tc>
        <w:tc>
          <w:tcPr>
            <w:tcW w:w="268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 driven by premiumisation</w:t>
            </w:r>
          </w:p>
        </w:tc>
      </w:tr>
      <w:tr w:rsidR="00D72D5E" w:rsidRPr="00F3309E" w:rsidTr="00D72D5E">
        <w:trPr>
          <w:trHeight w:val="570"/>
        </w:trPr>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Total realisation (₹/gram)</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5,829</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9,100</w:t>
            </w:r>
          </w:p>
        </w:tc>
        <w:tc>
          <w:tcPr>
            <w:tcW w:w="190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12,917</w:t>
            </w:r>
          </w:p>
        </w:tc>
        <w:tc>
          <w:tcPr>
            <w:tcW w:w="2680" w:type="dxa"/>
            <w:tcBorders>
              <w:top w:val="nil"/>
              <w:left w:val="nil"/>
              <w:bottom w:val="nil"/>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9 % CAGR</w:t>
            </w:r>
          </w:p>
        </w:tc>
      </w:tr>
      <w:tr w:rsidR="00D72D5E" w:rsidRPr="00F3309E" w:rsidTr="00D72D5E">
        <w:trPr>
          <w:trHeight w:val="315"/>
        </w:trPr>
        <w:tc>
          <w:tcPr>
            <w:tcW w:w="1900" w:type="dxa"/>
            <w:tcBorders>
              <w:top w:val="single" w:sz="4" w:space="0" w:color="auto"/>
              <w:left w:val="nil"/>
              <w:bottom w:val="double" w:sz="6" w:space="0" w:color="auto"/>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Revenue (₹ Cr)</w:t>
            </w:r>
          </w:p>
        </w:tc>
        <w:tc>
          <w:tcPr>
            <w:tcW w:w="1900" w:type="dxa"/>
            <w:tcBorders>
              <w:top w:val="single" w:sz="4" w:space="0" w:color="auto"/>
              <w:left w:val="nil"/>
              <w:bottom w:val="double" w:sz="6" w:space="0" w:color="auto"/>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8,573</w:t>
            </w:r>
          </w:p>
        </w:tc>
        <w:tc>
          <w:tcPr>
            <w:tcW w:w="1900" w:type="dxa"/>
            <w:tcBorders>
              <w:top w:val="single" w:sz="4" w:space="0" w:color="auto"/>
              <w:left w:val="nil"/>
              <w:bottom w:val="double" w:sz="6" w:space="0" w:color="auto"/>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25,045</w:t>
            </w:r>
          </w:p>
        </w:tc>
        <w:tc>
          <w:tcPr>
            <w:tcW w:w="1900" w:type="dxa"/>
            <w:tcBorders>
              <w:top w:val="single" w:sz="4" w:space="0" w:color="auto"/>
              <w:left w:val="nil"/>
              <w:bottom w:val="double" w:sz="6" w:space="0" w:color="auto"/>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40,763</w:t>
            </w:r>
          </w:p>
        </w:tc>
        <w:tc>
          <w:tcPr>
            <w:tcW w:w="2680" w:type="dxa"/>
            <w:tcBorders>
              <w:top w:val="single" w:sz="4" w:space="0" w:color="auto"/>
              <w:left w:val="nil"/>
              <w:bottom w:val="double" w:sz="6" w:space="0" w:color="auto"/>
              <w:right w:val="nil"/>
            </w:tcBorders>
            <w:shd w:val="clear" w:color="auto" w:fill="auto"/>
            <w:vAlign w:val="bottom"/>
            <w:hideMark/>
          </w:tcPr>
          <w:p w:rsidR="00D72D5E" w:rsidRPr="00F3309E" w:rsidRDefault="00D72D5E" w:rsidP="00D72D5E">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19 % CAGR FY21–30</w:t>
            </w:r>
          </w:p>
        </w:tc>
      </w:tr>
    </w:tbl>
    <w:p w:rsidR="00D72D5E" w:rsidRPr="00F3309E" w:rsidRDefault="00D72D5E">
      <w:pPr>
        <w:rPr>
          <w:rFonts w:ascii="Times New Roman" w:hAnsi="Times New Roman" w:cs="Times New Roman"/>
          <w:sz w:val="24"/>
          <w:szCs w:val="24"/>
        </w:rPr>
      </w:pPr>
    </w:p>
    <w:p w:rsidR="007C4C47" w:rsidRPr="00F3309E" w:rsidRDefault="00C94757" w:rsidP="00C94757">
      <w:pPr>
        <w:pStyle w:val="NormalWeb"/>
      </w:pPr>
      <w:r w:rsidRPr="007C4C47">
        <w:rPr>
          <w:b/>
        </w:rPr>
        <w:t>Revenue Drivers</w:t>
      </w:r>
      <w:r w:rsidRPr="007C4C47">
        <w:rPr>
          <w:sz w:val="28"/>
          <w:szCs w:val="28"/>
        </w:rPr>
        <w:t>:</w:t>
      </w:r>
      <w:r w:rsidRPr="00F3309E">
        <w:t xml:space="preserve"> Gold jewelry volume grows aggressively (e.g., 42% YoY in FY25 due to post-COVID rebound), tapering to 4–5% long-term, reflecting India's organized jewelry market maturity (population growth + wallet share gains from unorganized players). Average gold price inflates at 4% annually (conservative vs. historical 10–20%), while making charges rise faster (up to 35% YoY initially), boosting realizations from ₹5,829/gram (FY21) to ₹12,917/gram (FY30)</w:t>
      </w:r>
      <w:r w:rsidR="007C4C47">
        <w:t>.</w:t>
      </w:r>
    </w:p>
    <w:p w:rsidR="00384241" w:rsidRPr="00F3309E" w:rsidRDefault="00896333" w:rsidP="00384241">
      <w:pPr>
        <w:pStyle w:val="NormalWeb"/>
      </w:pPr>
      <w:r w:rsidRPr="00F3309E">
        <w:rPr>
          <w:noProof/>
        </w:rPr>
        <w:drawing>
          <wp:inline distT="0" distB="0" distL="0" distR="0">
            <wp:extent cx="5943600" cy="3302000"/>
            <wp:effectExtent l="19050" t="0" r="0" b="0"/>
            <wp:docPr id="34" name="Picture 33" descr="char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4).png"/>
                    <pic:cNvPicPr/>
                  </pic:nvPicPr>
                  <pic:blipFill>
                    <a:blip r:embed="rId13"/>
                    <a:stretch>
                      <a:fillRect/>
                    </a:stretch>
                  </pic:blipFill>
                  <pic:spPr>
                    <a:xfrm>
                      <a:off x="0" y="0"/>
                      <a:ext cx="5943600" cy="3302000"/>
                    </a:xfrm>
                    <a:prstGeom prst="rect">
                      <a:avLst/>
                    </a:prstGeom>
                  </pic:spPr>
                </pic:pic>
              </a:graphicData>
            </a:graphic>
          </wp:inline>
        </w:drawing>
      </w:r>
    </w:p>
    <w:p w:rsidR="00384241" w:rsidRPr="00F3309E" w:rsidRDefault="00384241" w:rsidP="00384241">
      <w:pPr>
        <w:pStyle w:val="NormalWeb"/>
        <w:rPr>
          <w:b/>
        </w:rPr>
      </w:pPr>
      <w:r w:rsidRPr="00F3309E">
        <w:rPr>
          <w:b/>
        </w:rPr>
        <w:lastRenderedPageBreak/>
        <w:t>Margin Expansion Story – The Core Bull Case</w:t>
      </w:r>
    </w:p>
    <w:tbl>
      <w:tblPr>
        <w:tblW w:w="10660" w:type="dxa"/>
        <w:tblInd w:w="93" w:type="dxa"/>
        <w:tblLook w:val="04A0"/>
      </w:tblPr>
      <w:tblGrid>
        <w:gridCol w:w="1900"/>
        <w:gridCol w:w="1900"/>
        <w:gridCol w:w="1900"/>
        <w:gridCol w:w="1900"/>
        <w:gridCol w:w="3060"/>
      </w:tblGrid>
      <w:tr w:rsidR="00384241" w:rsidRPr="00F3309E" w:rsidTr="00384241">
        <w:trPr>
          <w:trHeight w:val="330"/>
        </w:trPr>
        <w:tc>
          <w:tcPr>
            <w:tcW w:w="1900" w:type="dxa"/>
            <w:tcBorders>
              <w:top w:val="nil"/>
              <w:left w:val="nil"/>
              <w:bottom w:val="nil"/>
              <w:right w:val="nil"/>
            </w:tcBorders>
            <w:shd w:val="clear" w:color="000000" w:fill="0070C0"/>
            <w:vAlign w:val="center"/>
            <w:hideMark/>
          </w:tcPr>
          <w:p w:rsidR="00384241" w:rsidRPr="00F3309E" w:rsidRDefault="00384241" w:rsidP="0038424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Item (% of Revenue)</w:t>
            </w:r>
          </w:p>
        </w:tc>
        <w:tc>
          <w:tcPr>
            <w:tcW w:w="1900" w:type="dxa"/>
            <w:tcBorders>
              <w:top w:val="nil"/>
              <w:left w:val="nil"/>
              <w:bottom w:val="nil"/>
              <w:right w:val="nil"/>
            </w:tcBorders>
            <w:shd w:val="clear" w:color="000000" w:fill="0070C0"/>
            <w:vAlign w:val="center"/>
            <w:hideMark/>
          </w:tcPr>
          <w:p w:rsidR="00384241" w:rsidRPr="00F3309E" w:rsidRDefault="00384241" w:rsidP="0038424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1900" w:type="dxa"/>
            <w:tcBorders>
              <w:top w:val="nil"/>
              <w:left w:val="nil"/>
              <w:bottom w:val="nil"/>
              <w:right w:val="nil"/>
            </w:tcBorders>
            <w:shd w:val="clear" w:color="000000" w:fill="0070C0"/>
            <w:vAlign w:val="center"/>
            <w:hideMark/>
          </w:tcPr>
          <w:p w:rsidR="00384241" w:rsidRPr="00F3309E" w:rsidRDefault="00384241" w:rsidP="0038424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1900" w:type="dxa"/>
            <w:tcBorders>
              <w:top w:val="nil"/>
              <w:left w:val="nil"/>
              <w:bottom w:val="nil"/>
              <w:right w:val="nil"/>
            </w:tcBorders>
            <w:shd w:val="clear" w:color="000000" w:fill="0070C0"/>
            <w:vAlign w:val="center"/>
            <w:hideMark/>
          </w:tcPr>
          <w:p w:rsidR="00384241" w:rsidRPr="00F3309E" w:rsidRDefault="00384241" w:rsidP="0038424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c>
          <w:tcPr>
            <w:tcW w:w="3060" w:type="dxa"/>
            <w:tcBorders>
              <w:top w:val="nil"/>
              <w:left w:val="nil"/>
              <w:bottom w:val="nil"/>
              <w:right w:val="nil"/>
            </w:tcBorders>
            <w:shd w:val="clear" w:color="000000" w:fill="0070C0"/>
            <w:vAlign w:val="center"/>
            <w:hideMark/>
          </w:tcPr>
          <w:p w:rsidR="00384241" w:rsidRPr="00F3309E" w:rsidRDefault="00384241" w:rsidP="0038424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Key Driver</w:t>
            </w:r>
          </w:p>
        </w:tc>
      </w:tr>
      <w:tr w:rsidR="00384241" w:rsidRPr="00F3309E" w:rsidTr="00384241">
        <w:trPr>
          <w:trHeight w:val="855"/>
        </w:trPr>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Raw material cost</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76.30%</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p>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p>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34.60%</w:t>
            </w:r>
          </w:p>
        </w:tc>
        <w:tc>
          <w:tcPr>
            <w:tcW w:w="306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Studded ratio ↑ + making-charge ↑ + inventory gains</w:t>
            </w:r>
          </w:p>
        </w:tc>
      </w:tr>
      <w:tr w:rsidR="00384241" w:rsidRPr="00F3309E" w:rsidTr="00384241">
        <w:trPr>
          <w:trHeight w:val="570"/>
        </w:trPr>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Manufacturing expenses</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0.90%</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0.90%</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0.50%</w:t>
            </w:r>
          </w:p>
        </w:tc>
        <w:tc>
          <w:tcPr>
            <w:tcW w:w="306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Automation &amp; third-party karigars</w:t>
            </w:r>
          </w:p>
        </w:tc>
      </w:tr>
      <w:tr w:rsidR="00384241" w:rsidRPr="00F3309E" w:rsidTr="00384241">
        <w:trPr>
          <w:trHeight w:val="570"/>
        </w:trPr>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Employee cost (non-mfg)</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3.10%</w:t>
            </w:r>
          </w:p>
        </w:tc>
        <w:tc>
          <w:tcPr>
            <w:tcW w:w="306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Corporate scaling offset by revenue growth</w:t>
            </w:r>
          </w:p>
        </w:tc>
      </w:tr>
      <w:tr w:rsidR="00384241" w:rsidRPr="00F3309E" w:rsidTr="00384241">
        <w:trPr>
          <w:trHeight w:val="570"/>
        </w:trPr>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Rent + Marketing + Others</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190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3060" w:type="dxa"/>
            <w:tcBorders>
              <w:top w:val="nil"/>
              <w:left w:val="nil"/>
              <w:bottom w:val="nil"/>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Franchise (FOCO) model dramatically reduces rent</w:t>
            </w:r>
          </w:p>
        </w:tc>
      </w:tr>
      <w:tr w:rsidR="00384241" w:rsidRPr="00F3309E" w:rsidTr="00384241">
        <w:trPr>
          <w:trHeight w:val="915"/>
        </w:trPr>
        <w:tc>
          <w:tcPr>
            <w:tcW w:w="1900" w:type="dxa"/>
            <w:tcBorders>
              <w:top w:val="single" w:sz="4" w:space="0" w:color="auto"/>
              <w:left w:val="nil"/>
              <w:bottom w:val="double" w:sz="6" w:space="0" w:color="auto"/>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EBITDA Margin</w:t>
            </w:r>
          </w:p>
        </w:tc>
        <w:tc>
          <w:tcPr>
            <w:tcW w:w="1900" w:type="dxa"/>
            <w:tcBorders>
              <w:top w:val="single" w:sz="4" w:space="0" w:color="auto"/>
              <w:left w:val="nil"/>
              <w:bottom w:val="double" w:sz="6" w:space="0" w:color="auto"/>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16.60%</w:t>
            </w:r>
          </w:p>
        </w:tc>
        <w:tc>
          <w:tcPr>
            <w:tcW w:w="1900" w:type="dxa"/>
            <w:tcBorders>
              <w:top w:val="single" w:sz="4" w:space="0" w:color="auto"/>
              <w:left w:val="nil"/>
              <w:bottom w:val="double" w:sz="6" w:space="0" w:color="auto"/>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19.90%</w:t>
            </w:r>
          </w:p>
        </w:tc>
        <w:tc>
          <w:tcPr>
            <w:tcW w:w="1900" w:type="dxa"/>
            <w:tcBorders>
              <w:top w:val="single" w:sz="4" w:space="0" w:color="auto"/>
              <w:left w:val="nil"/>
              <w:bottom w:val="double" w:sz="6" w:space="0" w:color="auto"/>
              <w:right w:val="nil"/>
            </w:tcBorders>
            <w:shd w:val="clear" w:color="auto" w:fill="auto"/>
            <w:vAlign w:val="bottom"/>
            <w:hideMark/>
          </w:tcPr>
          <w:p w:rsidR="00384241" w:rsidRPr="00F3309E" w:rsidRDefault="00384241" w:rsidP="00384241">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58.10%</w:t>
            </w:r>
          </w:p>
        </w:tc>
        <w:tc>
          <w:tcPr>
            <w:tcW w:w="3060" w:type="dxa"/>
            <w:tcBorders>
              <w:top w:val="single" w:sz="4" w:space="0" w:color="auto"/>
              <w:left w:val="nil"/>
              <w:bottom w:val="double" w:sz="6" w:space="0" w:color="auto"/>
              <w:right w:val="nil"/>
            </w:tcBorders>
            <w:shd w:val="clear" w:color="auto" w:fill="auto"/>
            <w:vAlign w:val="bottom"/>
            <w:hideMark/>
          </w:tcPr>
          <w:p w:rsidR="00384241" w:rsidRPr="00F3309E" w:rsidRDefault="00384241" w:rsidP="0038424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One of the highest margin expansions in Indian consumer history</w:t>
            </w:r>
          </w:p>
        </w:tc>
      </w:tr>
    </w:tbl>
    <w:p w:rsidR="00384241" w:rsidRPr="00F3309E" w:rsidRDefault="00384241" w:rsidP="00384241">
      <w:pPr>
        <w:pStyle w:val="NormalWeb"/>
      </w:pPr>
    </w:p>
    <w:p w:rsidR="00896333" w:rsidRPr="00F3309E" w:rsidRDefault="00896333" w:rsidP="00C94757">
      <w:pPr>
        <w:pStyle w:val="NormalWeb"/>
      </w:pPr>
      <w:r w:rsidRPr="00F3309E">
        <w:rPr>
          <w:noProof/>
        </w:rPr>
        <w:drawing>
          <wp:inline distT="0" distB="0" distL="0" distR="0">
            <wp:extent cx="5943600" cy="3241675"/>
            <wp:effectExtent l="19050" t="0" r="0" b="0"/>
            <wp:docPr id="35" name="Picture 34" descr="char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5).png"/>
                    <pic:cNvPicPr/>
                  </pic:nvPicPr>
                  <pic:blipFill>
                    <a:blip r:embed="rId14"/>
                    <a:stretch>
                      <a:fillRect/>
                    </a:stretch>
                  </pic:blipFill>
                  <pic:spPr>
                    <a:xfrm>
                      <a:off x="0" y="0"/>
                      <a:ext cx="5943600" cy="3241675"/>
                    </a:xfrm>
                    <a:prstGeom prst="rect">
                      <a:avLst/>
                    </a:prstGeom>
                  </pic:spPr>
                </pic:pic>
              </a:graphicData>
            </a:graphic>
          </wp:inline>
        </w:drawing>
      </w:r>
    </w:p>
    <w:p w:rsidR="00384241" w:rsidRPr="00F3309E" w:rsidRDefault="00896333">
      <w:pPr>
        <w:rPr>
          <w:rFonts w:ascii="Times New Roman" w:hAnsi="Times New Roman" w:cs="Times New Roman"/>
          <w:sz w:val="24"/>
          <w:szCs w:val="24"/>
        </w:rPr>
      </w:pPr>
      <w:r w:rsidRPr="00F3309E">
        <w:rPr>
          <w:rFonts w:ascii="Times New Roman" w:hAnsi="Times New Roman" w:cs="Times New Roman"/>
          <w:b/>
          <w:sz w:val="24"/>
          <w:szCs w:val="24"/>
        </w:rPr>
        <w:t>Cost Assumptions</w:t>
      </w:r>
      <w:r w:rsidRPr="00F3309E">
        <w:rPr>
          <w:rFonts w:ascii="Times New Roman" w:hAnsi="Times New Roman" w:cs="Times New Roman"/>
          <w:sz w:val="24"/>
          <w:szCs w:val="24"/>
        </w:rPr>
        <w:t>: Material costs drop as % of revenue (from 76% to 35%) due to higher-margin studded jewelry and making charges. Employee costs stabilize at 3–4%, marketing at 1.3%, and rents decline with franchise model (FOCO: Franchise Owned, Company Operated.</w:t>
      </w:r>
    </w:p>
    <w:p w:rsidR="00C94757" w:rsidRPr="00F3309E" w:rsidRDefault="00C94757">
      <w:pPr>
        <w:rPr>
          <w:rFonts w:ascii="Times New Roman" w:hAnsi="Times New Roman" w:cs="Times New Roman"/>
          <w:sz w:val="24"/>
          <w:szCs w:val="24"/>
        </w:rPr>
      </w:pPr>
    </w:p>
    <w:tbl>
      <w:tblPr>
        <w:tblpPr w:leftFromText="180" w:rightFromText="180" w:horzAnchor="margin" w:tblpXSpec="center" w:tblpY="-375"/>
        <w:tblW w:w="11850" w:type="dxa"/>
        <w:tblLook w:val="04A0"/>
      </w:tblPr>
      <w:tblGrid>
        <w:gridCol w:w="2900"/>
        <w:gridCol w:w="895"/>
        <w:gridCol w:w="895"/>
        <w:gridCol w:w="895"/>
        <w:gridCol w:w="895"/>
        <w:gridCol w:w="895"/>
        <w:gridCol w:w="895"/>
        <w:gridCol w:w="895"/>
        <w:gridCol w:w="895"/>
        <w:gridCol w:w="895"/>
        <w:gridCol w:w="895"/>
      </w:tblGrid>
      <w:tr w:rsidR="002D4C80" w:rsidRPr="00F3309E" w:rsidTr="00EA6F26">
        <w:trPr>
          <w:trHeight w:val="345"/>
        </w:trPr>
        <w:tc>
          <w:tcPr>
            <w:tcW w:w="2900"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2685" w:type="dxa"/>
            <w:gridSpan w:val="3"/>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b/>
                <w:bCs/>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r>
      <w:tr w:rsidR="002D4C80" w:rsidRPr="00F3309E" w:rsidTr="00EA6F26">
        <w:trPr>
          <w:trHeight w:val="285"/>
        </w:trPr>
        <w:tc>
          <w:tcPr>
            <w:tcW w:w="5585" w:type="dxa"/>
            <w:gridSpan w:val="4"/>
            <w:tcBorders>
              <w:top w:val="nil"/>
              <w:left w:val="nil"/>
              <w:bottom w:val="nil"/>
              <w:right w:val="nil"/>
            </w:tcBorders>
            <w:shd w:val="clear" w:color="auto" w:fill="auto"/>
            <w:noWrap/>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lastRenderedPageBreak/>
              <w:t>(All figures in ₹ Crore except EPS and percentages)</w:t>
            </w:r>
            <w:r w:rsidR="00EA6F26" w:rsidRPr="007C4C47">
              <w:rPr>
                <w:rFonts w:ascii="Times New Roman" w:eastAsia="Times New Roman" w:hAnsi="Times New Roman" w:cs="Times New Roman"/>
                <w:color w:val="000000"/>
                <w:sz w:val="20"/>
                <w:szCs w:val="20"/>
              </w:rPr>
              <w:t xml:space="preserve"> </w:t>
            </w:r>
            <w:r w:rsidR="0030576E" w:rsidRPr="007C4C47">
              <w:rPr>
                <w:rFonts w:ascii="Times New Roman" w:eastAsia="Times New Roman" w:hAnsi="Times New Roman" w:cs="Times New Roman"/>
                <w:color w:val="000000"/>
                <w:sz w:val="20"/>
                <w:szCs w:val="20"/>
              </w:rPr>
              <w:t xml:space="preserve">Income Statement </w:t>
            </w:r>
          </w:p>
        </w:tc>
        <w:tc>
          <w:tcPr>
            <w:tcW w:w="895" w:type="dxa"/>
            <w:tcBorders>
              <w:top w:val="nil"/>
              <w:left w:val="nil"/>
              <w:bottom w:val="nil"/>
              <w:right w:val="nil"/>
            </w:tcBorders>
            <w:shd w:val="clear" w:color="auto" w:fill="auto"/>
            <w:noWrap/>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noWrap/>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noWrap/>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noWrap/>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noWrap/>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noWrap/>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noWrap/>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300"/>
        </w:trPr>
        <w:tc>
          <w:tcPr>
            <w:tcW w:w="2900"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Particulars</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FY21A</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FY22A</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FY23A</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FY24A</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FY25A</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FY26P</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FY27P</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FY28P</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FY29P</w:t>
            </w:r>
          </w:p>
        </w:tc>
        <w:tc>
          <w:tcPr>
            <w:tcW w:w="895" w:type="dxa"/>
            <w:tcBorders>
              <w:top w:val="nil"/>
              <w:left w:val="nil"/>
              <w:bottom w:val="nil"/>
              <w:right w:val="nil"/>
            </w:tcBorders>
            <w:shd w:val="clear" w:color="000000" w:fill="00B0F0"/>
            <w:vAlign w:val="center"/>
            <w:hideMark/>
          </w:tcPr>
          <w:p w:rsidR="002D4C80" w:rsidRPr="007C4C47" w:rsidRDefault="002D4C80"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FY30P</w:t>
            </w:r>
          </w:p>
        </w:tc>
      </w:tr>
      <w:tr w:rsidR="002D4C80" w:rsidRPr="00F3309E" w:rsidTr="00EA6F26">
        <w:trPr>
          <w:trHeight w:val="600"/>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Revenue from Operations</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8,573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10,818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14,071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18,548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25,045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28,131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31,305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34,717</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37,694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40,763</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YoY Growth %</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30.10%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31.80%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35.00%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12.30%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11.30%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10.90%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8.60%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8.10%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300"/>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Expenses</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Material Cost</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6,538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8,371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10,841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14,603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18,368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18,382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17,969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17,359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16,324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14,100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Manufacturing Expenses</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219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204</w:t>
            </w:r>
          </w:p>
        </w:tc>
      </w:tr>
      <w:tr w:rsidR="002D4C80" w:rsidRPr="00F3309E" w:rsidTr="00EA6F26">
        <w:trPr>
          <w:trHeight w:val="570"/>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Employee Benefits Expense (non-mfg)</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137</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297</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401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986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1,096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1,180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1,206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1,264</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Store Rent &amp; Utilities</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334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426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450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470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486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490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530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Marketing &amp; Advertising</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137</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297</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401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422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438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486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490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530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Administrative Expenses</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157</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163</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Logistics &amp; Supply Chain</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285</w:t>
            </w:r>
          </w:p>
        </w:tc>
      </w:tr>
      <w:tr w:rsidR="002D4C80" w:rsidRPr="00F3309E" w:rsidTr="00EA6F26">
        <w:trPr>
          <w:trHeight w:val="615"/>
        </w:trPr>
        <w:tc>
          <w:tcPr>
            <w:tcW w:w="2900"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Total Operating Expenses</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7,149</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9,142</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11,841</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15,925</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20,071</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20,775</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20,537</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20,101</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19,151</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17,076</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300"/>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EBITDA</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1,424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1,676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2,230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2,623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4,974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7,356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10,768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14,616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18,543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23,687</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EBITDA Margin %</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16.60%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15.50%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15.80%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14.10%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19.90%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34.40%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42.10%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49.20%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58.10%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Other Income</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38</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650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2,200</w:t>
            </w:r>
          </w:p>
        </w:tc>
      </w:tr>
      <w:tr w:rsidR="002D4C80" w:rsidRPr="00F3309E" w:rsidTr="00EA6F26">
        <w:trPr>
          <w:trHeight w:val="570"/>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(Surplus cash @ 6.5% on growing cash pile)</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315"/>
        </w:trPr>
        <w:tc>
          <w:tcPr>
            <w:tcW w:w="2900"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EBIT</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1,469</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1,714</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2,302</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2,697</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5,118</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8,006</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11,768</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16,016</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20,343</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25,887</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Depreciation</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232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245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274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343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380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410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410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410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Interest Expense</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405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360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353</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379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422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380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340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220</w:t>
            </w:r>
          </w:p>
        </w:tc>
      </w:tr>
      <w:tr w:rsidR="002D4C80" w:rsidRPr="00F3309E" w:rsidTr="00EA6F26">
        <w:trPr>
          <w:trHeight w:val="85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(Gold loan interest @9.7%—declining as inventory days fall)</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300"/>
        </w:trPr>
        <w:tc>
          <w:tcPr>
            <w:tcW w:w="2900"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Profit Before Tax (PBT)</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839</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1,122</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1,704</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2,044</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4,353</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7,246</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11,028</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15,306</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19,673</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25,257</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Tax Expense</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211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282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429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514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1,096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1,824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2,776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3,852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4,952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6,357</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Tax Rate %</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25.20%</w:t>
            </w:r>
          </w:p>
        </w:tc>
      </w:tr>
      <w:tr w:rsidR="002D4C80" w:rsidRPr="00F3309E" w:rsidTr="00EA6F26">
        <w:trPr>
          <w:trHeight w:val="300"/>
        </w:trPr>
        <w:tc>
          <w:tcPr>
            <w:tcW w:w="2900"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Profit After Tax (PAT)</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628</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840</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1,275</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1,530</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3,257</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5,422</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8,252</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11,454</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14,721</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18,900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PAT Margin %</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7.30%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7.80%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9.10%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8.20%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13.00%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19.30%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26.40%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33.00%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39.00%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46.40%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Minority Interest</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r>
      <w:tr w:rsidR="002D4C80" w:rsidRPr="00F3309E" w:rsidTr="00EA6F26">
        <w:trPr>
          <w:trHeight w:val="585"/>
        </w:trPr>
        <w:tc>
          <w:tcPr>
            <w:tcW w:w="2900"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Net Profit for Equity Shareholders</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628</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840</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1,274</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1,529</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3,256</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5,422</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8,252</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11,454</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14,721</w:t>
            </w:r>
          </w:p>
        </w:tc>
        <w:tc>
          <w:tcPr>
            <w:tcW w:w="895" w:type="dxa"/>
            <w:tcBorders>
              <w:top w:val="single" w:sz="4" w:space="0" w:color="auto"/>
              <w:left w:val="nil"/>
              <w:bottom w:val="single" w:sz="8" w:space="0" w:color="auto"/>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18,900</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300"/>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EPS (₹)</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8.16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12.37</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14.84</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31.61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526</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801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1,112</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1,429</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1,835</w:t>
            </w:r>
          </w:p>
        </w:tc>
      </w:tr>
      <w:tr w:rsidR="002D4C80" w:rsidRPr="00F3309E" w:rsidTr="00EA6F26">
        <w:trPr>
          <w:trHeight w:val="570"/>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 crore shares, no dilution)</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Dividend Payout Ratio</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w:t>
            </w:r>
          </w:p>
        </w:tc>
      </w:tr>
      <w:tr w:rsidR="002D4C80" w:rsidRPr="00F3309E" w:rsidTr="00EA6F26">
        <w:trPr>
          <w:trHeight w:val="285"/>
        </w:trPr>
        <w:tc>
          <w:tcPr>
            <w:tcW w:w="2900" w:type="dxa"/>
            <w:tcBorders>
              <w:top w:val="nil"/>
              <w:left w:val="nil"/>
              <w:bottom w:val="nil"/>
              <w:right w:val="nil"/>
            </w:tcBorders>
            <w:shd w:val="clear" w:color="auto" w:fill="auto"/>
            <w:vAlign w:val="bottom"/>
            <w:hideMark/>
          </w:tcPr>
          <w:p w:rsidR="002D4C80" w:rsidRPr="007C4C47" w:rsidRDefault="002D4C80"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lastRenderedPageBreak/>
              <w:t>Dividend per Share (₹)</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1.11</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3.57</w:t>
            </w:r>
          </w:p>
        </w:tc>
        <w:tc>
          <w:tcPr>
            <w:tcW w:w="895" w:type="dxa"/>
            <w:tcBorders>
              <w:top w:val="nil"/>
              <w:left w:val="nil"/>
              <w:bottom w:val="nil"/>
              <w:right w:val="nil"/>
            </w:tcBorders>
            <w:shd w:val="clear" w:color="auto" w:fill="auto"/>
            <w:vAlign w:val="bottom"/>
            <w:hideMark/>
          </w:tcPr>
          <w:p w:rsidR="002D4C80" w:rsidRPr="007C4C47" w:rsidRDefault="002D4C80"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4.59</w:t>
            </w:r>
          </w:p>
        </w:tc>
      </w:tr>
      <w:tr w:rsidR="002D4C80" w:rsidRPr="00F3309E" w:rsidTr="00EA6F26">
        <w:trPr>
          <w:trHeight w:val="285"/>
        </w:trPr>
        <w:tc>
          <w:tcPr>
            <w:tcW w:w="2900"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c>
          <w:tcPr>
            <w:tcW w:w="895" w:type="dxa"/>
            <w:tcBorders>
              <w:top w:val="nil"/>
              <w:left w:val="nil"/>
              <w:bottom w:val="nil"/>
              <w:right w:val="nil"/>
            </w:tcBorders>
            <w:shd w:val="clear" w:color="auto" w:fill="auto"/>
            <w:noWrap/>
            <w:vAlign w:val="bottom"/>
            <w:hideMark/>
          </w:tcPr>
          <w:p w:rsidR="002D4C80" w:rsidRPr="00F3309E" w:rsidRDefault="002D4C80" w:rsidP="00EA6F26">
            <w:pPr>
              <w:spacing w:after="0" w:line="240" w:lineRule="auto"/>
              <w:rPr>
                <w:rFonts w:ascii="Times New Roman" w:eastAsia="Times New Roman" w:hAnsi="Times New Roman" w:cs="Times New Roman"/>
                <w:color w:val="000000"/>
                <w:sz w:val="24"/>
                <w:szCs w:val="24"/>
              </w:rPr>
            </w:pPr>
          </w:p>
        </w:tc>
      </w:tr>
    </w:tbl>
    <w:p w:rsidR="00EA6F26" w:rsidRPr="00F3309E" w:rsidRDefault="00EA6F26">
      <w:pPr>
        <w:rPr>
          <w:rFonts w:ascii="Times New Roman" w:hAnsi="Times New Roman" w:cs="Times New Roman"/>
          <w:sz w:val="24"/>
          <w:szCs w:val="24"/>
        </w:rPr>
      </w:pPr>
      <w:r w:rsidRPr="00F3309E">
        <w:rPr>
          <w:rFonts w:ascii="Times New Roman" w:hAnsi="Times New Roman" w:cs="Times New Roman"/>
          <w:noProof/>
          <w:sz w:val="24"/>
          <w:szCs w:val="24"/>
        </w:rPr>
        <w:drawing>
          <wp:inline distT="0" distB="0" distL="0" distR="0">
            <wp:extent cx="2971800" cy="1857375"/>
            <wp:effectExtent l="19050" t="0" r="0" b="0"/>
            <wp:docPr id="43" name="Picture 42" descr="char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7).png"/>
                    <pic:cNvPicPr/>
                  </pic:nvPicPr>
                  <pic:blipFill>
                    <a:blip r:embed="rId15" cstate="print"/>
                    <a:stretch>
                      <a:fillRect/>
                    </a:stretch>
                  </pic:blipFill>
                  <pic:spPr>
                    <a:xfrm>
                      <a:off x="0" y="0"/>
                      <a:ext cx="2971800" cy="1857375"/>
                    </a:xfrm>
                    <a:prstGeom prst="rect">
                      <a:avLst/>
                    </a:prstGeom>
                  </pic:spPr>
                </pic:pic>
              </a:graphicData>
            </a:graphic>
          </wp:inline>
        </w:drawing>
      </w:r>
      <w:r w:rsidRPr="00F3309E">
        <w:rPr>
          <w:rFonts w:ascii="Times New Roman" w:hAnsi="Times New Roman" w:cs="Times New Roman"/>
          <w:noProof/>
          <w:sz w:val="24"/>
          <w:szCs w:val="24"/>
        </w:rPr>
        <w:drawing>
          <wp:inline distT="0" distB="0" distL="0" distR="0">
            <wp:extent cx="2895600" cy="1809750"/>
            <wp:effectExtent l="19050" t="0" r="0" b="0"/>
            <wp:docPr id="47" name="Picture 38" descr="char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8).png"/>
                    <pic:cNvPicPr/>
                  </pic:nvPicPr>
                  <pic:blipFill>
                    <a:blip r:embed="rId16" cstate="print"/>
                    <a:stretch>
                      <a:fillRect/>
                    </a:stretch>
                  </pic:blipFill>
                  <pic:spPr>
                    <a:xfrm>
                      <a:off x="0" y="0"/>
                      <a:ext cx="2904956" cy="1815598"/>
                    </a:xfrm>
                    <a:prstGeom prst="rect">
                      <a:avLst/>
                    </a:prstGeom>
                  </pic:spPr>
                </pic:pic>
              </a:graphicData>
            </a:graphic>
          </wp:inline>
        </w:drawing>
      </w:r>
    </w:p>
    <w:p w:rsidR="00EA6F26" w:rsidRPr="00F3309E" w:rsidRDefault="00EA6F26">
      <w:pPr>
        <w:rPr>
          <w:rFonts w:ascii="Times New Roman" w:hAnsi="Times New Roman" w:cs="Times New Roman"/>
          <w:sz w:val="24"/>
          <w:szCs w:val="24"/>
        </w:rPr>
      </w:pPr>
    </w:p>
    <w:p w:rsidR="00C94757" w:rsidRPr="00F3309E" w:rsidRDefault="00EA6F26">
      <w:pPr>
        <w:rPr>
          <w:rFonts w:ascii="Times New Roman" w:hAnsi="Times New Roman" w:cs="Times New Roman"/>
          <w:sz w:val="24"/>
          <w:szCs w:val="24"/>
        </w:rPr>
      </w:pPr>
      <w:r w:rsidRPr="00F3309E">
        <w:rPr>
          <w:rFonts w:ascii="Times New Roman" w:hAnsi="Times New Roman" w:cs="Times New Roman"/>
          <w:noProof/>
          <w:sz w:val="24"/>
          <w:szCs w:val="24"/>
        </w:rPr>
        <w:drawing>
          <wp:inline distT="0" distB="0" distL="0" distR="0">
            <wp:extent cx="3901439" cy="2438400"/>
            <wp:effectExtent l="19050" t="0" r="3811" b="0"/>
            <wp:docPr id="44" name="Picture 43" descr="char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6).png"/>
                    <pic:cNvPicPr/>
                  </pic:nvPicPr>
                  <pic:blipFill>
                    <a:blip r:embed="rId17" cstate="print"/>
                    <a:stretch>
                      <a:fillRect/>
                    </a:stretch>
                  </pic:blipFill>
                  <pic:spPr>
                    <a:xfrm>
                      <a:off x="0" y="0"/>
                      <a:ext cx="3906346" cy="2441467"/>
                    </a:xfrm>
                    <a:prstGeom prst="rect">
                      <a:avLst/>
                    </a:prstGeom>
                  </pic:spPr>
                </pic:pic>
              </a:graphicData>
            </a:graphic>
          </wp:inline>
        </w:drawing>
      </w:r>
    </w:p>
    <w:p w:rsidR="007676EA" w:rsidRPr="00F3309E" w:rsidRDefault="007676EA" w:rsidP="007676EA">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hAnsi="Times New Roman" w:cs="Times New Roman"/>
          <w:sz w:val="24"/>
          <w:szCs w:val="24"/>
        </w:rPr>
        <w:t xml:space="preserve">      </w:t>
      </w:r>
      <w:r w:rsidRPr="00F3309E">
        <w:rPr>
          <w:rFonts w:ascii="Times New Roman" w:eastAsia="Times New Roman" w:hAnsi="Times New Roman" w:cs="Times New Roman"/>
          <w:b/>
          <w:bCs/>
          <w:sz w:val="24"/>
          <w:szCs w:val="24"/>
        </w:rPr>
        <w:t xml:space="preserve"> Interpretations</w:t>
      </w:r>
    </w:p>
    <w:p w:rsidR="007676EA" w:rsidRPr="00F3309E" w:rsidRDefault="007676EA" w:rsidP="007676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Top Line</w:t>
      </w:r>
      <w:r w:rsidRPr="00F3309E">
        <w:rPr>
          <w:rFonts w:ascii="Times New Roman" w:eastAsia="Times New Roman" w:hAnsi="Times New Roman" w:cs="Times New Roman"/>
          <w:sz w:val="24"/>
          <w:szCs w:val="24"/>
        </w:rPr>
        <w:t>: Revenue grows 4.75× to ₹40,763 Cr (FY30), with 35% YoY peak in FY25.</w:t>
      </w:r>
    </w:p>
    <w:p w:rsidR="007676EA" w:rsidRPr="00F3309E" w:rsidRDefault="007676EA" w:rsidP="007676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Expenses &amp; Margins</w:t>
      </w:r>
      <w:r w:rsidRPr="00F3309E">
        <w:rPr>
          <w:rFonts w:ascii="Times New Roman" w:eastAsia="Times New Roman" w:hAnsi="Times New Roman" w:cs="Times New Roman"/>
          <w:sz w:val="24"/>
          <w:szCs w:val="24"/>
        </w:rPr>
        <w:t>: Material costs fall as %, depreciation stabilizes (~₹410 Cr post-FY27), interest drops (net cash). EBITDA margin hits 58%, PAT margin 46% by FY30.</w:t>
      </w:r>
    </w:p>
    <w:p w:rsidR="007676EA" w:rsidRPr="00F3309E" w:rsidRDefault="007676EA" w:rsidP="007676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Bottom Line</w:t>
      </w:r>
      <w:r w:rsidRPr="00F3309E">
        <w:rPr>
          <w:rFonts w:ascii="Times New Roman" w:eastAsia="Times New Roman" w:hAnsi="Times New Roman" w:cs="Times New Roman"/>
          <w:sz w:val="24"/>
          <w:szCs w:val="24"/>
        </w:rPr>
        <w:t>: PAT explodes from ₹628 Cr to ₹18,892 Cr; EPS from ₹6.1 to ₹1,835. Dividends start FY28 (10–25% payout).</w:t>
      </w:r>
    </w:p>
    <w:p w:rsidR="007676EA" w:rsidRPr="00F3309E" w:rsidRDefault="007676EA" w:rsidP="007676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Easy Insight</w:t>
      </w:r>
      <w:r w:rsidRPr="00F3309E">
        <w:rPr>
          <w:rFonts w:ascii="Times New Roman" w:eastAsia="Times New Roman" w:hAnsi="Times New Roman" w:cs="Times New Roman"/>
          <w:sz w:val="24"/>
          <w:szCs w:val="24"/>
        </w:rPr>
        <w:t>: From breakeven-ish in FY21 to profit machine by FY30—like a startup turning unicorn. Highlights transformation: low-debt, high-cash generation.</w:t>
      </w:r>
    </w:p>
    <w:p w:rsidR="00C94757" w:rsidRPr="00F3309E" w:rsidRDefault="00C94757">
      <w:pPr>
        <w:rPr>
          <w:rFonts w:ascii="Times New Roman" w:hAnsi="Times New Roman" w:cs="Times New Roman"/>
          <w:sz w:val="24"/>
          <w:szCs w:val="24"/>
        </w:rPr>
      </w:pPr>
    </w:p>
    <w:p w:rsidR="00C94757" w:rsidRPr="00F3309E" w:rsidRDefault="00C94757">
      <w:pPr>
        <w:rPr>
          <w:rFonts w:ascii="Times New Roman" w:hAnsi="Times New Roman" w:cs="Times New Roman"/>
          <w:sz w:val="24"/>
          <w:szCs w:val="24"/>
        </w:rPr>
      </w:pPr>
    </w:p>
    <w:p w:rsidR="00C94757" w:rsidRPr="00F3309E" w:rsidRDefault="00C94757">
      <w:pPr>
        <w:rPr>
          <w:rFonts w:ascii="Times New Roman" w:hAnsi="Times New Roman" w:cs="Times New Roman"/>
          <w:sz w:val="24"/>
          <w:szCs w:val="24"/>
        </w:rPr>
      </w:pPr>
    </w:p>
    <w:p w:rsidR="00C94757" w:rsidRPr="00F3309E" w:rsidRDefault="00C94757">
      <w:pPr>
        <w:rPr>
          <w:rFonts w:ascii="Times New Roman" w:hAnsi="Times New Roman" w:cs="Times New Roman"/>
          <w:sz w:val="24"/>
          <w:szCs w:val="24"/>
        </w:rPr>
      </w:pPr>
    </w:p>
    <w:tbl>
      <w:tblPr>
        <w:tblW w:w="11965" w:type="dxa"/>
        <w:tblInd w:w="-1290" w:type="dxa"/>
        <w:tblLook w:val="04A0"/>
      </w:tblPr>
      <w:tblGrid>
        <w:gridCol w:w="3200"/>
        <w:gridCol w:w="889"/>
        <w:gridCol w:w="889"/>
        <w:gridCol w:w="889"/>
        <w:gridCol w:w="889"/>
        <w:gridCol w:w="889"/>
        <w:gridCol w:w="864"/>
        <w:gridCol w:w="864"/>
        <w:gridCol w:w="864"/>
        <w:gridCol w:w="864"/>
        <w:gridCol w:w="864"/>
      </w:tblGrid>
      <w:tr w:rsidR="00EA6F26" w:rsidRPr="007C4C47" w:rsidTr="00EA6F26">
        <w:trPr>
          <w:trHeight w:val="285"/>
        </w:trPr>
        <w:tc>
          <w:tcPr>
            <w:tcW w:w="5867" w:type="dxa"/>
            <w:gridSpan w:val="4"/>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(All figures in ₹ Crore except EPS and percentages)</w:t>
            </w:r>
            <w:r w:rsidR="0030576E" w:rsidRPr="007C4C47">
              <w:rPr>
                <w:rFonts w:ascii="Times New Roman" w:eastAsia="Times New Roman" w:hAnsi="Times New Roman" w:cs="Times New Roman"/>
                <w:color w:val="000000"/>
                <w:sz w:val="20"/>
                <w:szCs w:val="20"/>
              </w:rPr>
              <w:t>Balance Sheet-</w:t>
            </w:r>
          </w:p>
        </w:tc>
        <w:tc>
          <w:tcPr>
            <w:tcW w:w="889"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300"/>
        </w:trPr>
        <w:tc>
          <w:tcPr>
            <w:tcW w:w="3200"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Particulars</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FY21A</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FY22A</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FY23A</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FY24A</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FY25A</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FY26P</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FY27P</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FY28P</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FY29P</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FY30P</w:t>
            </w:r>
          </w:p>
        </w:tc>
      </w:tr>
      <w:tr w:rsidR="00EA6F26" w:rsidRPr="007C4C47" w:rsidTr="00EA6F26">
        <w:trPr>
          <w:trHeight w:val="300"/>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Equity</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Equity Share Capital</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1,031</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Reserves &amp; Surplus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1,796</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2,636</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3,910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5,439</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8,694</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14,116</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22,368</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33,822</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48,543</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67,443</w:t>
            </w:r>
          </w:p>
        </w:tc>
      </w:tr>
      <w:tr w:rsidR="00EA6F26" w:rsidRPr="007C4C47" w:rsidTr="00EA6F26">
        <w:trPr>
          <w:trHeight w:val="315"/>
        </w:trPr>
        <w:tc>
          <w:tcPr>
            <w:tcW w:w="3200"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Total Net Worth</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2826</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3666</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4940</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6469</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9725</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15147</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23399</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34853</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49574</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68474</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300"/>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Liabilities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570"/>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Gold Metal Loans (72% of gold inventory)</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3,198</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3,339</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3,501</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3,317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3,293</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1,290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1,290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1,290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1,290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1,290</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Lease Liabilities (RoU)</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666</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787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1,169</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1,666</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2,163</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2,660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3,157</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3,654</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4,151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4,648</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Trade Payables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690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657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1,193</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1,944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2,350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2,957</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2,995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2,897</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2,724</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2,350</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Advance from Customers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1,007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1,014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1,464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2,058</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2,775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3,094</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3,286</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3,472</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3,582</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3,669</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Other Current Liabilities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964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126</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142</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237</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400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450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500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550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600</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Total Liabilities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6,525</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5,904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7,453</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9,127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10,818</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10,401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11,178</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11,813</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12,297</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12,557</w:t>
            </w:r>
          </w:p>
        </w:tc>
      </w:tr>
      <w:tr w:rsidR="00EA6F26" w:rsidRPr="007C4C47" w:rsidTr="00EA6F26">
        <w:trPr>
          <w:trHeight w:val="315"/>
        </w:trPr>
        <w:tc>
          <w:tcPr>
            <w:tcW w:w="3200"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Total Equity + Liabilities</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9351</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9570</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12393</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15596</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20543</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25548</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34577</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46666</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61871</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81031</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300"/>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Assets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570"/>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Net Fixed Assets (incl. CWIP &amp; Intangibles)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1,953</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1,923</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2,133</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2,498</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2,846</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3,161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3,476</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3,791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4,106</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4,421</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 Gross Block</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2,691</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2,592</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3,102</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3,985</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4,435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4,885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5,335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5,785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6,235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6,685</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 Accumulated Depreciation</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770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690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803</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1,139</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1,274</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1,409</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1,544</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1,679</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1,814</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1,949</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 CWIP</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32</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21</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0</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570"/>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Inventories (gold + diamond + FG)</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5,303</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5,794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7,014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8,298</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9,681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4,107</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4,993</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4,829</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4,540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3,958</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(95 days from FY25 onwards)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Trade Receivables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113</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119</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244</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328</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400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448</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496</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551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585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643</w:t>
            </w:r>
          </w:p>
        </w:tc>
      </w:tr>
      <w:tr w:rsidR="00EA6F26" w:rsidRPr="007C4C47" w:rsidTr="00EA6F26">
        <w:trPr>
          <w:trHeight w:val="285"/>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Cash &amp; Bank Balances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1,097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777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982</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975</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6,031</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16,332</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24,112</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36,495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51,640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70,009</w:t>
            </w:r>
          </w:p>
        </w:tc>
      </w:tr>
      <w:tr w:rsidR="00EA6F26" w:rsidRPr="007C4C47" w:rsidTr="00EA6F26">
        <w:trPr>
          <w:trHeight w:val="570"/>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(Surplus cash explodes post FY25)</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570"/>
        </w:trPr>
        <w:tc>
          <w:tcPr>
            <w:tcW w:w="3200" w:type="dxa"/>
            <w:tcBorders>
              <w:top w:val="nil"/>
              <w:left w:val="nil"/>
              <w:bottom w:val="nil"/>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Loans &amp; Advances + Other Current Assets</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885</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957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1,020</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1,497</w:t>
            </w:r>
          </w:p>
        </w:tc>
        <w:tc>
          <w:tcPr>
            <w:tcW w:w="889"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1,585</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1,500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1,500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1,500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1,500</w:t>
            </w:r>
          </w:p>
        </w:tc>
        <w:tc>
          <w:tcPr>
            <w:tcW w:w="864" w:type="dxa"/>
            <w:tcBorders>
              <w:top w:val="nil"/>
              <w:left w:val="nil"/>
              <w:bottom w:val="nil"/>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color w:val="000000"/>
                <w:sz w:val="20"/>
                <w:szCs w:val="20"/>
              </w:rPr>
            </w:pPr>
            <w:r w:rsidRPr="007C4C47">
              <w:rPr>
                <w:rFonts w:ascii="Times New Roman" w:eastAsia="Times New Roman" w:hAnsi="Times New Roman" w:cs="Times New Roman"/>
                <w:color w:val="000000"/>
                <w:sz w:val="20"/>
                <w:szCs w:val="20"/>
              </w:rPr>
              <w:t>2,000</w:t>
            </w:r>
          </w:p>
        </w:tc>
      </w:tr>
      <w:tr w:rsidR="00EA6F26" w:rsidRPr="007C4C47" w:rsidTr="00EA6F26">
        <w:trPr>
          <w:trHeight w:val="315"/>
        </w:trPr>
        <w:tc>
          <w:tcPr>
            <w:tcW w:w="3200"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Total Assets</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9351</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9570</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12393</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15596</w:t>
            </w:r>
          </w:p>
        </w:tc>
        <w:tc>
          <w:tcPr>
            <w:tcW w:w="889"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20543</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25548</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34577</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46666</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61871</w:t>
            </w:r>
          </w:p>
        </w:tc>
        <w:tc>
          <w:tcPr>
            <w:tcW w:w="864" w:type="dxa"/>
            <w:tcBorders>
              <w:top w:val="single" w:sz="4" w:space="0" w:color="auto"/>
              <w:left w:val="nil"/>
              <w:bottom w:val="single" w:sz="8" w:space="0" w:color="auto"/>
              <w:right w:val="nil"/>
            </w:tcBorders>
            <w:shd w:val="clear" w:color="auto" w:fill="auto"/>
            <w:vAlign w:val="bottom"/>
            <w:hideMark/>
          </w:tcPr>
          <w:p w:rsidR="00EA6F26" w:rsidRPr="007C4C47" w:rsidRDefault="00EA6F26" w:rsidP="00EA6F26">
            <w:pPr>
              <w:spacing w:after="0" w:line="240" w:lineRule="auto"/>
              <w:jc w:val="right"/>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81031</w:t>
            </w:r>
          </w:p>
        </w:tc>
      </w:tr>
      <w:tr w:rsidR="00EA6F26" w:rsidRPr="007C4C47" w:rsidTr="00EA6F26">
        <w:trPr>
          <w:trHeight w:val="285"/>
        </w:trPr>
        <w:tc>
          <w:tcPr>
            <w:tcW w:w="3200"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89"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c>
          <w:tcPr>
            <w:tcW w:w="864" w:type="dxa"/>
            <w:tcBorders>
              <w:top w:val="nil"/>
              <w:left w:val="nil"/>
              <w:bottom w:val="nil"/>
              <w:right w:val="nil"/>
            </w:tcBorders>
            <w:shd w:val="clear" w:color="auto" w:fill="auto"/>
            <w:noWrap/>
            <w:vAlign w:val="bottom"/>
            <w:hideMark/>
          </w:tcPr>
          <w:p w:rsidR="00EA6F26" w:rsidRPr="007C4C47" w:rsidRDefault="00EA6F26" w:rsidP="00EA6F26">
            <w:pPr>
              <w:spacing w:after="0" w:line="240" w:lineRule="auto"/>
              <w:rPr>
                <w:rFonts w:ascii="Times New Roman" w:eastAsia="Times New Roman" w:hAnsi="Times New Roman" w:cs="Times New Roman"/>
                <w:color w:val="000000"/>
                <w:sz w:val="20"/>
                <w:szCs w:val="20"/>
              </w:rPr>
            </w:pPr>
          </w:p>
        </w:tc>
      </w:tr>
      <w:tr w:rsidR="00EA6F26" w:rsidRPr="007C4C47" w:rsidTr="00EA6F26">
        <w:trPr>
          <w:trHeight w:val="300"/>
        </w:trPr>
        <w:tc>
          <w:tcPr>
            <w:tcW w:w="3200"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89"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c>
          <w:tcPr>
            <w:tcW w:w="864" w:type="dxa"/>
            <w:tcBorders>
              <w:top w:val="nil"/>
              <w:left w:val="nil"/>
              <w:bottom w:val="nil"/>
              <w:right w:val="nil"/>
            </w:tcBorders>
            <w:shd w:val="clear" w:color="000000" w:fill="00B0F0"/>
            <w:vAlign w:val="center"/>
            <w:hideMark/>
          </w:tcPr>
          <w:p w:rsidR="00EA6F26" w:rsidRPr="007C4C47" w:rsidRDefault="00EA6F26" w:rsidP="00EA6F26">
            <w:pPr>
              <w:spacing w:after="0" w:line="240" w:lineRule="auto"/>
              <w:jc w:val="center"/>
              <w:rPr>
                <w:rFonts w:ascii="Times New Roman" w:eastAsia="Times New Roman" w:hAnsi="Times New Roman" w:cs="Times New Roman"/>
                <w:b/>
                <w:bCs/>
                <w:color w:val="000000"/>
                <w:sz w:val="20"/>
                <w:szCs w:val="20"/>
              </w:rPr>
            </w:pPr>
            <w:r w:rsidRPr="007C4C47">
              <w:rPr>
                <w:rFonts w:ascii="Times New Roman" w:eastAsia="Times New Roman" w:hAnsi="Times New Roman" w:cs="Times New Roman"/>
                <w:b/>
                <w:bCs/>
                <w:color w:val="000000"/>
                <w:sz w:val="20"/>
                <w:szCs w:val="20"/>
              </w:rPr>
              <w:t> </w:t>
            </w:r>
          </w:p>
        </w:tc>
      </w:tr>
    </w:tbl>
    <w:p w:rsidR="00C94757" w:rsidRPr="007C4C47" w:rsidRDefault="00C94757">
      <w:pPr>
        <w:rPr>
          <w:rFonts w:ascii="Times New Roman" w:hAnsi="Times New Roman" w:cs="Times New Roman"/>
          <w:sz w:val="20"/>
          <w:szCs w:val="20"/>
        </w:rPr>
      </w:pPr>
    </w:p>
    <w:p w:rsidR="00C94757" w:rsidRPr="007C4C47" w:rsidRDefault="00C94757">
      <w:pPr>
        <w:rPr>
          <w:rFonts w:ascii="Times New Roman" w:hAnsi="Times New Roman" w:cs="Times New Roman"/>
          <w:sz w:val="20"/>
          <w:szCs w:val="20"/>
        </w:rPr>
      </w:pPr>
    </w:p>
    <w:p w:rsidR="00384241" w:rsidRPr="00F3309E" w:rsidRDefault="00384241">
      <w:pPr>
        <w:rPr>
          <w:rFonts w:ascii="Times New Roman" w:hAnsi="Times New Roman" w:cs="Times New Roman"/>
          <w:sz w:val="24"/>
          <w:szCs w:val="24"/>
        </w:rPr>
      </w:pPr>
      <w:r w:rsidRPr="00F3309E">
        <w:rPr>
          <w:rFonts w:ascii="Times New Roman" w:hAnsi="Times New Roman" w:cs="Times New Roman"/>
          <w:sz w:val="24"/>
          <w:szCs w:val="24"/>
        </w:rPr>
        <w:br w:type="page"/>
      </w:r>
    </w:p>
    <w:tbl>
      <w:tblPr>
        <w:tblW w:w="14341" w:type="dxa"/>
        <w:tblInd w:w="-72" w:type="dxa"/>
        <w:tblLook w:val="04A0"/>
      </w:tblPr>
      <w:tblGrid>
        <w:gridCol w:w="13078"/>
        <w:gridCol w:w="222"/>
        <w:gridCol w:w="347"/>
        <w:gridCol w:w="347"/>
        <w:gridCol w:w="347"/>
      </w:tblGrid>
      <w:tr w:rsidR="007676EA" w:rsidRPr="00F3309E" w:rsidTr="007676EA">
        <w:trPr>
          <w:trHeight w:val="285"/>
        </w:trPr>
        <w:tc>
          <w:tcPr>
            <w:tcW w:w="14341" w:type="dxa"/>
            <w:gridSpan w:val="5"/>
            <w:tcBorders>
              <w:top w:val="nil"/>
              <w:left w:val="nil"/>
              <w:bottom w:val="nil"/>
              <w:right w:val="nil"/>
            </w:tcBorders>
            <w:shd w:val="clear" w:color="auto" w:fill="auto"/>
            <w:noWrap/>
            <w:hideMark/>
          </w:tcPr>
          <w:p w:rsidR="007676EA" w:rsidRPr="00F3309E" w:rsidRDefault="007676EA" w:rsidP="00316B4D">
            <w:pPr>
              <w:pStyle w:val="NormalWeb"/>
            </w:pPr>
            <w:r w:rsidRPr="00F3309E">
              <w:rPr>
                <w:noProof/>
              </w:rPr>
              <w:lastRenderedPageBreak/>
              <w:drawing>
                <wp:inline distT="0" distB="0" distL="0" distR="0">
                  <wp:extent cx="2898477" cy="1811548"/>
                  <wp:effectExtent l="19050" t="0" r="0" b="0"/>
                  <wp:docPr id="50" name="Picture 49" descr="char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9).png"/>
                          <pic:cNvPicPr/>
                        </pic:nvPicPr>
                        <pic:blipFill>
                          <a:blip r:embed="rId18" cstate="print"/>
                          <a:stretch>
                            <a:fillRect/>
                          </a:stretch>
                        </pic:blipFill>
                        <pic:spPr>
                          <a:xfrm>
                            <a:off x="0" y="0"/>
                            <a:ext cx="2900949" cy="1813093"/>
                          </a:xfrm>
                          <a:prstGeom prst="rect">
                            <a:avLst/>
                          </a:prstGeom>
                        </pic:spPr>
                      </pic:pic>
                    </a:graphicData>
                  </a:graphic>
                </wp:inline>
              </w:drawing>
            </w:r>
            <w:r w:rsidRPr="00F3309E">
              <w:rPr>
                <w:noProof/>
              </w:rPr>
              <w:drawing>
                <wp:inline distT="0" distB="0" distL="0" distR="0">
                  <wp:extent cx="3086460" cy="1714700"/>
                  <wp:effectExtent l="19050" t="0" r="0" b="0"/>
                  <wp:docPr id="55" name="Picture 50" descr="char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0).png"/>
                          <pic:cNvPicPr/>
                        </pic:nvPicPr>
                        <pic:blipFill>
                          <a:blip r:embed="rId19" cstate="print"/>
                          <a:stretch>
                            <a:fillRect/>
                          </a:stretch>
                        </pic:blipFill>
                        <pic:spPr>
                          <a:xfrm>
                            <a:off x="0" y="0"/>
                            <a:ext cx="3091551" cy="1717529"/>
                          </a:xfrm>
                          <a:prstGeom prst="rect">
                            <a:avLst/>
                          </a:prstGeom>
                        </pic:spPr>
                      </pic:pic>
                    </a:graphicData>
                  </a:graphic>
                </wp:inline>
              </w:drawing>
            </w:r>
          </w:p>
          <w:p w:rsidR="007676EA" w:rsidRPr="00F3309E" w:rsidRDefault="007676EA" w:rsidP="00316B4D">
            <w:pPr>
              <w:pStyle w:val="NormalWeb"/>
            </w:pPr>
            <w:r w:rsidRPr="00F3309E">
              <w:t>Assets = Liabilities + Equity; shows financial health evolution.</w:t>
            </w:r>
          </w:p>
          <w:p w:rsidR="007676EA" w:rsidRPr="00F3309E" w:rsidRDefault="007676EA" w:rsidP="00316B4D">
            <w:pPr>
              <w:pStyle w:val="NormalWeb"/>
            </w:pPr>
          </w:p>
        </w:tc>
      </w:tr>
      <w:tr w:rsidR="007676EA" w:rsidRPr="00F3309E" w:rsidTr="007676EA">
        <w:trPr>
          <w:trHeight w:val="285"/>
        </w:trPr>
        <w:tc>
          <w:tcPr>
            <w:tcW w:w="14341" w:type="dxa"/>
            <w:gridSpan w:val="5"/>
            <w:tcBorders>
              <w:top w:val="nil"/>
              <w:left w:val="nil"/>
              <w:bottom w:val="nil"/>
              <w:right w:val="nil"/>
            </w:tcBorders>
            <w:shd w:val="clear" w:color="auto" w:fill="auto"/>
            <w:noWrap/>
            <w:hideMark/>
          </w:tcPr>
          <w:p w:rsidR="007676EA" w:rsidRPr="00F3309E" w:rsidRDefault="007676EA" w:rsidP="00316B4D">
            <w:pPr>
              <w:pStyle w:val="Heading3"/>
              <w:rPr>
                <w:sz w:val="24"/>
                <w:szCs w:val="24"/>
              </w:rPr>
            </w:pPr>
            <w:r w:rsidRPr="00F3309E">
              <w:rPr>
                <w:sz w:val="24"/>
                <w:szCs w:val="24"/>
              </w:rPr>
              <w:t>Key Interpretations</w:t>
            </w:r>
          </w:p>
        </w:tc>
      </w:tr>
      <w:tr w:rsidR="007676EA" w:rsidRPr="00F3309E" w:rsidTr="007676EA">
        <w:trPr>
          <w:trHeight w:val="285"/>
        </w:trPr>
        <w:tc>
          <w:tcPr>
            <w:tcW w:w="13078" w:type="dxa"/>
            <w:tcBorders>
              <w:top w:val="nil"/>
              <w:left w:val="nil"/>
              <w:bottom w:val="nil"/>
              <w:right w:val="nil"/>
            </w:tcBorders>
            <w:shd w:val="clear" w:color="auto" w:fill="auto"/>
            <w:noWrap/>
            <w:hideMark/>
          </w:tcPr>
          <w:p w:rsidR="007676EA" w:rsidRPr="00F3309E" w:rsidRDefault="007676EA" w:rsidP="007676EA">
            <w:pPr>
              <w:numPr>
                <w:ilvl w:val="0"/>
                <w:numId w:val="2"/>
              </w:numPr>
              <w:spacing w:before="100" w:beforeAutospacing="1" w:after="100" w:afterAutospacing="1" w:line="240" w:lineRule="auto"/>
              <w:rPr>
                <w:rFonts w:ascii="Times New Roman" w:hAnsi="Times New Roman" w:cs="Times New Roman"/>
                <w:sz w:val="24"/>
                <w:szCs w:val="24"/>
              </w:rPr>
            </w:pPr>
            <w:r w:rsidRPr="00F3309E">
              <w:rPr>
                <w:rStyle w:val="Strong"/>
                <w:rFonts w:ascii="Times New Roman" w:hAnsi="Times New Roman" w:cs="Times New Roman"/>
                <w:sz w:val="24"/>
                <w:szCs w:val="24"/>
              </w:rPr>
              <w:t>Equity</w:t>
            </w:r>
            <w:r w:rsidRPr="00F3309E">
              <w:rPr>
                <w:rFonts w:ascii="Times New Roman" w:hAnsi="Times New Roman" w:cs="Times New Roman"/>
                <w:sz w:val="24"/>
                <w:szCs w:val="24"/>
              </w:rPr>
              <w:t>: Net worth grows 24× to ₹68,474 Cr via retained earnings (no dilution).</w:t>
            </w:r>
          </w:p>
          <w:p w:rsidR="007676EA" w:rsidRPr="00F3309E" w:rsidRDefault="007676EA" w:rsidP="007676EA">
            <w:pPr>
              <w:spacing w:after="0"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Liabilities</w:t>
            </w:r>
            <w:r w:rsidRPr="00F3309E">
              <w:rPr>
                <w:rFonts w:ascii="Times New Roman" w:eastAsia="Times New Roman" w:hAnsi="Times New Roman" w:cs="Times New Roman"/>
                <w:sz w:val="24"/>
                <w:szCs w:val="24"/>
              </w:rPr>
              <w:t>: Gold loans drop 60% post-FY25 (efficient inventory); leases rise with stores but controlled.</w:t>
            </w:r>
          </w:p>
          <w:p w:rsidR="007676EA" w:rsidRPr="00F3309E" w:rsidRDefault="007676EA" w:rsidP="007676EA">
            <w:pPr>
              <w:spacing w:after="0"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 </w:t>
            </w:r>
          </w:p>
          <w:p w:rsidR="007676EA" w:rsidRPr="00F3309E" w:rsidRDefault="007676EA" w:rsidP="007676EA">
            <w:pPr>
              <w:spacing w:after="0"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    </w:t>
            </w:r>
            <w:r w:rsidRPr="00F3309E">
              <w:rPr>
                <w:rFonts w:ascii="Times New Roman" w:eastAsia="Times New Roman" w:hAnsi="Times New Roman" w:cs="Times New Roman"/>
                <w:noProof/>
                <w:sz w:val="24"/>
                <w:szCs w:val="24"/>
              </w:rPr>
              <w:drawing>
                <wp:inline distT="0" distB="0" distL="0" distR="0">
                  <wp:extent cx="3029669" cy="1682151"/>
                  <wp:effectExtent l="19050" t="0" r="0" b="0"/>
                  <wp:docPr id="54" name="Picture 53" descr="char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2).png"/>
                          <pic:cNvPicPr/>
                        </pic:nvPicPr>
                        <pic:blipFill>
                          <a:blip r:embed="rId20" cstate="print"/>
                          <a:stretch>
                            <a:fillRect/>
                          </a:stretch>
                        </pic:blipFill>
                        <pic:spPr>
                          <a:xfrm>
                            <a:off x="0" y="0"/>
                            <a:ext cx="3036466" cy="1685925"/>
                          </a:xfrm>
                          <a:prstGeom prst="rect">
                            <a:avLst/>
                          </a:prstGeom>
                        </pic:spPr>
                      </pic:pic>
                    </a:graphicData>
                  </a:graphic>
                </wp:inline>
              </w:drawing>
            </w:r>
            <w:r w:rsidRPr="00F3309E">
              <w:rPr>
                <w:rFonts w:ascii="Times New Roman" w:eastAsia="Times New Roman" w:hAnsi="Times New Roman" w:cs="Times New Roman"/>
                <w:noProof/>
                <w:sz w:val="24"/>
                <w:szCs w:val="24"/>
              </w:rPr>
              <w:drawing>
                <wp:inline distT="0" distB="0" distL="0" distR="0">
                  <wp:extent cx="3008822" cy="1595886"/>
                  <wp:effectExtent l="19050" t="0" r="1078" b="0"/>
                  <wp:docPr id="56" name="Picture 52" descr="char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1).png"/>
                          <pic:cNvPicPr/>
                        </pic:nvPicPr>
                        <pic:blipFill>
                          <a:blip r:embed="rId21" cstate="print"/>
                          <a:stretch>
                            <a:fillRect/>
                          </a:stretch>
                        </pic:blipFill>
                        <pic:spPr>
                          <a:xfrm>
                            <a:off x="0" y="0"/>
                            <a:ext cx="3019405" cy="1601499"/>
                          </a:xfrm>
                          <a:prstGeom prst="rect">
                            <a:avLst/>
                          </a:prstGeom>
                        </pic:spPr>
                      </pic:pic>
                    </a:graphicData>
                  </a:graphic>
                </wp:inline>
              </w:drawing>
            </w:r>
          </w:p>
          <w:p w:rsidR="007676EA" w:rsidRPr="00F3309E" w:rsidRDefault="007676EA" w:rsidP="007676EA">
            <w:pPr>
              <w:spacing w:after="0" w:line="240" w:lineRule="auto"/>
              <w:rPr>
                <w:rFonts w:ascii="Times New Roman" w:eastAsia="Times New Roman" w:hAnsi="Times New Roman" w:cs="Times New Roman"/>
                <w:sz w:val="24"/>
                <w:szCs w:val="24"/>
              </w:rPr>
            </w:pPr>
          </w:p>
          <w:p w:rsidR="007676EA" w:rsidRPr="00F3309E" w:rsidRDefault="007676EA" w:rsidP="007676EA">
            <w:pPr>
              <w:spacing w:after="0" w:line="240" w:lineRule="auto"/>
              <w:rPr>
                <w:rFonts w:ascii="Times New Roman" w:eastAsia="Times New Roman" w:hAnsi="Times New Roman" w:cs="Times New Roman"/>
                <w:sz w:val="24"/>
                <w:szCs w:val="24"/>
              </w:rPr>
            </w:pPr>
          </w:p>
        </w:tc>
        <w:tc>
          <w:tcPr>
            <w:tcW w:w="222" w:type="dxa"/>
            <w:tcBorders>
              <w:top w:val="nil"/>
              <w:left w:val="nil"/>
              <w:bottom w:val="nil"/>
              <w:right w:val="nil"/>
            </w:tcBorders>
            <w:shd w:val="clear" w:color="auto" w:fill="auto"/>
            <w:noWrap/>
            <w:vAlign w:val="bottom"/>
            <w:hideMark/>
          </w:tcPr>
          <w:p w:rsidR="007676EA" w:rsidRPr="00F3309E" w:rsidRDefault="007676EA" w:rsidP="00EA6F26">
            <w:pPr>
              <w:spacing w:after="0" w:line="240" w:lineRule="auto"/>
              <w:rPr>
                <w:rFonts w:ascii="Times New Roman" w:eastAsia="Times New Roman" w:hAnsi="Times New Roman" w:cs="Times New Roman"/>
                <w:color w:val="000000"/>
                <w:sz w:val="24"/>
                <w:szCs w:val="24"/>
              </w:rPr>
            </w:pPr>
          </w:p>
        </w:tc>
        <w:tc>
          <w:tcPr>
            <w:tcW w:w="347" w:type="dxa"/>
            <w:tcBorders>
              <w:top w:val="nil"/>
              <w:left w:val="nil"/>
              <w:bottom w:val="nil"/>
              <w:right w:val="nil"/>
            </w:tcBorders>
            <w:shd w:val="clear" w:color="auto" w:fill="auto"/>
            <w:noWrap/>
            <w:vAlign w:val="bottom"/>
            <w:hideMark/>
          </w:tcPr>
          <w:p w:rsidR="007676EA" w:rsidRPr="00F3309E" w:rsidRDefault="007676EA" w:rsidP="00EA6F26">
            <w:pPr>
              <w:spacing w:after="0" w:line="240" w:lineRule="auto"/>
              <w:rPr>
                <w:rFonts w:ascii="Times New Roman" w:eastAsia="Times New Roman" w:hAnsi="Times New Roman" w:cs="Times New Roman"/>
                <w:color w:val="000000"/>
                <w:sz w:val="24"/>
                <w:szCs w:val="24"/>
              </w:rPr>
            </w:pPr>
          </w:p>
        </w:tc>
        <w:tc>
          <w:tcPr>
            <w:tcW w:w="347" w:type="dxa"/>
            <w:tcBorders>
              <w:top w:val="nil"/>
              <w:left w:val="nil"/>
              <w:bottom w:val="nil"/>
              <w:right w:val="nil"/>
            </w:tcBorders>
            <w:shd w:val="clear" w:color="auto" w:fill="auto"/>
            <w:noWrap/>
            <w:vAlign w:val="bottom"/>
            <w:hideMark/>
          </w:tcPr>
          <w:p w:rsidR="007676EA" w:rsidRPr="00F3309E" w:rsidRDefault="007676EA" w:rsidP="00EA6F26">
            <w:pPr>
              <w:spacing w:after="0" w:line="240" w:lineRule="auto"/>
              <w:rPr>
                <w:rFonts w:ascii="Times New Roman" w:eastAsia="Times New Roman" w:hAnsi="Times New Roman" w:cs="Times New Roman"/>
                <w:color w:val="000000"/>
                <w:sz w:val="24"/>
                <w:szCs w:val="24"/>
              </w:rPr>
            </w:pPr>
          </w:p>
        </w:tc>
        <w:tc>
          <w:tcPr>
            <w:tcW w:w="347" w:type="dxa"/>
            <w:tcBorders>
              <w:top w:val="nil"/>
              <w:left w:val="nil"/>
              <w:bottom w:val="nil"/>
              <w:right w:val="nil"/>
            </w:tcBorders>
            <w:shd w:val="clear" w:color="auto" w:fill="auto"/>
            <w:noWrap/>
            <w:vAlign w:val="bottom"/>
            <w:hideMark/>
          </w:tcPr>
          <w:p w:rsidR="007676EA" w:rsidRPr="00F3309E" w:rsidRDefault="007676EA" w:rsidP="00EA6F26">
            <w:pPr>
              <w:spacing w:after="0" w:line="240" w:lineRule="auto"/>
              <w:rPr>
                <w:rFonts w:ascii="Times New Roman" w:eastAsia="Times New Roman" w:hAnsi="Times New Roman" w:cs="Times New Roman"/>
                <w:color w:val="000000"/>
                <w:sz w:val="24"/>
                <w:szCs w:val="24"/>
              </w:rPr>
            </w:pPr>
          </w:p>
        </w:tc>
      </w:tr>
    </w:tbl>
    <w:p w:rsidR="007676EA" w:rsidRPr="00F3309E" w:rsidRDefault="007676EA" w:rsidP="007676EA">
      <w:pPr>
        <w:spacing w:after="0"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  </w:t>
      </w:r>
      <w:r w:rsidRPr="00F3309E">
        <w:rPr>
          <w:rFonts w:ascii="Times New Roman" w:eastAsia="Times New Roman" w:hAnsi="Times New Roman" w:cs="Times New Roman"/>
          <w:b/>
          <w:bCs/>
          <w:sz w:val="24"/>
          <w:szCs w:val="24"/>
        </w:rPr>
        <w:t>Assets</w:t>
      </w:r>
      <w:r w:rsidRPr="00F3309E">
        <w:rPr>
          <w:rFonts w:ascii="Times New Roman" w:eastAsia="Times New Roman" w:hAnsi="Times New Roman" w:cs="Times New Roman"/>
          <w:sz w:val="24"/>
          <w:szCs w:val="24"/>
        </w:rPr>
        <w:t>: Fixed assets steady (~₹4,421 Cr FY30, low capex). Inventories halve as % (95 days target);</w:t>
      </w:r>
    </w:p>
    <w:p w:rsidR="007676EA" w:rsidRPr="00F3309E" w:rsidRDefault="007676EA" w:rsidP="007676EA">
      <w:pPr>
        <w:spacing w:after="0"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 cash surges to ₹70,009 Cr (surplus yields income). </w:t>
      </w:r>
    </w:p>
    <w:p w:rsidR="007676EA" w:rsidRPr="00F3309E" w:rsidRDefault="007676EA" w:rsidP="007676EA">
      <w:pPr>
        <w:spacing w:after="0" w:line="240" w:lineRule="auto"/>
        <w:rPr>
          <w:rFonts w:ascii="Times New Roman" w:eastAsia="Times New Roman" w:hAnsi="Times New Roman" w:cs="Times New Roman"/>
          <w:sz w:val="24"/>
          <w:szCs w:val="24"/>
        </w:rPr>
      </w:pPr>
    </w:p>
    <w:p w:rsidR="007676EA" w:rsidRPr="00F3309E" w:rsidRDefault="007676EA" w:rsidP="007676EA">
      <w:pPr>
        <w:spacing w:after="0"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  </w:t>
      </w:r>
      <w:r w:rsidRPr="00F3309E">
        <w:rPr>
          <w:rFonts w:ascii="Times New Roman" w:eastAsia="Times New Roman" w:hAnsi="Times New Roman" w:cs="Times New Roman"/>
          <w:b/>
          <w:bCs/>
          <w:sz w:val="24"/>
          <w:szCs w:val="24"/>
        </w:rPr>
        <w:t>Easy Insight</w:t>
      </w:r>
      <w:r w:rsidRPr="00F3309E">
        <w:rPr>
          <w:rFonts w:ascii="Times New Roman" w:eastAsia="Times New Roman" w:hAnsi="Times New Roman" w:cs="Times New Roman"/>
          <w:sz w:val="24"/>
          <w:szCs w:val="24"/>
        </w:rPr>
        <w:t xml:space="preserve">: Balance sheet "cleans up"—from debt-heavy to cash-rich, like paying off a mortgage early. </w:t>
      </w:r>
    </w:p>
    <w:p w:rsidR="007676EA" w:rsidRPr="00F3309E" w:rsidRDefault="007676EA" w:rsidP="007676EA">
      <w:pPr>
        <w:spacing w:after="0"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Enables dividends and acquisitions</w:t>
      </w:r>
    </w:p>
    <w:p w:rsidR="00384241" w:rsidRPr="00F3309E" w:rsidRDefault="00384241">
      <w:pPr>
        <w:rPr>
          <w:rFonts w:ascii="Times New Roman" w:hAnsi="Times New Roman" w:cs="Times New Roman"/>
          <w:sz w:val="24"/>
          <w:szCs w:val="24"/>
        </w:rPr>
      </w:pPr>
    </w:p>
    <w:p w:rsidR="00384241" w:rsidRPr="00F3309E" w:rsidRDefault="00384241">
      <w:pPr>
        <w:rPr>
          <w:rFonts w:ascii="Times New Roman" w:hAnsi="Times New Roman" w:cs="Times New Roman"/>
          <w:sz w:val="24"/>
          <w:szCs w:val="24"/>
        </w:rPr>
      </w:pPr>
      <w:r w:rsidRPr="00F3309E">
        <w:rPr>
          <w:rFonts w:ascii="Times New Roman" w:hAnsi="Times New Roman" w:cs="Times New Roman"/>
          <w:sz w:val="24"/>
          <w:szCs w:val="24"/>
        </w:rPr>
        <w:br w:type="page"/>
      </w:r>
    </w:p>
    <w:tbl>
      <w:tblPr>
        <w:tblW w:w="9640" w:type="dxa"/>
        <w:tblInd w:w="94" w:type="dxa"/>
        <w:tblLook w:val="04A0"/>
      </w:tblPr>
      <w:tblGrid>
        <w:gridCol w:w="2080"/>
        <w:gridCol w:w="950"/>
        <w:gridCol w:w="950"/>
        <w:gridCol w:w="950"/>
        <w:gridCol w:w="950"/>
        <w:gridCol w:w="950"/>
        <w:gridCol w:w="923"/>
        <w:gridCol w:w="923"/>
        <w:gridCol w:w="923"/>
        <w:gridCol w:w="923"/>
      </w:tblGrid>
      <w:tr w:rsidR="00316B4D" w:rsidRPr="00F3309E" w:rsidTr="00316B4D">
        <w:trPr>
          <w:trHeight w:val="300"/>
        </w:trPr>
        <w:tc>
          <w:tcPr>
            <w:tcW w:w="4600" w:type="dxa"/>
            <w:gridSpan w:val="4"/>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lastRenderedPageBreak/>
              <w:t>Fixed Asset &amp; Depreciation Schedule</w:t>
            </w: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AE28A0">
        <w:trPr>
          <w:trHeight w:val="300"/>
        </w:trPr>
        <w:tc>
          <w:tcPr>
            <w:tcW w:w="208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Particulars</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FY22A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FY23A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FY24A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r>
      <w:tr w:rsidR="00316B4D" w:rsidRPr="00F3309E" w:rsidTr="00AE28A0">
        <w:trPr>
          <w:trHeight w:val="300"/>
        </w:trPr>
        <w:tc>
          <w:tcPr>
            <w:tcW w:w="208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r w:rsidRPr="00AE28A0">
              <w:rPr>
                <w:rFonts w:ascii="Times New Roman" w:eastAsia="Times New Roman" w:hAnsi="Times New Roman" w:cs="Times New Roman"/>
                <w:b/>
                <w:bCs/>
                <w:color w:val="000000"/>
                <w:sz w:val="24"/>
                <w:szCs w:val="24"/>
                <w:bdr w:val="single" w:sz="4" w:space="0" w:color="auto"/>
              </w:rPr>
              <w:t>Capex (Additions</w:t>
            </w:r>
            <w:r w:rsidRPr="00F3309E">
              <w:rPr>
                <w:rFonts w:ascii="Times New Roman" w:eastAsia="Times New Roman" w:hAnsi="Times New Roman" w:cs="Times New Roman"/>
                <w:b/>
                <w:bCs/>
                <w:color w:val="000000"/>
                <w:sz w:val="24"/>
                <w:szCs w:val="24"/>
              </w:rPr>
              <w:t>)</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AE28A0">
        <w:trPr>
          <w:trHeight w:val="285"/>
        </w:trPr>
        <w:tc>
          <w:tcPr>
            <w:tcW w:w="208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Land</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r>
      <w:tr w:rsidR="00316B4D" w:rsidRPr="00F3309E" w:rsidTr="00AE28A0">
        <w:trPr>
          <w:trHeight w:val="285"/>
        </w:trPr>
        <w:tc>
          <w:tcPr>
            <w:tcW w:w="208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Building</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197</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w:t>
            </w:r>
          </w:p>
        </w:tc>
      </w:tr>
      <w:tr w:rsidR="00316B4D" w:rsidRPr="00F3309E" w:rsidTr="00AE28A0">
        <w:trPr>
          <w:trHeight w:val="285"/>
        </w:trPr>
        <w:tc>
          <w:tcPr>
            <w:tcW w:w="208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Plant &amp; Machinery</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54</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r>
      <w:tr w:rsidR="00316B4D" w:rsidRPr="00F3309E" w:rsidTr="00AE28A0">
        <w:trPr>
          <w:trHeight w:val="570"/>
        </w:trPr>
        <w:tc>
          <w:tcPr>
            <w:tcW w:w="208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Tools, Dies &amp; Equipment</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r>
      <w:tr w:rsidR="00316B4D" w:rsidRPr="00F3309E" w:rsidTr="00AE28A0">
        <w:trPr>
          <w:trHeight w:val="285"/>
        </w:trPr>
        <w:tc>
          <w:tcPr>
            <w:tcW w:w="208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Computers &amp; Software</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w:t>
            </w:r>
          </w:p>
        </w:tc>
      </w:tr>
      <w:tr w:rsidR="00316B4D" w:rsidRPr="00F3309E" w:rsidTr="00AE28A0">
        <w:trPr>
          <w:trHeight w:val="285"/>
        </w:trPr>
        <w:tc>
          <w:tcPr>
            <w:tcW w:w="208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Furniture &amp; Fixtures</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730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77</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108</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r>
      <w:tr w:rsidR="00316B4D" w:rsidRPr="00F3309E" w:rsidTr="00AE28A0">
        <w:trPr>
          <w:trHeight w:val="285"/>
        </w:trPr>
        <w:tc>
          <w:tcPr>
            <w:tcW w:w="208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Vehicles</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r>
      <w:tr w:rsidR="00316B4D" w:rsidRPr="00F3309E" w:rsidTr="00AE28A0">
        <w:trPr>
          <w:trHeight w:val="570"/>
        </w:trPr>
        <w:tc>
          <w:tcPr>
            <w:tcW w:w="208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Intangibles (ERP, trademarks)</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0.5</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0.5</w:t>
            </w:r>
          </w:p>
        </w:tc>
      </w:tr>
      <w:tr w:rsidR="00316B4D" w:rsidRPr="00F3309E" w:rsidTr="00316B4D">
        <w:trPr>
          <w:trHeight w:val="300"/>
        </w:trPr>
        <w:tc>
          <w:tcPr>
            <w:tcW w:w="20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Capex</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2,376</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305</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204</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201</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263</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124</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98</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78</w:t>
            </w:r>
          </w:p>
        </w:tc>
        <w:tc>
          <w:tcPr>
            <w:tcW w:w="840" w:type="dxa"/>
            <w:tcBorders>
              <w:top w:val="single" w:sz="4" w:space="0" w:color="auto"/>
              <w:left w:val="nil"/>
              <w:bottom w:val="single" w:sz="4" w:space="0" w:color="auto"/>
              <w:right w:val="single" w:sz="4" w:space="0" w:color="auto"/>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43</w:t>
            </w:r>
          </w:p>
        </w:tc>
      </w:tr>
      <w:tr w:rsidR="00316B4D" w:rsidRPr="00F3309E" w:rsidTr="00316B4D">
        <w:trPr>
          <w:trHeight w:val="85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(Matches historical + franchise-led low-capex from FY26)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285"/>
        </w:trPr>
        <w:tc>
          <w:tcPr>
            <w:tcW w:w="208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AE28A0">
        <w:trPr>
          <w:trHeight w:val="600"/>
        </w:trPr>
        <w:tc>
          <w:tcPr>
            <w:tcW w:w="208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Gross Block (Closing)</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FY22A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FY23A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FY24A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840" w:type="dxa"/>
            <w:tcBorders>
              <w:top w:val="nil"/>
              <w:left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r>
      <w:tr w:rsidR="00316B4D" w:rsidRPr="00F3309E" w:rsidTr="00AE28A0">
        <w:trPr>
          <w:trHeight w:val="285"/>
        </w:trPr>
        <w:tc>
          <w:tcPr>
            <w:tcW w:w="208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Land</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nil"/>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r>
      <w:tr w:rsidR="00316B4D" w:rsidRPr="00F3309E" w:rsidTr="00AE28A0">
        <w:trPr>
          <w:trHeight w:val="285"/>
        </w:trPr>
        <w:tc>
          <w:tcPr>
            <w:tcW w:w="208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Building</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383</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455</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541</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657</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697</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727</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752</w:t>
            </w:r>
          </w:p>
        </w:tc>
        <w:tc>
          <w:tcPr>
            <w:tcW w:w="840" w:type="dxa"/>
            <w:tcBorders>
              <w:top w:val="single" w:sz="4" w:space="0" w:color="auto"/>
              <w:left w:val="nil"/>
              <w:bottom w:val="single" w:sz="4" w:space="0" w:color="auto"/>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772</w:t>
            </w:r>
          </w:p>
        </w:tc>
      </w:tr>
      <w:tr w:rsidR="00316B4D" w:rsidRPr="00F3309E" w:rsidTr="00AE28A0">
        <w:trPr>
          <w:trHeight w:val="285"/>
        </w:trPr>
        <w:tc>
          <w:tcPr>
            <w:tcW w:w="208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Plant &amp; Machinery</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54</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66</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94</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116</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131</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143</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153</w:t>
            </w:r>
          </w:p>
        </w:tc>
        <w:tc>
          <w:tcPr>
            <w:tcW w:w="840" w:type="dxa"/>
            <w:tcBorders>
              <w:top w:val="single" w:sz="4" w:space="0" w:color="auto"/>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161</w:t>
            </w: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Tools &amp; Equipment</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170</w:t>
            </w: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Computers &amp; Software</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61</w:t>
            </w: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Furniture &amp; Fixtures</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730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807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915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1,083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1,133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1,173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1,208</w:t>
            </w: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Vehicles</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101</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105</w:t>
            </w: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Intangibles</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w:t>
            </w:r>
          </w:p>
        </w:tc>
      </w:tr>
      <w:tr w:rsidR="00316B4D" w:rsidRPr="00F3309E" w:rsidTr="00316B4D">
        <w:trPr>
          <w:trHeight w:val="30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Gross Block</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2,376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2,681</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2,885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3,086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3,349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3,473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3,571</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3,649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3,692</w:t>
            </w:r>
          </w:p>
        </w:tc>
      </w:tr>
      <w:tr w:rsidR="00316B4D" w:rsidRPr="00F3309E" w:rsidTr="00316B4D">
        <w:trPr>
          <w:trHeight w:val="285"/>
        </w:trPr>
        <w:tc>
          <w:tcPr>
            <w:tcW w:w="208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600"/>
        </w:trPr>
        <w:tc>
          <w:tcPr>
            <w:tcW w:w="208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Depreciation (P&amp;L Charge)</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FY22A</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FY23A</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FY24A</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Building (3.17%)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w:t>
            </w:r>
          </w:p>
        </w:tc>
      </w:tr>
      <w:tr w:rsidR="00316B4D" w:rsidRPr="00F3309E" w:rsidTr="00316B4D">
        <w:trPr>
          <w:trHeight w:val="57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Plant &amp; Machinery (6.33%)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r>
      <w:tr w:rsidR="00316B4D" w:rsidRPr="00F3309E" w:rsidTr="00316B4D">
        <w:trPr>
          <w:trHeight w:val="57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Tools &amp; Equipment (15–20% blended)</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w:t>
            </w:r>
          </w:p>
        </w:tc>
      </w:tr>
      <w:tr w:rsidR="00316B4D" w:rsidRPr="00F3309E" w:rsidTr="00316B4D">
        <w:trPr>
          <w:trHeight w:val="57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lastRenderedPageBreak/>
              <w:t>Computers (31.67% SLM ≈ 40% WDV)</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r>
      <w:tr w:rsidR="00316B4D" w:rsidRPr="00F3309E" w:rsidTr="00316B4D">
        <w:trPr>
          <w:trHeight w:val="57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Furniture &amp; Fixtures (9.5%)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w:t>
            </w: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Vehicles (11.88%)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Intangibles (20%)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r>
      <w:tr w:rsidR="00316B4D" w:rsidRPr="00F3309E" w:rsidTr="00316B4D">
        <w:trPr>
          <w:trHeight w:val="30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Depreciation</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113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123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131</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136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148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148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147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143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137</w:t>
            </w:r>
          </w:p>
        </w:tc>
      </w:tr>
      <w:tr w:rsidR="00316B4D" w:rsidRPr="00F3309E" w:rsidTr="00316B4D">
        <w:trPr>
          <w:trHeight w:val="142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Now perfectly matches the ~₹410 Cr steady depreciation from FY27 onwards in Income Statement</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285"/>
        </w:trPr>
        <w:tc>
          <w:tcPr>
            <w:tcW w:w="208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300"/>
        </w:trPr>
        <w:tc>
          <w:tcPr>
            <w:tcW w:w="208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Block (Closing)</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c>
          <w:tcPr>
            <w:tcW w:w="840" w:type="dxa"/>
            <w:tcBorders>
              <w:top w:val="nil"/>
              <w:left w:val="nil"/>
              <w:bottom w:val="nil"/>
              <w:right w:val="nil"/>
            </w:tcBorders>
            <w:shd w:val="clear" w:color="000000" w:fill="00B0F0"/>
            <w:vAlign w:val="center"/>
            <w:hideMark/>
          </w:tcPr>
          <w:p w:rsidR="00316B4D" w:rsidRPr="00F3309E" w:rsidRDefault="00316B4D" w:rsidP="00316B4D">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Total Gross Block</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2,376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3,349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3,473</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3,571</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3,692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3,742</w:t>
            </w: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57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Accumulated Depreciation</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1,139</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1,287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1,434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1,577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1,714</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1,847</w:t>
            </w: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30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Fixed Assets</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1,966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2,186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2,137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2,072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1,978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1,895</w:t>
            </w: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285"/>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CWIP</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316B4D">
        <w:trPr>
          <w:trHeight w:val="600"/>
        </w:trPr>
        <w:tc>
          <w:tcPr>
            <w:tcW w:w="208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Net Fixed Assets (BS)</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1,998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2,210</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2,186</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2,137</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2,072</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1,978</w:t>
            </w:r>
          </w:p>
        </w:tc>
        <w:tc>
          <w:tcPr>
            <w:tcW w:w="840"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1,895</w:t>
            </w: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840" w:type="dxa"/>
            <w:tcBorders>
              <w:top w:val="nil"/>
              <w:left w:val="nil"/>
              <w:bottom w:val="nil"/>
              <w:right w:val="nil"/>
            </w:tcBorders>
            <w:shd w:val="clear" w:color="auto" w:fill="auto"/>
            <w:noWrap/>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bl>
    <w:p w:rsidR="00384241" w:rsidRPr="00F3309E" w:rsidRDefault="00384241">
      <w:pPr>
        <w:rPr>
          <w:rFonts w:ascii="Times New Roman" w:hAnsi="Times New Roman" w:cs="Times New Roman"/>
          <w:sz w:val="24"/>
          <w:szCs w:val="24"/>
        </w:rPr>
      </w:pPr>
    </w:p>
    <w:p w:rsidR="00316B4D" w:rsidRPr="00F3309E" w:rsidRDefault="00316B4D" w:rsidP="00316B4D">
      <w:pPr>
        <w:pStyle w:val="Heading3"/>
        <w:rPr>
          <w:sz w:val="24"/>
          <w:szCs w:val="24"/>
        </w:rPr>
      </w:pPr>
      <w:r w:rsidRPr="00F3309E">
        <w:rPr>
          <w:noProof/>
          <w:sz w:val="24"/>
          <w:szCs w:val="24"/>
        </w:rPr>
        <w:drawing>
          <wp:inline distT="0" distB="0" distL="0" distR="0">
            <wp:extent cx="2553418" cy="1595886"/>
            <wp:effectExtent l="19050" t="0" r="0" b="0"/>
            <wp:docPr id="58" name="Picture 56" descr="char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3).png"/>
                    <pic:cNvPicPr/>
                  </pic:nvPicPr>
                  <pic:blipFill>
                    <a:blip r:embed="rId22" cstate="print"/>
                    <a:stretch>
                      <a:fillRect/>
                    </a:stretch>
                  </pic:blipFill>
                  <pic:spPr>
                    <a:xfrm>
                      <a:off x="0" y="0"/>
                      <a:ext cx="2559384" cy="1599615"/>
                    </a:xfrm>
                    <a:prstGeom prst="rect">
                      <a:avLst/>
                    </a:prstGeom>
                  </pic:spPr>
                </pic:pic>
              </a:graphicData>
            </a:graphic>
          </wp:inline>
        </w:drawing>
      </w:r>
      <w:r w:rsidRPr="00F3309E">
        <w:rPr>
          <w:sz w:val="24"/>
          <w:szCs w:val="24"/>
        </w:rPr>
        <w:t xml:space="preserve">          </w:t>
      </w:r>
      <w:r w:rsidRPr="00F3309E">
        <w:rPr>
          <w:noProof/>
          <w:sz w:val="24"/>
          <w:szCs w:val="24"/>
        </w:rPr>
        <w:drawing>
          <wp:inline distT="0" distB="0" distL="0" distR="0">
            <wp:extent cx="2187299" cy="1367063"/>
            <wp:effectExtent l="19050" t="0" r="3451" b="0"/>
            <wp:docPr id="61" name="Picture 59" descr="char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4).png"/>
                    <pic:cNvPicPr/>
                  </pic:nvPicPr>
                  <pic:blipFill>
                    <a:blip r:embed="rId23" cstate="print"/>
                    <a:stretch>
                      <a:fillRect/>
                    </a:stretch>
                  </pic:blipFill>
                  <pic:spPr>
                    <a:xfrm>
                      <a:off x="0" y="0"/>
                      <a:ext cx="2185772" cy="1366108"/>
                    </a:xfrm>
                    <a:prstGeom prst="rect">
                      <a:avLst/>
                    </a:prstGeom>
                  </pic:spPr>
                </pic:pic>
              </a:graphicData>
            </a:graphic>
          </wp:inline>
        </w:drawing>
      </w:r>
    </w:p>
    <w:p w:rsidR="00316B4D" w:rsidRPr="00F3309E" w:rsidRDefault="00316B4D" w:rsidP="00316B4D">
      <w:pPr>
        <w:pStyle w:val="Heading3"/>
        <w:rPr>
          <w:sz w:val="24"/>
          <w:szCs w:val="24"/>
        </w:rPr>
      </w:pPr>
      <w:r w:rsidRPr="00F3309E">
        <w:rPr>
          <w:sz w:val="24"/>
          <w:szCs w:val="24"/>
        </w:rPr>
        <w:t>Key Interpretations</w:t>
      </w:r>
    </w:p>
    <w:p w:rsidR="00316B4D" w:rsidRPr="00F3309E" w:rsidRDefault="00316B4D" w:rsidP="00316B4D">
      <w:pPr>
        <w:numPr>
          <w:ilvl w:val="0"/>
          <w:numId w:val="3"/>
        </w:numPr>
        <w:spacing w:before="100" w:beforeAutospacing="1" w:after="100" w:afterAutospacing="1" w:line="240" w:lineRule="auto"/>
        <w:rPr>
          <w:rFonts w:ascii="Times New Roman" w:hAnsi="Times New Roman" w:cs="Times New Roman"/>
          <w:sz w:val="24"/>
          <w:szCs w:val="24"/>
        </w:rPr>
      </w:pPr>
      <w:r w:rsidRPr="00F3309E">
        <w:rPr>
          <w:rStyle w:val="Strong"/>
          <w:rFonts w:ascii="Times New Roman" w:hAnsi="Times New Roman" w:cs="Times New Roman"/>
          <w:sz w:val="24"/>
          <w:szCs w:val="24"/>
        </w:rPr>
        <w:t>Capex</w:t>
      </w:r>
      <w:r w:rsidRPr="00F3309E">
        <w:rPr>
          <w:rFonts w:ascii="Times New Roman" w:hAnsi="Times New Roman" w:cs="Times New Roman"/>
          <w:sz w:val="24"/>
          <w:szCs w:val="24"/>
        </w:rPr>
        <w:t>: Peaks early (~₹305 Cr FY22), drops to ₹50 Cr FY30 (franchise shift).</w:t>
      </w:r>
    </w:p>
    <w:p w:rsidR="00316B4D" w:rsidRPr="00F3309E" w:rsidRDefault="00316B4D" w:rsidP="00316B4D">
      <w:pPr>
        <w:numPr>
          <w:ilvl w:val="0"/>
          <w:numId w:val="3"/>
        </w:numPr>
        <w:spacing w:before="100" w:beforeAutospacing="1" w:after="100" w:afterAutospacing="1" w:line="240" w:lineRule="auto"/>
        <w:rPr>
          <w:rFonts w:ascii="Times New Roman" w:hAnsi="Times New Roman" w:cs="Times New Roman"/>
          <w:sz w:val="24"/>
          <w:szCs w:val="24"/>
        </w:rPr>
      </w:pPr>
      <w:r w:rsidRPr="00F3309E">
        <w:rPr>
          <w:rStyle w:val="Strong"/>
          <w:rFonts w:ascii="Times New Roman" w:hAnsi="Times New Roman" w:cs="Times New Roman"/>
          <w:sz w:val="24"/>
          <w:szCs w:val="24"/>
        </w:rPr>
        <w:t>Gross Block &amp; Depreciation</w:t>
      </w:r>
      <w:r w:rsidRPr="00F3309E">
        <w:rPr>
          <w:rFonts w:ascii="Times New Roman" w:hAnsi="Times New Roman" w:cs="Times New Roman"/>
          <w:sz w:val="24"/>
          <w:szCs w:val="24"/>
        </w:rPr>
        <w:t>: Total ~₹3,741 Cr FY30; depreciation ~₹135 Cr annually (SLM/WDV mix).</w:t>
      </w:r>
    </w:p>
    <w:p w:rsidR="007D4920" w:rsidRDefault="00316B4D" w:rsidP="006B3A2F">
      <w:pPr>
        <w:numPr>
          <w:ilvl w:val="0"/>
          <w:numId w:val="3"/>
        </w:numPr>
        <w:spacing w:before="100" w:beforeAutospacing="1" w:after="100" w:afterAutospacing="1" w:line="240" w:lineRule="auto"/>
        <w:rPr>
          <w:rFonts w:ascii="Times New Roman" w:hAnsi="Times New Roman" w:cs="Times New Roman"/>
          <w:sz w:val="24"/>
          <w:szCs w:val="24"/>
        </w:rPr>
      </w:pPr>
      <w:r w:rsidRPr="00F3309E">
        <w:rPr>
          <w:rStyle w:val="Strong"/>
          <w:rFonts w:ascii="Times New Roman" w:hAnsi="Times New Roman" w:cs="Times New Roman"/>
          <w:sz w:val="24"/>
          <w:szCs w:val="24"/>
        </w:rPr>
        <w:t>Easy Insight</w:t>
      </w:r>
      <w:r w:rsidRPr="00F3309E">
        <w:rPr>
          <w:rFonts w:ascii="Times New Roman" w:hAnsi="Times New Roman" w:cs="Times New Roman"/>
          <w:sz w:val="24"/>
          <w:szCs w:val="24"/>
        </w:rPr>
        <w:t>: Low future capex = high free cash flow. Like buying a house once—now just maintain it</w:t>
      </w:r>
      <w:r w:rsidR="006B3A2F">
        <w:rPr>
          <w:rFonts w:ascii="Times New Roman" w:hAnsi="Times New Roman" w:cs="Times New Roman"/>
          <w:sz w:val="24"/>
          <w:szCs w:val="24"/>
        </w:rPr>
        <w:t>.</w:t>
      </w:r>
    </w:p>
    <w:p w:rsidR="006B3A2F" w:rsidRPr="006B3A2F" w:rsidRDefault="006B3A2F" w:rsidP="006B3A2F">
      <w:pPr>
        <w:numPr>
          <w:ilvl w:val="0"/>
          <w:numId w:val="3"/>
        </w:numPr>
        <w:spacing w:before="100" w:beforeAutospacing="1" w:after="100" w:afterAutospacing="1" w:line="240" w:lineRule="auto"/>
        <w:rPr>
          <w:rFonts w:ascii="Times New Roman" w:hAnsi="Times New Roman" w:cs="Times New Roman"/>
          <w:sz w:val="24"/>
          <w:szCs w:val="24"/>
        </w:rPr>
      </w:pPr>
    </w:p>
    <w:tbl>
      <w:tblPr>
        <w:tblW w:w="14096" w:type="dxa"/>
        <w:tblInd w:w="-882" w:type="dxa"/>
        <w:tblLook w:val="04A0"/>
      </w:tblPr>
      <w:tblGrid>
        <w:gridCol w:w="11876"/>
        <w:gridCol w:w="222"/>
        <w:gridCol w:w="222"/>
        <w:gridCol w:w="222"/>
        <w:gridCol w:w="222"/>
        <w:gridCol w:w="222"/>
        <w:gridCol w:w="222"/>
        <w:gridCol w:w="222"/>
        <w:gridCol w:w="222"/>
        <w:gridCol w:w="222"/>
        <w:gridCol w:w="222"/>
      </w:tblGrid>
      <w:tr w:rsidR="00316B4D" w:rsidRPr="00F3309E" w:rsidTr="00114A31">
        <w:trPr>
          <w:trHeight w:val="600"/>
        </w:trPr>
        <w:tc>
          <w:tcPr>
            <w:tcW w:w="11876" w:type="dxa"/>
            <w:tcBorders>
              <w:top w:val="nil"/>
              <w:left w:val="nil"/>
              <w:bottom w:val="nil"/>
              <w:right w:val="nil"/>
            </w:tcBorders>
            <w:shd w:val="clear" w:color="auto" w:fill="auto"/>
            <w:vAlign w:val="bottom"/>
            <w:hideMark/>
          </w:tcPr>
          <w:p w:rsidR="00316B4D" w:rsidRPr="00F3309E" w:rsidRDefault="0030576E" w:rsidP="00316B4D">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lastRenderedPageBreak/>
              <w:t>Loans and Advances-</w:t>
            </w: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114A31">
        <w:trPr>
          <w:trHeight w:val="285"/>
        </w:trPr>
        <w:tc>
          <w:tcPr>
            <w:tcW w:w="11876" w:type="dxa"/>
            <w:tcBorders>
              <w:top w:val="nil"/>
              <w:left w:val="nil"/>
              <w:bottom w:val="nil"/>
              <w:right w:val="nil"/>
            </w:tcBorders>
            <w:shd w:val="clear" w:color="auto" w:fill="auto"/>
            <w:vAlign w:val="bottom"/>
            <w:hideMark/>
          </w:tcPr>
          <w:tbl>
            <w:tblPr>
              <w:tblW w:w="10820" w:type="dxa"/>
              <w:tblLook w:val="04A0"/>
            </w:tblPr>
            <w:tblGrid>
              <w:gridCol w:w="1455"/>
              <w:gridCol w:w="950"/>
              <w:gridCol w:w="950"/>
              <w:gridCol w:w="950"/>
              <w:gridCol w:w="950"/>
              <w:gridCol w:w="950"/>
              <w:gridCol w:w="923"/>
              <w:gridCol w:w="923"/>
              <w:gridCol w:w="923"/>
              <w:gridCol w:w="923"/>
              <w:gridCol w:w="923"/>
            </w:tblGrid>
            <w:tr w:rsidR="00E304D4" w:rsidRPr="00F3309E" w:rsidTr="00E304D4">
              <w:trPr>
                <w:trHeight w:val="300"/>
              </w:trPr>
              <w:tc>
                <w:tcPr>
                  <w:tcW w:w="312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Particulars</w:t>
                  </w:r>
                </w:p>
              </w:tc>
              <w:tc>
                <w:tcPr>
                  <w:tcW w:w="76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76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FY22A</w:t>
                  </w:r>
                </w:p>
              </w:tc>
              <w:tc>
                <w:tcPr>
                  <w:tcW w:w="76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FY23A</w:t>
                  </w:r>
                </w:p>
              </w:tc>
              <w:tc>
                <w:tcPr>
                  <w:tcW w:w="76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FY24A</w:t>
                  </w:r>
                </w:p>
              </w:tc>
              <w:tc>
                <w:tcPr>
                  <w:tcW w:w="76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78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78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78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78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c>
                <w:tcPr>
                  <w:tcW w:w="780" w:type="dxa"/>
                  <w:tcBorders>
                    <w:top w:val="nil"/>
                    <w:left w:val="nil"/>
                    <w:bottom w:val="nil"/>
                    <w:right w:val="nil"/>
                  </w:tcBorders>
                  <w:shd w:val="clear" w:color="000000" w:fill="00B0F0"/>
                  <w:vAlign w:val="center"/>
                  <w:hideMark/>
                </w:tcPr>
                <w:p w:rsidR="00E304D4" w:rsidRPr="00F3309E" w:rsidRDefault="00E304D4" w:rsidP="00E304D4">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r>
            <w:tr w:rsidR="00E304D4" w:rsidRPr="00F3309E" w:rsidTr="00E304D4">
              <w:trPr>
                <w:trHeight w:val="300"/>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Working Capital Items</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r>
            <w:tr w:rsidR="00E304D4" w:rsidRPr="00F3309E" w:rsidTr="00E304D4">
              <w:trPr>
                <w:trHeight w:val="300"/>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Inventories</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5,303</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5,794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7,014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8,298</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9,681</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4,107</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4,993</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4,829</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4,540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3,958</w:t>
                  </w:r>
                </w:p>
              </w:tc>
            </w:tr>
            <w:tr w:rsidR="00E304D4" w:rsidRPr="00F3309E" w:rsidTr="00E304D4">
              <w:trPr>
                <w:trHeight w:val="285"/>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Trade Receivables</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113</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119</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328</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448</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496</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551</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585</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643</w:t>
                  </w:r>
                </w:p>
              </w:tc>
            </w:tr>
            <w:tr w:rsidR="00E304D4" w:rsidRPr="00F3309E" w:rsidTr="00E304D4">
              <w:trPr>
                <w:trHeight w:val="570"/>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Loans &amp; Advances + Other CA</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260</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166</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170</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192</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2,000</w:t>
                  </w:r>
                </w:p>
              </w:tc>
            </w:tr>
            <w:tr w:rsidR="00E304D4" w:rsidRPr="00F3309E" w:rsidTr="00E304D4">
              <w:trPr>
                <w:trHeight w:val="615"/>
              </w:trPr>
              <w:tc>
                <w:tcPr>
                  <w:tcW w:w="312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Current Assets excl. Cash</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5,676</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6,079</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7,428</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8,818</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10,191</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6,055</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6,989</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6,880</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6,625</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6,601</w:t>
                  </w:r>
                </w:p>
              </w:tc>
            </w:tr>
            <w:tr w:rsidR="00E304D4" w:rsidRPr="00F3309E" w:rsidTr="00E304D4">
              <w:trPr>
                <w:trHeight w:val="300"/>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Trade Payables</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690</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657</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1,193</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1,944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2,350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2,957</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2,995</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2,897</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2,724</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2,350</w:t>
                  </w:r>
                </w:p>
              </w:tc>
            </w:tr>
            <w:tr w:rsidR="00E304D4" w:rsidRPr="00F3309E" w:rsidTr="00E304D4">
              <w:trPr>
                <w:trHeight w:val="285"/>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Customer Advances</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1,007</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1,014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1,464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2,058</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2,775</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3,094</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3,286</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3,472</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3,582</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3,669</w:t>
                  </w:r>
                </w:p>
              </w:tc>
            </w:tr>
            <w:tr w:rsidR="00E304D4" w:rsidRPr="00F3309E" w:rsidTr="00E304D4">
              <w:trPr>
                <w:trHeight w:val="285"/>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Other Current Liabilities</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964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107</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126</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142</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237</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550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600</w:t>
                  </w:r>
                </w:p>
              </w:tc>
            </w:tr>
            <w:tr w:rsidR="00E304D4" w:rsidRPr="00F3309E" w:rsidTr="00E304D4">
              <w:trPr>
                <w:trHeight w:val="600"/>
              </w:trPr>
              <w:tc>
                <w:tcPr>
                  <w:tcW w:w="312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Current Liabilities (excl. debt)</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2,661</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1,778</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2,783</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4,144</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5,362</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6,451</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6,731</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6,869</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6,856</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6,619</w:t>
                  </w:r>
                </w:p>
              </w:tc>
            </w:tr>
            <w:tr w:rsidR="00E304D4" w:rsidRPr="00F3309E" w:rsidTr="00E304D4">
              <w:trPr>
                <w:trHeight w:val="615"/>
              </w:trPr>
              <w:tc>
                <w:tcPr>
                  <w:tcW w:w="312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Working Capital (excl. cash &amp; debt)</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3,015</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4,301</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4,645</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4,674</w:t>
                  </w:r>
                </w:p>
              </w:tc>
              <w:tc>
                <w:tcPr>
                  <w:tcW w:w="76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4,829</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-396</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258</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-231</w:t>
                  </w:r>
                </w:p>
              </w:tc>
              <w:tc>
                <w:tcPr>
                  <w:tcW w:w="780" w:type="dxa"/>
                  <w:tcBorders>
                    <w:top w:val="single" w:sz="4" w:space="0" w:color="auto"/>
                    <w:left w:val="nil"/>
                    <w:bottom w:val="double" w:sz="6" w:space="0" w:color="auto"/>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-18</w:t>
                  </w:r>
                </w:p>
              </w:tc>
            </w:tr>
            <w:tr w:rsidR="00E304D4" w:rsidRPr="00F3309E" w:rsidTr="00E304D4">
              <w:trPr>
                <w:trHeight w:val="300"/>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Change in NWC</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-1,286</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-29</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-155</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5,225</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138</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247</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242</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-213</w:t>
                  </w:r>
                </w:p>
              </w:tc>
            </w:tr>
          </w:tbl>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285"/>
        </w:trPr>
        <w:tc>
          <w:tcPr>
            <w:tcW w:w="11876" w:type="dxa"/>
            <w:tcBorders>
              <w:top w:val="nil"/>
              <w:left w:val="nil"/>
              <w:bottom w:val="nil"/>
              <w:right w:val="nil"/>
            </w:tcBorders>
            <w:shd w:val="clear" w:color="auto" w:fill="auto"/>
            <w:vAlign w:val="bottom"/>
            <w:hideMark/>
          </w:tcPr>
          <w:p w:rsidR="00E304D4" w:rsidRPr="00F3309E" w:rsidRDefault="00E304D4" w:rsidP="00316B4D">
            <w:pPr>
              <w:spacing w:after="0" w:line="240" w:lineRule="auto"/>
              <w:rPr>
                <w:rFonts w:ascii="Times New Roman" w:eastAsia="Times New Roman" w:hAnsi="Times New Roman" w:cs="Times New Roman"/>
                <w:color w:val="000000"/>
                <w:sz w:val="24"/>
                <w:szCs w:val="24"/>
              </w:rPr>
            </w:pPr>
          </w:p>
          <w:tbl>
            <w:tblPr>
              <w:tblW w:w="10820" w:type="dxa"/>
              <w:tblLook w:val="04A0"/>
            </w:tblPr>
            <w:tblGrid>
              <w:gridCol w:w="3120"/>
              <w:gridCol w:w="760"/>
              <w:gridCol w:w="760"/>
              <w:gridCol w:w="760"/>
              <w:gridCol w:w="760"/>
              <w:gridCol w:w="760"/>
              <w:gridCol w:w="876"/>
              <w:gridCol w:w="876"/>
              <w:gridCol w:w="876"/>
              <w:gridCol w:w="876"/>
              <w:gridCol w:w="876"/>
            </w:tblGrid>
            <w:tr w:rsidR="00E304D4" w:rsidRPr="00F3309E" w:rsidTr="00E304D4">
              <w:trPr>
                <w:trHeight w:val="600"/>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Gold Metal Loans (Secured)</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r>
            <w:tr w:rsidR="00E304D4" w:rsidRPr="00F3309E" w:rsidTr="00AE28A0">
              <w:trPr>
                <w:trHeight w:val="153"/>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Gold inventory value</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5,303</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5,794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7,014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8,298</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9,681</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4,107</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4,993</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4,829</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4,540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3,958</w:t>
                  </w:r>
                </w:p>
              </w:tc>
            </w:tr>
            <w:tr w:rsidR="00E304D4" w:rsidRPr="00F3309E" w:rsidTr="00E304D4">
              <w:trPr>
                <w:trHeight w:val="570"/>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Gold Metal Loan @ 72% of inventory</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3,818</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4,171</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5,050</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5,975</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6,970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2,957</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3,595</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3,477</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3,269</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2,850</w:t>
                  </w:r>
                </w:p>
              </w:tc>
            </w:tr>
            <w:tr w:rsidR="00E304D4" w:rsidRPr="00F3309E" w:rsidTr="00AE28A0">
              <w:trPr>
                <w:trHeight w:val="855"/>
              </w:trPr>
              <w:tc>
                <w:tcPr>
                  <w:tcW w:w="3120" w:type="dxa"/>
                  <w:tcBorders>
                    <w:top w:val="nil"/>
                    <w:left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Actual utilised in model (fixed at ₹1,290 Cr from FY26 as conservative buffer)</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3,198</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3,339</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3,501</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3,317</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3,293</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1,290</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1,290</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1,290</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1,290</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1,290</w:t>
                  </w:r>
                </w:p>
              </w:tc>
            </w:tr>
            <w:tr w:rsidR="00E304D4" w:rsidRPr="00F3309E" w:rsidTr="00E304D4">
              <w:trPr>
                <w:trHeight w:val="855"/>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lastRenderedPageBreak/>
                    <w:t>Interest Expense on Gold Loans @ 9.7% (matches P&amp;L exactly)</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405</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360</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353</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379</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422</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220</w:t>
                  </w:r>
                </w:p>
              </w:tc>
            </w:tr>
            <w:tr w:rsidR="00E304D4" w:rsidRPr="00F3309E" w:rsidTr="00AE28A0">
              <w:trPr>
                <w:trHeight w:val="600"/>
              </w:trPr>
              <w:tc>
                <w:tcPr>
                  <w:tcW w:w="312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Surplus Cash &amp; Other Income</w:t>
                  </w:r>
                </w:p>
              </w:tc>
              <w:tc>
                <w:tcPr>
                  <w:tcW w:w="76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bottom w:val="single" w:sz="4" w:space="0" w:color="auto"/>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r>
            <w:tr w:rsidR="00E304D4" w:rsidRPr="00F3309E" w:rsidTr="00AE28A0">
              <w:trPr>
                <w:trHeight w:val="570"/>
              </w:trPr>
              <w:tc>
                <w:tcPr>
                  <w:tcW w:w="312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Closing Cash &amp; Bank Balance (from Balance Sheet)</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1,097</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777</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982</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975</w:t>
                  </w:r>
                </w:p>
              </w:tc>
              <w:tc>
                <w:tcPr>
                  <w:tcW w:w="76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6,031</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16,332</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24,112</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36,495</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51,640</w:t>
                  </w:r>
                </w:p>
              </w:tc>
              <w:tc>
                <w:tcPr>
                  <w:tcW w:w="780" w:type="dxa"/>
                  <w:tcBorders>
                    <w:top w:val="single" w:sz="4" w:space="0" w:color="auto"/>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70,009</w:t>
                  </w:r>
                </w:p>
              </w:tc>
            </w:tr>
            <w:tr w:rsidR="00E304D4" w:rsidRPr="00F3309E" w:rsidTr="00E304D4">
              <w:trPr>
                <w:trHeight w:val="570"/>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Average Surplus Cash during the year</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900</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900</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980</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11,000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20,000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30,000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44,000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61,000</w:t>
                  </w:r>
                </w:p>
              </w:tc>
            </w:tr>
            <w:tr w:rsidR="00E304D4" w:rsidRPr="00F3309E" w:rsidTr="00AE28A0">
              <w:trPr>
                <w:trHeight w:val="570"/>
              </w:trPr>
              <w:tc>
                <w:tcPr>
                  <w:tcW w:w="3120" w:type="dxa"/>
                  <w:tcBorders>
                    <w:top w:val="nil"/>
                    <w:left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Yield on Surplus Cash (ultra-safe) @ 6.5% p.a.</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w:t>
                  </w:r>
                </w:p>
              </w:tc>
              <w:tc>
                <w:tcPr>
                  <w:tcW w:w="76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228</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715</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1,300</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1,950</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2,860</w:t>
                  </w:r>
                </w:p>
              </w:tc>
              <w:tc>
                <w:tcPr>
                  <w:tcW w:w="780" w:type="dxa"/>
                  <w:tcBorders>
                    <w:top w:val="nil"/>
                    <w:left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3,965</w:t>
                  </w:r>
                </w:p>
              </w:tc>
            </w:tr>
            <w:tr w:rsidR="00E304D4" w:rsidRPr="00F3309E" w:rsidTr="00E304D4">
              <w:trPr>
                <w:trHeight w:val="855"/>
              </w:trPr>
              <w:tc>
                <w:tcPr>
                  <w:tcW w:w="312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Other Income in P&amp;L (slightly conservative vs calculated to leave buffer)</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74</w:t>
                  </w:r>
                </w:p>
              </w:tc>
              <w:tc>
                <w:tcPr>
                  <w:tcW w:w="76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144</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1,800</w:t>
                  </w:r>
                </w:p>
              </w:tc>
              <w:tc>
                <w:tcPr>
                  <w:tcW w:w="780" w:type="dxa"/>
                  <w:tcBorders>
                    <w:top w:val="nil"/>
                    <w:left w:val="nil"/>
                    <w:bottom w:val="nil"/>
                    <w:right w:val="nil"/>
                  </w:tcBorders>
                  <w:shd w:val="clear" w:color="auto" w:fill="auto"/>
                  <w:vAlign w:val="bottom"/>
                  <w:hideMark/>
                </w:tcPr>
                <w:p w:rsidR="00E304D4" w:rsidRPr="00F3309E" w:rsidRDefault="00E304D4" w:rsidP="00E304D4">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2,200</w:t>
                  </w:r>
                </w:p>
              </w:tc>
            </w:tr>
            <w:tr w:rsidR="00E304D4" w:rsidRPr="00F3309E" w:rsidTr="00AE28A0">
              <w:trPr>
                <w:trHeight w:val="285"/>
              </w:trPr>
              <w:tc>
                <w:tcPr>
                  <w:tcW w:w="312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6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c>
                <w:tcPr>
                  <w:tcW w:w="780" w:type="dxa"/>
                  <w:tcBorders>
                    <w:top w:val="nil"/>
                    <w:left w:val="nil"/>
                    <w:right w:val="nil"/>
                  </w:tcBorders>
                  <w:shd w:val="clear" w:color="auto" w:fill="auto"/>
                  <w:noWrap/>
                  <w:vAlign w:val="bottom"/>
                  <w:hideMark/>
                </w:tcPr>
                <w:p w:rsidR="00E304D4" w:rsidRPr="00F3309E" w:rsidRDefault="00E304D4" w:rsidP="00E304D4">
                  <w:pPr>
                    <w:spacing w:after="0" w:line="240" w:lineRule="auto"/>
                    <w:rPr>
                      <w:rFonts w:ascii="Times New Roman" w:eastAsia="Times New Roman" w:hAnsi="Times New Roman" w:cs="Times New Roman"/>
                      <w:color w:val="000000"/>
                      <w:sz w:val="24"/>
                      <w:szCs w:val="24"/>
                    </w:rPr>
                  </w:pPr>
                </w:p>
              </w:tc>
            </w:tr>
          </w:tbl>
          <w:p w:rsidR="00E304D4" w:rsidRPr="00F3309E" w:rsidRDefault="00E304D4" w:rsidP="00316B4D">
            <w:pPr>
              <w:spacing w:after="0" w:line="240" w:lineRule="auto"/>
              <w:rPr>
                <w:rFonts w:ascii="Times New Roman" w:eastAsia="Times New Roman" w:hAnsi="Times New Roman" w:cs="Times New Roman"/>
                <w:b/>
                <w:color w:val="000000"/>
                <w:sz w:val="24"/>
                <w:szCs w:val="24"/>
              </w:rPr>
            </w:pPr>
          </w:p>
          <w:p w:rsidR="00E304D4" w:rsidRPr="00F3309E" w:rsidRDefault="00E304D4" w:rsidP="00316B4D">
            <w:pPr>
              <w:spacing w:after="0" w:line="240" w:lineRule="auto"/>
              <w:rPr>
                <w:rFonts w:ascii="Times New Roman" w:eastAsia="Times New Roman" w:hAnsi="Times New Roman" w:cs="Times New Roman"/>
                <w:color w:val="000000"/>
                <w:sz w:val="24"/>
                <w:szCs w:val="24"/>
              </w:rPr>
            </w:pPr>
          </w:p>
          <w:p w:rsidR="00E304D4" w:rsidRPr="00F3309E" w:rsidRDefault="00E304D4"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114A31">
        <w:trPr>
          <w:trHeight w:val="285"/>
        </w:trPr>
        <w:tc>
          <w:tcPr>
            <w:tcW w:w="11876"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570"/>
        </w:trPr>
        <w:tc>
          <w:tcPr>
            <w:tcW w:w="11876" w:type="dxa"/>
            <w:tcBorders>
              <w:top w:val="nil"/>
              <w:left w:val="nil"/>
              <w:bottom w:val="nil"/>
              <w:right w:val="nil"/>
            </w:tcBorders>
            <w:shd w:val="clear" w:color="auto" w:fill="auto"/>
            <w:vAlign w:val="bottom"/>
            <w:hideMark/>
          </w:tcPr>
          <w:p w:rsidR="00316B4D" w:rsidRPr="00F3309E" w:rsidRDefault="00E304D4" w:rsidP="00316B4D">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noProof/>
                <w:color w:val="000000"/>
                <w:sz w:val="24"/>
                <w:szCs w:val="24"/>
              </w:rPr>
              <w:drawing>
                <wp:inline distT="0" distB="0" distL="0" distR="0">
                  <wp:extent cx="5943600" cy="2641600"/>
                  <wp:effectExtent l="19050" t="0" r="0" b="0"/>
                  <wp:docPr id="66" name="Picture 61" descr="char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5).png"/>
                          <pic:cNvPicPr/>
                        </pic:nvPicPr>
                        <pic:blipFill>
                          <a:blip r:embed="rId24"/>
                          <a:stretch>
                            <a:fillRect/>
                          </a:stretch>
                        </pic:blipFill>
                        <pic:spPr>
                          <a:xfrm>
                            <a:off x="0" y="0"/>
                            <a:ext cx="5943600" cy="2641600"/>
                          </a:xfrm>
                          <a:prstGeom prst="rect">
                            <a:avLst/>
                          </a:prstGeom>
                        </pic:spPr>
                      </pic:pic>
                    </a:graphicData>
                  </a:graphic>
                </wp:inline>
              </w:drawing>
            </w: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300"/>
        </w:trPr>
        <w:tc>
          <w:tcPr>
            <w:tcW w:w="11876"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570"/>
        </w:trPr>
        <w:tc>
          <w:tcPr>
            <w:tcW w:w="11876" w:type="dxa"/>
            <w:tcBorders>
              <w:top w:val="nil"/>
              <w:left w:val="nil"/>
              <w:bottom w:val="nil"/>
              <w:right w:val="nil"/>
            </w:tcBorders>
            <w:shd w:val="clear" w:color="auto" w:fill="auto"/>
            <w:vAlign w:val="bottom"/>
            <w:hideMark/>
          </w:tcPr>
          <w:p w:rsidR="00E304D4" w:rsidRPr="00F3309E" w:rsidRDefault="00E304D4" w:rsidP="00E304D4">
            <w:pPr>
              <w:rPr>
                <w:rFonts w:ascii="Times New Roman" w:eastAsia="Times New Roman" w:hAnsi="Times New Roman" w:cs="Times New Roman"/>
                <w:b/>
                <w:bCs/>
                <w:sz w:val="24"/>
                <w:szCs w:val="24"/>
              </w:rPr>
            </w:pPr>
          </w:p>
          <w:p w:rsidR="00E304D4" w:rsidRPr="00F3309E" w:rsidRDefault="00E304D4" w:rsidP="00E304D4">
            <w:pPr>
              <w:rPr>
                <w:rFonts w:ascii="Times New Roman" w:hAnsi="Times New Roman" w:cs="Times New Roman"/>
                <w:sz w:val="24"/>
                <w:szCs w:val="24"/>
              </w:rPr>
            </w:pPr>
            <w:r w:rsidRPr="00F3309E">
              <w:rPr>
                <w:rFonts w:ascii="Times New Roman" w:eastAsia="Times New Roman" w:hAnsi="Times New Roman" w:cs="Times New Roman"/>
                <w:b/>
                <w:bCs/>
                <w:sz w:val="24"/>
                <w:szCs w:val="24"/>
              </w:rPr>
              <w:t>Key Interpretations</w:t>
            </w:r>
          </w:p>
          <w:p w:rsidR="00E304D4" w:rsidRPr="00F3309E" w:rsidRDefault="00E304D4" w:rsidP="00E304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WC</w:t>
            </w:r>
            <w:r w:rsidRPr="00F3309E">
              <w:rPr>
                <w:rFonts w:ascii="Times New Roman" w:eastAsia="Times New Roman" w:hAnsi="Times New Roman" w:cs="Times New Roman"/>
                <w:sz w:val="24"/>
                <w:szCs w:val="24"/>
              </w:rPr>
              <w:t>: Net WC turns negative post-FY25 (advances &gt; inventories), freeing cash.</w:t>
            </w:r>
          </w:p>
          <w:p w:rsidR="00E304D4" w:rsidRPr="00F3309E" w:rsidRDefault="00E304D4" w:rsidP="00E304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Loans</w:t>
            </w:r>
            <w:r w:rsidRPr="00F3309E">
              <w:rPr>
                <w:rFonts w:ascii="Times New Roman" w:eastAsia="Times New Roman" w:hAnsi="Times New Roman" w:cs="Times New Roman"/>
                <w:sz w:val="24"/>
                <w:szCs w:val="24"/>
              </w:rPr>
              <w:t>: Gold loans fixed at ₹1,290 Cr FY26+ (conservative buffer).</w:t>
            </w:r>
          </w:p>
          <w:p w:rsidR="00E304D4" w:rsidRPr="00F3309E" w:rsidRDefault="00E304D4" w:rsidP="00E304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Cash &amp; Income</w:t>
            </w:r>
            <w:r w:rsidRPr="00F3309E">
              <w:rPr>
                <w:rFonts w:ascii="Times New Roman" w:eastAsia="Times New Roman" w:hAnsi="Times New Roman" w:cs="Times New Roman"/>
                <w:sz w:val="24"/>
                <w:szCs w:val="24"/>
              </w:rPr>
              <w:t>: Surplus cash yields 6.5% (~₹3,965 Cr FY30 other income).</w:t>
            </w:r>
          </w:p>
          <w:p w:rsidR="00E304D4" w:rsidRPr="00F3309E" w:rsidRDefault="00E304D4" w:rsidP="00E304D4">
            <w:pPr>
              <w:spacing w:before="100" w:beforeAutospacing="1" w:after="100" w:afterAutospacing="1" w:line="240" w:lineRule="auto"/>
              <w:ind w:left="360"/>
              <w:rPr>
                <w:rFonts w:ascii="Times New Roman" w:eastAsia="Times New Roman" w:hAnsi="Times New Roman" w:cs="Times New Roman"/>
                <w:sz w:val="24"/>
                <w:szCs w:val="24"/>
              </w:rPr>
            </w:pPr>
          </w:p>
          <w:tbl>
            <w:tblPr>
              <w:tblpPr w:leftFromText="180" w:rightFromText="180" w:vertAnchor="text" w:horzAnchor="margin" w:tblpY="-157"/>
              <w:tblOverlap w:val="never"/>
              <w:tblW w:w="10940" w:type="dxa"/>
              <w:tblLook w:val="04A0"/>
            </w:tblPr>
            <w:tblGrid>
              <w:gridCol w:w="9608"/>
              <w:gridCol w:w="222"/>
              <w:gridCol w:w="222"/>
              <w:gridCol w:w="222"/>
              <w:gridCol w:w="222"/>
              <w:gridCol w:w="222"/>
              <w:gridCol w:w="222"/>
            </w:tblGrid>
            <w:tr w:rsidR="00E304D4" w:rsidRPr="00F3309E" w:rsidTr="00E304D4">
              <w:trPr>
                <w:trHeight w:val="285"/>
              </w:trPr>
              <w:tc>
                <w:tcPr>
                  <w:tcW w:w="10940" w:type="dxa"/>
                  <w:gridSpan w:val="7"/>
                  <w:tcBorders>
                    <w:top w:val="nil"/>
                    <w:left w:val="nil"/>
                    <w:bottom w:val="nil"/>
                    <w:right w:val="nil"/>
                  </w:tcBorders>
                  <w:shd w:val="clear" w:color="auto" w:fill="auto"/>
                  <w:noWrap/>
                  <w:vAlign w:val="bottom"/>
                  <w:hideMark/>
                </w:tcPr>
                <w:p w:rsidR="00E304D4" w:rsidRPr="00F3309E" w:rsidRDefault="00E304D4" w:rsidP="0035312B">
                  <w:pPr>
                    <w:rPr>
                      <w:rFonts w:ascii="Times New Roman" w:hAnsi="Times New Roman" w:cs="Times New Roman"/>
                      <w:b/>
                      <w:bCs/>
                      <w:color w:val="000000"/>
                      <w:sz w:val="24"/>
                      <w:szCs w:val="24"/>
                    </w:rPr>
                  </w:pPr>
                  <w:r w:rsidRPr="00F3309E">
                    <w:rPr>
                      <w:rFonts w:ascii="Times New Roman" w:hAnsi="Times New Roman" w:cs="Times New Roman"/>
                      <w:b/>
                      <w:bCs/>
                      <w:color w:val="000000"/>
                      <w:sz w:val="24"/>
                      <w:szCs w:val="24"/>
                    </w:rPr>
                    <w:lastRenderedPageBreak/>
                    <w:t>From FY26 onwards, the company makes so much profit and needs so little inventory (only 95 days) that it stops borrowing almost anything.</w:t>
                  </w:r>
                  <w:r w:rsidRPr="00F3309E">
                    <w:rPr>
                      <w:rFonts w:ascii="Times New Roman" w:hAnsi="Times New Roman" w:cs="Times New Roman"/>
                      <w:color w:val="000000"/>
                      <w:sz w:val="24"/>
                      <w:szCs w:val="24"/>
                    </w:rPr>
                    <w:t xml:space="preserve"> The gold loan drops from ₹3,300 crore to only ₹1,290 crore and stays there. Almost no new debt, almost no interest.</w:t>
                  </w:r>
                </w:p>
              </w:tc>
            </w:tr>
            <w:tr w:rsidR="00E304D4" w:rsidRPr="00F3309E" w:rsidTr="00E304D4">
              <w:trPr>
                <w:trHeight w:val="300"/>
              </w:trPr>
              <w:tc>
                <w:tcPr>
                  <w:tcW w:w="10274" w:type="dxa"/>
                  <w:gridSpan w:val="4"/>
                  <w:tcBorders>
                    <w:top w:val="nil"/>
                    <w:left w:val="nil"/>
                    <w:bottom w:val="nil"/>
                    <w:right w:val="nil"/>
                  </w:tcBorders>
                  <w:shd w:val="clear" w:color="auto" w:fill="auto"/>
                  <w:noWrap/>
                  <w:vAlign w:val="bottom"/>
                  <w:hideMark/>
                </w:tcPr>
                <w:p w:rsidR="00E304D4" w:rsidRPr="00F3309E" w:rsidRDefault="00E304D4" w:rsidP="0035312B">
                  <w:pPr>
                    <w:rPr>
                      <w:rFonts w:ascii="Times New Roman" w:hAnsi="Times New Roman" w:cs="Times New Roman"/>
                      <w:b/>
                      <w:bCs/>
                      <w:color w:val="000000"/>
                      <w:sz w:val="24"/>
                      <w:szCs w:val="24"/>
                    </w:rPr>
                  </w:pPr>
                  <w:r w:rsidRPr="00F3309E">
                    <w:rPr>
                      <w:rFonts w:ascii="Times New Roman" w:hAnsi="Times New Roman" w:cs="Times New Roman"/>
                      <w:b/>
                      <w:bCs/>
                      <w:color w:val="000000"/>
                      <w:sz w:val="24"/>
                      <w:szCs w:val="24"/>
                    </w:rPr>
                    <w:t>All the extra profit (after paying tax and tiny capex) stays in the bank as cash.</w:t>
                  </w:r>
                  <w:r w:rsidRPr="00F3309E">
                    <w:rPr>
                      <w:rFonts w:ascii="Times New Roman" w:hAnsi="Times New Roman" w:cs="Times New Roman"/>
                      <w:color w:val="000000"/>
                      <w:sz w:val="24"/>
                      <w:szCs w:val="24"/>
                    </w:rPr>
                    <w:t xml:space="preserve"> Every year the cash pile grows by ₹10,000–15,000 crore because the business is throwing off that much free money. By FY30 the company is sitting on ₹70,000 crore of cash in the bank.</w:t>
                  </w: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r>
            <w:tr w:rsidR="00E304D4" w:rsidRPr="00F3309E" w:rsidTr="00E304D4">
              <w:trPr>
                <w:trHeight w:val="285"/>
              </w:trPr>
              <w:tc>
                <w:tcPr>
                  <w:tcW w:w="10718" w:type="dxa"/>
                  <w:gridSpan w:val="6"/>
                  <w:tcBorders>
                    <w:top w:val="nil"/>
                    <w:left w:val="nil"/>
                    <w:bottom w:val="nil"/>
                    <w:right w:val="nil"/>
                  </w:tcBorders>
                  <w:shd w:val="clear" w:color="auto" w:fill="auto"/>
                  <w:noWrap/>
                  <w:vAlign w:val="bottom"/>
                  <w:hideMark/>
                </w:tcPr>
                <w:p w:rsidR="00E304D4" w:rsidRPr="00F3309E" w:rsidRDefault="00E304D4" w:rsidP="0035312B">
                  <w:pPr>
                    <w:rPr>
                      <w:rFonts w:ascii="Times New Roman" w:hAnsi="Times New Roman" w:cs="Times New Roman"/>
                      <w:b/>
                      <w:bCs/>
                      <w:color w:val="000000"/>
                      <w:sz w:val="24"/>
                      <w:szCs w:val="24"/>
                    </w:rPr>
                  </w:pPr>
                  <w:r w:rsidRPr="00F3309E">
                    <w:rPr>
                      <w:rFonts w:ascii="Times New Roman" w:hAnsi="Times New Roman" w:cs="Times New Roman"/>
                      <w:b/>
                      <w:bCs/>
                      <w:color w:val="000000"/>
                      <w:sz w:val="24"/>
                      <w:szCs w:val="24"/>
                    </w:rPr>
                    <w:t>That huge cash pile quietly earns 6.5% interest every year (just like a super-safe fixed deposit).</w:t>
                  </w:r>
                  <w:r w:rsidRPr="00F3309E">
                    <w:rPr>
                      <w:rFonts w:ascii="Times New Roman" w:hAnsi="Times New Roman" w:cs="Times New Roman"/>
                      <w:color w:val="000000"/>
                      <w:sz w:val="24"/>
                      <w:szCs w:val="24"/>
                    </w:rPr>
                    <w:t xml:space="preserve"> So ₹70,000 crore × 6.5% = ₹4,550 crore of “Other Income” per year by FY30. We are showing only ₹2,200 crore in the P&amp;conservative), but even the lower number is already bigger than the entire profit the company makes today.</w:t>
                  </w: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r>
            <w:tr w:rsidR="00E304D4" w:rsidRPr="00F3309E" w:rsidTr="00E304D4">
              <w:trPr>
                <w:trHeight w:val="285"/>
              </w:trPr>
              <w:tc>
                <w:tcPr>
                  <w:tcW w:w="9608" w:type="dxa"/>
                  <w:tcBorders>
                    <w:top w:val="nil"/>
                    <w:left w:val="nil"/>
                    <w:bottom w:val="nil"/>
                    <w:right w:val="nil"/>
                  </w:tcBorders>
                  <w:shd w:val="clear" w:color="auto" w:fill="auto"/>
                  <w:noWrap/>
                  <w:vAlign w:val="bottom"/>
                  <w:hideMark/>
                </w:tcPr>
                <w:p w:rsidR="00E304D4" w:rsidRPr="00F3309E" w:rsidRDefault="00E304D4" w:rsidP="0035312B">
                  <w:pPr>
                    <w:rPr>
                      <w:rFonts w:ascii="Times New Roman" w:hAnsi="Times New Roman" w:cs="Times New Roman"/>
                      <w:b/>
                      <w:bCs/>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r>
            <w:tr w:rsidR="00E304D4" w:rsidRPr="00F3309E" w:rsidTr="00E304D4">
              <w:trPr>
                <w:trHeight w:val="285"/>
              </w:trPr>
              <w:tc>
                <w:tcPr>
                  <w:tcW w:w="9608" w:type="dxa"/>
                  <w:tcBorders>
                    <w:top w:val="nil"/>
                    <w:left w:val="nil"/>
                    <w:bottom w:val="nil"/>
                    <w:right w:val="nil"/>
                  </w:tcBorders>
                  <w:shd w:val="clear" w:color="auto" w:fill="auto"/>
                  <w:noWrap/>
                  <w:vAlign w:val="bottom"/>
                  <w:hideMark/>
                </w:tcPr>
                <w:p w:rsidR="00FF45AE" w:rsidRPr="00F3309E" w:rsidRDefault="00FF45AE"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6B3A2F" w:rsidRDefault="006B3A2F" w:rsidP="0035312B">
                  <w:pPr>
                    <w:rPr>
                      <w:rFonts w:ascii="Times New Roman" w:hAnsi="Times New Roman" w:cs="Times New Roman"/>
                      <w:b/>
                      <w:bCs/>
                      <w:color w:val="000000"/>
                      <w:sz w:val="24"/>
                      <w:szCs w:val="24"/>
                    </w:rPr>
                  </w:pPr>
                </w:p>
                <w:p w:rsidR="00FF45AE" w:rsidRPr="00F3309E" w:rsidRDefault="00FF45AE" w:rsidP="0035312B">
                  <w:pPr>
                    <w:rPr>
                      <w:rFonts w:ascii="Times New Roman" w:hAnsi="Times New Roman" w:cs="Times New Roman"/>
                      <w:b/>
                      <w:bCs/>
                      <w:color w:val="000000"/>
                      <w:sz w:val="24"/>
                      <w:szCs w:val="24"/>
                    </w:rPr>
                  </w:pPr>
                  <w:r w:rsidRPr="00F3309E">
                    <w:rPr>
                      <w:rFonts w:ascii="Times New Roman" w:hAnsi="Times New Roman" w:cs="Times New Roman"/>
                      <w:b/>
                      <w:bCs/>
                      <w:color w:val="000000"/>
                      <w:sz w:val="24"/>
                      <w:szCs w:val="24"/>
                    </w:rPr>
                    <w:lastRenderedPageBreak/>
                    <w:t>Equity Schedule-</w:t>
                  </w: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noWrap/>
                  <w:vAlign w:val="bottom"/>
                  <w:hideMark/>
                </w:tcPr>
                <w:p w:rsidR="00E304D4" w:rsidRPr="00F3309E" w:rsidRDefault="00E304D4" w:rsidP="0035312B">
                  <w:pPr>
                    <w:spacing w:after="0" w:line="240" w:lineRule="auto"/>
                    <w:rPr>
                      <w:rFonts w:ascii="Times New Roman" w:eastAsia="Times New Roman" w:hAnsi="Times New Roman" w:cs="Times New Roman"/>
                      <w:color w:val="000000"/>
                      <w:sz w:val="24"/>
                      <w:szCs w:val="24"/>
                    </w:rPr>
                  </w:pPr>
                </w:p>
              </w:tc>
            </w:tr>
          </w:tbl>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114A31">
        <w:trPr>
          <w:trHeight w:val="600"/>
        </w:trPr>
        <w:tc>
          <w:tcPr>
            <w:tcW w:w="11876" w:type="dxa"/>
            <w:tcBorders>
              <w:top w:val="nil"/>
              <w:left w:val="nil"/>
              <w:bottom w:val="nil"/>
              <w:right w:val="nil"/>
            </w:tcBorders>
            <w:shd w:val="clear" w:color="auto" w:fill="auto"/>
            <w:vAlign w:val="bottom"/>
            <w:hideMark/>
          </w:tcPr>
          <w:tbl>
            <w:tblPr>
              <w:tblW w:w="10820" w:type="dxa"/>
              <w:tblLook w:val="04A0"/>
            </w:tblPr>
            <w:tblGrid>
              <w:gridCol w:w="1455"/>
              <w:gridCol w:w="950"/>
              <w:gridCol w:w="950"/>
              <w:gridCol w:w="950"/>
              <w:gridCol w:w="950"/>
              <w:gridCol w:w="950"/>
              <w:gridCol w:w="923"/>
              <w:gridCol w:w="923"/>
              <w:gridCol w:w="923"/>
              <w:gridCol w:w="923"/>
              <w:gridCol w:w="923"/>
            </w:tblGrid>
            <w:tr w:rsidR="0035312B" w:rsidRPr="00F3309E" w:rsidTr="006B3A2F">
              <w:trPr>
                <w:trHeight w:val="300"/>
              </w:trPr>
              <w:tc>
                <w:tcPr>
                  <w:tcW w:w="1962"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lastRenderedPageBreak/>
                    <w:t>Particulars</w:t>
                  </w:r>
                </w:p>
              </w:tc>
              <w:tc>
                <w:tcPr>
                  <w:tcW w:w="443"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950"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FY22A</w:t>
                  </w:r>
                </w:p>
              </w:tc>
              <w:tc>
                <w:tcPr>
                  <w:tcW w:w="950"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FY23A</w:t>
                  </w:r>
                </w:p>
              </w:tc>
              <w:tc>
                <w:tcPr>
                  <w:tcW w:w="950"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FY24A</w:t>
                  </w:r>
                </w:p>
              </w:tc>
              <w:tc>
                <w:tcPr>
                  <w:tcW w:w="950"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923"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923"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923"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923"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c>
                <w:tcPr>
                  <w:tcW w:w="923" w:type="dxa"/>
                  <w:tcBorders>
                    <w:top w:val="nil"/>
                    <w:left w:val="nil"/>
                    <w:bottom w:val="nil"/>
                    <w:right w:val="nil"/>
                  </w:tcBorders>
                  <w:shd w:val="clear" w:color="000000" w:fill="00B0F0"/>
                  <w:vAlign w:val="center"/>
                  <w:hideMark/>
                </w:tcPr>
                <w:p w:rsidR="0035312B" w:rsidRPr="00F3309E" w:rsidRDefault="0035312B" w:rsidP="0035312B">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r>
            <w:tr w:rsidR="0035312B" w:rsidRPr="00F3309E" w:rsidTr="006B3A2F">
              <w:trPr>
                <w:trHeight w:val="600"/>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Number of Equity Shares (Crore)</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r>
            <w:tr w:rsidR="0035312B" w:rsidRPr="00F3309E" w:rsidTr="006B3A2F">
              <w:trPr>
                <w:trHeight w:val="2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Opening</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r>
            <w:tr w:rsidR="0035312B" w:rsidRPr="00F3309E" w:rsidTr="006B3A2F">
              <w:trPr>
                <w:trHeight w:val="2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Add: Fresh issue</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r>
            <w:tr w:rsidR="0035312B" w:rsidRPr="00F3309E" w:rsidTr="006B3A2F">
              <w:trPr>
                <w:trHeight w:val="2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Closing</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r>
            <w:tr w:rsidR="0035312B" w:rsidRPr="00F3309E" w:rsidTr="006B3A2F">
              <w:trPr>
                <w:trHeight w:val="570"/>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Face Value ₹10 → Equity Capital</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r>
            <w:tr w:rsidR="0035312B" w:rsidRPr="00F3309E" w:rsidTr="006B3A2F">
              <w:trPr>
                <w:trHeight w:val="315"/>
              </w:trPr>
              <w:tc>
                <w:tcPr>
                  <w:tcW w:w="1962"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Share Premium Account</w:t>
                  </w:r>
                </w:p>
              </w:tc>
              <w:tc>
                <w:tcPr>
                  <w:tcW w:w="44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927</w:t>
                  </w:r>
                </w:p>
              </w:tc>
            </w:tr>
            <w:tr w:rsidR="0035312B" w:rsidRPr="00F3309E" w:rsidTr="006B3A2F">
              <w:trPr>
                <w:trHeight w:val="5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(from IPO in March 2021 – no change since then)</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r>
            <w:tr w:rsidR="0035312B" w:rsidRPr="00F3309E" w:rsidTr="006B3A2F">
              <w:trPr>
                <w:trHeight w:val="600"/>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Retained Earnings / Reserves &amp; Surplus</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r>
            <w:tr w:rsidR="0035312B" w:rsidRPr="00F3309E" w:rsidTr="006B3A2F">
              <w:trPr>
                <w:trHeight w:val="2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Opening</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766</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1,394</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2,233</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3,507</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5,036</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8,292</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13,712</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21,962</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33,411</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48,126</w:t>
                  </w:r>
                </w:p>
              </w:tc>
            </w:tr>
            <w:tr w:rsidR="0035312B" w:rsidRPr="00F3309E" w:rsidTr="006B3A2F">
              <w:trPr>
                <w:trHeight w:val="2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Profit After Tax</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628</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840</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1,274</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1,529</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3,256</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5,422</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8,252</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11,454</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14,721</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18,900</w:t>
                  </w:r>
                </w:p>
              </w:tc>
            </w:tr>
            <w:tr w:rsidR="0035312B" w:rsidRPr="00F3309E" w:rsidTr="006B3A2F">
              <w:trPr>
                <w:trHeight w:val="2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Dividends Paid</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-1,145</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-3,771</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-4,775</w:t>
                  </w:r>
                </w:p>
              </w:tc>
            </w:tr>
            <w:tr w:rsidR="0035312B" w:rsidRPr="00F3309E" w:rsidTr="006B3A2F">
              <w:trPr>
                <w:trHeight w:val="570"/>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 till FY27 → 10% in FY28 → 25% from FY29)</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r>
            <w:tr w:rsidR="0035312B" w:rsidRPr="00F3309E" w:rsidTr="006B3A2F">
              <w:trPr>
                <w:trHeight w:val="2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Closing Retained Earnings</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1,394</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2,234</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3,507</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5,036</w:t>
                  </w: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8,292</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13,714</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21,964</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33,416</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48,131</w:t>
                  </w: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67,346</w:t>
                  </w:r>
                </w:p>
              </w:tc>
            </w:tr>
            <w:tr w:rsidR="0035312B" w:rsidRPr="00F3309E" w:rsidTr="006B3A2F">
              <w:trPr>
                <w:trHeight w:val="315"/>
              </w:trPr>
              <w:tc>
                <w:tcPr>
                  <w:tcW w:w="1962"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Reserves &amp; Surplus</w:t>
                  </w:r>
                </w:p>
              </w:tc>
              <w:tc>
                <w:tcPr>
                  <w:tcW w:w="44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2,321</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3,161</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4,434</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5,963</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9,219</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14,641</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22,891</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34,343</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49,058</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68,273</w:t>
                  </w:r>
                </w:p>
              </w:tc>
            </w:tr>
            <w:tr w:rsidR="0035312B" w:rsidRPr="00F3309E" w:rsidTr="006B3A2F">
              <w:trPr>
                <w:trHeight w:val="585"/>
              </w:trPr>
              <w:tc>
                <w:tcPr>
                  <w:tcW w:w="1962"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lastRenderedPageBreak/>
                    <w:t>(Share Premium 927 + Retained Earnings)</w:t>
                  </w:r>
                </w:p>
              </w:tc>
              <w:tc>
                <w:tcPr>
                  <w:tcW w:w="44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50"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c>
                <w:tcPr>
                  <w:tcW w:w="923" w:type="dxa"/>
                  <w:tcBorders>
                    <w:top w:val="nil"/>
                    <w:left w:val="nil"/>
                    <w:bottom w:val="nil"/>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color w:val="000000"/>
                      <w:sz w:val="24"/>
                      <w:szCs w:val="24"/>
                    </w:rPr>
                  </w:pPr>
                </w:p>
              </w:tc>
            </w:tr>
            <w:tr w:rsidR="0035312B" w:rsidRPr="00F3309E" w:rsidTr="006B3A2F">
              <w:trPr>
                <w:trHeight w:val="315"/>
              </w:trPr>
              <w:tc>
                <w:tcPr>
                  <w:tcW w:w="1962"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Net Worth</w:t>
                  </w:r>
                </w:p>
              </w:tc>
              <w:tc>
                <w:tcPr>
                  <w:tcW w:w="44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2,424</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3,264</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4,537</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6,066</w:t>
                  </w:r>
                </w:p>
              </w:tc>
              <w:tc>
                <w:tcPr>
                  <w:tcW w:w="950"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9,322</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14,744</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22,994</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34,446</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49,161</w:t>
                  </w:r>
                </w:p>
              </w:tc>
              <w:tc>
                <w:tcPr>
                  <w:tcW w:w="923" w:type="dxa"/>
                  <w:tcBorders>
                    <w:top w:val="single" w:sz="4" w:space="0" w:color="auto"/>
                    <w:left w:val="nil"/>
                    <w:bottom w:val="double" w:sz="6" w:space="0" w:color="auto"/>
                    <w:right w:val="nil"/>
                  </w:tcBorders>
                  <w:shd w:val="clear" w:color="auto" w:fill="auto"/>
                  <w:vAlign w:val="bottom"/>
                  <w:hideMark/>
                </w:tcPr>
                <w:p w:rsidR="0035312B" w:rsidRPr="00F3309E" w:rsidRDefault="0035312B" w:rsidP="0035312B">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68,376</w:t>
                  </w:r>
                </w:p>
              </w:tc>
            </w:tr>
          </w:tbl>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114A31">
        <w:trPr>
          <w:trHeight w:val="285"/>
        </w:trPr>
        <w:tc>
          <w:tcPr>
            <w:tcW w:w="11876"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285"/>
        </w:trPr>
        <w:tc>
          <w:tcPr>
            <w:tcW w:w="11876" w:type="dxa"/>
            <w:tcBorders>
              <w:top w:val="nil"/>
              <w:left w:val="nil"/>
              <w:bottom w:val="nil"/>
              <w:right w:val="nil"/>
            </w:tcBorders>
            <w:shd w:val="clear" w:color="auto" w:fill="auto"/>
            <w:vAlign w:val="bottom"/>
            <w:hideMark/>
          </w:tcPr>
          <w:p w:rsidR="00114A31" w:rsidRPr="00F3309E" w:rsidRDefault="00E304D4" w:rsidP="00FF45AE">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w:t>
            </w:r>
            <w:r w:rsidR="00114A31" w:rsidRPr="00F3309E">
              <w:rPr>
                <w:rFonts w:ascii="Times New Roman" w:eastAsia="Times New Roman" w:hAnsi="Times New Roman" w:cs="Times New Roman"/>
                <w:b/>
                <w:bCs/>
                <w:sz w:val="24"/>
                <w:szCs w:val="24"/>
              </w:rPr>
              <w:t>Key Interpretations</w:t>
            </w:r>
          </w:p>
          <w:p w:rsidR="00114A31" w:rsidRPr="00F3309E" w:rsidRDefault="00114A31" w:rsidP="00114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No Dilution</w:t>
            </w:r>
            <w:r w:rsidRPr="00F3309E">
              <w:rPr>
                <w:rFonts w:ascii="Times New Roman" w:eastAsia="Times New Roman" w:hAnsi="Times New Roman" w:cs="Times New Roman"/>
                <w:sz w:val="24"/>
                <w:szCs w:val="24"/>
              </w:rPr>
              <w:t>: Fixed 10.3 Cr shares.</w:t>
            </w:r>
          </w:p>
          <w:p w:rsidR="00114A31" w:rsidRPr="00F3309E" w:rsidRDefault="00114A31" w:rsidP="00114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Reserves</w:t>
            </w:r>
            <w:r w:rsidRPr="00F3309E">
              <w:rPr>
                <w:rFonts w:ascii="Times New Roman" w:eastAsia="Times New Roman" w:hAnsi="Times New Roman" w:cs="Times New Roman"/>
                <w:sz w:val="24"/>
                <w:szCs w:val="24"/>
              </w:rPr>
              <w:t>: Grow via PAT (₹57,395 Cr FY30 retained).</w:t>
            </w:r>
          </w:p>
          <w:p w:rsidR="00114A31" w:rsidRPr="00F3309E" w:rsidRDefault="00114A31" w:rsidP="00114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Dividends</w:t>
            </w:r>
            <w:r w:rsidRPr="00F3309E">
              <w:rPr>
                <w:rFonts w:ascii="Times New Roman" w:eastAsia="Times New Roman" w:hAnsi="Times New Roman" w:cs="Times New Roman"/>
                <w:sz w:val="24"/>
                <w:szCs w:val="24"/>
              </w:rPr>
              <w:t>: Start FY28, rising to ₹4.59/share FY30.</w:t>
            </w:r>
          </w:p>
          <w:p w:rsidR="00114A31" w:rsidRPr="00F3309E" w:rsidRDefault="00114A31" w:rsidP="00114A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Easy Insight</w:t>
            </w:r>
            <w:r w:rsidRPr="00F3309E">
              <w:rPr>
                <w:rFonts w:ascii="Times New Roman" w:eastAsia="Times New Roman" w:hAnsi="Times New Roman" w:cs="Times New Roman"/>
                <w:sz w:val="24"/>
                <w:szCs w:val="24"/>
              </w:rPr>
              <w:t>: Owners get richer through profits, not new shares—like compound interest in action.</w:t>
            </w:r>
          </w:p>
          <w:p w:rsidR="00114A31" w:rsidRPr="00F3309E" w:rsidRDefault="00114A31" w:rsidP="00316B4D">
            <w:pPr>
              <w:spacing w:after="0" w:line="240" w:lineRule="auto"/>
              <w:rPr>
                <w:rFonts w:ascii="Times New Roman" w:eastAsia="Times New Roman" w:hAnsi="Times New Roman" w:cs="Times New Roman"/>
                <w:color w:val="000000"/>
                <w:sz w:val="24"/>
                <w:szCs w:val="24"/>
              </w:rPr>
            </w:pPr>
          </w:p>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285"/>
        </w:trPr>
        <w:tc>
          <w:tcPr>
            <w:tcW w:w="11876"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570"/>
        </w:trPr>
        <w:tc>
          <w:tcPr>
            <w:tcW w:w="11876"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r w:rsidR="00316B4D" w:rsidRPr="00F3309E" w:rsidTr="00114A31">
        <w:trPr>
          <w:trHeight w:val="285"/>
        </w:trPr>
        <w:tc>
          <w:tcPr>
            <w:tcW w:w="11876"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300"/>
        </w:trPr>
        <w:tc>
          <w:tcPr>
            <w:tcW w:w="11876"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b/>
                <w:bCs/>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jc w:val="right"/>
              <w:rPr>
                <w:rFonts w:ascii="Times New Roman" w:eastAsia="Times New Roman" w:hAnsi="Times New Roman" w:cs="Times New Roman"/>
                <w:color w:val="000000"/>
                <w:sz w:val="24"/>
                <w:szCs w:val="24"/>
              </w:rPr>
            </w:pPr>
          </w:p>
        </w:tc>
      </w:tr>
      <w:tr w:rsidR="00316B4D" w:rsidRPr="00F3309E" w:rsidTr="00114A31">
        <w:trPr>
          <w:trHeight w:val="570"/>
        </w:trPr>
        <w:tc>
          <w:tcPr>
            <w:tcW w:w="11876" w:type="dxa"/>
            <w:tcBorders>
              <w:top w:val="nil"/>
              <w:left w:val="nil"/>
              <w:bottom w:val="nil"/>
              <w:right w:val="nil"/>
            </w:tcBorders>
            <w:shd w:val="clear" w:color="auto" w:fill="auto"/>
            <w:vAlign w:val="bottom"/>
            <w:hideMark/>
          </w:tcPr>
          <w:p w:rsidR="00316B4D" w:rsidRPr="00AE28A0" w:rsidRDefault="00AE28A0" w:rsidP="00316B4D">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4"/>
                <w:szCs w:val="24"/>
              </w:rPr>
              <w:t xml:space="preserve">                                                        </w:t>
            </w:r>
            <w:r w:rsidRPr="00AE28A0">
              <w:rPr>
                <w:rFonts w:ascii="Times New Roman" w:eastAsia="Times New Roman" w:hAnsi="Times New Roman" w:cs="Times New Roman"/>
                <w:b/>
                <w:color w:val="000000"/>
                <w:sz w:val="28"/>
                <w:szCs w:val="28"/>
              </w:rPr>
              <w:t xml:space="preserve">Cash Flow Statement </w:t>
            </w: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shd w:val="clear" w:color="auto" w:fill="auto"/>
            <w:vAlign w:val="bottom"/>
            <w:hideMark/>
          </w:tcPr>
          <w:p w:rsidR="00316B4D" w:rsidRPr="00F3309E" w:rsidRDefault="00316B4D" w:rsidP="00316B4D">
            <w:pPr>
              <w:spacing w:after="0" w:line="240" w:lineRule="auto"/>
              <w:rPr>
                <w:rFonts w:ascii="Times New Roman" w:eastAsia="Times New Roman" w:hAnsi="Times New Roman" w:cs="Times New Roman"/>
                <w:color w:val="000000"/>
                <w:sz w:val="24"/>
                <w:szCs w:val="24"/>
              </w:rPr>
            </w:pPr>
          </w:p>
        </w:tc>
      </w:tr>
    </w:tbl>
    <w:tbl>
      <w:tblPr>
        <w:tblpPr w:leftFromText="180" w:rightFromText="180" w:vertAnchor="text" w:horzAnchor="margin" w:tblpXSpec="center" w:tblpY="-12047"/>
        <w:tblOverlap w:val="never"/>
        <w:tblW w:w="11505" w:type="dxa"/>
        <w:tblLook w:val="04A0"/>
      </w:tblPr>
      <w:tblGrid>
        <w:gridCol w:w="2740"/>
        <w:gridCol w:w="950"/>
        <w:gridCol w:w="950"/>
        <w:gridCol w:w="950"/>
        <w:gridCol w:w="950"/>
        <w:gridCol w:w="950"/>
        <w:gridCol w:w="923"/>
        <w:gridCol w:w="923"/>
        <w:gridCol w:w="923"/>
        <w:gridCol w:w="923"/>
        <w:gridCol w:w="923"/>
      </w:tblGrid>
      <w:tr w:rsidR="00114A31" w:rsidRPr="00F3309E" w:rsidTr="00114A31">
        <w:trPr>
          <w:trHeight w:val="300"/>
        </w:trPr>
        <w:tc>
          <w:tcPr>
            <w:tcW w:w="2740"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lastRenderedPageBreak/>
              <w:t>Particulars</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FY22A</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FY23A</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FY24A</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864"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864"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864"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864"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c>
          <w:tcPr>
            <w:tcW w:w="864"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r>
      <w:tr w:rsidR="00114A31" w:rsidRPr="00F3309E" w:rsidTr="00114A31">
        <w:trPr>
          <w:trHeight w:val="60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Cash Flow from Operating Activities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r>
      <w:tr w:rsidR="00114A31" w:rsidRPr="00F3309E" w:rsidTr="00114A31">
        <w:trPr>
          <w:trHeight w:val="2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Profit Before Tax</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839</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1,122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1,704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2,044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4,353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7,246</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11,028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15,306</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19,673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25,257</w:t>
            </w:r>
          </w:p>
        </w:tc>
      </w:tr>
      <w:tr w:rsidR="00114A31" w:rsidRPr="00F3309E" w:rsidTr="00114A31">
        <w:trPr>
          <w:trHeight w:val="2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Add: Depreciation</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Add: Interest Expense (gold loan)</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353</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379</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220</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Add: Deferred Tax (small liability created)</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-47</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Operating Profit before WC changes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1,444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1,690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2,276</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2,665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5,071</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8,016</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11,776</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16,023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20,347</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25,889</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Changes in Working Capital</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(Increase)/Decrease in Inventory</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–491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–491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–1,220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–1,284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–1,383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5,574</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886</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–164</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–289</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–582</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(Increase)/Decrease in Trade Receivables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–55</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–58</w:t>
            </w:r>
          </w:p>
        </w:tc>
      </w:tr>
      <w:tr w:rsidR="00114A31" w:rsidRPr="00F3309E" w:rsidTr="00114A31">
        <w:trPr>
          <w:trHeight w:val="85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(Increase)/Decrease in Loans &amp; Advances + Others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–63</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–477</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85</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–500</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Increase/(Decrease) in Trade Payables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536</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751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406</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607</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–374</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Increase/(Decrease) in Customer Advances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717</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319</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87</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Increase/(Decrease) in Other Liabilities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–857</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r>
      <w:tr w:rsidR="00114A31" w:rsidRPr="00F3309E" w:rsidTr="00114A31">
        <w:trPr>
          <w:trHeight w:val="615"/>
        </w:trPr>
        <w:tc>
          <w:tcPr>
            <w:tcW w:w="2740"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Change in Working Capital</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–1,308</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–432</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–406</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595</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–257</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6,587</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1,118</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–81</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–336</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–1,377</w:t>
            </w:r>
          </w:p>
        </w:tc>
      </w:tr>
      <w:tr w:rsidR="00114A31" w:rsidRPr="00F3309E" w:rsidTr="00114A31">
        <w:trPr>
          <w:trHeight w:val="5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Cash Generated from Operations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1,258</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1,870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3,260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4,814</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14,603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12,894</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15,942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20,011</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24,512</w:t>
            </w:r>
          </w:p>
        </w:tc>
      </w:tr>
      <w:tr w:rsidR="00114A31" w:rsidRPr="00F3309E" w:rsidTr="00114A31">
        <w:trPr>
          <w:trHeight w:val="2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Less: Taxes Paid</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–429</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–515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–1,096</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–1,892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–2,849</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–3,929</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–5,029</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–6,435</w:t>
            </w:r>
          </w:p>
        </w:tc>
      </w:tr>
      <w:tr w:rsidR="00114A31" w:rsidRPr="00F3309E" w:rsidTr="00114A31">
        <w:trPr>
          <w:trHeight w:val="615"/>
        </w:trPr>
        <w:tc>
          <w:tcPr>
            <w:tcW w:w="2740"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Cash from Operating Activities (A)</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–75</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976</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1,441</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2,745</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3,718</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12,711</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10,045</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12,013</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14,982</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18,077</w:t>
            </w:r>
          </w:p>
        </w:tc>
      </w:tr>
      <w:tr w:rsidR="00114A31" w:rsidRPr="00F3309E" w:rsidTr="00114A31">
        <w:trPr>
          <w:trHeight w:val="300"/>
        </w:trPr>
        <w:tc>
          <w:tcPr>
            <w:tcW w:w="2740"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r>
      <w:tr w:rsidR="00114A31" w:rsidRPr="00F3309E" w:rsidTr="00114A31">
        <w:trPr>
          <w:trHeight w:val="615"/>
        </w:trPr>
        <w:tc>
          <w:tcPr>
            <w:tcW w:w="2740"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Cash from Operating Activities (A)</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–75</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976</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1,441</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2,745</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3,718</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12,711</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10,045</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12,013</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14,982</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18,077</w:t>
            </w:r>
          </w:p>
        </w:tc>
      </w:tr>
      <w:tr w:rsidR="00114A31" w:rsidRPr="00F3309E" w:rsidTr="00114A31">
        <w:trPr>
          <w:trHeight w:val="61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Cash Flow from Investing Activities (B)</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Capital Expenditure (gross block addition)</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–124</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–78</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Proceeds from sale of assets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r>
      <w:tr w:rsidR="00114A31" w:rsidRPr="00F3309E" w:rsidTr="00114A31">
        <w:trPr>
          <w:trHeight w:val="615"/>
        </w:trPr>
        <w:tc>
          <w:tcPr>
            <w:tcW w:w="2740"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Cash used in Investing Activities (B)</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–225</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–305</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–204</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–201</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–263</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–124</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–78</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r>
      <w:tr w:rsidR="00114A31" w:rsidRPr="00F3309E" w:rsidTr="00114A31">
        <w:trPr>
          <w:trHeight w:val="61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Cash Flow from Financing Activities (C)</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r>
      <w:tr w:rsidR="00114A31" w:rsidRPr="00F3309E" w:rsidTr="00114A31">
        <w:trPr>
          <w:trHeight w:val="2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Interest Paid on Gold Loan</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–353</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–379</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–220</w:t>
            </w: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lastRenderedPageBreak/>
              <w:t>Gold Loan net (repayment)/drawdown</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–2,003</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r>
      <w:tr w:rsidR="00114A31" w:rsidRPr="00F3309E" w:rsidTr="00114A31">
        <w:trPr>
          <w:trHeight w:val="2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Dividends Paid</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–1,145</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–3,771</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–4,725</w:t>
            </w:r>
          </w:p>
        </w:tc>
      </w:tr>
      <w:tr w:rsidR="00114A31" w:rsidRPr="00F3309E" w:rsidTr="00114A31">
        <w:trPr>
          <w:trHeight w:val="615"/>
        </w:trPr>
        <w:tc>
          <w:tcPr>
            <w:tcW w:w="2740"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Cash from Financing Activities (C)</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–1,007</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–219</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–191</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–563</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–446</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–2,383</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–340</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–1,445</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–4,031</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–4,945</w:t>
            </w:r>
          </w:p>
        </w:tc>
      </w:tr>
      <w:tr w:rsidR="00114A31" w:rsidRPr="00F3309E" w:rsidTr="00114A31">
        <w:trPr>
          <w:trHeight w:val="30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p>
        </w:tc>
      </w:tr>
      <w:tr w:rsidR="00114A31" w:rsidRPr="00F3309E" w:rsidTr="00114A31">
        <w:trPr>
          <w:trHeight w:val="615"/>
        </w:trPr>
        <w:tc>
          <w:tcPr>
            <w:tcW w:w="2740"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Net Increase/(Decrease) in Cash (A+B+C)</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–1,307</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452</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1,046</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1,981</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3,009</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10,204</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9,607</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10,490</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10,908</w:t>
            </w:r>
          </w:p>
        </w:tc>
        <w:tc>
          <w:tcPr>
            <w:tcW w:w="864"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13,082</w:t>
            </w:r>
          </w:p>
        </w:tc>
      </w:tr>
      <w:tr w:rsidR="00114A31" w:rsidRPr="00F3309E" w:rsidTr="00114A31">
        <w:trPr>
          <w:trHeight w:val="5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Opening Cash &amp; Bank Balance</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2,404</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1,097</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777</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975</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6,031</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16,332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24,112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36,495</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51,640</w:t>
            </w:r>
          </w:p>
        </w:tc>
      </w:tr>
      <w:tr w:rsidR="00114A31" w:rsidRPr="00F3309E" w:rsidTr="00114A31">
        <w:trPr>
          <w:trHeight w:val="60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Closing Cash &amp; Bank Balance</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1,097</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777</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6,031</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16,332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24,112</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36,495</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51,640</w:t>
            </w:r>
          </w:p>
        </w:tc>
        <w:tc>
          <w:tcPr>
            <w:tcW w:w="864"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70,009</w:t>
            </w:r>
          </w:p>
        </w:tc>
      </w:tr>
      <w:tr w:rsidR="00114A31" w:rsidRPr="00F3309E" w:rsidTr="00114A31">
        <w:trPr>
          <w:trHeight w:val="285"/>
        </w:trPr>
        <w:tc>
          <w:tcPr>
            <w:tcW w:w="2740"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300"/>
        </w:trPr>
        <w:tc>
          <w:tcPr>
            <w:tcW w:w="3629" w:type="dxa"/>
            <w:gridSpan w:val="2"/>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Funding Covenants Check</w:t>
            </w: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89"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600"/>
        </w:trPr>
        <w:tc>
          <w:tcPr>
            <w:tcW w:w="2740"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Particulars</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c>
          <w:tcPr>
            <w:tcW w:w="889" w:type="dxa"/>
            <w:tcBorders>
              <w:top w:val="nil"/>
              <w:left w:val="nil"/>
              <w:bottom w:val="nil"/>
              <w:right w:val="nil"/>
            </w:tcBorders>
            <w:shd w:val="clear" w:color="000000" w:fill="00B0F0"/>
            <w:vAlign w:val="center"/>
            <w:hideMark/>
          </w:tcPr>
          <w:p w:rsidR="00114A31" w:rsidRPr="00F3309E" w:rsidRDefault="00114A31" w:rsidP="00114A3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Cash Flow before any covenant adjustment</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10,301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9,780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12,383</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15,145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18,369</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2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Opening Cash</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6,031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16,332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24,112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51,640</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Likely Cash before covenant</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16,332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26,112</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51,640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70,009</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Minimum Cash to maintain (3 months of total opex)</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~1,300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~1,400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~1,450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~1,500</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315"/>
        </w:trPr>
        <w:tc>
          <w:tcPr>
            <w:tcW w:w="2740"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Check</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TRUE</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TRUE</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TRUE</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TRUE</w:t>
            </w:r>
          </w:p>
        </w:tc>
        <w:tc>
          <w:tcPr>
            <w:tcW w:w="889" w:type="dxa"/>
            <w:tcBorders>
              <w:top w:val="single" w:sz="4" w:space="0" w:color="auto"/>
              <w:left w:val="nil"/>
              <w:bottom w:val="double" w:sz="6" w:space="0" w:color="auto"/>
              <w:right w:val="nil"/>
            </w:tcBorders>
            <w:shd w:val="clear" w:color="auto" w:fill="auto"/>
            <w:vAlign w:val="bottom"/>
            <w:hideMark/>
          </w:tcPr>
          <w:p w:rsidR="00114A31" w:rsidRPr="00F3309E" w:rsidRDefault="00114A31" w:rsidP="00114A3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TRUE</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5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Surplus Cash during the year</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9,101</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8,480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10,983</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13,695</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16,869</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285"/>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Shortfall (none)</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r w:rsidR="00114A31" w:rsidRPr="00F3309E" w:rsidTr="00114A31">
        <w:trPr>
          <w:trHeight w:val="570"/>
        </w:trPr>
        <w:tc>
          <w:tcPr>
            <w:tcW w:w="2740" w:type="dxa"/>
            <w:tcBorders>
              <w:top w:val="nil"/>
              <w:left w:val="nil"/>
              <w:bottom w:val="nil"/>
              <w:right w:val="nil"/>
            </w:tcBorders>
            <w:shd w:val="clear" w:color="auto" w:fill="auto"/>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Incremental Debt required under covenants</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89" w:type="dxa"/>
            <w:tcBorders>
              <w:top w:val="nil"/>
              <w:left w:val="nil"/>
              <w:bottom w:val="nil"/>
              <w:right w:val="nil"/>
            </w:tcBorders>
            <w:shd w:val="clear" w:color="auto" w:fill="auto"/>
            <w:vAlign w:val="bottom"/>
            <w:hideMark/>
          </w:tcPr>
          <w:p w:rsidR="00114A31" w:rsidRPr="00F3309E" w:rsidRDefault="00114A31" w:rsidP="00114A3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w:t>
            </w: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shd w:val="clear" w:color="auto" w:fill="auto"/>
            <w:noWrap/>
            <w:vAlign w:val="bottom"/>
            <w:hideMark/>
          </w:tcPr>
          <w:p w:rsidR="00114A31" w:rsidRPr="00F3309E" w:rsidRDefault="00114A31" w:rsidP="00114A31">
            <w:pPr>
              <w:spacing w:after="0" w:line="240" w:lineRule="auto"/>
              <w:rPr>
                <w:rFonts w:ascii="Times New Roman" w:eastAsia="Times New Roman" w:hAnsi="Times New Roman" w:cs="Times New Roman"/>
                <w:color w:val="000000"/>
                <w:sz w:val="24"/>
                <w:szCs w:val="24"/>
              </w:rPr>
            </w:pPr>
          </w:p>
        </w:tc>
      </w:tr>
    </w:tbl>
    <w:p w:rsidR="007D4920" w:rsidRPr="00F3309E" w:rsidRDefault="007D4920">
      <w:pPr>
        <w:rPr>
          <w:rFonts w:ascii="Times New Roman" w:hAnsi="Times New Roman" w:cs="Times New Roman"/>
          <w:sz w:val="24"/>
          <w:szCs w:val="24"/>
        </w:rPr>
      </w:pPr>
    </w:p>
    <w:p w:rsidR="007D4920" w:rsidRPr="00F3309E" w:rsidRDefault="007D4920">
      <w:pPr>
        <w:rPr>
          <w:rFonts w:ascii="Times New Roman" w:hAnsi="Times New Roman" w:cs="Times New Roman"/>
          <w:sz w:val="24"/>
          <w:szCs w:val="24"/>
        </w:rPr>
      </w:pPr>
    </w:p>
    <w:p w:rsidR="007B187C" w:rsidRPr="00F3309E" w:rsidRDefault="007B187C" w:rsidP="007B187C">
      <w:pPr>
        <w:pStyle w:val="Heading3"/>
        <w:rPr>
          <w:sz w:val="24"/>
          <w:szCs w:val="24"/>
        </w:rPr>
      </w:pPr>
      <w:r w:rsidRPr="00F3309E">
        <w:rPr>
          <w:sz w:val="24"/>
          <w:szCs w:val="24"/>
        </w:rPr>
        <w:t>Key Interpretations</w:t>
      </w:r>
    </w:p>
    <w:p w:rsidR="007B187C" w:rsidRPr="00F3309E" w:rsidRDefault="007B187C" w:rsidP="007B1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Operating CF</w:t>
      </w:r>
      <w:r w:rsidRPr="00F3309E">
        <w:rPr>
          <w:rFonts w:ascii="Times New Roman" w:eastAsia="Times New Roman" w:hAnsi="Times New Roman" w:cs="Times New Roman"/>
          <w:sz w:val="24"/>
          <w:szCs w:val="24"/>
        </w:rPr>
        <w:t>: Strong post-FY25 (~₹13,000 Cr FY30) from WC release.</w:t>
      </w:r>
    </w:p>
    <w:p w:rsidR="007B187C" w:rsidRPr="00F3309E" w:rsidRDefault="007B187C" w:rsidP="007B1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Investing</w:t>
      </w:r>
      <w:r w:rsidRPr="00F3309E">
        <w:rPr>
          <w:rFonts w:ascii="Times New Roman" w:eastAsia="Times New Roman" w:hAnsi="Times New Roman" w:cs="Times New Roman"/>
          <w:sz w:val="24"/>
          <w:szCs w:val="24"/>
        </w:rPr>
        <w:t>: Low capex (~₹-50 Cr FY30).</w:t>
      </w:r>
    </w:p>
    <w:p w:rsidR="007B187C" w:rsidRPr="00F3309E" w:rsidRDefault="007B187C" w:rsidP="007B1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Financing</w:t>
      </w:r>
      <w:r w:rsidRPr="00F3309E">
        <w:rPr>
          <w:rFonts w:ascii="Times New Roman" w:eastAsia="Times New Roman" w:hAnsi="Times New Roman" w:cs="Times New Roman"/>
          <w:sz w:val="24"/>
          <w:szCs w:val="24"/>
        </w:rPr>
        <w:t>: Debt repayment + dividends; net positive CF.</w:t>
      </w:r>
    </w:p>
    <w:p w:rsidR="007B187C" w:rsidRPr="00F3309E" w:rsidRDefault="007B187C" w:rsidP="007B1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Covenants</w:t>
      </w:r>
      <w:r w:rsidRPr="00F3309E">
        <w:rPr>
          <w:rFonts w:ascii="Times New Roman" w:eastAsia="Times New Roman" w:hAnsi="Times New Roman" w:cs="Times New Roman"/>
          <w:sz w:val="24"/>
          <w:szCs w:val="24"/>
        </w:rPr>
        <w:t>: Always met (min cash buffer).</w:t>
      </w:r>
    </w:p>
    <w:p w:rsidR="007B187C" w:rsidRPr="00F3309E" w:rsidRDefault="007B187C" w:rsidP="007B18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Easy Insight</w:t>
      </w:r>
      <w:r w:rsidRPr="00F3309E">
        <w:rPr>
          <w:rFonts w:ascii="Times New Roman" w:eastAsia="Times New Roman" w:hAnsi="Times New Roman" w:cs="Times New Roman"/>
          <w:sz w:val="24"/>
          <w:szCs w:val="24"/>
        </w:rPr>
        <w:t>: Cash gushes in—model turns Kalyan into a cash cow by FY26.</w:t>
      </w:r>
    </w:p>
    <w:p w:rsidR="006B3A2F" w:rsidRDefault="006B3A2F">
      <w:pPr>
        <w:rPr>
          <w:rFonts w:ascii="Times New Roman" w:hAnsi="Times New Roman" w:cs="Times New Roman"/>
          <w:sz w:val="24"/>
          <w:szCs w:val="24"/>
        </w:rPr>
      </w:pPr>
    </w:p>
    <w:p w:rsidR="00E304D4" w:rsidRPr="006B3A2F" w:rsidRDefault="00E304D4">
      <w:pPr>
        <w:rPr>
          <w:rFonts w:ascii="Times New Roman" w:hAnsi="Times New Roman" w:cs="Times New Roman"/>
          <w:b/>
          <w:sz w:val="24"/>
          <w:szCs w:val="24"/>
        </w:rPr>
      </w:pPr>
      <w:r w:rsidRPr="006B3A2F">
        <w:rPr>
          <w:rFonts w:ascii="Times New Roman" w:hAnsi="Times New Roman" w:cs="Times New Roman"/>
          <w:b/>
          <w:sz w:val="24"/>
          <w:szCs w:val="24"/>
        </w:rPr>
        <w:lastRenderedPageBreak/>
        <w:t>Tax Schedule-</w:t>
      </w:r>
    </w:p>
    <w:tbl>
      <w:tblPr>
        <w:tblpPr w:leftFromText="180" w:rightFromText="180" w:vertAnchor="text" w:horzAnchor="margin" w:tblpXSpec="center" w:tblpY="218"/>
        <w:tblW w:w="10682" w:type="dxa"/>
        <w:tblLook w:val="04A0"/>
      </w:tblPr>
      <w:tblGrid>
        <w:gridCol w:w="1870"/>
        <w:gridCol w:w="956"/>
        <w:gridCol w:w="956"/>
        <w:gridCol w:w="956"/>
        <w:gridCol w:w="956"/>
        <w:gridCol w:w="956"/>
        <w:gridCol w:w="956"/>
        <w:gridCol w:w="956"/>
        <w:gridCol w:w="956"/>
        <w:gridCol w:w="956"/>
        <w:gridCol w:w="956"/>
      </w:tblGrid>
      <w:tr w:rsidR="007D4920" w:rsidRPr="00F3309E" w:rsidTr="007D4920">
        <w:trPr>
          <w:trHeight w:val="300"/>
        </w:trPr>
        <w:tc>
          <w:tcPr>
            <w:tcW w:w="1732"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Particulars</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FY22A</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FY23A</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FY24A</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c>
          <w:tcPr>
            <w:tcW w:w="895" w:type="dxa"/>
            <w:tcBorders>
              <w:top w:val="nil"/>
              <w:left w:val="nil"/>
              <w:bottom w:val="nil"/>
              <w:right w:val="nil"/>
            </w:tcBorders>
            <w:shd w:val="clear" w:color="000000" w:fill="00B0F0"/>
            <w:vAlign w:val="center"/>
            <w:hideMark/>
          </w:tcPr>
          <w:p w:rsidR="007D4920" w:rsidRPr="00F3309E" w:rsidRDefault="007D4920" w:rsidP="007D4920">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r>
      <w:tr w:rsidR="007D4920" w:rsidRPr="00F3309E" w:rsidTr="007D4920">
        <w:trPr>
          <w:trHeight w:val="570"/>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Profit Before Tax (from P&amp;L)</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839</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1,122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1,704</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2,044</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4,353</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7,246</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11,028</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15,306</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19,673</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25,257</w:t>
            </w:r>
          </w:p>
        </w:tc>
      </w:tr>
      <w:tr w:rsidR="007D4920" w:rsidRPr="00F3309E" w:rsidTr="007D4920">
        <w:trPr>
          <w:trHeight w:val="600"/>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Add: Book Depreciation</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274</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343</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r>
      <w:tr w:rsidR="007D4920" w:rsidRPr="00F3309E" w:rsidTr="007D4920">
        <w:trPr>
          <w:trHeight w:val="600"/>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Less: Tax (IT Act) Depreciation</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138</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143</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151</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144</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110</w:t>
            </w:r>
          </w:p>
        </w:tc>
      </w:tr>
      <w:tr w:rsidR="007D4920" w:rsidRPr="00F3309E" w:rsidTr="007D4920">
        <w:trPr>
          <w:trHeight w:val="915"/>
        </w:trPr>
        <w:tc>
          <w:tcPr>
            <w:tcW w:w="1732"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Taxable Profit (as per Income Tax Act)</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939</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1,216</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1,806</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2,171</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4,539</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7,475</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11,284</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15,580</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19,961</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25,557</w:t>
            </w:r>
          </w:p>
        </w:tc>
      </w:tr>
      <w:tr w:rsidR="007D4920" w:rsidRPr="00F3309E" w:rsidTr="007D4920">
        <w:trPr>
          <w:trHeight w:val="585"/>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Current Tax @ 25.17%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236</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306</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547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1,143</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1,882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2,841</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3,922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5,025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6,433</w:t>
            </w:r>
          </w:p>
        </w:tc>
      </w:tr>
      <w:tr w:rsidR="007D4920" w:rsidRPr="00F3309E" w:rsidTr="007D4920">
        <w:trPr>
          <w:trHeight w:val="570"/>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MAT on Book Profit @ 15.75%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268</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685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1,141</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1,737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2,411</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3,098</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3,978</w:t>
            </w:r>
          </w:p>
        </w:tc>
      </w:tr>
      <w:tr w:rsidR="007D4920" w:rsidRPr="00F3309E" w:rsidTr="007D4920">
        <w:trPr>
          <w:trHeight w:val="600"/>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Actual Tax Payable</w:t>
            </w:r>
            <w:r w:rsidRPr="00F3309E">
              <w:rPr>
                <w:rFonts w:ascii="Times New Roman" w:eastAsia="Times New Roman" w:hAnsi="Times New Roman" w:cs="Times New Roman"/>
                <w:color w:val="000000"/>
                <w:sz w:val="24"/>
                <w:szCs w:val="24"/>
              </w:rPr>
              <w:t xml:space="preserve"> (higher of the two)</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236</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306</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547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1,143</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1,882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2,841</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3,922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5,025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6,433</w:t>
            </w:r>
          </w:p>
        </w:tc>
      </w:tr>
      <w:tr w:rsidR="007D4920" w:rsidRPr="00F3309E" w:rsidTr="007D4920">
        <w:trPr>
          <w:trHeight w:val="600"/>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MAT Credit Utilised / Carried Forward</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r>
      <w:tr w:rsidR="007D4920" w:rsidRPr="00F3309E" w:rsidTr="007D4920">
        <w:trPr>
          <w:trHeight w:val="900"/>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Deferred Tax (Asset)/Liability created</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w:t>
            </w:r>
          </w:p>
        </w:tc>
      </w:tr>
      <w:tr w:rsidR="007D4920" w:rsidRPr="00F3309E" w:rsidTr="007D4920">
        <w:trPr>
          <w:trHeight w:val="615"/>
        </w:trPr>
        <w:tc>
          <w:tcPr>
            <w:tcW w:w="1732"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Tax Expense in P&amp;L</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211</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282</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429</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515</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1,096</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1,892</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2,849</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3,929</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5,029</w:t>
            </w:r>
          </w:p>
        </w:tc>
        <w:tc>
          <w:tcPr>
            <w:tcW w:w="895" w:type="dxa"/>
            <w:tcBorders>
              <w:top w:val="single" w:sz="4" w:space="0" w:color="auto"/>
              <w:left w:val="nil"/>
              <w:bottom w:val="double" w:sz="6" w:space="0" w:color="auto"/>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6,435</w:t>
            </w:r>
          </w:p>
        </w:tc>
      </w:tr>
      <w:tr w:rsidR="007D4920" w:rsidRPr="00F3309E" w:rsidTr="007D4920">
        <w:trPr>
          <w:trHeight w:val="615"/>
        </w:trPr>
        <w:tc>
          <w:tcPr>
            <w:tcW w:w="1732" w:type="dxa"/>
            <w:tcBorders>
              <w:top w:val="nil"/>
              <w:left w:val="nil"/>
              <w:bottom w:val="nil"/>
              <w:right w:val="nil"/>
            </w:tcBorders>
            <w:shd w:val="clear" w:color="auto" w:fill="auto"/>
            <w:vAlign w:val="bottom"/>
            <w:hideMark/>
          </w:tcPr>
          <w:p w:rsidR="007D4920" w:rsidRPr="00F3309E" w:rsidRDefault="007D4920" w:rsidP="007D4920">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Effective Tax Rate in P&amp;L</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25.20%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25.20%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25.20%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25.20%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25.20%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26.10%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25.80%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25.70%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25.60%</w:t>
            </w:r>
          </w:p>
        </w:tc>
        <w:tc>
          <w:tcPr>
            <w:tcW w:w="895" w:type="dxa"/>
            <w:tcBorders>
              <w:top w:val="nil"/>
              <w:left w:val="nil"/>
              <w:bottom w:val="nil"/>
              <w:right w:val="nil"/>
            </w:tcBorders>
            <w:shd w:val="clear" w:color="auto" w:fill="auto"/>
            <w:vAlign w:val="bottom"/>
            <w:hideMark/>
          </w:tcPr>
          <w:p w:rsidR="007D4920" w:rsidRPr="00F3309E" w:rsidRDefault="007D4920" w:rsidP="007D4920">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25.50%</w:t>
            </w:r>
          </w:p>
        </w:tc>
      </w:tr>
    </w:tbl>
    <w:p w:rsidR="007D4920" w:rsidRPr="00F3309E" w:rsidRDefault="007D4920">
      <w:pPr>
        <w:rPr>
          <w:rFonts w:ascii="Times New Roman" w:hAnsi="Times New Roman" w:cs="Times New Roman"/>
          <w:sz w:val="24"/>
          <w:szCs w:val="24"/>
        </w:rPr>
      </w:pPr>
    </w:p>
    <w:p w:rsidR="00384241" w:rsidRPr="00F3309E" w:rsidRDefault="00384241">
      <w:pPr>
        <w:rPr>
          <w:rFonts w:ascii="Times New Roman" w:hAnsi="Times New Roman" w:cs="Times New Roman"/>
          <w:sz w:val="24"/>
          <w:szCs w:val="24"/>
        </w:rPr>
      </w:pPr>
    </w:p>
    <w:p w:rsidR="007D4920" w:rsidRPr="00F3309E" w:rsidRDefault="007D4920">
      <w:pPr>
        <w:rPr>
          <w:rFonts w:ascii="Times New Roman" w:hAnsi="Times New Roman" w:cs="Times New Roman"/>
          <w:sz w:val="24"/>
          <w:szCs w:val="24"/>
        </w:rPr>
      </w:pPr>
      <w:r w:rsidRPr="00F3309E">
        <w:rPr>
          <w:rFonts w:ascii="Times New Roman" w:hAnsi="Times New Roman" w:cs="Times New Roman"/>
          <w:noProof/>
          <w:sz w:val="24"/>
          <w:szCs w:val="24"/>
        </w:rPr>
        <w:lastRenderedPageBreak/>
        <w:drawing>
          <wp:inline distT="0" distB="0" distL="0" distR="0">
            <wp:extent cx="5372459" cy="2686230"/>
            <wp:effectExtent l="19050" t="0" r="0" b="0"/>
            <wp:docPr id="64" name="Picture 63" descr="char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6).png"/>
                    <pic:cNvPicPr/>
                  </pic:nvPicPr>
                  <pic:blipFill>
                    <a:blip r:embed="rId25"/>
                    <a:stretch>
                      <a:fillRect/>
                    </a:stretch>
                  </pic:blipFill>
                  <pic:spPr>
                    <a:xfrm>
                      <a:off x="0" y="0"/>
                      <a:ext cx="5374084" cy="2687042"/>
                    </a:xfrm>
                    <a:prstGeom prst="rect">
                      <a:avLst/>
                    </a:prstGeom>
                  </pic:spPr>
                </pic:pic>
              </a:graphicData>
            </a:graphic>
          </wp:inline>
        </w:drawing>
      </w:r>
    </w:p>
    <w:p w:rsidR="007D4920" w:rsidRPr="00F3309E" w:rsidRDefault="007D4920" w:rsidP="007D4920">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Key Interpretations</w:t>
      </w:r>
    </w:p>
    <w:p w:rsidR="007D4920" w:rsidRPr="00F3309E" w:rsidRDefault="007D4920" w:rsidP="007D49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Taxable Profit</w:t>
      </w:r>
      <w:r w:rsidRPr="00F3309E">
        <w:rPr>
          <w:rFonts w:ascii="Times New Roman" w:eastAsia="Times New Roman" w:hAnsi="Times New Roman" w:cs="Times New Roman"/>
          <w:sz w:val="24"/>
          <w:szCs w:val="24"/>
        </w:rPr>
        <w:t>: Adjusted for depreciation differences; effective rate ~25.2%.</w:t>
      </w:r>
    </w:p>
    <w:p w:rsidR="007D4920" w:rsidRPr="00F3309E" w:rsidRDefault="007D4920" w:rsidP="007D49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Deferred Tax</w:t>
      </w:r>
      <w:r w:rsidRPr="00F3309E">
        <w:rPr>
          <w:rFonts w:ascii="Times New Roman" w:eastAsia="Times New Roman" w:hAnsi="Times New Roman" w:cs="Times New Roman"/>
          <w:sz w:val="24"/>
          <w:szCs w:val="24"/>
        </w:rPr>
        <w:t>: Minor assets created.</w:t>
      </w:r>
    </w:p>
    <w:p w:rsidR="007D4920" w:rsidRPr="00F3309E" w:rsidRDefault="007D4920" w:rsidP="007D492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b/>
          <w:bCs/>
          <w:sz w:val="24"/>
          <w:szCs w:val="24"/>
        </w:rPr>
        <w:t>Easy Insight</w:t>
      </w:r>
      <w:r w:rsidRPr="00F3309E">
        <w:rPr>
          <w:rFonts w:ascii="Times New Roman" w:eastAsia="Times New Roman" w:hAnsi="Times New Roman" w:cs="Times New Roman"/>
          <w:sz w:val="24"/>
          <w:szCs w:val="24"/>
        </w:rPr>
        <w:t>: Tax stays flat—model assumes compliance, no MAT hits. Simple as "pay what's due."</w:t>
      </w:r>
    </w:p>
    <w:p w:rsidR="006B3A2F" w:rsidRDefault="007D4920">
      <w:pPr>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br w:type="page"/>
      </w:r>
    </w:p>
    <w:p w:rsidR="006B3A2F" w:rsidRPr="006B3A2F" w:rsidRDefault="006B3A2F">
      <w:pPr>
        <w:rPr>
          <w:rFonts w:ascii="Times New Roman" w:eastAsia="Times New Roman" w:hAnsi="Times New Roman" w:cs="Times New Roman"/>
          <w:b/>
          <w:sz w:val="24"/>
          <w:szCs w:val="24"/>
        </w:rPr>
      </w:pPr>
      <w:r w:rsidRPr="006B3A2F">
        <w:rPr>
          <w:rFonts w:ascii="Times New Roman" w:eastAsia="Times New Roman" w:hAnsi="Times New Roman" w:cs="Times New Roman"/>
          <w:b/>
          <w:sz w:val="24"/>
          <w:szCs w:val="24"/>
        </w:rPr>
        <w:lastRenderedPageBreak/>
        <w:t>Ratio Analysis-</w:t>
      </w:r>
    </w:p>
    <w:tbl>
      <w:tblPr>
        <w:tblW w:w="11320" w:type="dxa"/>
        <w:tblInd w:w="-963" w:type="dxa"/>
        <w:tblLook w:val="04A0"/>
      </w:tblPr>
      <w:tblGrid>
        <w:gridCol w:w="1920"/>
        <w:gridCol w:w="956"/>
        <w:gridCol w:w="956"/>
        <w:gridCol w:w="956"/>
        <w:gridCol w:w="956"/>
        <w:gridCol w:w="956"/>
        <w:gridCol w:w="956"/>
        <w:gridCol w:w="956"/>
        <w:gridCol w:w="956"/>
        <w:gridCol w:w="956"/>
        <w:gridCol w:w="956"/>
      </w:tblGrid>
      <w:tr w:rsidR="007B187C" w:rsidRPr="00F3309E" w:rsidTr="007B187C">
        <w:trPr>
          <w:trHeight w:val="660"/>
        </w:trPr>
        <w:tc>
          <w:tcPr>
            <w:tcW w:w="192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Ratio (in % unless stated)</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FY21A</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FY22A</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FY23A</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FY24A</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FY27P</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FY28P</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FY29P</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FY30P</w:t>
            </w:r>
          </w:p>
        </w:tc>
      </w:tr>
      <w:tr w:rsidR="007B187C" w:rsidRPr="00F3309E" w:rsidTr="007B187C">
        <w:trPr>
          <w:trHeight w:val="330"/>
        </w:trPr>
        <w:tc>
          <w:tcPr>
            <w:tcW w:w="192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Profit Margins</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r>
      <w:tr w:rsidR="007B187C" w:rsidRPr="00F3309E" w:rsidTr="007B187C">
        <w:trPr>
          <w:trHeight w:val="285"/>
        </w:trPr>
        <w:tc>
          <w:tcPr>
            <w:tcW w:w="192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EBITDA Margin</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16.60%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15.50%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15.80%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14.10%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19.90%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26.20%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34.40%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42.10%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49.20%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58.10%</w:t>
            </w:r>
          </w:p>
        </w:tc>
      </w:tr>
      <w:tr w:rsidR="007B187C" w:rsidRPr="00F3309E" w:rsidTr="007B187C">
        <w:trPr>
          <w:trHeight w:val="285"/>
        </w:trPr>
        <w:tc>
          <w:tcPr>
            <w:tcW w:w="192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PAT Margin</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7.30%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7.80%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9.10%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8.20%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13.00%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19.30%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26.40%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33.00%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39.00%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46.40%</w:t>
            </w:r>
          </w:p>
        </w:tc>
      </w:tr>
      <w:tr w:rsidR="007B187C" w:rsidRPr="00F3309E" w:rsidTr="007B187C">
        <w:trPr>
          <w:trHeight w:val="570"/>
        </w:trPr>
        <w:tc>
          <w:tcPr>
            <w:tcW w:w="192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Making-Charge Margin</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11.60%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11.40%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11.30%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10.80%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10.80%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10.70%</w:t>
            </w:r>
          </w:p>
        </w:tc>
      </w:tr>
      <w:tr w:rsidR="007B187C" w:rsidRPr="00F3309E" w:rsidTr="007B187C">
        <w:trPr>
          <w:trHeight w:val="645"/>
        </w:trPr>
        <w:tc>
          <w:tcPr>
            <w:tcW w:w="192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Growth Rates (YoY)</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7B187C" w:rsidRPr="00F3309E" w:rsidTr="007B187C">
        <w:trPr>
          <w:trHeight w:val="300"/>
        </w:trPr>
        <w:tc>
          <w:tcPr>
            <w:tcW w:w="192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Revenue Growth</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w:t>
            </w:r>
          </w:p>
        </w:tc>
      </w:tr>
      <w:tr w:rsidR="007B187C" w:rsidRPr="00F3309E" w:rsidTr="007B187C">
        <w:trPr>
          <w:trHeight w:val="300"/>
        </w:trPr>
        <w:tc>
          <w:tcPr>
            <w:tcW w:w="192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EBITDA Growth</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46%</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27%</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w:t>
            </w:r>
          </w:p>
        </w:tc>
      </w:tr>
      <w:tr w:rsidR="007B187C" w:rsidRPr="00F3309E" w:rsidTr="007B187C">
        <w:trPr>
          <w:trHeight w:val="315"/>
        </w:trPr>
        <w:tc>
          <w:tcPr>
            <w:tcW w:w="192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PAT Growth</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52%</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113%</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66%</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52%</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29%</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w:t>
            </w:r>
          </w:p>
        </w:tc>
      </w:tr>
      <w:tr w:rsidR="007B187C" w:rsidRPr="00F3309E" w:rsidTr="007B187C">
        <w:trPr>
          <w:trHeight w:val="615"/>
        </w:trPr>
        <w:tc>
          <w:tcPr>
            <w:tcW w:w="192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Cost as % of Sales</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r>
      <w:tr w:rsidR="007B187C" w:rsidRPr="00F3309E" w:rsidTr="007B187C">
        <w:trPr>
          <w:trHeight w:val="705"/>
        </w:trPr>
        <w:tc>
          <w:tcPr>
            <w:tcW w:w="192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Raw Material Cost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76.30%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77.40%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77.00%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78.70%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73.30%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65.30%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57.40%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50.00%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43.30%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34.60%</w:t>
            </w:r>
          </w:p>
        </w:tc>
      </w:tr>
      <w:tr w:rsidR="007B187C" w:rsidRPr="00F3309E" w:rsidTr="007B187C">
        <w:trPr>
          <w:trHeight w:val="660"/>
        </w:trPr>
        <w:tc>
          <w:tcPr>
            <w:tcW w:w="192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Employee Cost %</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3.10%</w:t>
            </w:r>
          </w:p>
        </w:tc>
      </w:tr>
      <w:tr w:rsidR="007B187C" w:rsidRPr="00F3309E" w:rsidTr="007B187C">
        <w:trPr>
          <w:trHeight w:val="975"/>
        </w:trPr>
        <w:tc>
          <w:tcPr>
            <w:tcW w:w="192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Marketing + Rent + Others %</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4.60%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4.40%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r>
      <w:tr w:rsidR="007B187C" w:rsidRPr="00F3309E" w:rsidTr="007B187C">
        <w:trPr>
          <w:trHeight w:val="315"/>
        </w:trPr>
        <w:tc>
          <w:tcPr>
            <w:tcW w:w="192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Liquidity Ratios</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r>
      <w:tr w:rsidR="007B187C" w:rsidRPr="00F3309E" w:rsidTr="007B187C">
        <w:trPr>
          <w:trHeight w:val="600"/>
        </w:trPr>
        <w:tc>
          <w:tcPr>
            <w:tcW w:w="192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Current Ratio (times)</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1.43</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1.62</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1.67</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1.71</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2.46</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3.09</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3.95</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5.04</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6.46</w:t>
            </w:r>
          </w:p>
        </w:tc>
      </w:tr>
      <w:tr w:rsidR="007B187C" w:rsidRPr="00F3309E" w:rsidTr="007B187C">
        <w:trPr>
          <w:trHeight w:val="720"/>
        </w:trPr>
        <w:tc>
          <w:tcPr>
            <w:tcW w:w="192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Quick Ratio (times)</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0.14</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0.16</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0.15</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0.13</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0.22</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1.97</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2.87</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3.75</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4.85</w:t>
            </w:r>
          </w:p>
        </w:tc>
        <w:tc>
          <w:tcPr>
            <w:tcW w:w="940" w:type="dxa"/>
            <w:tcBorders>
              <w:top w:val="nil"/>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6.26</w:t>
            </w:r>
          </w:p>
        </w:tc>
      </w:tr>
      <w:tr w:rsidR="007B187C" w:rsidRPr="00F3309E" w:rsidTr="007B187C">
        <w:trPr>
          <w:trHeight w:val="795"/>
        </w:trPr>
        <w:tc>
          <w:tcPr>
            <w:tcW w:w="192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Leverage &amp; Coverage Ratios</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r>
      <w:tr w:rsidR="007B187C" w:rsidRPr="00F3309E" w:rsidTr="007B187C">
        <w:trPr>
          <w:trHeight w:val="705"/>
        </w:trPr>
        <w:tc>
          <w:tcPr>
            <w:tcW w:w="192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Debt / Equity (times)</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0.9×</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0.6×</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0.4×</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Cash</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Cash</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Cash</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Cash</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Net Cash</w:t>
            </w:r>
          </w:p>
        </w:tc>
      </w:tr>
      <w:tr w:rsidR="007B187C" w:rsidRPr="00F3309E" w:rsidTr="007B187C">
        <w:trPr>
          <w:trHeight w:val="705"/>
        </w:trPr>
        <w:tc>
          <w:tcPr>
            <w:tcW w:w="192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Interest Coverage (times)</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7.1×</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12.1×</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21.1×</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34.6×</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53.4×</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78.0×</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117.7×</w:t>
            </w:r>
          </w:p>
        </w:tc>
      </w:tr>
      <w:tr w:rsidR="007B187C" w:rsidRPr="00F3309E" w:rsidTr="007B187C">
        <w:trPr>
          <w:trHeight w:val="375"/>
        </w:trPr>
        <w:tc>
          <w:tcPr>
            <w:tcW w:w="192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Return Ratios</w:t>
            </w: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r>
      <w:tr w:rsidR="007B187C" w:rsidRPr="00F3309E" w:rsidTr="007B187C">
        <w:trPr>
          <w:trHeight w:val="675"/>
        </w:trPr>
        <w:tc>
          <w:tcPr>
            <w:tcW w:w="192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ROE (PAT / Avg Net Worth)</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25.80%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28.20%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31.50%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28.80%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43.50%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42.80%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39.50%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35.20%</w:t>
            </w:r>
          </w:p>
        </w:tc>
        <w:tc>
          <w:tcPr>
            <w:tcW w:w="940" w:type="dxa"/>
            <w:tcBorders>
              <w:top w:val="single" w:sz="4" w:space="0" w:color="auto"/>
              <w:left w:val="nil"/>
              <w:bottom w:val="nil"/>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31.80%</w:t>
            </w:r>
          </w:p>
        </w:tc>
      </w:tr>
      <w:tr w:rsidR="007B187C" w:rsidRPr="00F3309E" w:rsidTr="007B187C">
        <w:trPr>
          <w:trHeight w:val="810"/>
        </w:trPr>
        <w:tc>
          <w:tcPr>
            <w:tcW w:w="192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lastRenderedPageBreak/>
              <w:t>ROCE (EBIT / Avg Capital Employed)</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19.00%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20.10%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21.80%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20.50%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28.50%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32.60%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36.50%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38.20%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38.90%</w:t>
            </w:r>
          </w:p>
        </w:tc>
        <w:tc>
          <w:tcPr>
            <w:tcW w:w="940" w:type="dxa"/>
            <w:tcBorders>
              <w:top w:val="single" w:sz="4" w:space="0" w:color="auto"/>
              <w:left w:val="nil"/>
              <w:bottom w:val="double" w:sz="6" w:space="0" w:color="auto"/>
              <w:right w:val="nil"/>
            </w:tcBorders>
            <w:shd w:val="clear" w:color="auto" w:fill="auto"/>
            <w:vAlign w:val="bottom"/>
            <w:hideMark/>
          </w:tcPr>
          <w:p w:rsidR="007B187C" w:rsidRPr="00F3309E" w:rsidRDefault="007B187C" w:rsidP="007B187C">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39.10%</w:t>
            </w:r>
          </w:p>
        </w:tc>
      </w:tr>
      <w:tr w:rsidR="007B187C" w:rsidRPr="00F3309E" w:rsidTr="007B187C">
        <w:trPr>
          <w:trHeight w:val="300"/>
        </w:trPr>
        <w:tc>
          <w:tcPr>
            <w:tcW w:w="192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c>
          <w:tcPr>
            <w:tcW w:w="940" w:type="dxa"/>
            <w:tcBorders>
              <w:top w:val="nil"/>
              <w:left w:val="nil"/>
              <w:bottom w:val="nil"/>
              <w:right w:val="nil"/>
            </w:tcBorders>
            <w:shd w:val="clear" w:color="auto" w:fill="auto"/>
            <w:noWrap/>
            <w:vAlign w:val="bottom"/>
            <w:hideMark/>
          </w:tcPr>
          <w:p w:rsidR="007B187C" w:rsidRPr="00F3309E" w:rsidRDefault="007B187C" w:rsidP="007B187C">
            <w:pPr>
              <w:spacing w:after="0" w:line="240" w:lineRule="auto"/>
              <w:rPr>
                <w:rFonts w:ascii="Times New Roman" w:eastAsia="Times New Roman" w:hAnsi="Times New Roman" w:cs="Times New Roman"/>
                <w:color w:val="000000"/>
                <w:sz w:val="24"/>
                <w:szCs w:val="24"/>
              </w:rPr>
            </w:pPr>
          </w:p>
        </w:tc>
      </w:tr>
      <w:tr w:rsidR="007B187C" w:rsidRPr="00F3309E" w:rsidTr="007B187C">
        <w:trPr>
          <w:trHeight w:val="300"/>
        </w:trPr>
        <w:tc>
          <w:tcPr>
            <w:tcW w:w="192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c>
          <w:tcPr>
            <w:tcW w:w="940" w:type="dxa"/>
            <w:tcBorders>
              <w:top w:val="nil"/>
              <w:left w:val="nil"/>
              <w:bottom w:val="nil"/>
              <w:right w:val="nil"/>
            </w:tcBorders>
            <w:shd w:val="clear" w:color="000000" w:fill="00B0F0"/>
            <w:vAlign w:val="center"/>
            <w:hideMark/>
          </w:tcPr>
          <w:p w:rsidR="007B187C" w:rsidRPr="00F3309E" w:rsidRDefault="007B187C" w:rsidP="007B187C">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w:t>
            </w:r>
          </w:p>
        </w:tc>
      </w:tr>
    </w:tbl>
    <w:p w:rsidR="007D4920" w:rsidRPr="00F3309E" w:rsidRDefault="007D4920" w:rsidP="007D4920">
      <w:pPr>
        <w:spacing w:before="100" w:beforeAutospacing="1" w:after="100" w:afterAutospacing="1" w:line="240" w:lineRule="auto"/>
        <w:rPr>
          <w:rFonts w:ascii="Times New Roman" w:eastAsia="Times New Roman" w:hAnsi="Times New Roman" w:cs="Times New Roman"/>
          <w:sz w:val="24"/>
          <w:szCs w:val="24"/>
        </w:rPr>
      </w:pPr>
    </w:p>
    <w:p w:rsidR="002C46DF" w:rsidRPr="006B3A2F" w:rsidRDefault="002C46DF" w:rsidP="008E68A2">
      <w:pPr>
        <w:pStyle w:val="NormalWeb"/>
        <w:rPr>
          <w:b/>
        </w:rPr>
      </w:pPr>
      <w:r w:rsidRPr="006B3A2F">
        <w:rPr>
          <w:b/>
        </w:rPr>
        <w:t>Ratio Analysis – Interpretation</w:t>
      </w:r>
    </w:p>
    <w:p w:rsidR="002C46DF" w:rsidRPr="00F3309E" w:rsidRDefault="002C46DF" w:rsidP="002C46DF">
      <w:pPr>
        <w:pStyle w:val="Heading1"/>
        <w:rPr>
          <w:rFonts w:ascii="Times New Roman" w:hAnsi="Times New Roman" w:cs="Times New Roman"/>
          <w:sz w:val="24"/>
          <w:szCs w:val="24"/>
        </w:rPr>
      </w:pPr>
      <w:r w:rsidRPr="00F3309E">
        <w:rPr>
          <w:rStyle w:val="Strong"/>
          <w:rFonts w:ascii="Times New Roman" w:hAnsi="Times New Roman" w:cs="Times New Roman"/>
          <w:b/>
          <w:bCs/>
          <w:sz w:val="24"/>
          <w:szCs w:val="24"/>
        </w:rPr>
        <w:t>1. Profit Margins – Interpretation</w:t>
      </w:r>
    </w:p>
    <w:p w:rsidR="002C46DF" w:rsidRPr="00F3309E" w:rsidRDefault="002C46DF" w:rsidP="002C46DF">
      <w:pPr>
        <w:pStyle w:val="Heading3"/>
        <w:rPr>
          <w:sz w:val="24"/>
          <w:szCs w:val="24"/>
        </w:rPr>
      </w:pPr>
      <w:r w:rsidRPr="00F3309E">
        <w:rPr>
          <w:rStyle w:val="Strong"/>
          <w:b/>
          <w:bCs/>
          <w:sz w:val="24"/>
          <w:szCs w:val="24"/>
        </w:rPr>
        <w:t>EBITDA Margin (17% → 58%)</w:t>
      </w:r>
    </w:p>
    <w:p w:rsidR="002C46DF" w:rsidRPr="00F3309E" w:rsidRDefault="002C46DF" w:rsidP="002C46DF">
      <w:pPr>
        <w:pStyle w:val="NormalWeb"/>
        <w:numPr>
          <w:ilvl w:val="0"/>
          <w:numId w:val="18"/>
        </w:numPr>
      </w:pPr>
      <w:r w:rsidRPr="00F3309E">
        <w:t xml:space="preserve">The company is becoming </w:t>
      </w:r>
      <w:r w:rsidRPr="00F3309E">
        <w:rPr>
          <w:rStyle w:val="Strong"/>
        </w:rPr>
        <w:t>far more efficient</w:t>
      </w:r>
      <w:r w:rsidRPr="00F3309E">
        <w:t xml:space="preserve"> over time.</w:t>
      </w:r>
    </w:p>
    <w:p w:rsidR="002C46DF" w:rsidRPr="00F3309E" w:rsidRDefault="002C46DF" w:rsidP="002C46DF">
      <w:pPr>
        <w:pStyle w:val="NormalWeb"/>
        <w:numPr>
          <w:ilvl w:val="0"/>
          <w:numId w:val="18"/>
        </w:numPr>
      </w:pPr>
      <w:r w:rsidRPr="00F3309E">
        <w:t>Margins expand sharply due to:</w:t>
      </w:r>
    </w:p>
    <w:p w:rsidR="002C46DF" w:rsidRPr="00F3309E" w:rsidRDefault="002C46DF" w:rsidP="002C46DF">
      <w:pPr>
        <w:pStyle w:val="NormalWeb"/>
        <w:numPr>
          <w:ilvl w:val="1"/>
          <w:numId w:val="18"/>
        </w:numPr>
      </w:pPr>
      <w:r w:rsidRPr="00F3309E">
        <w:t>Higher share of studded jewellery</w:t>
      </w:r>
    </w:p>
    <w:p w:rsidR="002C46DF" w:rsidRPr="00F3309E" w:rsidRDefault="002C46DF" w:rsidP="002C46DF">
      <w:pPr>
        <w:pStyle w:val="NormalWeb"/>
        <w:numPr>
          <w:ilvl w:val="1"/>
          <w:numId w:val="18"/>
        </w:numPr>
      </w:pPr>
      <w:r w:rsidRPr="00F3309E">
        <w:t>Better inventory management</w:t>
      </w:r>
    </w:p>
    <w:p w:rsidR="002C46DF" w:rsidRPr="00F3309E" w:rsidRDefault="002C46DF" w:rsidP="002C46DF">
      <w:pPr>
        <w:pStyle w:val="NormalWeb"/>
        <w:numPr>
          <w:ilvl w:val="1"/>
          <w:numId w:val="18"/>
        </w:numPr>
      </w:pPr>
      <w:r w:rsidRPr="00F3309E">
        <w:t>More franchise-operated (asset-light) stores</w:t>
      </w:r>
    </w:p>
    <w:p w:rsidR="002C46DF" w:rsidRPr="00F3309E" w:rsidRDefault="002C46DF" w:rsidP="002C46DF">
      <w:pPr>
        <w:pStyle w:val="NormalWeb"/>
        <w:numPr>
          <w:ilvl w:val="0"/>
          <w:numId w:val="18"/>
        </w:numPr>
      </w:pPr>
      <w:r w:rsidRPr="00F3309E">
        <w:t xml:space="preserve">A rising EBITDA margin means </w:t>
      </w:r>
      <w:r w:rsidRPr="00F3309E">
        <w:rPr>
          <w:rStyle w:val="Strong"/>
        </w:rPr>
        <w:t>strong improvement in operating profit before depreciation and interest</w:t>
      </w:r>
      <w:r w:rsidRPr="00F3309E">
        <w:t>.</w:t>
      </w:r>
    </w:p>
    <w:p w:rsidR="002C46DF" w:rsidRPr="00F3309E" w:rsidRDefault="002C46DF" w:rsidP="002C46DF">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BIT Margin (17% → 64%)</w:t>
      </w:r>
    </w:p>
    <w:p w:rsidR="002C46DF" w:rsidRPr="00F3309E" w:rsidRDefault="002C46DF" w:rsidP="002C46D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Operational efficiency improves significantly.</w:t>
      </w:r>
    </w:p>
    <w:p w:rsidR="002C46DF" w:rsidRPr="00F3309E" w:rsidRDefault="002C46DF" w:rsidP="002C46D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The company is generating </w:t>
      </w:r>
      <w:r w:rsidRPr="00F3309E">
        <w:rPr>
          <w:rFonts w:ascii="Times New Roman" w:eastAsia="Times New Roman" w:hAnsi="Times New Roman" w:cs="Times New Roman"/>
          <w:b/>
          <w:bCs/>
          <w:sz w:val="24"/>
          <w:szCs w:val="24"/>
        </w:rPr>
        <w:t>more profit per rupee of sales</w:t>
      </w:r>
      <w:r w:rsidRPr="00F3309E">
        <w:rPr>
          <w:rFonts w:ascii="Times New Roman" w:eastAsia="Times New Roman" w:hAnsi="Times New Roman" w:cs="Times New Roman"/>
          <w:sz w:val="24"/>
          <w:szCs w:val="24"/>
        </w:rPr>
        <w:t xml:space="preserve"> after accounting for depreciation.</w:t>
      </w:r>
    </w:p>
    <w:p w:rsidR="002C46DF" w:rsidRPr="00F3309E" w:rsidRDefault="002C46DF" w:rsidP="002C46DF">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PBT Margin (10% → 62%)</w:t>
      </w:r>
    </w:p>
    <w:p w:rsidR="002C46DF" w:rsidRPr="00F3309E" w:rsidRDefault="002C46DF" w:rsidP="002C46D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A major jump due to:</w:t>
      </w:r>
    </w:p>
    <w:p w:rsidR="002C46DF" w:rsidRPr="00F3309E" w:rsidRDefault="002C46DF" w:rsidP="002C46DF">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Lower interest costs as gold loans reduce</w:t>
      </w:r>
    </w:p>
    <w:p w:rsidR="002C46DF" w:rsidRPr="00F3309E" w:rsidRDefault="002C46DF" w:rsidP="002C46DF">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Higher operating profits</w:t>
      </w:r>
    </w:p>
    <w:p w:rsidR="002C46DF" w:rsidRPr="00F3309E" w:rsidRDefault="002C46DF" w:rsidP="002C46D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Indicates the company is becoming </w:t>
      </w:r>
      <w:r w:rsidRPr="00F3309E">
        <w:rPr>
          <w:rFonts w:ascii="Times New Roman" w:eastAsia="Times New Roman" w:hAnsi="Times New Roman" w:cs="Times New Roman"/>
          <w:b/>
          <w:bCs/>
          <w:sz w:val="24"/>
          <w:szCs w:val="24"/>
        </w:rPr>
        <w:t>financially stronger and less debt dependent</w:t>
      </w:r>
      <w:r w:rsidRPr="00F3309E">
        <w:rPr>
          <w:rFonts w:ascii="Times New Roman" w:eastAsia="Times New Roman" w:hAnsi="Times New Roman" w:cs="Times New Roman"/>
          <w:sz w:val="24"/>
          <w:szCs w:val="24"/>
        </w:rPr>
        <w:t>.</w:t>
      </w:r>
    </w:p>
    <w:p w:rsidR="002C46DF" w:rsidRPr="00F3309E" w:rsidRDefault="002C46DF" w:rsidP="002C46DF">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PAT Margin (7% → 46%)</w:t>
      </w:r>
    </w:p>
    <w:p w:rsidR="002C46DF" w:rsidRPr="00F3309E" w:rsidRDefault="002C46DF" w:rsidP="002C46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Kalyan Jewellers is keeping a </w:t>
      </w:r>
      <w:r w:rsidRPr="00F3309E">
        <w:rPr>
          <w:rFonts w:ascii="Times New Roman" w:eastAsia="Times New Roman" w:hAnsi="Times New Roman" w:cs="Times New Roman"/>
          <w:b/>
          <w:bCs/>
          <w:sz w:val="24"/>
          <w:szCs w:val="24"/>
        </w:rPr>
        <w:t>much larger share of earnings</w:t>
      </w:r>
      <w:r w:rsidRPr="00F3309E">
        <w:rPr>
          <w:rFonts w:ascii="Times New Roman" w:eastAsia="Times New Roman" w:hAnsi="Times New Roman" w:cs="Times New Roman"/>
          <w:sz w:val="24"/>
          <w:szCs w:val="24"/>
        </w:rPr>
        <w:t xml:space="preserve"> as profit.</w:t>
      </w:r>
    </w:p>
    <w:p w:rsidR="002C46DF" w:rsidRPr="00F3309E" w:rsidRDefault="002C46DF" w:rsidP="002C46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 xml:space="preserve">This shows </w:t>
      </w:r>
      <w:r w:rsidRPr="00F3309E">
        <w:rPr>
          <w:rFonts w:ascii="Times New Roman" w:eastAsia="Times New Roman" w:hAnsi="Times New Roman" w:cs="Times New Roman"/>
          <w:b/>
          <w:bCs/>
          <w:sz w:val="24"/>
          <w:szCs w:val="24"/>
        </w:rPr>
        <w:t>excellent bottom-line improvement</w:t>
      </w:r>
      <w:r w:rsidRPr="00F3309E">
        <w:rPr>
          <w:rFonts w:ascii="Times New Roman" w:eastAsia="Times New Roman" w:hAnsi="Times New Roman" w:cs="Times New Roman"/>
          <w:sz w:val="24"/>
          <w:szCs w:val="24"/>
        </w:rPr>
        <w:t>, signalling strong value creation for shareholders.</w:t>
      </w:r>
    </w:p>
    <w:p w:rsidR="002C46DF" w:rsidRPr="00F3309E" w:rsidRDefault="002C46DF" w:rsidP="002C46DF">
      <w:pPr>
        <w:spacing w:before="100" w:beforeAutospacing="1" w:after="100" w:afterAutospacing="1" w:line="240" w:lineRule="auto"/>
        <w:outlineLvl w:val="2"/>
        <w:rPr>
          <w:rFonts w:ascii="Times New Roman" w:eastAsia="Times New Roman" w:hAnsi="Times New Roman" w:cs="Times New Roman"/>
          <w:b/>
          <w:bCs/>
          <w:sz w:val="24"/>
          <w:szCs w:val="24"/>
        </w:rPr>
      </w:pPr>
      <w:r w:rsidRPr="00F3309E">
        <w:rPr>
          <w:rFonts w:ascii="Times New Roman" w:eastAsia="Times New Roman" w:hAnsi="Times New Roman" w:cs="Times New Roman"/>
          <w:b/>
          <w:bCs/>
          <w:sz w:val="24"/>
          <w:szCs w:val="24"/>
        </w:rPr>
        <w:t>Making Charges Margin (12% → 11%)</w:t>
      </w:r>
    </w:p>
    <w:p w:rsidR="002C46DF" w:rsidRPr="00F3309E" w:rsidRDefault="002C46DF" w:rsidP="002C46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t>Mostly stable.</w:t>
      </w:r>
    </w:p>
    <w:p w:rsidR="002C46DF" w:rsidRPr="00F3309E" w:rsidRDefault="002C46DF" w:rsidP="002C46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lastRenderedPageBreak/>
        <w:t xml:space="preserve">Suggests that the company maintains a </w:t>
      </w:r>
      <w:r w:rsidRPr="00F3309E">
        <w:rPr>
          <w:rFonts w:ascii="Times New Roman" w:eastAsia="Times New Roman" w:hAnsi="Times New Roman" w:cs="Times New Roman"/>
          <w:b/>
          <w:bCs/>
          <w:sz w:val="24"/>
          <w:szCs w:val="24"/>
        </w:rPr>
        <w:t>consistent pricing policy</w:t>
      </w:r>
      <w:r w:rsidRPr="00F3309E">
        <w:rPr>
          <w:rFonts w:ascii="Times New Roman" w:eastAsia="Times New Roman" w:hAnsi="Times New Roman" w:cs="Times New Roman"/>
          <w:sz w:val="24"/>
          <w:szCs w:val="24"/>
        </w:rPr>
        <w:t xml:space="preserve"> for making charges, even as product mix changes.</w:t>
      </w:r>
    </w:p>
    <w:p w:rsidR="002C46DF" w:rsidRPr="00F3309E" w:rsidRDefault="002C46DF" w:rsidP="002C46DF">
      <w:pPr>
        <w:pStyle w:val="Heading1"/>
        <w:rPr>
          <w:rFonts w:ascii="Times New Roman" w:hAnsi="Times New Roman" w:cs="Times New Roman"/>
          <w:sz w:val="24"/>
          <w:szCs w:val="24"/>
        </w:rPr>
      </w:pPr>
      <w:r w:rsidRPr="00F3309E">
        <w:rPr>
          <w:rStyle w:val="Strong"/>
          <w:rFonts w:ascii="Times New Roman" w:hAnsi="Times New Roman" w:cs="Times New Roman"/>
          <w:b/>
          <w:bCs/>
          <w:sz w:val="24"/>
          <w:szCs w:val="24"/>
        </w:rPr>
        <w:t>3. Cost Structure (% of Sales) – Interpretation</w:t>
      </w:r>
    </w:p>
    <w:p w:rsidR="002C46DF" w:rsidRPr="00F3309E" w:rsidRDefault="002C46DF" w:rsidP="002C46DF">
      <w:pPr>
        <w:pStyle w:val="Heading3"/>
        <w:rPr>
          <w:sz w:val="24"/>
          <w:szCs w:val="24"/>
        </w:rPr>
      </w:pPr>
      <w:r w:rsidRPr="00F3309E">
        <w:rPr>
          <w:rStyle w:val="Strong"/>
          <w:b/>
          <w:bCs/>
          <w:sz w:val="24"/>
          <w:szCs w:val="24"/>
        </w:rPr>
        <w:t>Raw Material Cost (76% → 35%)</w:t>
      </w:r>
    </w:p>
    <w:p w:rsidR="002C46DF" w:rsidRPr="00F3309E" w:rsidRDefault="002C46DF" w:rsidP="002C46DF">
      <w:pPr>
        <w:pStyle w:val="NormalWeb"/>
        <w:numPr>
          <w:ilvl w:val="0"/>
          <w:numId w:val="23"/>
        </w:numPr>
      </w:pPr>
      <w:r w:rsidRPr="00F3309E">
        <w:t>A massive reduction.</w:t>
      </w:r>
    </w:p>
    <w:p w:rsidR="002C46DF" w:rsidRPr="00F3309E" w:rsidRDefault="002C46DF" w:rsidP="002C46DF">
      <w:pPr>
        <w:pStyle w:val="NormalWeb"/>
        <w:numPr>
          <w:ilvl w:val="0"/>
          <w:numId w:val="23"/>
        </w:numPr>
      </w:pPr>
      <w:r w:rsidRPr="00F3309E">
        <w:t>Indicates:</w:t>
      </w:r>
    </w:p>
    <w:p w:rsidR="002C46DF" w:rsidRPr="00F3309E" w:rsidRDefault="002C46DF" w:rsidP="002C46DF">
      <w:pPr>
        <w:pStyle w:val="NormalWeb"/>
        <w:numPr>
          <w:ilvl w:val="1"/>
          <w:numId w:val="23"/>
        </w:numPr>
      </w:pPr>
      <w:r w:rsidRPr="00F3309E">
        <w:t>Shift from gold-heavy products to studded jewellery</w:t>
      </w:r>
    </w:p>
    <w:p w:rsidR="002C46DF" w:rsidRPr="00F3309E" w:rsidRDefault="002C46DF" w:rsidP="002C46DF">
      <w:pPr>
        <w:pStyle w:val="NormalWeb"/>
        <w:numPr>
          <w:ilvl w:val="1"/>
          <w:numId w:val="23"/>
        </w:numPr>
      </w:pPr>
      <w:r w:rsidRPr="00F3309E">
        <w:t>Better procurement efficiency</w:t>
      </w:r>
    </w:p>
    <w:p w:rsidR="002C46DF" w:rsidRPr="00F3309E" w:rsidRDefault="002C46DF" w:rsidP="002C46DF">
      <w:pPr>
        <w:pStyle w:val="NormalWeb"/>
        <w:numPr>
          <w:ilvl w:val="1"/>
          <w:numId w:val="23"/>
        </w:numPr>
      </w:pPr>
      <w:r w:rsidRPr="00F3309E">
        <w:t>Lower inventory requirements</w:t>
      </w:r>
    </w:p>
    <w:p w:rsidR="002C46DF" w:rsidRPr="00F3309E" w:rsidRDefault="002C46DF" w:rsidP="002C46DF">
      <w:pPr>
        <w:pStyle w:val="NormalWeb"/>
        <w:numPr>
          <w:ilvl w:val="0"/>
          <w:numId w:val="23"/>
        </w:numPr>
      </w:pPr>
      <w:r w:rsidRPr="00F3309E">
        <w:t xml:space="preserve">This is the </w:t>
      </w:r>
      <w:r w:rsidRPr="00F3309E">
        <w:rPr>
          <w:rStyle w:val="Strong"/>
        </w:rPr>
        <w:t>biggest driver of higher margins.</w:t>
      </w:r>
    </w:p>
    <w:p w:rsidR="002C46DF" w:rsidRPr="00F3309E" w:rsidRDefault="002C46DF" w:rsidP="002C46DF">
      <w:pPr>
        <w:pStyle w:val="Heading3"/>
        <w:rPr>
          <w:sz w:val="24"/>
          <w:szCs w:val="24"/>
        </w:rPr>
      </w:pPr>
      <w:r w:rsidRPr="00F3309E">
        <w:rPr>
          <w:rStyle w:val="Strong"/>
          <w:b/>
          <w:bCs/>
          <w:sz w:val="24"/>
          <w:szCs w:val="24"/>
        </w:rPr>
        <w:t>Manufacturing Cost (1% constant)</w:t>
      </w:r>
    </w:p>
    <w:p w:rsidR="002C46DF" w:rsidRPr="00F3309E" w:rsidRDefault="002C46DF" w:rsidP="002C46DF">
      <w:pPr>
        <w:pStyle w:val="NormalWeb"/>
        <w:numPr>
          <w:ilvl w:val="0"/>
          <w:numId w:val="24"/>
        </w:numPr>
      </w:pPr>
      <w:r w:rsidRPr="00F3309E">
        <w:t xml:space="preserve">Very stable → manufacturing is </w:t>
      </w:r>
      <w:r w:rsidRPr="00F3309E">
        <w:rPr>
          <w:rStyle w:val="Strong"/>
        </w:rPr>
        <w:t>not a major variable</w:t>
      </w:r>
      <w:r w:rsidRPr="00F3309E">
        <w:t xml:space="preserve"> for jewellery retail.</w:t>
      </w:r>
    </w:p>
    <w:p w:rsidR="002C46DF" w:rsidRPr="00F3309E" w:rsidRDefault="002C46DF" w:rsidP="002C46DF">
      <w:pPr>
        <w:pStyle w:val="Heading3"/>
        <w:rPr>
          <w:sz w:val="24"/>
          <w:szCs w:val="24"/>
        </w:rPr>
      </w:pPr>
      <w:r w:rsidRPr="00F3309E">
        <w:rPr>
          <w:rStyle w:val="Strong"/>
          <w:b/>
          <w:bCs/>
          <w:sz w:val="24"/>
          <w:szCs w:val="24"/>
        </w:rPr>
        <w:t>Employee Cost (2% → 3%)</w:t>
      </w:r>
    </w:p>
    <w:p w:rsidR="002C46DF" w:rsidRPr="00F3309E" w:rsidRDefault="002C46DF" w:rsidP="002C46DF">
      <w:pPr>
        <w:pStyle w:val="NormalWeb"/>
        <w:numPr>
          <w:ilvl w:val="0"/>
          <w:numId w:val="25"/>
        </w:numPr>
      </w:pPr>
      <w:r w:rsidRPr="00F3309E">
        <w:t>Slight increase due to:</w:t>
      </w:r>
    </w:p>
    <w:p w:rsidR="002C46DF" w:rsidRPr="00F3309E" w:rsidRDefault="002C46DF" w:rsidP="002C46DF">
      <w:pPr>
        <w:pStyle w:val="NormalWeb"/>
        <w:numPr>
          <w:ilvl w:val="1"/>
          <w:numId w:val="25"/>
        </w:numPr>
      </w:pPr>
      <w:r w:rsidRPr="00F3309E">
        <w:t>Higher store count</w:t>
      </w:r>
    </w:p>
    <w:p w:rsidR="002C46DF" w:rsidRPr="00F3309E" w:rsidRDefault="002C46DF" w:rsidP="002C46DF">
      <w:pPr>
        <w:pStyle w:val="NormalWeb"/>
        <w:numPr>
          <w:ilvl w:val="1"/>
          <w:numId w:val="25"/>
        </w:numPr>
      </w:pPr>
      <w:r w:rsidRPr="00F3309E">
        <w:t>More skilled workforce for studded jewellery sales</w:t>
      </w:r>
    </w:p>
    <w:p w:rsidR="002C46DF" w:rsidRPr="00F3309E" w:rsidRDefault="002C46DF" w:rsidP="002C46DF">
      <w:pPr>
        <w:pStyle w:val="NormalWeb"/>
        <w:numPr>
          <w:ilvl w:val="0"/>
          <w:numId w:val="25"/>
        </w:numPr>
      </w:pPr>
      <w:r w:rsidRPr="00F3309E">
        <w:t xml:space="preserve">Still under control; does </w:t>
      </w:r>
      <w:r w:rsidRPr="00F3309E">
        <w:rPr>
          <w:rStyle w:val="Strong"/>
        </w:rPr>
        <w:t>not pressure margins</w:t>
      </w:r>
      <w:r w:rsidRPr="00F3309E">
        <w:t>.</w:t>
      </w:r>
    </w:p>
    <w:p w:rsidR="002C46DF" w:rsidRPr="00F3309E" w:rsidRDefault="002C46DF" w:rsidP="002C46DF">
      <w:pPr>
        <w:pStyle w:val="Heading3"/>
        <w:rPr>
          <w:sz w:val="24"/>
          <w:szCs w:val="24"/>
        </w:rPr>
      </w:pPr>
      <w:r w:rsidRPr="00F3309E">
        <w:rPr>
          <w:rStyle w:val="Strong"/>
          <w:b/>
          <w:bCs/>
          <w:sz w:val="24"/>
          <w:szCs w:val="24"/>
        </w:rPr>
        <w:t>Marketing + Rent + Others (5% → 4%)</w:t>
      </w:r>
    </w:p>
    <w:p w:rsidR="002C46DF" w:rsidRPr="00F3309E" w:rsidRDefault="002C46DF" w:rsidP="002C46DF">
      <w:pPr>
        <w:pStyle w:val="NormalWeb"/>
        <w:numPr>
          <w:ilvl w:val="0"/>
          <w:numId w:val="26"/>
        </w:numPr>
      </w:pPr>
      <w:r w:rsidRPr="00F3309E">
        <w:t>Shows improved efficiency.</w:t>
      </w:r>
    </w:p>
    <w:p w:rsidR="002C46DF" w:rsidRPr="00F3309E" w:rsidRDefault="002C46DF" w:rsidP="008E68A2">
      <w:pPr>
        <w:pStyle w:val="NormalWeb"/>
        <w:numPr>
          <w:ilvl w:val="0"/>
          <w:numId w:val="26"/>
        </w:numPr>
      </w:pPr>
      <w:r w:rsidRPr="00F3309E">
        <w:t>Franchise model reduces rent burden.</w:t>
      </w:r>
    </w:p>
    <w:p w:rsidR="002C46DF" w:rsidRPr="00F3309E" w:rsidRDefault="002C46DF" w:rsidP="002C46DF">
      <w:pPr>
        <w:pStyle w:val="Heading1"/>
        <w:rPr>
          <w:rFonts w:ascii="Times New Roman" w:hAnsi="Times New Roman" w:cs="Times New Roman"/>
          <w:sz w:val="24"/>
          <w:szCs w:val="24"/>
        </w:rPr>
      </w:pPr>
      <w:r w:rsidRPr="00F3309E">
        <w:rPr>
          <w:rStyle w:val="Strong"/>
          <w:rFonts w:ascii="Times New Roman" w:hAnsi="Times New Roman" w:cs="Times New Roman"/>
          <w:b/>
          <w:bCs/>
          <w:sz w:val="24"/>
          <w:szCs w:val="24"/>
        </w:rPr>
        <w:t>4. Liquidity Ratios – Interpretation</w:t>
      </w:r>
    </w:p>
    <w:p w:rsidR="002C46DF" w:rsidRPr="00F3309E" w:rsidRDefault="002C46DF" w:rsidP="002C46DF">
      <w:pPr>
        <w:pStyle w:val="Heading3"/>
        <w:rPr>
          <w:sz w:val="24"/>
          <w:szCs w:val="24"/>
        </w:rPr>
      </w:pPr>
      <w:r w:rsidRPr="00F3309E">
        <w:rPr>
          <w:rStyle w:val="Strong"/>
          <w:b/>
          <w:bCs/>
          <w:sz w:val="24"/>
          <w:szCs w:val="24"/>
        </w:rPr>
        <w:t>Current Ratio (1.1x → 6.1x)</w:t>
      </w:r>
    </w:p>
    <w:p w:rsidR="002C46DF" w:rsidRPr="00F3309E" w:rsidRDefault="002C46DF" w:rsidP="002C46DF">
      <w:pPr>
        <w:pStyle w:val="NormalWeb"/>
        <w:numPr>
          <w:ilvl w:val="0"/>
          <w:numId w:val="27"/>
        </w:numPr>
      </w:pPr>
      <w:r w:rsidRPr="00F3309E">
        <w:t>Huge improvement in liquidity.</w:t>
      </w:r>
    </w:p>
    <w:p w:rsidR="002C46DF" w:rsidRPr="00F3309E" w:rsidRDefault="002C46DF" w:rsidP="002C46DF">
      <w:pPr>
        <w:pStyle w:val="NormalWeb"/>
        <w:numPr>
          <w:ilvl w:val="0"/>
          <w:numId w:val="27"/>
        </w:numPr>
      </w:pPr>
      <w:r w:rsidRPr="00F3309E">
        <w:t xml:space="preserve">Company is </w:t>
      </w:r>
      <w:r w:rsidRPr="00F3309E">
        <w:rPr>
          <w:rStyle w:val="Strong"/>
        </w:rPr>
        <w:t>very comfortably able to meet its short-term liabilities</w:t>
      </w:r>
      <w:r w:rsidRPr="00F3309E">
        <w:t>.</w:t>
      </w:r>
    </w:p>
    <w:p w:rsidR="002C46DF" w:rsidRPr="00F3309E" w:rsidRDefault="002C46DF" w:rsidP="002C46DF">
      <w:pPr>
        <w:pStyle w:val="Heading3"/>
        <w:rPr>
          <w:sz w:val="24"/>
          <w:szCs w:val="24"/>
        </w:rPr>
      </w:pPr>
      <w:r w:rsidRPr="00F3309E">
        <w:rPr>
          <w:rStyle w:val="Strong"/>
          <w:b/>
          <w:bCs/>
          <w:sz w:val="24"/>
          <w:szCs w:val="24"/>
        </w:rPr>
        <w:t>Quick Ratio (0.2x → 5.6x)</w:t>
      </w:r>
    </w:p>
    <w:p w:rsidR="002C46DF" w:rsidRPr="00F3309E" w:rsidRDefault="002C46DF" w:rsidP="002C46DF">
      <w:pPr>
        <w:pStyle w:val="NormalWeb"/>
        <w:numPr>
          <w:ilvl w:val="0"/>
          <w:numId w:val="28"/>
        </w:numPr>
      </w:pPr>
      <w:r w:rsidRPr="00F3309E">
        <w:t>Dramatic improvement due to:</w:t>
      </w:r>
    </w:p>
    <w:p w:rsidR="002C46DF" w:rsidRPr="00F3309E" w:rsidRDefault="002C46DF" w:rsidP="002C46DF">
      <w:pPr>
        <w:pStyle w:val="NormalWeb"/>
        <w:numPr>
          <w:ilvl w:val="1"/>
          <w:numId w:val="28"/>
        </w:numPr>
      </w:pPr>
      <w:r w:rsidRPr="00F3309E">
        <w:t>Lower inventory</w:t>
      </w:r>
    </w:p>
    <w:p w:rsidR="002C46DF" w:rsidRPr="00F3309E" w:rsidRDefault="002C46DF" w:rsidP="002C46DF">
      <w:pPr>
        <w:pStyle w:val="NormalWeb"/>
        <w:numPr>
          <w:ilvl w:val="1"/>
          <w:numId w:val="28"/>
        </w:numPr>
      </w:pPr>
      <w:r w:rsidRPr="00F3309E">
        <w:t>Higher cash reserves</w:t>
      </w:r>
    </w:p>
    <w:p w:rsidR="002C46DF" w:rsidRPr="00F3309E" w:rsidRDefault="002C46DF" w:rsidP="002C46DF">
      <w:pPr>
        <w:pStyle w:val="NormalWeb"/>
        <w:numPr>
          <w:ilvl w:val="0"/>
          <w:numId w:val="28"/>
        </w:numPr>
      </w:pPr>
      <w:r w:rsidRPr="00F3309E">
        <w:t xml:space="preserve">Indicates a </w:t>
      </w:r>
      <w:r w:rsidRPr="00F3309E">
        <w:rPr>
          <w:rStyle w:val="Strong"/>
        </w:rPr>
        <w:t>strong short-term financial position</w:t>
      </w:r>
      <w:r w:rsidRPr="00F3309E">
        <w:t>.</w:t>
      </w:r>
    </w:p>
    <w:p w:rsidR="002C46DF" w:rsidRPr="00F3309E" w:rsidRDefault="002C46DF" w:rsidP="002C46DF">
      <w:pPr>
        <w:pStyle w:val="Heading1"/>
        <w:rPr>
          <w:rFonts w:ascii="Times New Roman" w:hAnsi="Times New Roman" w:cs="Times New Roman"/>
          <w:sz w:val="24"/>
          <w:szCs w:val="24"/>
        </w:rPr>
      </w:pPr>
      <w:r w:rsidRPr="00F3309E">
        <w:rPr>
          <w:rStyle w:val="Strong"/>
          <w:rFonts w:ascii="Times New Roman" w:hAnsi="Times New Roman" w:cs="Times New Roman"/>
          <w:b/>
          <w:bCs/>
          <w:sz w:val="24"/>
          <w:szCs w:val="24"/>
        </w:rPr>
        <w:lastRenderedPageBreak/>
        <w:t>5. Financial Ratios – Interpretation</w:t>
      </w:r>
    </w:p>
    <w:p w:rsidR="002C46DF" w:rsidRPr="00F3309E" w:rsidRDefault="002C46DF" w:rsidP="002C46DF">
      <w:pPr>
        <w:pStyle w:val="Heading3"/>
        <w:rPr>
          <w:sz w:val="24"/>
          <w:szCs w:val="24"/>
        </w:rPr>
      </w:pPr>
      <w:r w:rsidRPr="00F3309E">
        <w:rPr>
          <w:rStyle w:val="Strong"/>
          <w:b/>
          <w:bCs/>
          <w:sz w:val="24"/>
          <w:szCs w:val="24"/>
        </w:rPr>
        <w:t>ROE (19% → ~27%)</w:t>
      </w:r>
    </w:p>
    <w:p w:rsidR="002C46DF" w:rsidRPr="00F3309E" w:rsidRDefault="002C46DF" w:rsidP="002C46DF">
      <w:pPr>
        <w:pStyle w:val="NormalWeb"/>
        <w:numPr>
          <w:ilvl w:val="0"/>
          <w:numId w:val="29"/>
        </w:numPr>
      </w:pPr>
      <w:r w:rsidRPr="00F3309E">
        <w:t>Strong and stable return for shareholders.</w:t>
      </w:r>
    </w:p>
    <w:p w:rsidR="002C46DF" w:rsidRPr="00F3309E" w:rsidRDefault="002C46DF" w:rsidP="002C46DF">
      <w:pPr>
        <w:pStyle w:val="NormalWeb"/>
        <w:numPr>
          <w:ilvl w:val="0"/>
          <w:numId w:val="29"/>
        </w:numPr>
      </w:pPr>
      <w:r w:rsidRPr="00F3309E">
        <w:t>High ROE indicates:</w:t>
      </w:r>
    </w:p>
    <w:p w:rsidR="002C46DF" w:rsidRPr="00F3309E" w:rsidRDefault="002C46DF" w:rsidP="002C46DF">
      <w:pPr>
        <w:pStyle w:val="NormalWeb"/>
        <w:numPr>
          <w:ilvl w:val="1"/>
          <w:numId w:val="29"/>
        </w:numPr>
      </w:pPr>
      <w:r w:rsidRPr="00F3309E">
        <w:t>Effective capital usage</w:t>
      </w:r>
    </w:p>
    <w:p w:rsidR="002C46DF" w:rsidRPr="00F3309E" w:rsidRDefault="002C46DF" w:rsidP="002C46DF">
      <w:pPr>
        <w:pStyle w:val="NormalWeb"/>
        <w:numPr>
          <w:ilvl w:val="1"/>
          <w:numId w:val="29"/>
        </w:numPr>
      </w:pPr>
      <w:r w:rsidRPr="00F3309E">
        <w:t>Strong profitability</w:t>
      </w:r>
    </w:p>
    <w:p w:rsidR="002C46DF" w:rsidRPr="00F3309E" w:rsidRDefault="002C46DF" w:rsidP="002C46DF">
      <w:pPr>
        <w:pStyle w:val="Heading3"/>
        <w:rPr>
          <w:sz w:val="24"/>
          <w:szCs w:val="24"/>
        </w:rPr>
      </w:pPr>
      <w:r w:rsidRPr="00F3309E">
        <w:rPr>
          <w:rStyle w:val="Strong"/>
          <w:b/>
          <w:bCs/>
          <w:sz w:val="24"/>
          <w:szCs w:val="24"/>
        </w:rPr>
        <w:t>ROAE (~19% → 39%)</w:t>
      </w:r>
    </w:p>
    <w:p w:rsidR="002C46DF" w:rsidRPr="00F3309E" w:rsidRDefault="002C46DF" w:rsidP="002C46DF">
      <w:pPr>
        <w:pStyle w:val="NormalWeb"/>
        <w:numPr>
          <w:ilvl w:val="0"/>
          <w:numId w:val="30"/>
        </w:numPr>
      </w:pPr>
      <w:r w:rsidRPr="00F3309E">
        <w:t>Improved asset productivity.</w:t>
      </w:r>
    </w:p>
    <w:p w:rsidR="002C46DF" w:rsidRPr="00F3309E" w:rsidRDefault="002C46DF" w:rsidP="002C46DF">
      <w:pPr>
        <w:pStyle w:val="NormalWeb"/>
        <w:numPr>
          <w:ilvl w:val="0"/>
          <w:numId w:val="30"/>
        </w:numPr>
      </w:pPr>
      <w:r w:rsidRPr="00F3309E">
        <w:t xml:space="preserve">The business is </w:t>
      </w:r>
      <w:r w:rsidRPr="00F3309E">
        <w:rPr>
          <w:rStyle w:val="Strong"/>
        </w:rPr>
        <w:t>generating more income per rupee of asset</w:t>
      </w:r>
      <w:r w:rsidRPr="00F3309E">
        <w:t>.</w:t>
      </w:r>
    </w:p>
    <w:p w:rsidR="002C46DF" w:rsidRPr="00F3309E" w:rsidRDefault="002C46DF" w:rsidP="008E68A2">
      <w:pPr>
        <w:pStyle w:val="NormalWeb"/>
      </w:pPr>
    </w:p>
    <w:p w:rsidR="002C46DF" w:rsidRPr="00F3309E" w:rsidRDefault="002C46DF" w:rsidP="002C46DF">
      <w:pPr>
        <w:pStyle w:val="Heading1"/>
        <w:rPr>
          <w:rFonts w:ascii="Times New Roman" w:hAnsi="Times New Roman" w:cs="Times New Roman"/>
          <w:sz w:val="24"/>
          <w:szCs w:val="24"/>
        </w:rPr>
      </w:pPr>
      <w:r w:rsidRPr="00F3309E">
        <w:rPr>
          <w:rStyle w:val="Strong"/>
          <w:rFonts w:ascii="Times New Roman" w:hAnsi="Times New Roman" w:cs="Times New Roman"/>
          <w:b/>
          <w:bCs/>
          <w:sz w:val="24"/>
          <w:szCs w:val="24"/>
        </w:rPr>
        <w:t>6. Leverage Ratios – Interpretation</w:t>
      </w:r>
    </w:p>
    <w:p w:rsidR="002C46DF" w:rsidRPr="00F3309E" w:rsidRDefault="002C46DF" w:rsidP="002C46DF">
      <w:pPr>
        <w:pStyle w:val="Heading3"/>
        <w:rPr>
          <w:sz w:val="24"/>
          <w:szCs w:val="24"/>
        </w:rPr>
      </w:pPr>
      <w:r w:rsidRPr="00F3309E">
        <w:rPr>
          <w:rStyle w:val="Strong"/>
          <w:b/>
          <w:bCs/>
          <w:sz w:val="24"/>
          <w:szCs w:val="24"/>
        </w:rPr>
        <w:t>Net Debt / Equity (1 → -1)</w:t>
      </w:r>
    </w:p>
    <w:p w:rsidR="002C46DF" w:rsidRPr="00F3309E" w:rsidRDefault="002C46DF" w:rsidP="002C46DF">
      <w:pPr>
        <w:pStyle w:val="NormalWeb"/>
        <w:numPr>
          <w:ilvl w:val="0"/>
          <w:numId w:val="31"/>
        </w:numPr>
      </w:pPr>
      <w:r w:rsidRPr="00F3309E">
        <w:t xml:space="preserve">Moves from </w:t>
      </w:r>
      <w:r w:rsidRPr="00F3309E">
        <w:rPr>
          <w:rStyle w:val="Strong"/>
        </w:rPr>
        <w:t>high leverage</w:t>
      </w:r>
      <w:r w:rsidRPr="00F3309E">
        <w:t xml:space="preserve"> (more debt than equity)</w:t>
      </w:r>
      <w:r w:rsidRPr="00F3309E">
        <w:br/>
        <w:t xml:space="preserve">to </w:t>
      </w:r>
      <w:r w:rsidRPr="00F3309E">
        <w:rPr>
          <w:rStyle w:val="Strong"/>
        </w:rPr>
        <w:t>negative net debt</w:t>
      </w:r>
      <w:r w:rsidRPr="00F3309E">
        <w:t xml:space="preserve"> (more cash than debt).</w:t>
      </w:r>
    </w:p>
    <w:p w:rsidR="002C46DF" w:rsidRPr="00F3309E" w:rsidRDefault="002C46DF" w:rsidP="002C46DF">
      <w:pPr>
        <w:pStyle w:val="NormalWeb"/>
        <w:numPr>
          <w:ilvl w:val="0"/>
          <w:numId w:val="31"/>
        </w:numPr>
      </w:pPr>
      <w:r w:rsidRPr="00F3309E">
        <w:t xml:space="preserve">Extremely positive sign — company becomes </w:t>
      </w:r>
      <w:r w:rsidRPr="00F3309E">
        <w:rPr>
          <w:rStyle w:val="Strong"/>
        </w:rPr>
        <w:t>debt-free and cash rich</w:t>
      </w:r>
      <w:r w:rsidRPr="00F3309E">
        <w:t>.</w:t>
      </w:r>
    </w:p>
    <w:p w:rsidR="002C46DF" w:rsidRPr="00F3309E" w:rsidRDefault="002C46DF" w:rsidP="002C46DF">
      <w:pPr>
        <w:pStyle w:val="Heading3"/>
        <w:rPr>
          <w:sz w:val="24"/>
          <w:szCs w:val="24"/>
        </w:rPr>
      </w:pPr>
      <w:r w:rsidRPr="00F3309E">
        <w:rPr>
          <w:rStyle w:val="Strong"/>
          <w:b/>
          <w:bCs/>
          <w:sz w:val="24"/>
          <w:szCs w:val="24"/>
        </w:rPr>
        <w:t>Interest Coverage (3.6 → 78.2)</w:t>
      </w:r>
    </w:p>
    <w:p w:rsidR="002C46DF" w:rsidRPr="00F3309E" w:rsidRDefault="002C46DF" w:rsidP="002C46DF">
      <w:pPr>
        <w:pStyle w:val="NormalWeb"/>
        <w:numPr>
          <w:ilvl w:val="0"/>
          <w:numId w:val="32"/>
        </w:numPr>
      </w:pPr>
      <w:r w:rsidRPr="00F3309E">
        <w:t>One of the strongest improvements.</w:t>
      </w:r>
    </w:p>
    <w:p w:rsidR="002C46DF" w:rsidRPr="00F3309E" w:rsidRDefault="002C46DF" w:rsidP="002C46DF">
      <w:pPr>
        <w:pStyle w:val="NormalWeb"/>
        <w:numPr>
          <w:ilvl w:val="0"/>
          <w:numId w:val="32"/>
        </w:numPr>
      </w:pPr>
      <w:r w:rsidRPr="00F3309E">
        <w:t>Shows the company can easily cover interest costs.</w:t>
      </w:r>
    </w:p>
    <w:p w:rsidR="002C46DF" w:rsidRPr="00F3309E" w:rsidRDefault="002C46DF" w:rsidP="002C46DF">
      <w:pPr>
        <w:pStyle w:val="NormalWeb"/>
        <w:numPr>
          <w:ilvl w:val="0"/>
          <w:numId w:val="32"/>
        </w:numPr>
      </w:pPr>
      <w:r w:rsidRPr="00F3309E">
        <w:t xml:space="preserve">Indicates </w:t>
      </w:r>
      <w:r w:rsidRPr="00F3309E">
        <w:rPr>
          <w:rStyle w:val="Strong"/>
        </w:rPr>
        <w:t>very low financial risk</w:t>
      </w:r>
      <w:r w:rsidRPr="00F3309E">
        <w:t>.</w:t>
      </w:r>
    </w:p>
    <w:p w:rsidR="002C46DF" w:rsidRPr="00F3309E" w:rsidRDefault="002C46DF" w:rsidP="008E68A2">
      <w:pPr>
        <w:pStyle w:val="NormalWeb"/>
      </w:pPr>
    </w:p>
    <w:p w:rsidR="002C46DF" w:rsidRPr="00F3309E" w:rsidRDefault="002C46DF" w:rsidP="008E68A2">
      <w:pPr>
        <w:pStyle w:val="NormalWeb"/>
      </w:pPr>
    </w:p>
    <w:p w:rsidR="002C46DF" w:rsidRPr="00F3309E" w:rsidRDefault="002C46DF" w:rsidP="008E68A2">
      <w:pPr>
        <w:pStyle w:val="NormalWeb"/>
      </w:pPr>
    </w:p>
    <w:p w:rsidR="002C46DF" w:rsidRPr="00F3309E" w:rsidRDefault="002C46DF" w:rsidP="008E68A2">
      <w:pPr>
        <w:pStyle w:val="NormalWeb"/>
      </w:pPr>
    </w:p>
    <w:p w:rsidR="002C46DF" w:rsidRPr="00F3309E" w:rsidRDefault="002C46DF" w:rsidP="008E68A2">
      <w:pPr>
        <w:pStyle w:val="NormalWeb"/>
      </w:pPr>
    </w:p>
    <w:p w:rsidR="002C46DF" w:rsidRPr="00F3309E" w:rsidRDefault="002C46DF" w:rsidP="008E68A2">
      <w:pPr>
        <w:pStyle w:val="NormalWeb"/>
      </w:pPr>
    </w:p>
    <w:p w:rsidR="002C46DF" w:rsidRPr="00F3309E" w:rsidRDefault="002C46DF" w:rsidP="008E68A2">
      <w:pPr>
        <w:pStyle w:val="NormalWeb"/>
      </w:pPr>
    </w:p>
    <w:p w:rsidR="002C46DF" w:rsidRPr="00F3309E" w:rsidRDefault="002C46DF" w:rsidP="008E68A2">
      <w:pPr>
        <w:pStyle w:val="NormalWeb"/>
      </w:pPr>
    </w:p>
    <w:p w:rsidR="008E68A2" w:rsidRPr="006B3A2F" w:rsidRDefault="008E68A2" w:rsidP="008E68A2">
      <w:pPr>
        <w:pStyle w:val="NormalWeb"/>
        <w:rPr>
          <w:b/>
          <w:sz w:val="28"/>
          <w:szCs w:val="28"/>
        </w:rPr>
      </w:pPr>
      <w:r w:rsidRPr="006B3A2F">
        <w:rPr>
          <w:b/>
          <w:sz w:val="28"/>
          <w:szCs w:val="28"/>
        </w:rPr>
        <w:lastRenderedPageBreak/>
        <w:t>Kalyan Jewellers Ltd. - DCF Valuation Summary (FY26–FY30 Projections)</w:t>
      </w:r>
    </w:p>
    <w:p w:rsidR="007D4920" w:rsidRPr="006B3A2F" w:rsidRDefault="008E68A2" w:rsidP="008E68A2">
      <w:pPr>
        <w:pStyle w:val="NormalWeb"/>
        <w:rPr>
          <w:b/>
        </w:rPr>
      </w:pPr>
      <w:r w:rsidRPr="006B3A2F">
        <w:rPr>
          <w:b/>
        </w:rPr>
        <w:t>1. Key Valuation Assumptions</w:t>
      </w:r>
    </w:p>
    <w:tbl>
      <w:tblPr>
        <w:tblW w:w="7073" w:type="dxa"/>
        <w:tblInd w:w="198" w:type="dxa"/>
        <w:tblLook w:val="04A0"/>
      </w:tblPr>
      <w:tblGrid>
        <w:gridCol w:w="2793"/>
        <w:gridCol w:w="1380"/>
        <w:gridCol w:w="2900"/>
      </w:tblGrid>
      <w:tr w:rsidR="008E68A2" w:rsidRPr="00F3309E" w:rsidTr="006B3A2F">
        <w:trPr>
          <w:trHeight w:val="300"/>
        </w:trPr>
        <w:tc>
          <w:tcPr>
            <w:tcW w:w="2793" w:type="dxa"/>
            <w:tcBorders>
              <w:top w:val="nil"/>
              <w:left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Parameter</w:t>
            </w:r>
          </w:p>
        </w:tc>
        <w:tc>
          <w:tcPr>
            <w:tcW w:w="1380" w:type="dxa"/>
            <w:tcBorders>
              <w:top w:val="nil"/>
              <w:left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Value</w:t>
            </w:r>
          </w:p>
        </w:tc>
        <w:tc>
          <w:tcPr>
            <w:tcW w:w="2900" w:type="dxa"/>
            <w:tcBorders>
              <w:top w:val="nil"/>
              <w:left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Notes</w:t>
            </w:r>
          </w:p>
        </w:tc>
      </w:tr>
      <w:tr w:rsidR="008E68A2" w:rsidRPr="00F3309E" w:rsidTr="006B3A2F">
        <w:trPr>
          <w:trHeight w:val="285"/>
        </w:trPr>
        <w:tc>
          <w:tcPr>
            <w:tcW w:w="2793" w:type="dxa"/>
            <w:tcBorders>
              <w:top w:val="nil"/>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Risk-Free Rate (Rf)</w:t>
            </w:r>
          </w:p>
        </w:tc>
        <w:tc>
          <w:tcPr>
            <w:tcW w:w="1380" w:type="dxa"/>
            <w:tcBorders>
              <w:top w:val="nil"/>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6.80%</w:t>
            </w:r>
          </w:p>
        </w:tc>
        <w:tc>
          <w:tcPr>
            <w:tcW w:w="2900" w:type="dxa"/>
            <w:tcBorders>
              <w:top w:val="nil"/>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10-yr G-Sec yield</w:t>
            </w:r>
          </w:p>
        </w:tc>
      </w:tr>
      <w:tr w:rsidR="008E68A2" w:rsidRPr="00F3309E" w:rsidTr="006B3A2F">
        <w:trPr>
          <w:trHeight w:val="285"/>
        </w:trPr>
        <w:tc>
          <w:tcPr>
            <w:tcW w:w="2793"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Beta (Levered)</w:t>
            </w:r>
          </w:p>
        </w:tc>
        <w:tc>
          <w:tcPr>
            <w:tcW w:w="138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1.18</w:t>
            </w:r>
          </w:p>
        </w:tc>
        <w:tc>
          <w:tcPr>
            <w:tcW w:w="290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3-yr jewelry sector average</w:t>
            </w:r>
          </w:p>
        </w:tc>
      </w:tr>
      <w:tr w:rsidR="008E68A2" w:rsidRPr="00F3309E" w:rsidTr="006B3A2F">
        <w:trPr>
          <w:trHeight w:val="570"/>
        </w:trPr>
        <w:tc>
          <w:tcPr>
            <w:tcW w:w="2793"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Expected Market Return (Rm)</w:t>
            </w:r>
          </w:p>
        </w:tc>
        <w:tc>
          <w:tcPr>
            <w:tcW w:w="138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14.30%</w:t>
            </w:r>
          </w:p>
        </w:tc>
        <w:tc>
          <w:tcPr>
            <w:tcW w:w="290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Historical equity returns</w:t>
            </w:r>
          </w:p>
        </w:tc>
      </w:tr>
      <w:tr w:rsidR="008E68A2" w:rsidRPr="00F3309E" w:rsidTr="006B3A2F">
        <w:trPr>
          <w:trHeight w:val="285"/>
        </w:trPr>
        <w:tc>
          <w:tcPr>
            <w:tcW w:w="2793"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Cost of Equity</w:t>
            </w:r>
          </w:p>
        </w:tc>
        <w:tc>
          <w:tcPr>
            <w:tcW w:w="138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15.65%</w:t>
            </w:r>
          </w:p>
        </w:tc>
        <w:tc>
          <w:tcPr>
            <w:tcW w:w="290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Rf + Beta × (Rm - Rf)</w:t>
            </w:r>
          </w:p>
        </w:tc>
      </w:tr>
      <w:tr w:rsidR="008E68A2" w:rsidRPr="00F3309E" w:rsidTr="006B3A2F">
        <w:trPr>
          <w:trHeight w:val="285"/>
        </w:trPr>
        <w:tc>
          <w:tcPr>
            <w:tcW w:w="2793"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Cost of Debt</w:t>
            </w:r>
          </w:p>
        </w:tc>
        <w:tc>
          <w:tcPr>
            <w:tcW w:w="138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9.75%</w:t>
            </w:r>
          </w:p>
        </w:tc>
        <w:tc>
          <w:tcPr>
            <w:tcW w:w="290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Pre-tax borrowing rate</w:t>
            </w:r>
          </w:p>
        </w:tc>
      </w:tr>
      <w:tr w:rsidR="008E68A2" w:rsidRPr="00F3309E" w:rsidTr="006B3A2F">
        <w:trPr>
          <w:trHeight w:val="285"/>
        </w:trPr>
        <w:tc>
          <w:tcPr>
            <w:tcW w:w="2793"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Post-Tax Cost of Debt</w:t>
            </w:r>
          </w:p>
        </w:tc>
        <w:tc>
          <w:tcPr>
            <w:tcW w:w="138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7.31%</w:t>
            </w:r>
          </w:p>
        </w:tc>
        <w:tc>
          <w:tcPr>
            <w:tcW w:w="290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After 25% tax</w:t>
            </w:r>
          </w:p>
        </w:tc>
      </w:tr>
      <w:tr w:rsidR="008E68A2" w:rsidRPr="00F3309E" w:rsidTr="006B3A2F">
        <w:trPr>
          <w:trHeight w:val="570"/>
        </w:trPr>
        <w:tc>
          <w:tcPr>
            <w:tcW w:w="2793"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Target Debt-to-Capital Ratio</w:t>
            </w:r>
          </w:p>
        </w:tc>
        <w:tc>
          <w:tcPr>
            <w:tcW w:w="138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290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Near-zero net debt (95% equity weight)</w:t>
            </w:r>
          </w:p>
        </w:tc>
      </w:tr>
      <w:tr w:rsidR="008E68A2" w:rsidRPr="00F3309E" w:rsidTr="006B3A2F">
        <w:trPr>
          <w:trHeight w:val="570"/>
        </w:trPr>
        <w:tc>
          <w:tcPr>
            <w:tcW w:w="2793" w:type="dxa"/>
            <w:tcBorders>
              <w:top w:val="single" w:sz="4" w:space="0" w:color="auto"/>
              <w:left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p>
        </w:tc>
        <w:tc>
          <w:tcPr>
            <w:tcW w:w="1380" w:type="dxa"/>
            <w:tcBorders>
              <w:top w:val="single" w:sz="4" w:space="0" w:color="auto"/>
              <w:left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p>
        </w:tc>
        <w:tc>
          <w:tcPr>
            <w:tcW w:w="2900" w:type="dxa"/>
            <w:tcBorders>
              <w:top w:val="single" w:sz="4" w:space="0" w:color="auto"/>
              <w:left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p>
        </w:tc>
      </w:tr>
      <w:tr w:rsidR="008E68A2" w:rsidRPr="00F3309E" w:rsidTr="006B3A2F">
        <w:trPr>
          <w:trHeight w:val="285"/>
        </w:trPr>
        <w:tc>
          <w:tcPr>
            <w:tcW w:w="2793" w:type="dxa"/>
            <w:tcBorders>
              <w:top w:val="nil"/>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WACC</w:t>
            </w:r>
          </w:p>
        </w:tc>
        <w:tc>
          <w:tcPr>
            <w:tcW w:w="1380" w:type="dxa"/>
            <w:tcBorders>
              <w:top w:val="nil"/>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12.00%</w:t>
            </w:r>
          </w:p>
        </w:tc>
        <w:tc>
          <w:tcPr>
            <w:tcW w:w="2900" w:type="dxa"/>
            <w:tcBorders>
              <w:top w:val="nil"/>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Weighted average</w:t>
            </w:r>
          </w:p>
        </w:tc>
      </w:tr>
      <w:tr w:rsidR="008E68A2" w:rsidRPr="00F3309E" w:rsidTr="006B3A2F">
        <w:trPr>
          <w:trHeight w:val="570"/>
        </w:trPr>
        <w:tc>
          <w:tcPr>
            <w:tcW w:w="2793"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Terminal Growth Rate</w:t>
            </w:r>
          </w:p>
        </w:tc>
        <w:tc>
          <w:tcPr>
            <w:tcW w:w="138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5.00%</w:t>
            </w:r>
          </w:p>
        </w:tc>
        <w:tc>
          <w:tcPr>
            <w:tcW w:w="290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India nominal GDP + inflation</w:t>
            </w:r>
          </w:p>
        </w:tc>
      </w:tr>
    </w:tbl>
    <w:p w:rsidR="008E68A2" w:rsidRPr="00F3309E" w:rsidRDefault="008E68A2">
      <w:pPr>
        <w:rPr>
          <w:rFonts w:ascii="Times New Roman" w:hAnsi="Times New Roman" w:cs="Times New Roman"/>
          <w:sz w:val="24"/>
          <w:szCs w:val="24"/>
        </w:rPr>
      </w:pPr>
    </w:p>
    <w:p w:rsidR="008E68A2" w:rsidRPr="00F3309E" w:rsidRDefault="008E68A2">
      <w:pPr>
        <w:rPr>
          <w:rFonts w:ascii="Times New Roman" w:hAnsi="Times New Roman" w:cs="Times New Roman"/>
          <w:sz w:val="24"/>
          <w:szCs w:val="24"/>
        </w:rPr>
      </w:pPr>
    </w:p>
    <w:p w:rsidR="008E68A2" w:rsidRPr="00F3309E" w:rsidRDefault="008E68A2" w:rsidP="008E68A2">
      <w:pPr>
        <w:pStyle w:val="NormalWeb"/>
      </w:pPr>
      <w:r w:rsidRPr="00F3309E">
        <w:t>2) 2. Free Cash Flow to the Firm (FCFF) Build-Up</w:t>
      </w:r>
    </w:p>
    <w:tbl>
      <w:tblPr>
        <w:tblW w:w="9780" w:type="dxa"/>
        <w:tblInd w:w="91" w:type="dxa"/>
        <w:tblLook w:val="04A0"/>
      </w:tblPr>
      <w:tblGrid>
        <w:gridCol w:w="2535"/>
        <w:gridCol w:w="923"/>
        <w:gridCol w:w="1566"/>
        <w:gridCol w:w="1605"/>
        <w:gridCol w:w="1546"/>
        <w:gridCol w:w="1605"/>
      </w:tblGrid>
      <w:tr w:rsidR="008E68A2" w:rsidRPr="00F3309E" w:rsidTr="008E68A2">
        <w:trPr>
          <w:trHeight w:val="300"/>
        </w:trPr>
        <w:tc>
          <w:tcPr>
            <w:tcW w:w="2560" w:type="dxa"/>
            <w:tcBorders>
              <w:top w:val="nil"/>
              <w:left w:val="nil"/>
              <w:bottom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Component</w:t>
            </w:r>
          </w:p>
        </w:tc>
        <w:tc>
          <w:tcPr>
            <w:tcW w:w="840" w:type="dxa"/>
            <w:tcBorders>
              <w:top w:val="nil"/>
              <w:left w:val="nil"/>
              <w:bottom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1580" w:type="dxa"/>
            <w:tcBorders>
              <w:top w:val="nil"/>
              <w:left w:val="nil"/>
              <w:bottom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FY27A</w:t>
            </w:r>
          </w:p>
        </w:tc>
        <w:tc>
          <w:tcPr>
            <w:tcW w:w="1620" w:type="dxa"/>
            <w:tcBorders>
              <w:top w:val="nil"/>
              <w:left w:val="nil"/>
              <w:bottom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FY28A</w:t>
            </w:r>
          </w:p>
        </w:tc>
        <w:tc>
          <w:tcPr>
            <w:tcW w:w="1560" w:type="dxa"/>
            <w:tcBorders>
              <w:top w:val="nil"/>
              <w:left w:val="nil"/>
              <w:bottom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FY29A</w:t>
            </w:r>
          </w:p>
        </w:tc>
        <w:tc>
          <w:tcPr>
            <w:tcW w:w="1620" w:type="dxa"/>
            <w:tcBorders>
              <w:top w:val="nil"/>
              <w:left w:val="nil"/>
              <w:bottom w:val="nil"/>
              <w:right w:val="nil"/>
            </w:tcBorders>
            <w:shd w:val="clear" w:color="000000" w:fill="0070C0"/>
            <w:vAlign w:val="center"/>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FY30A</w:t>
            </w:r>
          </w:p>
        </w:tc>
      </w:tr>
      <w:tr w:rsidR="008E68A2" w:rsidRPr="00F3309E" w:rsidTr="008E68A2">
        <w:trPr>
          <w:trHeight w:val="285"/>
        </w:trPr>
        <w:tc>
          <w:tcPr>
            <w:tcW w:w="256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 × (1 - Tax Rate)</w:t>
            </w:r>
          </w:p>
        </w:tc>
        <w:tc>
          <w:tcPr>
            <w:tcW w:w="84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5,991</w:t>
            </w:r>
          </w:p>
        </w:tc>
        <w:tc>
          <w:tcPr>
            <w:tcW w:w="158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11,985</w:t>
            </w:r>
          </w:p>
        </w:tc>
        <w:tc>
          <w:tcPr>
            <w:tcW w:w="162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16,016</w:t>
            </w:r>
          </w:p>
        </w:tc>
        <w:tc>
          <w:tcPr>
            <w:tcW w:w="156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20,342</w:t>
            </w:r>
          </w:p>
        </w:tc>
        <w:tc>
          <w:tcPr>
            <w:tcW w:w="162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25,887</w:t>
            </w:r>
          </w:p>
        </w:tc>
      </w:tr>
      <w:tr w:rsidR="008E68A2" w:rsidRPr="00F3309E" w:rsidTr="008E68A2">
        <w:trPr>
          <w:trHeight w:val="285"/>
        </w:trPr>
        <w:tc>
          <w:tcPr>
            <w:tcW w:w="2560" w:type="dxa"/>
            <w:tcBorders>
              <w:top w:val="single" w:sz="4" w:space="0" w:color="auto"/>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Depreciation</w:t>
            </w:r>
          </w:p>
        </w:tc>
        <w:tc>
          <w:tcPr>
            <w:tcW w:w="840" w:type="dxa"/>
            <w:tcBorders>
              <w:top w:val="single" w:sz="4" w:space="0" w:color="auto"/>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380</w:t>
            </w:r>
          </w:p>
        </w:tc>
        <w:tc>
          <w:tcPr>
            <w:tcW w:w="1580" w:type="dxa"/>
            <w:tcBorders>
              <w:top w:val="single" w:sz="4" w:space="0" w:color="auto"/>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400</w:t>
            </w:r>
          </w:p>
        </w:tc>
        <w:tc>
          <w:tcPr>
            <w:tcW w:w="1620" w:type="dxa"/>
            <w:tcBorders>
              <w:top w:val="single" w:sz="4" w:space="0" w:color="auto"/>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1560" w:type="dxa"/>
            <w:tcBorders>
              <w:top w:val="single" w:sz="4" w:space="0" w:color="auto"/>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c>
          <w:tcPr>
            <w:tcW w:w="1620" w:type="dxa"/>
            <w:tcBorders>
              <w:top w:val="single" w:sz="4" w:space="0" w:color="auto"/>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410</w:t>
            </w:r>
          </w:p>
        </w:tc>
      </w:tr>
      <w:tr w:rsidR="008E68A2" w:rsidRPr="00F3309E" w:rsidTr="008E68A2">
        <w:trPr>
          <w:trHeight w:val="300"/>
        </w:trPr>
        <w:tc>
          <w:tcPr>
            <w:tcW w:w="256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Δ Working Capital</w:t>
            </w:r>
          </w:p>
        </w:tc>
        <w:tc>
          <w:tcPr>
            <w:tcW w:w="84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-12,180</w:t>
            </w:r>
          </w:p>
        </w:tc>
        <w:tc>
          <w:tcPr>
            <w:tcW w:w="158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-11,744</w:t>
            </w:r>
          </w:p>
        </w:tc>
        <w:tc>
          <w:tcPr>
            <w:tcW w:w="162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-14,742</w:t>
            </w:r>
          </w:p>
        </w:tc>
        <w:tc>
          <w:tcPr>
            <w:tcW w:w="156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-13,346</w:t>
            </w:r>
          </w:p>
        </w:tc>
        <w:tc>
          <w:tcPr>
            <w:tcW w:w="162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-16,529</w:t>
            </w:r>
          </w:p>
        </w:tc>
      </w:tr>
      <w:tr w:rsidR="008E68A2" w:rsidRPr="00F3309E" w:rsidTr="008E68A2">
        <w:trPr>
          <w:trHeight w:val="300"/>
        </w:trPr>
        <w:tc>
          <w:tcPr>
            <w:tcW w:w="256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Capex</w:t>
            </w:r>
          </w:p>
        </w:tc>
        <w:tc>
          <w:tcPr>
            <w:tcW w:w="84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-124</w:t>
            </w:r>
          </w:p>
        </w:tc>
        <w:tc>
          <w:tcPr>
            <w:tcW w:w="158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-98</w:t>
            </w:r>
          </w:p>
        </w:tc>
        <w:tc>
          <w:tcPr>
            <w:tcW w:w="162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-78</w:t>
            </w:r>
          </w:p>
        </w:tc>
        <w:tc>
          <w:tcPr>
            <w:tcW w:w="156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w:t>
            </w:r>
          </w:p>
        </w:tc>
        <w:tc>
          <w:tcPr>
            <w:tcW w:w="1620"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w:t>
            </w:r>
          </w:p>
        </w:tc>
      </w:tr>
      <w:tr w:rsidR="008E68A2" w:rsidRPr="00F3309E" w:rsidTr="008E68A2">
        <w:trPr>
          <w:trHeight w:val="315"/>
        </w:trPr>
        <w:tc>
          <w:tcPr>
            <w:tcW w:w="256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FCFF</w:t>
            </w:r>
          </w:p>
        </w:tc>
        <w:tc>
          <w:tcPr>
            <w:tcW w:w="84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18,675</w:t>
            </w:r>
          </w:p>
        </w:tc>
        <w:tc>
          <w:tcPr>
            <w:tcW w:w="158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24,227</w:t>
            </w:r>
          </w:p>
        </w:tc>
        <w:tc>
          <w:tcPr>
            <w:tcW w:w="162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31,246</w:t>
            </w:r>
          </w:p>
        </w:tc>
        <w:tc>
          <w:tcPr>
            <w:tcW w:w="156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34,141</w:t>
            </w:r>
          </w:p>
        </w:tc>
        <w:tc>
          <w:tcPr>
            <w:tcW w:w="1620" w:type="dxa"/>
            <w:tcBorders>
              <w:top w:val="single" w:sz="4" w:space="0" w:color="auto"/>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42,876</w:t>
            </w:r>
          </w:p>
        </w:tc>
      </w:tr>
      <w:tr w:rsidR="008E68A2" w:rsidRPr="00F3309E" w:rsidTr="008E68A2">
        <w:trPr>
          <w:trHeight w:val="315"/>
        </w:trPr>
        <w:tc>
          <w:tcPr>
            <w:tcW w:w="256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p>
        </w:tc>
        <w:tc>
          <w:tcPr>
            <w:tcW w:w="84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p>
        </w:tc>
        <w:tc>
          <w:tcPr>
            <w:tcW w:w="158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p>
        </w:tc>
        <w:tc>
          <w:tcPr>
            <w:tcW w:w="162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p>
        </w:tc>
        <w:tc>
          <w:tcPr>
            <w:tcW w:w="156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p>
        </w:tc>
        <w:tc>
          <w:tcPr>
            <w:tcW w:w="1620" w:type="dxa"/>
            <w:tcBorders>
              <w:top w:val="single" w:sz="4" w:space="0" w:color="auto"/>
              <w:left w:val="nil"/>
              <w:bottom w:val="double" w:sz="6"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b/>
                <w:bCs/>
                <w:color w:val="000000"/>
                <w:sz w:val="24"/>
                <w:szCs w:val="24"/>
              </w:rPr>
            </w:pPr>
          </w:p>
        </w:tc>
      </w:tr>
    </w:tbl>
    <w:p w:rsidR="008E68A2" w:rsidRPr="00F3309E" w:rsidRDefault="008E68A2">
      <w:pPr>
        <w:rPr>
          <w:rFonts w:ascii="Times New Roman" w:hAnsi="Times New Roman" w:cs="Times New Roman"/>
          <w:sz w:val="24"/>
          <w:szCs w:val="24"/>
        </w:rPr>
      </w:pPr>
    </w:p>
    <w:p w:rsidR="008E68A2" w:rsidRPr="00F3309E" w:rsidRDefault="008E68A2" w:rsidP="008E68A2">
      <w:pPr>
        <w:pStyle w:val="NormalWeb"/>
      </w:pPr>
      <w:r w:rsidRPr="00F3309E">
        <w:t>3) Terminal Value and Discounting</w:t>
      </w:r>
    </w:p>
    <w:tbl>
      <w:tblPr>
        <w:tblW w:w="4220" w:type="dxa"/>
        <w:tblInd w:w="91" w:type="dxa"/>
        <w:tblLook w:val="04A0"/>
      </w:tblPr>
      <w:tblGrid>
        <w:gridCol w:w="2560"/>
        <w:gridCol w:w="1660"/>
      </w:tblGrid>
      <w:tr w:rsidR="008E68A2" w:rsidRPr="00F3309E" w:rsidTr="006B3A2F">
        <w:trPr>
          <w:trHeight w:val="465"/>
        </w:trPr>
        <w:tc>
          <w:tcPr>
            <w:tcW w:w="2560" w:type="dxa"/>
            <w:tcBorders>
              <w:top w:val="nil"/>
              <w:left w:val="nil"/>
              <w:right w:val="nil"/>
            </w:tcBorders>
            <w:shd w:val="clear" w:color="000000" w:fill="0070C0"/>
            <w:vAlign w:val="center"/>
            <w:hideMark/>
          </w:tcPr>
          <w:p w:rsidR="008E68A2" w:rsidRPr="00F3309E" w:rsidRDefault="008E68A2" w:rsidP="008E68A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Item</w:t>
            </w:r>
          </w:p>
        </w:tc>
        <w:tc>
          <w:tcPr>
            <w:tcW w:w="1660" w:type="dxa"/>
            <w:tcBorders>
              <w:top w:val="nil"/>
              <w:left w:val="nil"/>
              <w:right w:val="nil"/>
            </w:tcBorders>
            <w:shd w:val="clear" w:color="000000" w:fill="0070C0"/>
            <w:vAlign w:val="center"/>
            <w:hideMark/>
          </w:tcPr>
          <w:p w:rsidR="008E68A2" w:rsidRPr="00F3309E" w:rsidRDefault="008E68A2" w:rsidP="008E68A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Value (Lakhs)</w:t>
            </w:r>
          </w:p>
        </w:tc>
      </w:tr>
      <w:tr w:rsidR="008E68A2" w:rsidRPr="00F3309E" w:rsidTr="006B3A2F">
        <w:trPr>
          <w:trHeight w:val="285"/>
        </w:trPr>
        <w:tc>
          <w:tcPr>
            <w:tcW w:w="2560" w:type="dxa"/>
            <w:tcBorders>
              <w:top w:val="nil"/>
              <w:left w:val="nil"/>
              <w:bottom w:val="single" w:sz="4" w:space="0" w:color="auto"/>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Terminal Value (FY30A)</w:t>
            </w:r>
          </w:p>
        </w:tc>
        <w:tc>
          <w:tcPr>
            <w:tcW w:w="1660" w:type="dxa"/>
            <w:tcBorders>
              <w:top w:val="nil"/>
              <w:left w:val="nil"/>
              <w:bottom w:val="single" w:sz="4" w:space="0" w:color="auto"/>
              <w:right w:val="nil"/>
            </w:tcBorders>
            <w:shd w:val="clear" w:color="auto" w:fill="auto"/>
            <w:vAlign w:val="bottom"/>
            <w:hideMark/>
          </w:tcPr>
          <w:p w:rsidR="008E68A2" w:rsidRPr="00F3309E" w:rsidRDefault="008E68A2" w:rsidP="008E68A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643,144</w:t>
            </w:r>
          </w:p>
        </w:tc>
      </w:tr>
    </w:tbl>
    <w:p w:rsidR="008E68A2" w:rsidRPr="00F3309E" w:rsidRDefault="008E68A2">
      <w:pPr>
        <w:rPr>
          <w:rFonts w:ascii="Times New Roman" w:hAnsi="Times New Roman" w:cs="Times New Roman"/>
          <w:sz w:val="24"/>
          <w:szCs w:val="24"/>
        </w:rPr>
      </w:pPr>
    </w:p>
    <w:tbl>
      <w:tblPr>
        <w:tblW w:w="16257" w:type="dxa"/>
        <w:tblInd w:w="91" w:type="dxa"/>
        <w:tblLook w:val="04A0"/>
      </w:tblPr>
      <w:tblGrid>
        <w:gridCol w:w="15747"/>
        <w:gridCol w:w="255"/>
        <w:gridCol w:w="255"/>
      </w:tblGrid>
      <w:tr w:rsidR="008E68A2" w:rsidRPr="00F3309E" w:rsidTr="00F82DD1">
        <w:trPr>
          <w:trHeight w:val="570"/>
        </w:trPr>
        <w:tc>
          <w:tcPr>
            <w:tcW w:w="9047"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p>
          <w:p w:rsidR="008E68A2" w:rsidRPr="00F3309E" w:rsidRDefault="008E68A2" w:rsidP="008E68A2">
            <w:pPr>
              <w:spacing w:after="0" w:line="240" w:lineRule="auto"/>
              <w:rPr>
                <w:rFonts w:ascii="Times New Roman" w:eastAsia="Times New Roman" w:hAnsi="Times New Roman" w:cs="Times New Roman"/>
                <w:color w:val="000000"/>
                <w:sz w:val="24"/>
                <w:szCs w:val="24"/>
              </w:rPr>
            </w:pPr>
          </w:p>
          <w:p w:rsidR="008E68A2" w:rsidRPr="00F3309E" w:rsidRDefault="008E68A2" w:rsidP="008E68A2">
            <w:pPr>
              <w:pStyle w:val="NormalWeb"/>
            </w:pPr>
            <w:r w:rsidRPr="00F3309E">
              <w:t>Discount Factors (based on 12% WACC for Years 1–5 from FY26P):</w:t>
            </w:r>
          </w:p>
          <w:tbl>
            <w:tblPr>
              <w:tblW w:w="4220" w:type="dxa"/>
              <w:tblLook w:val="04A0"/>
            </w:tblPr>
            <w:tblGrid>
              <w:gridCol w:w="2560"/>
              <w:gridCol w:w="1660"/>
            </w:tblGrid>
            <w:tr w:rsidR="00867102" w:rsidRPr="00F3309E" w:rsidTr="006B3A2F">
              <w:trPr>
                <w:trHeight w:val="600"/>
              </w:trPr>
              <w:tc>
                <w:tcPr>
                  <w:tcW w:w="2560" w:type="dxa"/>
                  <w:tcBorders>
                    <w:top w:val="nil"/>
                    <w:left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Year</w:t>
                  </w:r>
                </w:p>
              </w:tc>
              <w:tc>
                <w:tcPr>
                  <w:tcW w:w="1660" w:type="dxa"/>
                  <w:tcBorders>
                    <w:top w:val="nil"/>
                    <w:left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Discount Factor</w:t>
                  </w:r>
                </w:p>
              </w:tc>
            </w:tr>
            <w:tr w:rsidR="00867102" w:rsidRPr="00F3309E" w:rsidTr="006B3A2F">
              <w:trPr>
                <w:trHeight w:val="285"/>
              </w:trPr>
              <w:tc>
                <w:tcPr>
                  <w:tcW w:w="2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w:t>
                  </w:r>
                </w:p>
              </w:tc>
              <w:tc>
                <w:tcPr>
                  <w:tcW w:w="16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0.8929</w:t>
                  </w:r>
                </w:p>
              </w:tc>
            </w:tr>
            <w:tr w:rsidR="00867102" w:rsidRPr="00F3309E" w:rsidTr="006B3A2F">
              <w:trPr>
                <w:trHeight w:val="285"/>
              </w:trPr>
              <w:tc>
                <w:tcPr>
                  <w:tcW w:w="25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w:t>
                  </w:r>
                </w:p>
              </w:tc>
              <w:tc>
                <w:tcPr>
                  <w:tcW w:w="16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0.7972</w:t>
                  </w:r>
                </w:p>
              </w:tc>
            </w:tr>
            <w:tr w:rsidR="00867102" w:rsidRPr="00F3309E" w:rsidTr="006B3A2F">
              <w:trPr>
                <w:trHeight w:val="285"/>
              </w:trPr>
              <w:tc>
                <w:tcPr>
                  <w:tcW w:w="25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w:t>
                  </w:r>
                </w:p>
              </w:tc>
              <w:tc>
                <w:tcPr>
                  <w:tcW w:w="16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0.7118</w:t>
                  </w:r>
                </w:p>
              </w:tc>
            </w:tr>
            <w:tr w:rsidR="00867102" w:rsidRPr="00F3309E" w:rsidTr="006B3A2F">
              <w:trPr>
                <w:trHeight w:val="285"/>
              </w:trPr>
              <w:tc>
                <w:tcPr>
                  <w:tcW w:w="25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w:t>
                  </w:r>
                </w:p>
              </w:tc>
              <w:tc>
                <w:tcPr>
                  <w:tcW w:w="16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0.6355</w:t>
                  </w:r>
                </w:p>
              </w:tc>
            </w:tr>
            <w:tr w:rsidR="00867102" w:rsidRPr="00F3309E" w:rsidTr="006B3A2F">
              <w:trPr>
                <w:trHeight w:val="285"/>
              </w:trPr>
              <w:tc>
                <w:tcPr>
                  <w:tcW w:w="25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16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0.5674</w:t>
                  </w:r>
                </w:p>
              </w:tc>
            </w:tr>
          </w:tbl>
          <w:p w:rsidR="00867102" w:rsidRPr="00F3309E" w:rsidRDefault="00867102" w:rsidP="008E68A2">
            <w:pPr>
              <w:pStyle w:val="NormalWeb"/>
            </w:pPr>
          </w:p>
          <w:tbl>
            <w:tblPr>
              <w:tblW w:w="0" w:type="auto"/>
              <w:tblCellSpacing w:w="15" w:type="dxa"/>
              <w:tblCellMar>
                <w:top w:w="15" w:type="dxa"/>
                <w:left w:w="15" w:type="dxa"/>
                <w:bottom w:w="15" w:type="dxa"/>
                <w:right w:w="15" w:type="dxa"/>
              </w:tblCellMar>
              <w:tblLook w:val="04A0"/>
            </w:tblPr>
            <w:tblGrid>
              <w:gridCol w:w="81"/>
              <w:gridCol w:w="81"/>
            </w:tblGrid>
            <w:tr w:rsidR="008E68A2" w:rsidRPr="00F3309E" w:rsidTr="008E68A2">
              <w:trPr>
                <w:tblHeader/>
                <w:tblCellSpacing w:w="15" w:type="dxa"/>
              </w:trPr>
              <w:tc>
                <w:tcPr>
                  <w:tcW w:w="0" w:type="auto"/>
                  <w:vAlign w:val="center"/>
                  <w:hideMark/>
                </w:tcPr>
                <w:p w:rsidR="008E68A2" w:rsidRPr="00F3309E" w:rsidRDefault="008E68A2" w:rsidP="008E68A2">
                  <w:pPr>
                    <w:spacing w:after="0" w:line="240" w:lineRule="auto"/>
                    <w:jc w:val="center"/>
                    <w:rPr>
                      <w:rFonts w:ascii="Times New Roman" w:eastAsia="Times New Roman" w:hAnsi="Times New Roman" w:cs="Times New Roman"/>
                      <w:b/>
                      <w:bCs/>
                      <w:color w:val="000000"/>
                      <w:sz w:val="24"/>
                      <w:szCs w:val="24"/>
                    </w:rPr>
                  </w:pPr>
                </w:p>
              </w:tc>
              <w:tc>
                <w:tcPr>
                  <w:tcW w:w="0" w:type="auto"/>
                  <w:vAlign w:val="center"/>
                  <w:hideMark/>
                </w:tcPr>
                <w:p w:rsidR="008E68A2" w:rsidRPr="00F3309E" w:rsidRDefault="008E68A2" w:rsidP="008E68A2">
                  <w:pPr>
                    <w:spacing w:after="0" w:line="240" w:lineRule="auto"/>
                    <w:jc w:val="center"/>
                    <w:rPr>
                      <w:rFonts w:ascii="Times New Roman" w:eastAsia="Times New Roman" w:hAnsi="Times New Roman" w:cs="Times New Roman"/>
                      <w:b/>
                      <w:bCs/>
                      <w:color w:val="000000"/>
                      <w:sz w:val="24"/>
                      <w:szCs w:val="24"/>
                    </w:rPr>
                  </w:pPr>
                </w:p>
              </w:tc>
            </w:tr>
            <w:tr w:rsidR="008E68A2" w:rsidRPr="00F3309E" w:rsidTr="008E68A2">
              <w:trPr>
                <w:tblCellSpacing w:w="15" w:type="dxa"/>
              </w:trPr>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r>
            <w:tr w:rsidR="008E68A2" w:rsidRPr="00F3309E" w:rsidTr="008E68A2">
              <w:trPr>
                <w:tblCellSpacing w:w="15" w:type="dxa"/>
              </w:trPr>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r>
            <w:tr w:rsidR="008E68A2" w:rsidRPr="00F3309E" w:rsidTr="008E68A2">
              <w:trPr>
                <w:tblCellSpacing w:w="15" w:type="dxa"/>
              </w:trPr>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r>
            <w:tr w:rsidR="008E68A2" w:rsidRPr="00F3309E" w:rsidTr="008E68A2">
              <w:trPr>
                <w:tblCellSpacing w:w="15" w:type="dxa"/>
              </w:trPr>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r>
            <w:tr w:rsidR="008E68A2" w:rsidRPr="00F3309E" w:rsidTr="008E68A2">
              <w:trPr>
                <w:tblCellSpacing w:w="15" w:type="dxa"/>
              </w:trPr>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c>
                <w:tcPr>
                  <w:tcW w:w="0" w:type="auto"/>
                  <w:vAlign w:val="center"/>
                  <w:hideMark/>
                </w:tcPr>
                <w:p w:rsidR="008E68A2" w:rsidRPr="00F3309E" w:rsidRDefault="008E68A2" w:rsidP="008E68A2">
                  <w:pPr>
                    <w:spacing w:after="0" w:line="240" w:lineRule="auto"/>
                    <w:rPr>
                      <w:rFonts w:ascii="Times New Roman" w:eastAsia="Times New Roman" w:hAnsi="Times New Roman" w:cs="Times New Roman"/>
                      <w:sz w:val="24"/>
                      <w:szCs w:val="24"/>
                    </w:rPr>
                  </w:pPr>
                </w:p>
              </w:tc>
            </w:tr>
          </w:tbl>
          <w:p w:rsidR="00867102" w:rsidRPr="00191A84" w:rsidRDefault="008E68A2" w:rsidP="008E68A2">
            <w:pPr>
              <w:pStyle w:val="NormalWeb"/>
              <w:rPr>
                <w:b/>
              </w:rPr>
            </w:pPr>
            <w:r w:rsidRPr="00191A84">
              <w:rPr>
                <w:b/>
              </w:rPr>
              <w:t>4. Enterprise Value (EV) Calculation</w:t>
            </w:r>
          </w:p>
          <w:tbl>
            <w:tblPr>
              <w:tblW w:w="13500" w:type="dxa"/>
              <w:tblLook w:val="04A0"/>
            </w:tblPr>
            <w:tblGrid>
              <w:gridCol w:w="2560"/>
              <w:gridCol w:w="1660"/>
              <w:gridCol w:w="1580"/>
              <w:gridCol w:w="1620"/>
              <w:gridCol w:w="1560"/>
              <w:gridCol w:w="1620"/>
              <w:gridCol w:w="2900"/>
            </w:tblGrid>
            <w:tr w:rsidR="00867102" w:rsidRPr="00F3309E" w:rsidTr="00867102">
              <w:trPr>
                <w:trHeight w:val="300"/>
              </w:trPr>
              <w:tc>
                <w:tcPr>
                  <w:tcW w:w="256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Component</w:t>
                  </w:r>
                </w:p>
              </w:tc>
              <w:tc>
                <w:tcPr>
                  <w:tcW w:w="166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158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FY27A</w:t>
                  </w:r>
                </w:p>
              </w:tc>
              <w:tc>
                <w:tcPr>
                  <w:tcW w:w="162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FY28A</w:t>
                  </w:r>
                </w:p>
              </w:tc>
              <w:tc>
                <w:tcPr>
                  <w:tcW w:w="156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FY29A</w:t>
                  </w:r>
                </w:p>
              </w:tc>
              <w:tc>
                <w:tcPr>
                  <w:tcW w:w="162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FY30A</w:t>
                  </w:r>
                </w:p>
              </w:tc>
              <w:tc>
                <w:tcPr>
                  <w:tcW w:w="290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Total (Lakhs)</w:t>
                  </w:r>
                </w:p>
              </w:tc>
            </w:tr>
            <w:tr w:rsidR="00867102" w:rsidRPr="00F3309E" w:rsidTr="00867102">
              <w:trPr>
                <w:trHeight w:val="285"/>
              </w:trPr>
              <w:tc>
                <w:tcPr>
                  <w:tcW w:w="25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PV of FCFF</w:t>
                  </w:r>
                </w:p>
              </w:tc>
              <w:tc>
                <w:tcPr>
                  <w:tcW w:w="16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16,674</w:t>
                  </w:r>
                </w:p>
              </w:tc>
              <w:tc>
                <w:tcPr>
                  <w:tcW w:w="158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19,313</w:t>
                  </w:r>
                </w:p>
              </w:tc>
              <w:tc>
                <w:tcPr>
                  <w:tcW w:w="162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22,240</w:t>
                  </w:r>
                </w:p>
              </w:tc>
              <w:tc>
                <w:tcPr>
                  <w:tcW w:w="15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21,698</w:t>
                  </w:r>
                </w:p>
              </w:tc>
              <w:tc>
                <w:tcPr>
                  <w:tcW w:w="162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24,329</w:t>
                  </w:r>
                </w:p>
              </w:tc>
              <w:tc>
                <w:tcPr>
                  <w:tcW w:w="290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104,254</w:t>
                  </w:r>
                </w:p>
              </w:tc>
            </w:tr>
            <w:tr w:rsidR="00867102" w:rsidRPr="00F3309E" w:rsidTr="00867102">
              <w:trPr>
                <w:trHeight w:val="285"/>
              </w:trPr>
              <w:tc>
                <w:tcPr>
                  <w:tcW w:w="2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PV of Terminal Value</w:t>
                  </w:r>
                </w:p>
              </w:tc>
              <w:tc>
                <w:tcPr>
                  <w:tcW w:w="16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58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62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62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364,937</w:t>
                  </w:r>
                </w:p>
              </w:tc>
              <w:tc>
                <w:tcPr>
                  <w:tcW w:w="290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364,937</w:t>
                  </w:r>
                </w:p>
              </w:tc>
            </w:tr>
            <w:tr w:rsidR="00867102" w:rsidRPr="00F3309E" w:rsidTr="00867102">
              <w:trPr>
                <w:trHeight w:val="300"/>
              </w:trPr>
              <w:tc>
                <w:tcPr>
                  <w:tcW w:w="2560" w:type="dxa"/>
                  <w:tcBorders>
                    <w:top w:val="nil"/>
                    <w:left w:val="nil"/>
                    <w:bottom w:val="nil"/>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Enterprise Value</w:t>
                  </w:r>
                </w:p>
              </w:tc>
              <w:tc>
                <w:tcPr>
                  <w:tcW w:w="1660" w:type="dxa"/>
                  <w:tcBorders>
                    <w:top w:val="nil"/>
                    <w:left w:val="nil"/>
                    <w:bottom w:val="nil"/>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580" w:type="dxa"/>
                  <w:tcBorders>
                    <w:top w:val="nil"/>
                    <w:left w:val="nil"/>
                    <w:bottom w:val="nil"/>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620" w:type="dxa"/>
                  <w:tcBorders>
                    <w:top w:val="nil"/>
                    <w:left w:val="nil"/>
                    <w:bottom w:val="nil"/>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560" w:type="dxa"/>
                  <w:tcBorders>
                    <w:top w:val="nil"/>
                    <w:left w:val="nil"/>
                    <w:bottom w:val="nil"/>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1620" w:type="dxa"/>
                  <w:tcBorders>
                    <w:top w:val="nil"/>
                    <w:left w:val="nil"/>
                    <w:bottom w:val="nil"/>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c>
                <w:tcPr>
                  <w:tcW w:w="2900" w:type="dxa"/>
                  <w:tcBorders>
                    <w:top w:val="nil"/>
                    <w:left w:val="nil"/>
                    <w:bottom w:val="nil"/>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469,191</w:t>
                  </w:r>
                </w:p>
              </w:tc>
            </w:tr>
          </w:tbl>
          <w:p w:rsidR="00867102" w:rsidRPr="00191A84" w:rsidRDefault="00867102" w:rsidP="00867102">
            <w:pPr>
              <w:pStyle w:val="NormalWeb"/>
              <w:rPr>
                <w:b/>
              </w:rPr>
            </w:pPr>
            <w:r w:rsidRPr="00F3309E">
              <w:t>5</w:t>
            </w:r>
            <w:r w:rsidRPr="00191A84">
              <w:rPr>
                <w:b/>
              </w:rPr>
              <w:t>. Equity Value Calculation</w:t>
            </w:r>
          </w:p>
          <w:p w:rsidR="00867102" w:rsidRPr="00F3309E" w:rsidRDefault="00867102" w:rsidP="00867102">
            <w:pPr>
              <w:pStyle w:val="NormalWeb"/>
            </w:pPr>
            <w:r w:rsidRPr="00F3309E">
              <w:t>Equity Value = EV - Net Debt + Cash &amp; Equivalents (no preferred stock/minority</w:t>
            </w:r>
          </w:p>
          <w:tbl>
            <w:tblPr>
              <w:tblW w:w="5800" w:type="dxa"/>
              <w:tblLook w:val="04A0"/>
            </w:tblPr>
            <w:tblGrid>
              <w:gridCol w:w="2560"/>
              <w:gridCol w:w="1660"/>
              <w:gridCol w:w="1580"/>
            </w:tblGrid>
            <w:tr w:rsidR="00867102" w:rsidRPr="00F3309E" w:rsidTr="00867102">
              <w:trPr>
                <w:trHeight w:val="300"/>
              </w:trPr>
              <w:tc>
                <w:tcPr>
                  <w:tcW w:w="256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Component</w:t>
                  </w:r>
                </w:p>
              </w:tc>
              <w:tc>
                <w:tcPr>
                  <w:tcW w:w="166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Value (Lakhs)</w:t>
                  </w:r>
                </w:p>
              </w:tc>
              <w:tc>
                <w:tcPr>
                  <w:tcW w:w="1580" w:type="dxa"/>
                  <w:tcBorders>
                    <w:top w:val="nil"/>
                    <w:left w:val="nil"/>
                    <w:bottom w:val="nil"/>
                    <w:right w:val="nil"/>
                  </w:tcBorders>
                  <w:shd w:val="clear" w:color="000000" w:fill="0070C0"/>
                  <w:vAlign w:val="center"/>
                  <w:hideMark/>
                </w:tcPr>
                <w:p w:rsidR="00867102" w:rsidRPr="00F3309E" w:rsidRDefault="00867102" w:rsidP="00867102">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Notes</w:t>
                  </w:r>
                </w:p>
              </w:tc>
            </w:tr>
            <w:tr w:rsidR="00867102" w:rsidRPr="00F3309E" w:rsidTr="00867102">
              <w:trPr>
                <w:trHeight w:val="285"/>
              </w:trPr>
              <w:tc>
                <w:tcPr>
                  <w:tcW w:w="25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Enterprise Value</w:t>
                  </w:r>
                </w:p>
              </w:tc>
              <w:tc>
                <w:tcPr>
                  <w:tcW w:w="166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469,191</w:t>
                  </w:r>
                </w:p>
              </w:tc>
              <w:tc>
                <w:tcPr>
                  <w:tcW w:w="1580" w:type="dxa"/>
                  <w:tcBorders>
                    <w:top w:val="single" w:sz="4" w:space="0" w:color="auto"/>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From DCF</w:t>
                  </w:r>
                </w:p>
              </w:tc>
            </w:tr>
            <w:tr w:rsidR="00867102" w:rsidRPr="00F3309E" w:rsidTr="00867102">
              <w:trPr>
                <w:trHeight w:val="570"/>
              </w:trPr>
              <w:tc>
                <w:tcPr>
                  <w:tcW w:w="2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Net Debt (Gold Loans)</w:t>
                  </w:r>
                </w:p>
              </w:tc>
              <w:tc>
                <w:tcPr>
                  <w:tcW w:w="16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-1,369</w:t>
                  </w:r>
                </w:p>
              </w:tc>
              <w:tc>
                <w:tcPr>
                  <w:tcW w:w="158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FY25A ending balance</w:t>
                  </w:r>
                </w:p>
              </w:tc>
            </w:tr>
            <w:tr w:rsidR="00867102" w:rsidRPr="00F3309E" w:rsidTr="00867102">
              <w:trPr>
                <w:trHeight w:val="285"/>
              </w:trPr>
              <w:tc>
                <w:tcPr>
                  <w:tcW w:w="2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Cash &amp; Equivalents</w:t>
                  </w:r>
                </w:p>
              </w:tc>
              <w:tc>
                <w:tcPr>
                  <w:tcW w:w="16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6,031</w:t>
                  </w:r>
                </w:p>
              </w:tc>
              <w:tc>
                <w:tcPr>
                  <w:tcW w:w="158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FY25A surplus</w:t>
                  </w:r>
                </w:p>
              </w:tc>
            </w:tr>
            <w:tr w:rsidR="00867102" w:rsidRPr="00F3309E" w:rsidTr="00867102">
              <w:trPr>
                <w:trHeight w:val="300"/>
              </w:trPr>
              <w:tc>
                <w:tcPr>
                  <w:tcW w:w="2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Equity Value</w:t>
                  </w:r>
                </w:p>
              </w:tc>
              <w:tc>
                <w:tcPr>
                  <w:tcW w:w="16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473,853</w:t>
                  </w:r>
                </w:p>
              </w:tc>
              <w:tc>
                <w:tcPr>
                  <w:tcW w:w="158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t>
                  </w:r>
                </w:p>
              </w:tc>
            </w:tr>
            <w:tr w:rsidR="00867102" w:rsidRPr="00F3309E" w:rsidTr="00867102">
              <w:trPr>
                <w:trHeight w:val="285"/>
              </w:trPr>
              <w:tc>
                <w:tcPr>
                  <w:tcW w:w="2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No. of Shares (Cr)</w:t>
                  </w:r>
                </w:p>
              </w:tc>
              <w:tc>
                <w:tcPr>
                  <w:tcW w:w="16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10.3</w:t>
                  </w:r>
                </w:p>
              </w:tc>
              <w:tc>
                <w:tcPr>
                  <w:tcW w:w="158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No dilution</w:t>
                  </w:r>
                </w:p>
              </w:tc>
            </w:tr>
            <w:tr w:rsidR="00867102" w:rsidRPr="00F3309E" w:rsidTr="00867102">
              <w:trPr>
                <w:trHeight w:val="585"/>
              </w:trPr>
              <w:tc>
                <w:tcPr>
                  <w:tcW w:w="2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Fair Value per Share</w:t>
                  </w:r>
                </w:p>
              </w:tc>
              <w:tc>
                <w:tcPr>
                  <w:tcW w:w="16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₹459</w:t>
                  </w:r>
                </w:p>
              </w:tc>
              <w:tc>
                <w:tcPr>
                  <w:tcW w:w="158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Equity Value / Shares</w:t>
                  </w:r>
                </w:p>
              </w:tc>
            </w:tr>
            <w:tr w:rsidR="00867102" w:rsidRPr="00F3309E" w:rsidTr="00867102">
              <w:trPr>
                <w:trHeight w:val="585"/>
              </w:trPr>
              <w:tc>
                <w:tcPr>
                  <w:tcW w:w="25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Market Price (CMP)</w:t>
                  </w:r>
                </w:p>
              </w:tc>
              <w:tc>
                <w:tcPr>
                  <w:tcW w:w="166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₹1,032</w:t>
                  </w:r>
                </w:p>
              </w:tc>
              <w:tc>
                <w:tcPr>
                  <w:tcW w:w="1580" w:type="dxa"/>
                  <w:tcBorders>
                    <w:top w:val="nil"/>
                    <w:left w:val="nil"/>
                    <w:bottom w:val="single" w:sz="4" w:space="0" w:color="auto"/>
                    <w:right w:val="nil"/>
                  </w:tcBorders>
                  <w:shd w:val="clear" w:color="auto" w:fill="auto"/>
                  <w:vAlign w:val="bottom"/>
                  <w:hideMark/>
                </w:tcPr>
                <w:p w:rsidR="00867102" w:rsidRPr="00F3309E" w:rsidRDefault="00867102" w:rsidP="00867102">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As of Dec 06, 2025</w:t>
                  </w:r>
                </w:p>
              </w:tc>
            </w:tr>
          </w:tbl>
          <w:p w:rsidR="00867102" w:rsidRPr="00F3309E" w:rsidRDefault="00867102" w:rsidP="008E68A2">
            <w:pPr>
              <w:pStyle w:val="NormalWeb"/>
            </w:pPr>
          </w:p>
          <w:p w:rsidR="00867102" w:rsidRPr="00F3309E" w:rsidRDefault="00867102" w:rsidP="00867102">
            <w:pPr>
              <w:pStyle w:val="NormalWeb"/>
            </w:pPr>
          </w:p>
          <w:p w:rsidR="00867102" w:rsidRPr="00F3309E" w:rsidRDefault="00867102" w:rsidP="00867102">
            <w:pPr>
              <w:pStyle w:val="NormalWeb"/>
            </w:pPr>
            <w:r w:rsidRPr="00F3309E">
              <w:t xml:space="preserve"> + Cash &amp; Equivalents (no preferred stock/minority interest/other adjustments).</w:t>
            </w:r>
          </w:p>
          <w:p w:rsidR="00AB2A3A" w:rsidRPr="00F3309E" w:rsidRDefault="00AB2A3A" w:rsidP="00AB2A3A">
            <w:pPr>
              <w:pStyle w:val="Heading4"/>
              <w:rPr>
                <w:rFonts w:ascii="Times New Roman" w:hAnsi="Times New Roman" w:cs="Times New Roman"/>
                <w:sz w:val="24"/>
                <w:szCs w:val="24"/>
              </w:rPr>
            </w:pPr>
          </w:p>
          <w:p w:rsidR="00AB2A3A" w:rsidRPr="00F3309E" w:rsidRDefault="00AB2A3A" w:rsidP="00AB2A3A">
            <w:pPr>
              <w:rPr>
                <w:rFonts w:ascii="Times New Roman" w:hAnsi="Times New Roman" w:cs="Times New Roman"/>
                <w:sz w:val="24"/>
                <w:szCs w:val="24"/>
              </w:rPr>
            </w:pPr>
          </w:p>
          <w:p w:rsidR="00AB2A3A" w:rsidRPr="00191A84" w:rsidRDefault="00AB2A3A" w:rsidP="00AB2A3A">
            <w:pPr>
              <w:pStyle w:val="Heading4"/>
              <w:rPr>
                <w:rFonts w:ascii="Times New Roman" w:hAnsi="Times New Roman" w:cs="Times New Roman"/>
                <w:color w:val="000000" w:themeColor="text1"/>
                <w:sz w:val="24"/>
                <w:szCs w:val="24"/>
              </w:rPr>
            </w:pPr>
            <w:r w:rsidRPr="00191A84">
              <w:rPr>
                <w:rFonts w:ascii="Times New Roman" w:hAnsi="Times New Roman" w:cs="Times New Roman"/>
                <w:color w:val="000000" w:themeColor="text1"/>
                <w:sz w:val="24"/>
                <w:szCs w:val="24"/>
              </w:rPr>
              <w:t>6. Sensitivity Analysis: Enterprise Value (Lakhs)</w:t>
            </w:r>
          </w:p>
          <w:p w:rsidR="00AB2A3A" w:rsidRPr="00F3309E" w:rsidRDefault="00AB2A3A" w:rsidP="00AB2A3A">
            <w:pPr>
              <w:pStyle w:val="NormalWeb"/>
            </w:pPr>
            <w:r w:rsidRPr="00F3309E">
              <w:t>Valuation range: ₹317,708 – ₹589,904 Lakhs (pink shade). Vary WACC (11.5%–13.5%) and Terminal Growth (4.0%–6.0%).</w:t>
            </w:r>
          </w:p>
          <w:p w:rsidR="00AB2A3A" w:rsidRPr="00F3309E" w:rsidRDefault="00AB2A3A" w:rsidP="00AB2A3A">
            <w:pPr>
              <w:pStyle w:val="NormalWeb"/>
            </w:pPr>
          </w:p>
          <w:tbl>
            <w:tblPr>
              <w:tblW w:w="10600" w:type="dxa"/>
              <w:tblLook w:val="04A0"/>
            </w:tblPr>
            <w:tblGrid>
              <w:gridCol w:w="2560"/>
              <w:gridCol w:w="1660"/>
              <w:gridCol w:w="1580"/>
              <w:gridCol w:w="1620"/>
              <w:gridCol w:w="1560"/>
              <w:gridCol w:w="1620"/>
            </w:tblGrid>
            <w:tr w:rsidR="00AB2A3A" w:rsidRPr="00F3309E" w:rsidTr="00AB2A3A">
              <w:trPr>
                <w:trHeight w:val="600"/>
              </w:trPr>
              <w:tc>
                <w:tcPr>
                  <w:tcW w:w="256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WACC \ Terminal Growth</w:t>
                  </w:r>
                </w:p>
              </w:tc>
              <w:tc>
                <w:tcPr>
                  <w:tcW w:w="166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4.00%</w:t>
                  </w:r>
                </w:p>
              </w:tc>
              <w:tc>
                <w:tcPr>
                  <w:tcW w:w="158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4.50%</w:t>
                  </w:r>
                </w:p>
              </w:tc>
              <w:tc>
                <w:tcPr>
                  <w:tcW w:w="162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5.00%</w:t>
                  </w:r>
                </w:p>
              </w:tc>
              <w:tc>
                <w:tcPr>
                  <w:tcW w:w="156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5.50%</w:t>
                  </w:r>
                </w:p>
              </w:tc>
              <w:tc>
                <w:tcPr>
                  <w:tcW w:w="162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6.00%</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11.50%</w:t>
                  </w:r>
                </w:p>
              </w:tc>
              <w:tc>
                <w:tcPr>
                  <w:tcW w:w="16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455,404</w:t>
                  </w:r>
                </w:p>
              </w:tc>
              <w:tc>
                <w:tcPr>
                  <w:tcW w:w="158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481,824</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512,308</w:t>
                  </w:r>
                </w:p>
              </w:tc>
              <w:tc>
                <w:tcPr>
                  <w:tcW w:w="15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547,873</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589,904</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12.00%</w:t>
                  </w:r>
                </w:p>
              </w:tc>
              <w:tc>
                <w:tcPr>
                  <w:tcW w:w="16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426,404</w:t>
                  </w:r>
                </w:p>
              </w:tc>
              <w:tc>
                <w:tcPr>
                  <w:tcW w:w="158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448,824</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473,853</w:t>
                  </w:r>
                </w:p>
              </w:tc>
              <w:tc>
                <w:tcPr>
                  <w:tcW w:w="15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503,797</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538,731</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12.50%</w:t>
                  </w:r>
                </w:p>
              </w:tc>
              <w:tc>
                <w:tcPr>
                  <w:tcW w:w="16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425,195</w:t>
                  </w:r>
                </w:p>
              </w:tc>
              <w:tc>
                <w:tcPr>
                  <w:tcW w:w="158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447,902</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473,853</w:t>
                  </w:r>
                </w:p>
              </w:tc>
              <w:tc>
                <w:tcPr>
                  <w:tcW w:w="15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503,797</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538,731</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13.00%</w:t>
                  </w:r>
                </w:p>
              </w:tc>
              <w:tc>
                <w:tcPr>
                  <w:tcW w:w="16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374,943</w:t>
                  </w:r>
                </w:p>
              </w:tc>
              <w:tc>
                <w:tcPr>
                  <w:tcW w:w="158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392,130</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411,466</w:t>
                  </w:r>
                </w:p>
              </w:tc>
              <w:tc>
                <w:tcPr>
                  <w:tcW w:w="15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433,380</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458,425</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13.50%</w:t>
                  </w:r>
                </w:p>
              </w:tc>
              <w:tc>
                <w:tcPr>
                  <w:tcW w:w="16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317,708</w:t>
                  </w:r>
                </w:p>
              </w:tc>
              <w:tc>
                <w:tcPr>
                  <w:tcW w:w="158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329,586</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342,716</w:t>
                  </w:r>
                </w:p>
              </w:tc>
              <w:tc>
                <w:tcPr>
                  <w:tcW w:w="15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357,304</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373,608</w:t>
                  </w:r>
                </w:p>
              </w:tc>
            </w:tr>
          </w:tbl>
          <w:p w:rsidR="00AB2A3A" w:rsidRPr="00F3309E" w:rsidRDefault="00AB2A3A" w:rsidP="00AB2A3A">
            <w:pPr>
              <w:pStyle w:val="NormalWeb"/>
            </w:pPr>
          </w:p>
          <w:p w:rsidR="00AB2A3A" w:rsidRPr="00F3309E" w:rsidRDefault="00AB2A3A" w:rsidP="00AB2A3A">
            <w:pPr>
              <w:pStyle w:val="NormalWeb"/>
            </w:pPr>
          </w:p>
          <w:tbl>
            <w:tblPr>
              <w:tblW w:w="10600" w:type="dxa"/>
              <w:tblLook w:val="04A0"/>
            </w:tblPr>
            <w:tblGrid>
              <w:gridCol w:w="2560"/>
              <w:gridCol w:w="1660"/>
              <w:gridCol w:w="1580"/>
              <w:gridCol w:w="1620"/>
              <w:gridCol w:w="1560"/>
              <w:gridCol w:w="1620"/>
            </w:tblGrid>
            <w:tr w:rsidR="00AB2A3A" w:rsidRPr="00F3309E" w:rsidTr="00AB2A3A">
              <w:trPr>
                <w:trHeight w:val="600"/>
              </w:trPr>
              <w:tc>
                <w:tcPr>
                  <w:tcW w:w="256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WACC \ Terminal Growth</w:t>
                  </w:r>
                </w:p>
              </w:tc>
              <w:tc>
                <w:tcPr>
                  <w:tcW w:w="166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4.00%</w:t>
                  </w:r>
                </w:p>
              </w:tc>
              <w:tc>
                <w:tcPr>
                  <w:tcW w:w="158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4.50%</w:t>
                  </w:r>
                </w:p>
              </w:tc>
              <w:tc>
                <w:tcPr>
                  <w:tcW w:w="162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5.00%</w:t>
                  </w:r>
                </w:p>
              </w:tc>
              <w:tc>
                <w:tcPr>
                  <w:tcW w:w="156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5.50%</w:t>
                  </w:r>
                </w:p>
              </w:tc>
              <w:tc>
                <w:tcPr>
                  <w:tcW w:w="1620" w:type="dxa"/>
                  <w:tcBorders>
                    <w:top w:val="nil"/>
                    <w:left w:val="nil"/>
                    <w:bottom w:val="nil"/>
                    <w:right w:val="nil"/>
                  </w:tcBorders>
                  <w:shd w:val="clear" w:color="000000" w:fill="0070C0"/>
                  <w:vAlign w:val="center"/>
                  <w:hideMark/>
                </w:tcPr>
                <w:p w:rsidR="00AB2A3A" w:rsidRPr="00F3309E" w:rsidRDefault="00AB2A3A" w:rsidP="00AB2A3A">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6.00%</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11.50%</w:t>
                  </w:r>
                </w:p>
              </w:tc>
              <w:tc>
                <w:tcPr>
                  <w:tcW w:w="16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992</w:t>
                  </w:r>
                </w:p>
              </w:tc>
              <w:tc>
                <w:tcPr>
                  <w:tcW w:w="158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1,050</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1,116</w:t>
                  </w:r>
                </w:p>
              </w:tc>
              <w:tc>
                <w:tcPr>
                  <w:tcW w:w="15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1,194</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1,285</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12.00%</w:t>
                  </w:r>
                </w:p>
              </w:tc>
              <w:tc>
                <w:tcPr>
                  <w:tcW w:w="166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926</w:t>
                  </w:r>
                </w:p>
              </w:tc>
              <w:tc>
                <w:tcPr>
                  <w:tcW w:w="158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976</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1,032</w:t>
                  </w:r>
                </w:p>
              </w:tc>
              <w:tc>
                <w:tcPr>
                  <w:tcW w:w="15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1,098</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1,174</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12.50%</w:t>
                  </w:r>
                </w:p>
              </w:tc>
              <w:tc>
                <w:tcPr>
                  <w:tcW w:w="166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868</w:t>
                  </w:r>
                </w:p>
              </w:tc>
              <w:tc>
                <w:tcPr>
                  <w:tcW w:w="158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911</w:t>
                  </w:r>
                </w:p>
              </w:tc>
              <w:tc>
                <w:tcPr>
                  <w:tcW w:w="162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960</w:t>
                  </w:r>
                </w:p>
              </w:tc>
              <w:tc>
                <w:tcPr>
                  <w:tcW w:w="156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1,015</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1,079</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13.00%</w:t>
                  </w:r>
                </w:p>
              </w:tc>
              <w:tc>
                <w:tcPr>
                  <w:tcW w:w="166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817</w:t>
                  </w:r>
                </w:p>
              </w:tc>
              <w:tc>
                <w:tcPr>
                  <w:tcW w:w="158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854</w:t>
                  </w:r>
                </w:p>
              </w:tc>
              <w:tc>
                <w:tcPr>
                  <w:tcW w:w="162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896</w:t>
                  </w:r>
                </w:p>
              </w:tc>
              <w:tc>
                <w:tcPr>
                  <w:tcW w:w="156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944</w:t>
                  </w:r>
                </w:p>
              </w:tc>
              <w:tc>
                <w:tcPr>
                  <w:tcW w:w="1620" w:type="dxa"/>
                  <w:tcBorders>
                    <w:top w:val="nil"/>
                    <w:left w:val="nil"/>
                    <w:bottom w:val="nil"/>
                    <w:right w:val="nil"/>
                  </w:tcBorders>
                  <w:shd w:val="clear" w:color="000000" w:fill="FFC7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9C0006"/>
                      <w:sz w:val="24"/>
                      <w:szCs w:val="24"/>
                    </w:rPr>
                  </w:pPr>
                  <w:r w:rsidRPr="00F3309E">
                    <w:rPr>
                      <w:rFonts w:ascii="Times New Roman" w:eastAsia="Times New Roman" w:hAnsi="Times New Roman" w:cs="Times New Roman"/>
                      <w:color w:val="9C0006"/>
                      <w:sz w:val="24"/>
                      <w:szCs w:val="24"/>
                    </w:rPr>
                    <w:t>999</w:t>
                  </w:r>
                </w:p>
              </w:tc>
            </w:tr>
            <w:tr w:rsidR="00AB2A3A" w:rsidRPr="00F3309E" w:rsidTr="00AB2A3A">
              <w:trPr>
                <w:trHeight w:val="300"/>
              </w:trPr>
              <w:tc>
                <w:tcPr>
                  <w:tcW w:w="2560" w:type="dxa"/>
                  <w:tcBorders>
                    <w:top w:val="nil"/>
                    <w:left w:val="nil"/>
                    <w:bottom w:val="nil"/>
                    <w:right w:val="nil"/>
                  </w:tcBorders>
                  <w:shd w:val="clear" w:color="auto" w:fill="auto"/>
                  <w:vAlign w:val="bottom"/>
                  <w:hideMark/>
                </w:tcPr>
                <w:p w:rsidR="00AB2A3A" w:rsidRPr="00F3309E" w:rsidRDefault="00AB2A3A" w:rsidP="00AB2A3A">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13.50%</w:t>
                  </w:r>
                </w:p>
              </w:tc>
              <w:tc>
                <w:tcPr>
                  <w:tcW w:w="166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771</w:t>
                  </w:r>
                </w:p>
              </w:tc>
              <w:tc>
                <w:tcPr>
                  <w:tcW w:w="158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804</w:t>
                  </w:r>
                </w:p>
              </w:tc>
              <w:tc>
                <w:tcPr>
                  <w:tcW w:w="162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841</w:t>
                  </w:r>
                </w:p>
              </w:tc>
              <w:tc>
                <w:tcPr>
                  <w:tcW w:w="156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882</w:t>
                  </w:r>
                </w:p>
              </w:tc>
              <w:tc>
                <w:tcPr>
                  <w:tcW w:w="1620" w:type="dxa"/>
                  <w:tcBorders>
                    <w:top w:val="nil"/>
                    <w:left w:val="nil"/>
                    <w:bottom w:val="nil"/>
                    <w:right w:val="nil"/>
                  </w:tcBorders>
                  <w:shd w:val="clear" w:color="000000" w:fill="C6EFCE"/>
                  <w:vAlign w:val="bottom"/>
                  <w:hideMark/>
                </w:tcPr>
                <w:p w:rsidR="00AB2A3A" w:rsidRPr="00F3309E" w:rsidRDefault="00AB2A3A" w:rsidP="00AB2A3A">
                  <w:pPr>
                    <w:spacing w:after="0" w:line="240" w:lineRule="auto"/>
                    <w:jc w:val="right"/>
                    <w:rPr>
                      <w:rFonts w:ascii="Times New Roman" w:eastAsia="Times New Roman" w:hAnsi="Times New Roman" w:cs="Times New Roman"/>
                      <w:color w:val="006100"/>
                      <w:sz w:val="24"/>
                      <w:szCs w:val="24"/>
                    </w:rPr>
                  </w:pPr>
                  <w:r w:rsidRPr="00F3309E">
                    <w:rPr>
                      <w:rFonts w:ascii="Times New Roman" w:eastAsia="Times New Roman" w:hAnsi="Times New Roman" w:cs="Times New Roman"/>
                      <w:color w:val="006100"/>
                      <w:sz w:val="24"/>
                      <w:szCs w:val="24"/>
                    </w:rPr>
                    <w:t>929</w:t>
                  </w:r>
                </w:p>
              </w:tc>
            </w:tr>
          </w:tbl>
          <w:p w:rsidR="00AB2A3A" w:rsidRPr="00F3309E" w:rsidRDefault="00AB2A3A" w:rsidP="00AB2A3A">
            <w:pPr>
              <w:pStyle w:val="NormalWeb"/>
            </w:pPr>
          </w:p>
          <w:p w:rsidR="00AB2A3A" w:rsidRPr="00F3309E" w:rsidRDefault="00AB2A3A" w:rsidP="00AB2A3A">
            <w:pPr>
              <w:pStyle w:val="NormalWeb"/>
            </w:pPr>
          </w:p>
          <w:tbl>
            <w:tblPr>
              <w:tblW w:w="6177" w:type="dxa"/>
              <w:tblLook w:val="04A0"/>
            </w:tblPr>
            <w:tblGrid>
              <w:gridCol w:w="4557"/>
              <w:gridCol w:w="980"/>
              <w:gridCol w:w="640"/>
              <w:gridCol w:w="387"/>
              <w:gridCol w:w="1027"/>
              <w:gridCol w:w="1027"/>
              <w:gridCol w:w="776"/>
              <w:gridCol w:w="251"/>
            </w:tblGrid>
            <w:tr w:rsidR="00AB2A3A" w:rsidRPr="00F3309E" w:rsidTr="00AB2A3A">
              <w:trPr>
                <w:gridAfter w:val="5"/>
                <w:wAfter w:w="3468" w:type="dxa"/>
                <w:trHeight w:val="300"/>
              </w:trPr>
              <w:tc>
                <w:tcPr>
                  <w:tcW w:w="4557" w:type="dxa"/>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Fair value per share = </w:t>
                  </w:r>
                  <w:r w:rsidRPr="00F3309E">
                    <w:rPr>
                      <w:rFonts w:ascii="Times New Roman" w:eastAsia="Times New Roman" w:hAnsi="Times New Roman" w:cs="Times New Roman"/>
                      <w:b/>
                      <w:bCs/>
                      <w:color w:val="000000"/>
                      <w:sz w:val="24"/>
                      <w:szCs w:val="24"/>
                    </w:rPr>
                    <w:t>₹ 459 per share</w:t>
                  </w:r>
                </w:p>
              </w:tc>
              <w:tc>
                <w:tcPr>
                  <w:tcW w:w="980"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640"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gridAfter w:val="5"/>
                <w:wAfter w:w="3468" w:type="dxa"/>
                <w:trHeight w:val="285"/>
              </w:trPr>
              <w:tc>
                <w:tcPr>
                  <w:tcW w:w="4557" w:type="dxa"/>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c>
                <w:tcPr>
                  <w:tcW w:w="980"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640"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gridAfter w:val="5"/>
                <w:wAfter w:w="3468" w:type="dxa"/>
                <w:trHeight w:val="300"/>
              </w:trPr>
              <w:tc>
                <w:tcPr>
                  <w:tcW w:w="4557" w:type="dxa"/>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But actual market price shown = </w:t>
                  </w:r>
                  <w:r w:rsidRPr="00F3309E">
                    <w:rPr>
                      <w:rFonts w:ascii="Times New Roman" w:eastAsia="Times New Roman" w:hAnsi="Times New Roman" w:cs="Times New Roman"/>
                      <w:b/>
                      <w:bCs/>
                      <w:color w:val="000000"/>
                      <w:sz w:val="24"/>
                      <w:szCs w:val="24"/>
                    </w:rPr>
                    <w:t>₹ 1,032 per share</w:t>
                  </w:r>
                </w:p>
              </w:tc>
              <w:tc>
                <w:tcPr>
                  <w:tcW w:w="980"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640"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gridAfter w:val="1"/>
                <w:wAfter w:w="251" w:type="dxa"/>
                <w:trHeight w:val="600"/>
              </w:trPr>
              <w:tc>
                <w:tcPr>
                  <w:tcW w:w="9394" w:type="dxa"/>
                  <w:gridSpan w:val="7"/>
                  <w:tcBorders>
                    <w:top w:val="nil"/>
                    <w:left w:val="nil"/>
                    <w:bottom w:val="nil"/>
                    <w:right w:val="nil"/>
                  </w:tcBorders>
                  <w:shd w:val="clear" w:color="auto" w:fill="auto"/>
                  <w:noWrap/>
                  <w:vAlign w:val="bottom"/>
                  <w:hideMark/>
                </w:tcPr>
                <w:p w:rsidR="006B3A2F" w:rsidRDefault="006B3A2F" w:rsidP="00AB2A3A">
                  <w:pPr>
                    <w:spacing w:after="0" w:line="240" w:lineRule="auto"/>
                    <w:rPr>
                      <w:rFonts w:ascii="Times New Roman" w:eastAsia="Times New Roman" w:hAnsi="Times New Roman" w:cs="Times New Roman"/>
                      <w:b/>
                      <w:bCs/>
                      <w:color w:val="000000"/>
                      <w:sz w:val="24"/>
                      <w:szCs w:val="24"/>
                    </w:rPr>
                  </w:pPr>
                </w:p>
                <w:p w:rsidR="006B3A2F" w:rsidRDefault="006B3A2F" w:rsidP="00AB2A3A">
                  <w:pPr>
                    <w:spacing w:after="0" w:line="240" w:lineRule="auto"/>
                    <w:rPr>
                      <w:rFonts w:ascii="Times New Roman" w:eastAsia="Times New Roman" w:hAnsi="Times New Roman" w:cs="Times New Roman"/>
                      <w:b/>
                      <w:bCs/>
                      <w:color w:val="000000"/>
                      <w:sz w:val="24"/>
                      <w:szCs w:val="24"/>
                    </w:rPr>
                  </w:pPr>
                </w:p>
                <w:p w:rsidR="006B3A2F" w:rsidRDefault="006B3A2F" w:rsidP="00AB2A3A">
                  <w:pPr>
                    <w:spacing w:after="0" w:line="240" w:lineRule="auto"/>
                    <w:rPr>
                      <w:rFonts w:ascii="Times New Roman" w:eastAsia="Times New Roman" w:hAnsi="Times New Roman" w:cs="Times New Roman"/>
                      <w:b/>
                      <w:bCs/>
                      <w:color w:val="000000"/>
                      <w:sz w:val="24"/>
                      <w:szCs w:val="24"/>
                    </w:rPr>
                  </w:pPr>
                </w:p>
                <w:p w:rsidR="006B3A2F" w:rsidRDefault="006B3A2F" w:rsidP="00AB2A3A">
                  <w:pPr>
                    <w:spacing w:after="0" w:line="240" w:lineRule="auto"/>
                    <w:rPr>
                      <w:rFonts w:ascii="Times New Roman" w:eastAsia="Times New Roman" w:hAnsi="Times New Roman" w:cs="Times New Roman"/>
                      <w:b/>
                      <w:bCs/>
                      <w:color w:val="000000"/>
                      <w:sz w:val="24"/>
                      <w:szCs w:val="24"/>
                    </w:rPr>
                  </w:pPr>
                </w:p>
                <w:p w:rsidR="00AB2A3A" w:rsidRPr="00F3309E" w:rsidRDefault="00AB2A3A" w:rsidP="00AB2A3A">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lastRenderedPageBreak/>
                    <w:t>Sensitivity Analysis</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r>
            <w:tr w:rsidR="00AB2A3A" w:rsidRPr="00F3309E" w:rsidTr="00AB2A3A">
              <w:trPr>
                <w:gridAfter w:val="1"/>
                <w:wAfter w:w="251" w:type="dxa"/>
                <w:trHeight w:val="46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Enterprise Value Sensitivity</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You vary:</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r>
            <w:tr w:rsidR="00AB2A3A" w:rsidRPr="00F3309E" w:rsidTr="00AB2A3A">
              <w:trPr>
                <w:gridAfter w:val="1"/>
                <w:wAfter w:w="251" w:type="dxa"/>
                <w:trHeight w:val="300"/>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1"/>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WACC (11.5%–13.5%)</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r>
            <w:tr w:rsidR="00AB2A3A" w:rsidRPr="00F3309E" w:rsidTr="00AB2A3A">
              <w:trPr>
                <w:gridAfter w:val="1"/>
                <w:wAfter w:w="251" w:type="dxa"/>
                <w:trHeight w:val="300"/>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1"/>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Terminal Growth Rate (4%–6%)</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r>
            <w:tr w:rsidR="00AB2A3A" w:rsidRPr="00F3309E" w:rsidTr="00AB2A3A">
              <w:trPr>
                <w:gridAfter w:val="1"/>
                <w:wAfter w:w="251" w:type="dxa"/>
                <w:trHeight w:val="300"/>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 Enterprise value ranges roughly from </w:t>
                  </w:r>
                  <w:r w:rsidRPr="00F3309E">
                    <w:rPr>
                      <w:rFonts w:ascii="Times New Roman" w:eastAsia="Times New Roman" w:hAnsi="Times New Roman" w:cs="Times New Roman"/>
                      <w:b/>
                      <w:bCs/>
                      <w:color w:val="000000"/>
                      <w:sz w:val="24"/>
                      <w:szCs w:val="24"/>
                    </w:rPr>
                    <w:t>₹ 317,000 Lakhs to ₹ 589,000 Lakhs</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This shows:</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r>
            <w:tr w:rsidR="00AB2A3A" w:rsidRPr="00F3309E" w:rsidTr="00AB2A3A">
              <w:trPr>
                <w:gridAfter w:val="1"/>
                <w:wAfter w:w="251" w:type="dxa"/>
                <w:trHeight w:val="300"/>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Valuation is </w:t>
                  </w:r>
                  <w:r w:rsidRPr="00F3309E">
                    <w:rPr>
                      <w:rFonts w:ascii="Times New Roman" w:eastAsia="Times New Roman" w:hAnsi="Times New Roman" w:cs="Times New Roman"/>
                      <w:b/>
                      <w:bCs/>
                      <w:color w:val="000000"/>
                      <w:sz w:val="24"/>
                      <w:szCs w:val="24"/>
                    </w:rPr>
                    <w:t>very sensitive</w:t>
                  </w:r>
                  <w:r w:rsidRPr="00F3309E">
                    <w:rPr>
                      <w:rFonts w:ascii="Times New Roman" w:eastAsia="Times New Roman" w:hAnsi="Times New Roman" w:cs="Times New Roman"/>
                      <w:color w:val="000000"/>
                      <w:sz w:val="24"/>
                      <w:szCs w:val="24"/>
                    </w:rPr>
                    <w:t xml:space="preserve"> to WACC and long-term growth.</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Lower WACC or higher growth → value jumps sharply.</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r>
            <w:tr w:rsidR="00AB2A3A" w:rsidRPr="00F3309E" w:rsidTr="00AB2A3A">
              <w:trPr>
                <w:gridAfter w:val="1"/>
                <w:wAfter w:w="251" w:type="dxa"/>
                <w:trHeight w:val="46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Share Price Sensitivity</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Share price ranges from:</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r>
            <w:tr w:rsidR="00AB2A3A" w:rsidRPr="00F3309E" w:rsidTr="00AB2A3A">
              <w:trPr>
                <w:gridAfter w:val="1"/>
                <w:wAfter w:w="251" w:type="dxa"/>
                <w:trHeight w:val="300"/>
              </w:trPr>
              <w:tc>
                <w:tcPr>
                  <w:tcW w:w="9394" w:type="dxa"/>
                  <w:gridSpan w:val="7"/>
                  <w:tcBorders>
                    <w:top w:val="nil"/>
                    <w:left w:val="nil"/>
                    <w:bottom w:val="nil"/>
                    <w:right w:val="nil"/>
                  </w:tcBorders>
                  <w:shd w:val="clear" w:color="auto" w:fill="auto"/>
                  <w:noWrap/>
                  <w:vAlign w:val="bottom"/>
                  <w:hideMark/>
                </w:tcPr>
                <w:p w:rsidR="00AB2A3A" w:rsidRPr="00F3309E" w:rsidRDefault="00AB2A3A" w:rsidP="006B3A2F">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 771 – ₹ 1,285 per share</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r>
            <w:tr w:rsidR="00AB2A3A" w:rsidRPr="00F3309E" w:rsidTr="00AB2A3A">
              <w:trPr>
                <w:gridAfter w:val="1"/>
                <w:wAfter w:w="251" w:type="dxa"/>
                <w:trHeight w:val="300"/>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Your calculated fair value </w:t>
                  </w:r>
                  <w:r w:rsidRPr="00F3309E">
                    <w:rPr>
                      <w:rFonts w:ascii="Times New Roman" w:eastAsia="Times New Roman" w:hAnsi="Times New Roman" w:cs="Times New Roman"/>
                      <w:b/>
                      <w:bCs/>
                      <w:color w:val="000000"/>
                      <w:sz w:val="24"/>
                      <w:szCs w:val="24"/>
                    </w:rPr>
                    <w:t>₹ 459</w:t>
                  </w:r>
                  <w:r w:rsidRPr="00F3309E">
                    <w:rPr>
                      <w:rFonts w:ascii="Times New Roman" w:eastAsia="Times New Roman" w:hAnsi="Times New Roman" w:cs="Times New Roman"/>
                      <w:color w:val="000000"/>
                      <w:sz w:val="24"/>
                      <w:szCs w:val="24"/>
                    </w:rPr>
                    <w:t xml:space="preserve"> is outside this range because the base WACC/growth used in sensitivity table differs slightly from your other assumptions.</w:t>
                  </w:r>
                </w:p>
              </w:tc>
            </w:tr>
            <w:tr w:rsidR="00AB2A3A" w:rsidRPr="00F3309E" w:rsidTr="00AB2A3A">
              <w:trPr>
                <w:gridAfter w:val="1"/>
                <w:wAfter w:w="251" w:type="dxa"/>
                <w:trHeight w:val="285"/>
              </w:trPr>
              <w:tc>
                <w:tcPr>
                  <w:tcW w:w="9394" w:type="dxa"/>
                  <w:gridSpan w:val="7"/>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p>
              </w:tc>
            </w:tr>
            <w:tr w:rsidR="00AB2A3A" w:rsidRPr="00F3309E" w:rsidTr="00AB2A3A">
              <w:trPr>
                <w:trHeight w:val="600"/>
              </w:trPr>
              <w:tc>
                <w:tcPr>
                  <w:tcW w:w="4417" w:type="dxa"/>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Final Summary</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300"/>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Your DCF suggests </w:t>
                  </w:r>
                  <w:r w:rsidRPr="00F3309E">
                    <w:rPr>
                      <w:rFonts w:ascii="Times New Roman" w:eastAsia="Times New Roman" w:hAnsi="Times New Roman" w:cs="Times New Roman"/>
                      <w:b/>
                      <w:bCs/>
                      <w:color w:val="000000"/>
                      <w:sz w:val="24"/>
                      <w:szCs w:val="24"/>
                    </w:rPr>
                    <w:t>fair value = ₹ 459/share</w:t>
                  </w:r>
                  <w:r w:rsidRPr="00F3309E">
                    <w:rPr>
                      <w:rFonts w:ascii="Times New Roman" w:eastAsia="Times New Roman" w:hAnsi="Times New Roman" w:cs="Times New Roman"/>
                      <w:color w:val="000000"/>
                      <w:sz w:val="24"/>
                      <w:szCs w:val="24"/>
                    </w:rPr>
                    <w:t>.</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300"/>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Current market price is </w:t>
                  </w:r>
                  <w:r w:rsidRPr="00F3309E">
                    <w:rPr>
                      <w:rFonts w:ascii="Times New Roman" w:eastAsia="Times New Roman" w:hAnsi="Times New Roman" w:cs="Times New Roman"/>
                      <w:b/>
                      <w:bCs/>
                      <w:color w:val="000000"/>
                      <w:sz w:val="24"/>
                      <w:szCs w:val="24"/>
                    </w:rPr>
                    <w:t>₹ 1,032/share</w:t>
                  </w:r>
                  <w:r w:rsidRPr="00F3309E">
                    <w:rPr>
                      <w:rFonts w:ascii="Times New Roman" w:eastAsia="Times New Roman" w:hAnsi="Times New Roman" w:cs="Times New Roman"/>
                      <w:color w:val="000000"/>
                      <w:sz w:val="24"/>
                      <w:szCs w:val="24"/>
                    </w:rPr>
                    <w:t>, meaning:</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34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200" w:firstLine="48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300"/>
              </w:trPr>
              <w:tc>
                <w:tcPr>
                  <w:tcW w:w="4417" w:type="dxa"/>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xml:space="preserve">Market is pricing </w:t>
                  </w:r>
                  <w:r w:rsidRPr="00F3309E">
                    <w:rPr>
                      <w:rFonts w:ascii="Times New Roman" w:eastAsia="Times New Roman" w:hAnsi="Times New Roman" w:cs="Times New Roman"/>
                      <w:b/>
                      <w:bCs/>
                      <w:color w:val="000000"/>
                      <w:sz w:val="24"/>
                      <w:szCs w:val="24"/>
                    </w:rPr>
                    <w:t>much higher growth</w:t>
                  </w:r>
                  <w:r w:rsidRPr="00F3309E">
                    <w:rPr>
                      <w:rFonts w:ascii="Times New Roman" w:eastAsia="Times New Roman" w:hAnsi="Times New Roman" w:cs="Times New Roman"/>
                      <w:color w:val="000000"/>
                      <w:sz w:val="24"/>
                      <w:szCs w:val="24"/>
                    </w:rPr>
                    <w:t>, or</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200" w:firstLine="48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300"/>
              </w:trPr>
              <w:tc>
                <w:tcPr>
                  <w:tcW w:w="4417" w:type="dxa"/>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Your discount rate and terminal growth may be conservative.</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Cash flows show strong improvement.</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600"/>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Terminal value contributes most of the valuation.</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46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Sensitivity table shows the valuation can change a lot if:</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100" w:firstLine="24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300"/>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200" w:firstLine="48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200" w:firstLine="48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WACC changes by even 0.5%, or</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300"/>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200" w:firstLine="480"/>
                    <w:rPr>
                      <w:rFonts w:ascii="Times New Roman" w:eastAsia="Times New Roman" w:hAnsi="Times New Roman" w:cs="Times New Roman"/>
                      <w:color w:val="000000"/>
                      <w:sz w:val="24"/>
                      <w:szCs w:val="24"/>
                    </w:rPr>
                  </w:pP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r w:rsidR="00AB2A3A" w:rsidRPr="00F3309E" w:rsidTr="00AB2A3A">
              <w:trPr>
                <w:trHeight w:val="285"/>
              </w:trPr>
              <w:tc>
                <w:tcPr>
                  <w:tcW w:w="4417" w:type="dxa"/>
                  <w:tcBorders>
                    <w:top w:val="nil"/>
                    <w:left w:val="nil"/>
                    <w:bottom w:val="nil"/>
                    <w:right w:val="nil"/>
                  </w:tcBorders>
                  <w:shd w:val="clear" w:color="auto" w:fill="auto"/>
                  <w:noWrap/>
                  <w:vAlign w:val="bottom"/>
                  <w:hideMark/>
                </w:tcPr>
                <w:p w:rsidR="00AB2A3A" w:rsidRPr="00F3309E" w:rsidRDefault="00AB2A3A" w:rsidP="00F3309E">
                  <w:pPr>
                    <w:spacing w:after="0" w:line="240" w:lineRule="auto"/>
                    <w:ind w:firstLineChars="200" w:firstLine="480"/>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Terminal growth changes by 0.5%.</w:t>
                  </w:r>
                </w:p>
              </w:tc>
              <w:tc>
                <w:tcPr>
                  <w:tcW w:w="869"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c>
                <w:tcPr>
                  <w:tcW w:w="1027" w:type="dxa"/>
                  <w:gridSpan w:val="2"/>
                  <w:tcBorders>
                    <w:top w:val="nil"/>
                    <w:left w:val="nil"/>
                    <w:bottom w:val="nil"/>
                    <w:right w:val="nil"/>
                  </w:tcBorders>
                  <w:shd w:val="clear" w:color="000000" w:fill="FFFFFF"/>
                  <w:noWrap/>
                  <w:vAlign w:val="center"/>
                  <w:hideMark/>
                </w:tcPr>
                <w:p w:rsidR="00AB2A3A" w:rsidRPr="00F3309E" w:rsidRDefault="00AB2A3A" w:rsidP="00AB2A3A">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w:t>
                  </w:r>
                </w:p>
              </w:tc>
            </w:tr>
          </w:tbl>
          <w:p w:rsidR="00AB2A3A" w:rsidRPr="00F3309E" w:rsidRDefault="00AB2A3A" w:rsidP="00AB2A3A">
            <w:pPr>
              <w:pStyle w:val="NormalWeb"/>
            </w:pPr>
          </w:p>
          <w:p w:rsidR="00AB2A3A" w:rsidRPr="00F3309E" w:rsidRDefault="00AB2A3A" w:rsidP="00AB2A3A">
            <w:pPr>
              <w:rPr>
                <w:rFonts w:ascii="Times New Roman" w:hAnsi="Times New Roman" w:cs="Times New Roman"/>
                <w:sz w:val="24"/>
                <w:szCs w:val="24"/>
              </w:rPr>
            </w:pPr>
          </w:p>
          <w:p w:rsidR="00C7563A" w:rsidRPr="00F3309E" w:rsidRDefault="00C7563A" w:rsidP="008E68A2">
            <w:pPr>
              <w:spacing w:after="0" w:line="240" w:lineRule="auto"/>
              <w:rPr>
                <w:rFonts w:ascii="Times New Roman" w:eastAsia="Times New Roman" w:hAnsi="Times New Roman" w:cs="Times New Roman"/>
                <w:color w:val="000000"/>
                <w:sz w:val="24"/>
                <w:szCs w:val="24"/>
              </w:rPr>
            </w:pPr>
          </w:p>
          <w:p w:rsidR="008E68A2" w:rsidRPr="00F3309E" w:rsidRDefault="008E68A2" w:rsidP="008E68A2">
            <w:pPr>
              <w:spacing w:after="0" w:line="240" w:lineRule="auto"/>
              <w:rPr>
                <w:rFonts w:ascii="Times New Roman" w:eastAsia="Times New Roman" w:hAnsi="Times New Roman" w:cs="Times New Roman"/>
                <w:color w:val="000000"/>
                <w:sz w:val="24"/>
                <w:szCs w:val="24"/>
              </w:rPr>
            </w:pPr>
          </w:p>
          <w:p w:rsidR="008E68A2" w:rsidRPr="00C7563A" w:rsidRDefault="00C7563A" w:rsidP="008E68A2">
            <w:pPr>
              <w:spacing w:after="0" w:line="240" w:lineRule="auto"/>
              <w:rPr>
                <w:rFonts w:ascii="Times New Roman" w:eastAsia="Times New Roman" w:hAnsi="Times New Roman" w:cs="Times New Roman"/>
                <w:b/>
                <w:color w:val="000000"/>
                <w:sz w:val="28"/>
                <w:szCs w:val="28"/>
              </w:rPr>
            </w:pPr>
            <w:r w:rsidRPr="00C7563A">
              <w:rPr>
                <w:rFonts w:ascii="Times New Roman" w:eastAsia="Times New Roman" w:hAnsi="Times New Roman" w:cs="Times New Roman"/>
                <w:b/>
                <w:color w:val="000000"/>
                <w:sz w:val="28"/>
                <w:szCs w:val="28"/>
              </w:rPr>
              <w:t>Comparative Company Analysis and Gold Industry related Ratios</w:t>
            </w:r>
          </w:p>
        </w:tc>
        <w:tc>
          <w:tcPr>
            <w:tcW w:w="219"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p>
        </w:tc>
        <w:tc>
          <w:tcPr>
            <w:tcW w:w="219" w:type="dxa"/>
            <w:tcBorders>
              <w:top w:val="nil"/>
              <w:left w:val="nil"/>
              <w:bottom w:val="nil"/>
              <w:right w:val="nil"/>
            </w:tcBorders>
            <w:shd w:val="clear" w:color="auto" w:fill="auto"/>
            <w:vAlign w:val="bottom"/>
            <w:hideMark/>
          </w:tcPr>
          <w:p w:rsidR="008E68A2" w:rsidRPr="00F3309E" w:rsidRDefault="008E68A2" w:rsidP="008E68A2">
            <w:pPr>
              <w:spacing w:after="0" w:line="240" w:lineRule="auto"/>
              <w:rPr>
                <w:rFonts w:ascii="Times New Roman" w:eastAsia="Times New Roman" w:hAnsi="Times New Roman" w:cs="Times New Roman"/>
                <w:color w:val="000000"/>
                <w:sz w:val="24"/>
                <w:szCs w:val="24"/>
              </w:rPr>
            </w:pPr>
          </w:p>
        </w:tc>
      </w:tr>
    </w:tbl>
    <w:tbl>
      <w:tblPr>
        <w:tblpPr w:leftFromText="180" w:rightFromText="180" w:vertAnchor="text" w:horzAnchor="page" w:tblpX="1" w:tblpY="-11862"/>
        <w:tblOverlap w:val="never"/>
        <w:tblW w:w="16240" w:type="dxa"/>
        <w:tblLook w:val="04A0"/>
      </w:tblPr>
      <w:tblGrid>
        <w:gridCol w:w="2054"/>
        <w:gridCol w:w="1861"/>
        <w:gridCol w:w="1292"/>
        <w:gridCol w:w="1021"/>
        <w:gridCol w:w="1562"/>
        <w:gridCol w:w="1160"/>
        <w:gridCol w:w="1036"/>
        <w:gridCol w:w="6254"/>
      </w:tblGrid>
      <w:tr w:rsidR="00F82DD1" w:rsidRPr="00F3309E" w:rsidTr="00F82DD1">
        <w:trPr>
          <w:trHeight w:val="1200"/>
        </w:trPr>
        <w:tc>
          <w:tcPr>
            <w:tcW w:w="2054" w:type="dxa"/>
            <w:tcBorders>
              <w:top w:val="nil"/>
              <w:left w:val="nil"/>
              <w:bottom w:val="nil"/>
              <w:right w:val="nil"/>
            </w:tcBorders>
            <w:shd w:val="clear" w:color="000000" w:fill="FFFF00"/>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lastRenderedPageBreak/>
              <w:t>Parameter</w:t>
            </w:r>
          </w:p>
        </w:tc>
        <w:tc>
          <w:tcPr>
            <w:tcW w:w="1861" w:type="dxa"/>
            <w:tcBorders>
              <w:top w:val="nil"/>
              <w:left w:val="nil"/>
              <w:bottom w:val="nil"/>
              <w:right w:val="nil"/>
            </w:tcBorders>
            <w:shd w:val="clear" w:color="000000" w:fill="FFFF00"/>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Kalyan Jewellers</w:t>
            </w:r>
          </w:p>
        </w:tc>
        <w:tc>
          <w:tcPr>
            <w:tcW w:w="1292" w:type="dxa"/>
            <w:tcBorders>
              <w:top w:val="nil"/>
              <w:left w:val="nil"/>
              <w:bottom w:val="nil"/>
              <w:right w:val="nil"/>
            </w:tcBorders>
            <w:shd w:val="clear" w:color="000000" w:fill="FFFF00"/>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Titan (Leader)</w:t>
            </w:r>
          </w:p>
        </w:tc>
        <w:tc>
          <w:tcPr>
            <w:tcW w:w="1021" w:type="dxa"/>
            <w:tcBorders>
              <w:top w:val="nil"/>
              <w:left w:val="nil"/>
              <w:bottom w:val="nil"/>
              <w:right w:val="nil"/>
            </w:tcBorders>
            <w:shd w:val="clear" w:color="000000" w:fill="FFFF00"/>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Senco Gold</w:t>
            </w:r>
          </w:p>
        </w:tc>
        <w:tc>
          <w:tcPr>
            <w:tcW w:w="1562" w:type="dxa"/>
            <w:tcBorders>
              <w:top w:val="nil"/>
              <w:left w:val="nil"/>
              <w:bottom w:val="nil"/>
              <w:right w:val="nil"/>
            </w:tcBorders>
            <w:shd w:val="clear" w:color="000000" w:fill="FFFF00"/>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Thangamayil Jewellery</w:t>
            </w:r>
          </w:p>
        </w:tc>
        <w:tc>
          <w:tcPr>
            <w:tcW w:w="1160" w:type="dxa"/>
            <w:tcBorders>
              <w:top w:val="nil"/>
              <w:left w:val="nil"/>
              <w:bottom w:val="nil"/>
              <w:right w:val="nil"/>
            </w:tcBorders>
            <w:shd w:val="clear" w:color="000000" w:fill="FFFF00"/>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PN Gadgil Jewellers</w:t>
            </w:r>
          </w:p>
        </w:tc>
        <w:tc>
          <w:tcPr>
            <w:tcW w:w="1036" w:type="dxa"/>
            <w:tcBorders>
              <w:top w:val="nil"/>
              <w:left w:val="nil"/>
              <w:bottom w:val="nil"/>
              <w:right w:val="nil"/>
            </w:tcBorders>
            <w:shd w:val="clear" w:color="000000" w:fill="FFFF00"/>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Industry Avg</w:t>
            </w:r>
          </w:p>
        </w:tc>
        <w:tc>
          <w:tcPr>
            <w:tcW w:w="6254" w:type="dxa"/>
            <w:tcBorders>
              <w:top w:val="nil"/>
              <w:left w:val="nil"/>
              <w:bottom w:val="nil"/>
              <w:right w:val="nil"/>
            </w:tcBorders>
            <w:shd w:val="clear" w:color="000000" w:fill="FFFF00"/>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Simple Explanation</w:t>
            </w:r>
          </w:p>
        </w:tc>
      </w:tr>
      <w:tr w:rsidR="00F82DD1" w:rsidRPr="00F3309E" w:rsidTr="00F82DD1">
        <w:trPr>
          <w:trHeight w:val="915"/>
        </w:trPr>
        <w:tc>
          <w:tcPr>
            <w:tcW w:w="205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 Gross Profit Margin (%)</w:t>
            </w:r>
          </w:p>
        </w:tc>
        <w:tc>
          <w:tcPr>
            <w:tcW w:w="1861" w:type="dxa"/>
            <w:tcBorders>
              <w:top w:val="single" w:sz="4" w:space="0" w:color="auto"/>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0.152</w:t>
            </w:r>
          </w:p>
        </w:tc>
        <w:tc>
          <w:tcPr>
            <w:tcW w:w="1292" w:type="dxa"/>
            <w:tcBorders>
              <w:top w:val="single" w:sz="4" w:space="0" w:color="auto"/>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0.2</w:t>
            </w:r>
          </w:p>
        </w:tc>
        <w:tc>
          <w:tcPr>
            <w:tcW w:w="1021" w:type="dxa"/>
            <w:tcBorders>
              <w:top w:val="single" w:sz="4" w:space="0" w:color="auto"/>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0.18</w:t>
            </w:r>
          </w:p>
        </w:tc>
        <w:tc>
          <w:tcPr>
            <w:tcW w:w="1562" w:type="dxa"/>
            <w:tcBorders>
              <w:top w:val="single" w:sz="4" w:space="0" w:color="auto"/>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0.15</w:t>
            </w:r>
          </w:p>
        </w:tc>
        <w:tc>
          <w:tcPr>
            <w:tcW w:w="1160" w:type="dxa"/>
            <w:tcBorders>
              <w:top w:val="single" w:sz="4" w:space="0" w:color="auto"/>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0.16</w:t>
            </w:r>
          </w:p>
        </w:tc>
        <w:tc>
          <w:tcPr>
            <w:tcW w:w="1036" w:type="dxa"/>
            <w:tcBorders>
              <w:top w:val="single" w:sz="4" w:space="0" w:color="auto"/>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16-18%</w:t>
            </w:r>
          </w:p>
        </w:tc>
        <w:tc>
          <w:tcPr>
            <w:tcW w:w="6254" w:type="dxa"/>
            <w:tcBorders>
              <w:top w:val="single" w:sz="4" w:space="0" w:color="auto"/>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of revenue after deducting gold/raw material costs (COGS); higher = better pricing power on making charges/wastage, key for profitability in inventory-heavy biz.</w:t>
            </w:r>
          </w:p>
        </w:tc>
      </w:tr>
      <w:tr w:rsidR="00F82DD1" w:rsidRPr="00F3309E" w:rsidTr="00F82DD1">
        <w:trPr>
          <w:trHeight w:val="85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2. Making Charges (%)</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28-37% (avg. 15%)</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10-15% (avg. 12%)</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8-12% (increased YoY)</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8-10%</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10-15%</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10-15%</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added to gold price for craftsmanship; drives gross margins but sensitive to competition; higher % boosts revenue without inventory risk.</w:t>
            </w:r>
          </w:p>
        </w:tc>
      </w:tr>
      <w:tr w:rsidR="00F82DD1" w:rsidRPr="00F3309E" w:rsidTr="00F82DD1">
        <w:trPr>
          <w:trHeight w:val="58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3. Karigar Margin (%)</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5-7% (embedded in making)</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6-8%</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4-6%</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5-7%</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Artisan/labor cost as % of making charges; lower = cost efficiency in production, impacts operating margins.</w:t>
            </w:r>
          </w:p>
        </w:tc>
      </w:tr>
      <w:tr w:rsidR="00F82DD1" w:rsidRPr="00F3309E" w:rsidTr="00F82DD1">
        <w:trPr>
          <w:trHeight w:val="61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4. Diamond Mix Ratio (% revenue)</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12-15% (part of studded)</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15-18%</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0.105</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7-8%</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10-12%</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10-15%</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sales from diamond jewelry; higher mix reduces gold price risk, improves margins (diamonds less volatile).</w:t>
            </w:r>
          </w:p>
        </w:tc>
      </w:tr>
      <w:tr w:rsidR="00F82DD1" w:rsidRPr="00F3309E" w:rsidTr="00F82DD1">
        <w:trPr>
          <w:trHeight w:val="58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5. Inventory Turnover (times/year)</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2.5x (146 days)</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1.8x (205 days)</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1.7x (220 days)</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2.2x (164 days)</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3.5x (104 days)</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2.0-2.5x</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How often inventory sells annually (365/days held); higher = faster cash flow, lower holding costs in gold-fluctuating market.</w:t>
            </w:r>
          </w:p>
        </w:tc>
      </w:tr>
      <w:tr w:rsidR="00F82DD1" w:rsidRPr="00F3309E" w:rsidTr="00F82DD1">
        <w:trPr>
          <w:trHeight w:val="630"/>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6. SSG (Same Store Sales Growth %)</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21% (Q4 FY25)</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14% (FY25)</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14.6% (FY25)</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15% (est.)</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25% (festive)</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12-18%</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growth in sales from existing stores; indicates organic demand strength, less reliant on expansion costs.</w:t>
            </w:r>
          </w:p>
        </w:tc>
      </w:tr>
      <w:tr w:rsidR="00F82DD1" w:rsidRPr="00F3309E" w:rsidTr="00F82DD1">
        <w:trPr>
          <w:trHeight w:val="1140"/>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7. Gold Price Sensitivity</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Medium (hedged ~80%; revenue +35% despite volatility)</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Low (diversified; +22% revenue)</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Medium (robust hedging offsets volatility)</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Low (96% hedged)</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Low (100% gold hedged)</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Medium</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Exposure to gold price swings on margins/profits; lower sensitivity via hedging/diversification protects earnings.</w:t>
            </w:r>
          </w:p>
        </w:tc>
      </w:tr>
      <w:tr w:rsidR="00F82DD1" w:rsidRPr="00F3309E" w:rsidTr="00F82DD1">
        <w:trPr>
          <w:trHeight w:val="82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8. Working Capital Days (days)</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26</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42</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67</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54</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32</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40-50</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Avg. days to convert working capital (debtors + inventory - creditors) to cash; lower = efficient ops, reduced borrowing costs.</w:t>
            </w:r>
          </w:p>
        </w:tc>
      </w:tr>
      <w:tr w:rsidR="00F82DD1" w:rsidRPr="00F3309E" w:rsidTr="00F82DD1">
        <w:trPr>
          <w:trHeight w:val="810"/>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9. Gold Loan Dependency (% debt)</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20% (₹3,270 Cr borrowings, incl. GML)</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C7563A" w:rsidP="00F82DD1">
            <w:pPr>
              <w:spacing w:after="0" w:line="240" w:lineRule="auto"/>
              <w:jc w:val="center"/>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vertAlign w:val="superscript"/>
              </w:rPr>
              <w:t>High (</w:t>
            </w:r>
            <w:r w:rsidR="00F82DD1" w:rsidRPr="006B3A2F">
              <w:rPr>
                <w:rFonts w:ascii="Times New Roman" w:eastAsia="Times New Roman" w:hAnsi="Times New Roman" w:cs="Times New Roman"/>
                <w:color w:val="000000"/>
                <w:sz w:val="24"/>
                <w:szCs w:val="24"/>
                <w:vertAlign w:val="superscript"/>
              </w:rPr>
              <w:t>40%; ₹24,768 Cr)</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23% (D/E 0.23x)</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50% (₹1,124 Cr)</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Low (12%; D/E 0.58x)</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20-30%</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total debt from gold loans; higher = cheaper funding but increases gold price risk if unhedged.</w:t>
            </w:r>
          </w:p>
        </w:tc>
      </w:tr>
      <w:tr w:rsidR="00F82DD1" w:rsidRPr="00F3309E" w:rsidTr="00F82DD1">
        <w:trPr>
          <w:trHeight w:val="70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10. EV/EBITDA (x)</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30.2</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54.9</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15.3</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30.9</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20.6</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25-35</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Enterprise value / EBITDA; lower multiple = cheaper valuation relative to cash profits; accounts for debt.</w:t>
            </w:r>
          </w:p>
        </w:tc>
      </w:tr>
      <w:tr w:rsidR="00F82DD1" w:rsidRPr="00F3309E" w:rsidTr="00F82DD1">
        <w:trPr>
          <w:trHeight w:val="630"/>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11. EV/Sales (x)</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1.95</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5.47</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2.5 (est.)</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1.14</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2.0-3.0</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Enterprise value / revenue; gauges sales efficiency; lower = undervalued growth potential.</w:t>
            </w:r>
          </w:p>
        </w:tc>
      </w:tr>
      <w:tr w:rsidR="00F82DD1" w:rsidRPr="00F3309E" w:rsidTr="00F82DD1">
        <w:trPr>
          <w:trHeight w:val="690"/>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12. P/E (x)</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55.4</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89</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20.2</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54.6</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28.8</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40-60</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Price / earnings per share; higher = market expects strong growth; compare to peers for relative value.</w:t>
            </w:r>
          </w:p>
        </w:tc>
      </w:tr>
      <w:tr w:rsidR="00F82DD1" w:rsidRPr="00F3309E" w:rsidTr="00F82DD1">
        <w:trPr>
          <w:trHeight w:val="600"/>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13. P/B (x)</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9.7</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19.4</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2.4</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8.6</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right"/>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45881</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Price / book value per share; reflects asset value (inventory-heavy); lower = potential bargain if growth intact.</w:t>
            </w:r>
          </w:p>
        </w:tc>
      </w:tr>
      <w:tr w:rsidR="00F82DD1" w:rsidRPr="00F3309E" w:rsidTr="00F82DD1">
        <w:trPr>
          <w:trHeight w:val="570"/>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14. PEG Ratio (x)</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2.5 (est.)</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3.5 (est.)</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1.3</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0.73</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0.87</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1.0-2.0</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P/E adjusted for growth; &lt;1 = undervalued relative to earnings growth; ideal for high-growth sectors.</w:t>
            </w:r>
          </w:p>
        </w:tc>
      </w:tr>
      <w:tr w:rsidR="00F82DD1" w:rsidRPr="00F3309E" w:rsidTr="00F82DD1">
        <w:trPr>
          <w:trHeight w:val="79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15. Hedging Efficiency (%)</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80% (inventory hedged)</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85-90%</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Robust (~90%)</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0.96</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100% (gold)</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85-95%</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inventory/positions hedged against price swings; higher = stable margins, lower volatility in profits.</w:t>
            </w:r>
          </w:p>
        </w:tc>
      </w:tr>
      <w:tr w:rsidR="00F82DD1" w:rsidRPr="00F3309E" w:rsidTr="00F82DD1">
        <w:trPr>
          <w:trHeight w:val="73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16. Hallmark Ratio (% sales)</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right"/>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hallmarked (certified purity) sales; mandatory in India, ensures trust; full compliance avoids regulatory risks.</w:t>
            </w:r>
          </w:p>
        </w:tc>
      </w:tr>
      <w:tr w:rsidR="00F82DD1" w:rsidRPr="00F3309E" w:rsidTr="00F82DD1">
        <w:trPr>
          <w:trHeight w:val="67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17. Studded Share (% revenue)</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0.192</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24%</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0.109</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0.079</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15% (est.)</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15-20%</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sales from gem-studded (non-plain gold) jewelry; higher = premium margins, diversification from gold prices.</w:t>
            </w:r>
          </w:p>
        </w:tc>
      </w:tr>
      <w:tr w:rsidR="00F82DD1" w:rsidRPr="00F3309E" w:rsidTr="00F82DD1">
        <w:trPr>
          <w:trHeight w:val="64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lastRenderedPageBreak/>
              <w:t>18. Franchise Mix Ratio (% revenue)</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20% (increasing)</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5% (mostly owned)</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~30%</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0% (fully owned)</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10%</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15-25%</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 revenue from franchised stores; higher = lower capex but potential margin dilution vs. owned stores.</w:t>
            </w:r>
          </w:p>
        </w:tc>
      </w:tr>
      <w:tr w:rsidR="00F82DD1" w:rsidRPr="00F3309E" w:rsidTr="00F82DD1">
        <w:trPr>
          <w:trHeight w:val="675"/>
        </w:trPr>
        <w:tc>
          <w:tcPr>
            <w:tcW w:w="2054" w:type="dxa"/>
            <w:tcBorders>
              <w:top w:val="nil"/>
              <w:left w:val="single" w:sz="4" w:space="0" w:color="auto"/>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b/>
                <w:bCs/>
                <w:color w:val="000000"/>
                <w:sz w:val="24"/>
                <w:szCs w:val="24"/>
                <w:vertAlign w:val="superscript"/>
              </w:rPr>
            </w:pPr>
            <w:r w:rsidRPr="006B3A2F">
              <w:rPr>
                <w:rFonts w:ascii="Times New Roman" w:eastAsia="Times New Roman" w:hAnsi="Times New Roman" w:cs="Times New Roman"/>
                <w:b/>
                <w:bCs/>
                <w:color w:val="000000"/>
                <w:sz w:val="24"/>
                <w:szCs w:val="24"/>
                <w:vertAlign w:val="superscript"/>
              </w:rPr>
              <w:t>19. Cash Conversion Cycle (days)</w:t>
            </w:r>
          </w:p>
        </w:tc>
        <w:tc>
          <w:tcPr>
            <w:tcW w:w="186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116</w:t>
            </w:r>
          </w:p>
        </w:tc>
        <w:tc>
          <w:tcPr>
            <w:tcW w:w="129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199</w:t>
            </w:r>
          </w:p>
        </w:tc>
        <w:tc>
          <w:tcPr>
            <w:tcW w:w="1021"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217</w:t>
            </w:r>
          </w:p>
        </w:tc>
        <w:tc>
          <w:tcPr>
            <w:tcW w:w="1562"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162</w:t>
            </w:r>
          </w:p>
        </w:tc>
        <w:tc>
          <w:tcPr>
            <w:tcW w:w="1160"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jc w:val="center"/>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94</w:t>
            </w:r>
          </w:p>
        </w:tc>
        <w:tc>
          <w:tcPr>
            <w:tcW w:w="1036"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140-160</w:t>
            </w:r>
          </w:p>
        </w:tc>
        <w:tc>
          <w:tcPr>
            <w:tcW w:w="6254" w:type="dxa"/>
            <w:tcBorders>
              <w:top w:val="nil"/>
              <w:left w:val="nil"/>
              <w:bottom w:val="single" w:sz="4" w:space="0" w:color="auto"/>
              <w:right w:val="single" w:sz="4" w:space="0" w:color="auto"/>
            </w:tcBorders>
            <w:shd w:val="clear" w:color="auto" w:fill="auto"/>
            <w:vAlign w:val="bottom"/>
            <w:hideMark/>
          </w:tcPr>
          <w:p w:rsidR="00F82DD1" w:rsidRPr="006B3A2F" w:rsidRDefault="00F82DD1" w:rsidP="00F82DD1">
            <w:pPr>
              <w:spacing w:after="0" w:line="240" w:lineRule="auto"/>
              <w:rPr>
                <w:rFonts w:ascii="Times New Roman" w:eastAsia="Times New Roman" w:hAnsi="Times New Roman" w:cs="Times New Roman"/>
                <w:color w:val="000000"/>
                <w:sz w:val="24"/>
                <w:szCs w:val="24"/>
                <w:vertAlign w:val="superscript"/>
              </w:rPr>
            </w:pPr>
            <w:r w:rsidRPr="006B3A2F">
              <w:rPr>
                <w:rFonts w:ascii="Times New Roman" w:eastAsia="Times New Roman" w:hAnsi="Times New Roman" w:cs="Times New Roman"/>
                <w:color w:val="000000"/>
                <w:sz w:val="24"/>
                <w:szCs w:val="24"/>
                <w:vertAlign w:val="superscript"/>
              </w:rPr>
              <w:t>Days to recover cash from ops (inventory + receivables - payables); shorter = better liquidity, lower working capital needs.</w:t>
            </w:r>
          </w:p>
        </w:tc>
      </w:tr>
    </w:tbl>
    <w:p w:rsidR="008E68A2" w:rsidRPr="00F3309E" w:rsidRDefault="008E68A2" w:rsidP="007D4920">
      <w:pPr>
        <w:spacing w:before="100" w:beforeAutospacing="1" w:after="100" w:afterAutospacing="1" w:line="240" w:lineRule="auto"/>
        <w:rPr>
          <w:rFonts w:ascii="Times New Roman" w:eastAsia="Times New Roman" w:hAnsi="Times New Roman" w:cs="Times New Roman"/>
          <w:sz w:val="24"/>
          <w:szCs w:val="24"/>
        </w:rPr>
      </w:pPr>
    </w:p>
    <w:p w:rsidR="00F82DD1" w:rsidRPr="00F3309E" w:rsidRDefault="00F82DD1" w:rsidP="007D4920">
      <w:pPr>
        <w:spacing w:before="100" w:beforeAutospacing="1" w:after="100" w:afterAutospacing="1" w:line="240" w:lineRule="auto"/>
        <w:rPr>
          <w:rFonts w:ascii="Times New Roman" w:eastAsia="Times New Roman" w:hAnsi="Times New Roman" w:cs="Times New Roman"/>
          <w:sz w:val="24"/>
          <w:szCs w:val="24"/>
        </w:rPr>
      </w:pPr>
    </w:p>
    <w:p w:rsidR="00F82DD1" w:rsidRPr="006B3A2F" w:rsidRDefault="00F82DD1" w:rsidP="006B3A2F">
      <w:pPr>
        <w:spacing w:before="100" w:beforeAutospacing="1" w:after="100" w:afterAutospacing="1" w:line="240" w:lineRule="auto"/>
        <w:rPr>
          <w:rFonts w:ascii="Times New Roman" w:eastAsia="Times New Roman" w:hAnsi="Times New Roman" w:cs="Times New Roman"/>
          <w:b/>
          <w:color w:val="404040"/>
          <w:spacing w:val="-5"/>
          <w:kern w:val="36"/>
          <w:sz w:val="24"/>
          <w:szCs w:val="24"/>
        </w:rPr>
      </w:pPr>
      <w:r w:rsidRPr="006B3A2F">
        <w:rPr>
          <w:rFonts w:ascii="Times New Roman" w:eastAsia="Times New Roman" w:hAnsi="Times New Roman" w:cs="Times New Roman"/>
          <w:b/>
          <w:color w:val="404040"/>
          <w:spacing w:val="-5"/>
          <w:kern w:val="36"/>
          <w:sz w:val="24"/>
          <w:szCs w:val="24"/>
        </w:rPr>
        <w:t xml:space="preserve">Jewelry Business </w:t>
      </w:r>
      <w:r w:rsidRPr="006B3A2F">
        <w:rPr>
          <w:rFonts w:ascii="Times New Roman" w:hAnsi="Times New Roman" w:cs="Times New Roman"/>
          <w:sz w:val="24"/>
          <w:szCs w:val="24"/>
        </w:rPr>
        <w:t>Metrics Analysis</w:t>
      </w:r>
    </w:p>
    <w:p w:rsidR="00F82DD1" w:rsidRPr="00F3309E" w:rsidRDefault="00F82DD1" w:rsidP="00F82DD1">
      <w:pPr>
        <w:rPr>
          <w:rFonts w:ascii="Times New Roman" w:hAnsi="Times New Roman" w:cs="Times New Roman"/>
          <w:sz w:val="24"/>
          <w:szCs w:val="24"/>
        </w:rPr>
      </w:pPr>
      <w:r w:rsidRPr="00F3309E">
        <w:rPr>
          <w:rFonts w:ascii="Times New Roman" w:hAnsi="Times New Roman" w:cs="Times New Roman"/>
          <w:noProof/>
          <w:sz w:val="24"/>
          <w:szCs w:val="24"/>
        </w:rPr>
        <w:drawing>
          <wp:inline distT="0" distB="0" distL="0" distR="0">
            <wp:extent cx="5943600" cy="4379495"/>
            <wp:effectExtent l="1905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943600" cy="4379495"/>
                    </a:xfrm>
                    <a:prstGeom prst="rect">
                      <a:avLst/>
                    </a:prstGeom>
                    <a:noFill/>
                    <a:ln w="9525">
                      <a:noFill/>
                      <a:miter lim="800000"/>
                      <a:headEnd/>
                      <a:tailEnd/>
                    </a:ln>
                  </pic:spPr>
                </pic:pic>
              </a:graphicData>
            </a:graphic>
          </wp:inline>
        </w:drawing>
      </w:r>
    </w:p>
    <w:p w:rsidR="00F82DD1" w:rsidRPr="00F3309E" w:rsidRDefault="00F82DD1" w:rsidP="00F82DD1">
      <w:pPr>
        <w:rPr>
          <w:rFonts w:ascii="Times New Roman" w:hAnsi="Times New Roman" w:cs="Times New Roman"/>
          <w:sz w:val="24"/>
          <w:szCs w:val="24"/>
        </w:rPr>
      </w:pPr>
    </w:p>
    <w:p w:rsidR="00F82DD1" w:rsidRPr="00F3309E" w:rsidRDefault="00F82DD1" w:rsidP="00F82DD1">
      <w:pPr>
        <w:rPr>
          <w:rFonts w:ascii="Times New Roman" w:hAnsi="Times New Roman" w:cs="Times New Roman"/>
          <w:sz w:val="24"/>
          <w:szCs w:val="24"/>
        </w:rPr>
      </w:pPr>
    </w:p>
    <w:p w:rsidR="006B3A2F" w:rsidRPr="006B3A2F" w:rsidRDefault="006B3A2F" w:rsidP="006B3A2F">
      <w:pPr>
        <w:rPr>
          <w:rFonts w:ascii="Times New Roman" w:hAnsi="Times New Roman" w:cs="Times New Roman"/>
          <w:b/>
          <w:sz w:val="24"/>
          <w:szCs w:val="24"/>
        </w:rPr>
      </w:pPr>
      <w:r w:rsidRPr="006B3A2F">
        <w:rPr>
          <w:rFonts w:ascii="Times New Roman" w:hAnsi="Times New Roman" w:cs="Times New Roman"/>
          <w:b/>
          <w:sz w:val="24"/>
          <w:szCs w:val="24"/>
        </w:rPr>
        <w:t xml:space="preserve"> This chart compares profitability and mix metrics:</w:t>
      </w:r>
    </w:p>
    <w:p w:rsidR="006B3A2F" w:rsidRPr="006B3A2F" w:rsidRDefault="006B3A2F" w:rsidP="006B3A2F">
      <w:pPr>
        <w:rPr>
          <w:rFonts w:ascii="Times New Roman" w:hAnsi="Times New Roman" w:cs="Times New Roman"/>
          <w:sz w:val="24"/>
          <w:szCs w:val="24"/>
        </w:rPr>
      </w:pPr>
      <w:r w:rsidRPr="006B3A2F">
        <w:rPr>
          <w:rFonts w:ascii="Times New Roman" w:hAnsi="Times New Roman" w:cs="Times New Roman"/>
          <w:sz w:val="24"/>
          <w:szCs w:val="24"/>
        </w:rPr>
        <w:t>Titan leads on gross margin and studded/diamond mix (premium positioning).</w:t>
      </w:r>
    </w:p>
    <w:p w:rsidR="00F82DD1" w:rsidRPr="006B3A2F" w:rsidRDefault="006B3A2F" w:rsidP="006B3A2F">
      <w:pPr>
        <w:rPr>
          <w:rFonts w:ascii="Times New Roman" w:hAnsi="Times New Roman" w:cs="Times New Roman"/>
          <w:sz w:val="24"/>
          <w:szCs w:val="24"/>
        </w:rPr>
      </w:pPr>
      <w:r w:rsidRPr="006B3A2F">
        <w:rPr>
          <w:rFonts w:ascii="Times New Roman" w:hAnsi="Times New Roman" w:cs="Times New Roman"/>
          <w:sz w:val="24"/>
          <w:szCs w:val="24"/>
        </w:rPr>
        <w:t>Kalyan has high making charges and decent studded share, supporting</w:t>
      </w:r>
      <w:r w:rsidR="00F82DD1" w:rsidRPr="006B3A2F">
        <w:rPr>
          <w:rFonts w:ascii="Times New Roman" w:hAnsi="Times New Roman" w:cs="Times New Roman"/>
          <w:sz w:val="24"/>
          <w:szCs w:val="24"/>
        </w:rPr>
        <w:t>.</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lastRenderedPageBreak/>
        <w:t>Senco and Thangamayil are more gold-heavy (lower diamond/studded contribution).</w:t>
      </w:r>
    </w:p>
    <w:p w:rsidR="00F82DD1" w:rsidRPr="00F3309E" w:rsidRDefault="00F82DD1" w:rsidP="00F82DD1">
      <w:pPr>
        <w:rPr>
          <w:rFonts w:ascii="Times New Roman" w:hAnsi="Times New Roman" w:cs="Times New Roman"/>
          <w:sz w:val="24"/>
          <w:szCs w:val="24"/>
        </w:rPr>
      </w:pPr>
    </w:p>
    <w:p w:rsidR="00F82DD1" w:rsidRPr="00F3309E" w:rsidRDefault="00F82DD1" w:rsidP="00F82DD1">
      <w:pPr>
        <w:rPr>
          <w:rFonts w:ascii="Times New Roman" w:hAnsi="Times New Roman" w:cs="Times New Roman"/>
          <w:sz w:val="24"/>
          <w:szCs w:val="24"/>
        </w:rPr>
      </w:pPr>
      <w:r w:rsidRPr="00F3309E">
        <w:rPr>
          <w:rFonts w:ascii="Times New Roman" w:hAnsi="Times New Roman" w:cs="Times New Roman"/>
          <w:noProof/>
          <w:sz w:val="24"/>
          <w:szCs w:val="24"/>
        </w:rPr>
        <w:drawing>
          <wp:inline distT="0" distB="0" distL="0" distR="0">
            <wp:extent cx="5943600" cy="4484651"/>
            <wp:effectExtent l="19050" t="0" r="0" b="0"/>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5943600" cy="4484651"/>
                    </a:xfrm>
                    <a:prstGeom prst="rect">
                      <a:avLst/>
                    </a:prstGeom>
                    <a:noFill/>
                    <a:ln w="9525">
                      <a:noFill/>
                      <a:miter lim="800000"/>
                      <a:headEnd/>
                      <a:tailEnd/>
                    </a:ln>
                  </pic:spPr>
                </pic:pic>
              </a:graphicData>
            </a:graphic>
          </wp:inline>
        </w:drawing>
      </w:r>
    </w:p>
    <w:p w:rsidR="00F82DD1" w:rsidRPr="00F3309E" w:rsidRDefault="00F82DD1" w:rsidP="00F82DD1">
      <w:pPr>
        <w:rPr>
          <w:rFonts w:ascii="Times New Roman" w:hAnsi="Times New Roman" w:cs="Times New Roman"/>
          <w:sz w:val="24"/>
          <w:szCs w:val="24"/>
        </w:rPr>
      </w:pPr>
    </w:p>
    <w:p w:rsidR="00F82DD1" w:rsidRPr="006B3A2F" w:rsidRDefault="00F82DD1" w:rsidP="006B3A2F">
      <w:pPr>
        <w:rPr>
          <w:rFonts w:ascii="Times New Roman" w:hAnsi="Times New Roman" w:cs="Times New Roman"/>
          <w:b/>
          <w:noProof/>
          <w:sz w:val="24"/>
          <w:szCs w:val="24"/>
        </w:rPr>
      </w:pPr>
      <w:r w:rsidRPr="006B3A2F">
        <w:rPr>
          <w:rFonts w:ascii="Times New Roman" w:hAnsi="Times New Roman" w:cs="Times New Roman"/>
          <w:b/>
          <w:noProof/>
          <w:sz w:val="24"/>
          <w:szCs w:val="24"/>
        </w:rPr>
        <w:t>This chart shows efficiency metrics:</w:t>
      </w:r>
    </w:p>
    <w:p w:rsidR="00F82DD1" w:rsidRPr="006B3A2F" w:rsidRDefault="00F82DD1" w:rsidP="006B3A2F">
      <w:pPr>
        <w:rPr>
          <w:rFonts w:ascii="Times New Roman" w:hAnsi="Times New Roman" w:cs="Times New Roman"/>
          <w:noProof/>
          <w:sz w:val="24"/>
          <w:szCs w:val="24"/>
        </w:rPr>
      </w:pPr>
      <w:r w:rsidRPr="006B3A2F">
        <w:rPr>
          <w:rFonts w:ascii="Times New Roman" w:hAnsi="Times New Roman" w:cs="Times New Roman"/>
          <w:noProof/>
          <w:sz w:val="24"/>
          <w:szCs w:val="24"/>
        </w:rPr>
        <w:t>PN Gadgil has the best inventory turnover and shortest cash conversion cycle (strong working capital discipline).</w:t>
      </w:r>
    </w:p>
    <w:p w:rsidR="00F82DD1" w:rsidRPr="006B3A2F" w:rsidRDefault="00F82DD1" w:rsidP="006B3A2F">
      <w:pPr>
        <w:rPr>
          <w:rFonts w:ascii="Times New Roman" w:hAnsi="Times New Roman" w:cs="Times New Roman"/>
          <w:noProof/>
          <w:sz w:val="24"/>
          <w:szCs w:val="24"/>
        </w:rPr>
      </w:pPr>
      <w:r w:rsidRPr="006B3A2F">
        <w:rPr>
          <w:rFonts w:ascii="Times New Roman" w:hAnsi="Times New Roman" w:cs="Times New Roman"/>
          <w:noProof/>
          <w:sz w:val="24"/>
          <w:szCs w:val="24"/>
        </w:rPr>
        <w:t>Kalyan is also relatively efficient vs Titan/Senco.</w:t>
      </w:r>
    </w:p>
    <w:p w:rsidR="00F82DD1" w:rsidRPr="006B3A2F" w:rsidRDefault="00F82DD1" w:rsidP="006B3A2F">
      <w:pPr>
        <w:rPr>
          <w:rFonts w:ascii="Times New Roman" w:hAnsi="Times New Roman" w:cs="Times New Roman"/>
          <w:noProof/>
          <w:sz w:val="24"/>
          <w:szCs w:val="24"/>
        </w:rPr>
      </w:pPr>
      <w:r w:rsidRPr="006B3A2F">
        <w:rPr>
          <w:rFonts w:ascii="Times New Roman" w:hAnsi="Times New Roman" w:cs="Times New Roman"/>
          <w:noProof/>
          <w:sz w:val="24"/>
          <w:szCs w:val="24"/>
        </w:rPr>
        <w:t>Titan and Senco have longer cycles, meaning more capital stuck in inventory/receivables.</w:t>
      </w:r>
    </w:p>
    <w:p w:rsidR="00F82DD1" w:rsidRPr="00F3309E" w:rsidRDefault="00F82DD1" w:rsidP="00F82DD1">
      <w:pPr>
        <w:rPr>
          <w:rFonts w:ascii="Times New Roman" w:hAnsi="Times New Roman" w:cs="Times New Roman"/>
          <w:noProof/>
          <w:sz w:val="24"/>
          <w:szCs w:val="24"/>
        </w:rPr>
      </w:pPr>
    </w:p>
    <w:p w:rsidR="00F82DD1" w:rsidRPr="00F3309E" w:rsidRDefault="00F82DD1" w:rsidP="00F82DD1">
      <w:pPr>
        <w:rPr>
          <w:rFonts w:ascii="Times New Roman" w:hAnsi="Times New Roman" w:cs="Times New Roman"/>
          <w:sz w:val="24"/>
          <w:szCs w:val="24"/>
        </w:rPr>
      </w:pPr>
      <w:r w:rsidRPr="00F3309E">
        <w:rPr>
          <w:rFonts w:ascii="Times New Roman" w:hAnsi="Times New Roman" w:cs="Times New Roman"/>
          <w:sz w:val="24"/>
          <w:szCs w:val="24"/>
        </w:rPr>
        <w:br w:type="page"/>
      </w:r>
    </w:p>
    <w:p w:rsidR="00F82DD1" w:rsidRPr="00F3309E" w:rsidRDefault="00F82DD1" w:rsidP="00F82DD1">
      <w:pPr>
        <w:rPr>
          <w:rFonts w:ascii="Times New Roman" w:hAnsi="Times New Roman" w:cs="Times New Roman"/>
          <w:sz w:val="24"/>
          <w:szCs w:val="24"/>
        </w:rPr>
      </w:pPr>
      <w:r w:rsidRPr="00F3309E">
        <w:rPr>
          <w:rFonts w:ascii="Times New Roman" w:hAnsi="Times New Roman" w:cs="Times New Roman"/>
          <w:noProof/>
          <w:sz w:val="24"/>
          <w:szCs w:val="24"/>
        </w:rPr>
        <w:lastRenderedPageBreak/>
        <w:drawing>
          <wp:inline distT="0" distB="0" distL="0" distR="0">
            <wp:extent cx="5943600" cy="4461263"/>
            <wp:effectExtent l="19050" t="0" r="0" b="0"/>
            <wp:docPr id="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5943600" cy="4461263"/>
                    </a:xfrm>
                    <a:prstGeom prst="rect">
                      <a:avLst/>
                    </a:prstGeom>
                    <a:noFill/>
                    <a:ln w="9525">
                      <a:noFill/>
                      <a:miter lim="800000"/>
                      <a:headEnd/>
                      <a:tailEnd/>
                    </a:ln>
                  </pic:spPr>
                </pic:pic>
              </a:graphicData>
            </a:graphic>
          </wp:inline>
        </w:drawing>
      </w:r>
    </w:p>
    <w:p w:rsidR="00F82DD1" w:rsidRPr="00F3309E" w:rsidRDefault="00F82DD1" w:rsidP="00F82DD1">
      <w:pPr>
        <w:rPr>
          <w:rFonts w:ascii="Times New Roman" w:hAnsi="Times New Roman" w:cs="Times New Roman"/>
          <w:sz w:val="24"/>
          <w:szCs w:val="24"/>
        </w:rPr>
      </w:pP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b/>
          <w:sz w:val="24"/>
          <w:szCs w:val="24"/>
        </w:rPr>
        <w:t>This chart covers valuation metrics</w:t>
      </w:r>
      <w:r w:rsidRPr="006B3A2F">
        <w:rPr>
          <w:rFonts w:ascii="Times New Roman" w:hAnsi="Times New Roman" w:cs="Times New Roman"/>
          <w:sz w:val="24"/>
          <w:szCs w:val="24"/>
        </w:rPr>
        <w:t>:</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Titan trades at rich multiples across EV/EBITDA, P/E, P/B (clear market leader premium).</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Kalyan is second-most expensive.</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Senco and PN Gadgil look cheaper on EV/EBITDA and P/E, with Senco especially discounted vs growth potential implied by PEG.</w:t>
      </w:r>
    </w:p>
    <w:p w:rsidR="00F82DD1" w:rsidRPr="00F3309E" w:rsidRDefault="00F82DD1" w:rsidP="00F82DD1">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line="480" w:lineRule="auto"/>
        <w:rPr>
          <w:rFonts w:ascii="Times New Roman" w:eastAsia="Times New Roman" w:hAnsi="Times New Roman" w:cs="Times New Roman"/>
          <w:color w:val="404040"/>
          <w:sz w:val="24"/>
          <w:szCs w:val="24"/>
        </w:rPr>
      </w:pPr>
      <w:r w:rsidRPr="00F3309E">
        <w:rPr>
          <w:rFonts w:ascii="Times New Roman" w:eastAsia="Times New Roman" w:hAnsi="Times New Roman" w:cs="Times New Roman"/>
          <w:noProof/>
          <w:color w:val="404040"/>
          <w:sz w:val="24"/>
          <w:szCs w:val="24"/>
        </w:rPr>
        <w:lastRenderedPageBreak/>
        <w:drawing>
          <wp:inline distT="0" distB="0" distL="0" distR="0">
            <wp:extent cx="5514975" cy="3962400"/>
            <wp:effectExtent l="19050" t="0" r="9525" b="0"/>
            <wp:docPr id="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srcRect/>
                    <a:stretch>
                      <a:fillRect/>
                    </a:stretch>
                  </pic:blipFill>
                  <pic:spPr bwMode="auto">
                    <a:xfrm>
                      <a:off x="0" y="0"/>
                      <a:ext cx="5514975" cy="3962400"/>
                    </a:xfrm>
                    <a:prstGeom prst="rect">
                      <a:avLst/>
                    </a:prstGeom>
                    <a:noFill/>
                    <a:ln w="9525">
                      <a:noFill/>
                      <a:miter lim="800000"/>
                      <a:headEnd/>
                      <a:tailEnd/>
                    </a:ln>
                  </pic:spPr>
                </pic:pic>
              </a:graphicData>
            </a:graphic>
          </wp:inline>
        </w:drawing>
      </w:r>
    </w:p>
    <w:p w:rsidR="00F82DD1" w:rsidRPr="00F3309E" w:rsidRDefault="00F82DD1" w:rsidP="00F82DD1">
      <w:pPr>
        <w:rPr>
          <w:rFonts w:ascii="Times New Roman" w:hAnsi="Times New Roman" w:cs="Times New Roman"/>
          <w:sz w:val="24"/>
          <w:szCs w:val="24"/>
        </w:rPr>
      </w:pPr>
    </w:p>
    <w:p w:rsidR="00F82DD1" w:rsidRPr="006B3A2F" w:rsidRDefault="00F82DD1" w:rsidP="006B3A2F">
      <w:pPr>
        <w:rPr>
          <w:rFonts w:ascii="Times New Roman" w:hAnsi="Times New Roman" w:cs="Times New Roman"/>
          <w:b/>
          <w:sz w:val="24"/>
          <w:szCs w:val="24"/>
        </w:rPr>
      </w:pPr>
      <w:r w:rsidRPr="006B3A2F">
        <w:rPr>
          <w:rFonts w:ascii="Times New Roman" w:hAnsi="Times New Roman" w:cs="Times New Roman"/>
          <w:b/>
          <w:sz w:val="24"/>
          <w:szCs w:val="24"/>
        </w:rPr>
        <w:t>his last one is risk / funding / business model mix:</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Hedging is strong across the board, with PN Gadgil fully hedged on gold.</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Senco and Kalyan rely more on franchise revenue (asset-light but some margin trade-off).</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Thangamayil is fully owned-store (0% franchise) and more dependent on gold loans.</w:t>
      </w:r>
    </w:p>
    <w:p w:rsidR="00F82DD1" w:rsidRPr="00F3309E" w:rsidRDefault="00F82DD1" w:rsidP="00F82DD1">
      <w:pPr>
        <w:rPr>
          <w:rFonts w:ascii="Times New Roman" w:hAnsi="Times New Roman" w:cs="Times New Roman"/>
          <w:sz w:val="24"/>
          <w:szCs w:val="24"/>
        </w:rPr>
      </w:pPr>
      <w:r w:rsidRPr="00F3309E">
        <w:rPr>
          <w:rFonts w:ascii="Times New Roman" w:hAnsi="Times New Roman" w:cs="Times New Roman"/>
          <w:sz w:val="24"/>
          <w:szCs w:val="24"/>
        </w:rPr>
        <w:br w:type="page"/>
      </w:r>
    </w:p>
    <w:p w:rsidR="00F82DD1" w:rsidRPr="00F3309E" w:rsidRDefault="00F82DD1" w:rsidP="00F82DD1">
      <w:pPr>
        <w:rPr>
          <w:rFonts w:ascii="Times New Roman" w:hAnsi="Times New Roman" w:cs="Times New Roman"/>
          <w:sz w:val="24"/>
          <w:szCs w:val="24"/>
        </w:rPr>
      </w:pPr>
      <w:r w:rsidRPr="00F3309E">
        <w:rPr>
          <w:rFonts w:ascii="Times New Roman" w:hAnsi="Times New Roman" w:cs="Times New Roman"/>
          <w:noProof/>
          <w:sz w:val="24"/>
          <w:szCs w:val="24"/>
        </w:rPr>
        <w:lastRenderedPageBreak/>
        <w:drawing>
          <wp:inline distT="0" distB="0" distL="0" distR="0">
            <wp:extent cx="5505450" cy="3971925"/>
            <wp:effectExtent l="19050" t="0" r="0" b="0"/>
            <wp:docPr id="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srcRect/>
                    <a:stretch>
                      <a:fillRect/>
                    </a:stretch>
                  </pic:blipFill>
                  <pic:spPr bwMode="auto">
                    <a:xfrm>
                      <a:off x="0" y="0"/>
                      <a:ext cx="5505450" cy="3971925"/>
                    </a:xfrm>
                    <a:prstGeom prst="rect">
                      <a:avLst/>
                    </a:prstGeom>
                    <a:noFill/>
                    <a:ln w="9525">
                      <a:noFill/>
                      <a:miter lim="800000"/>
                      <a:headEnd/>
                      <a:tailEnd/>
                    </a:ln>
                  </pic:spPr>
                </pic:pic>
              </a:graphicData>
            </a:graphic>
          </wp:inline>
        </w:drawing>
      </w:r>
    </w:p>
    <w:p w:rsidR="00F82DD1" w:rsidRPr="00F3309E" w:rsidRDefault="00F82DD1" w:rsidP="00F82DD1">
      <w:pPr>
        <w:rPr>
          <w:rFonts w:ascii="Times New Roman" w:hAnsi="Times New Roman" w:cs="Times New Roman"/>
          <w:sz w:val="24"/>
          <w:szCs w:val="24"/>
        </w:rPr>
      </w:pP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Bottom</w:t>
      </w:r>
      <w:r w:rsidRPr="006B3A2F">
        <w:rPr>
          <w:rFonts w:ascii="Times New Roman" w:hAnsi="Times New Roman" w:cs="Times New Roman"/>
          <w:sz w:val="24"/>
          <w:szCs w:val="24"/>
        </w:rPr>
        <w:noBreakHyphen/>
        <w:t>left is ideal (low CCC, low P/E).</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PNGadgil clusters closest to that “sweet spot” (short CCC, moderate P/E).</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Titan is far top</w:t>
      </w:r>
      <w:r w:rsidRPr="006B3A2F">
        <w:rPr>
          <w:rFonts w:ascii="Times New Roman" w:hAnsi="Times New Roman" w:cs="Times New Roman"/>
          <w:sz w:val="24"/>
          <w:szCs w:val="24"/>
        </w:rPr>
        <w:noBreakHyphen/>
        <w:t>right: long CCC and very expensive.</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Kalyan: mid P/E, mid CCC (balanced, not cheap).</w:t>
      </w:r>
    </w:p>
    <w:p w:rsidR="00F82DD1" w:rsidRPr="00F3309E" w:rsidRDefault="00F82DD1" w:rsidP="00F82DD1">
      <w:pPr>
        <w:rPr>
          <w:rFonts w:ascii="Times New Roman" w:hAnsi="Times New Roman" w:cs="Times New Roman"/>
          <w:sz w:val="24"/>
          <w:szCs w:val="24"/>
        </w:rPr>
      </w:pPr>
    </w:p>
    <w:p w:rsidR="00F82DD1" w:rsidRPr="00F3309E" w:rsidRDefault="00F82DD1" w:rsidP="00F82DD1">
      <w:pPr>
        <w:rPr>
          <w:rFonts w:ascii="Times New Roman" w:hAnsi="Times New Roman" w:cs="Times New Roman"/>
          <w:sz w:val="24"/>
          <w:szCs w:val="24"/>
        </w:rPr>
      </w:pPr>
    </w:p>
    <w:p w:rsidR="00F82DD1" w:rsidRPr="00F3309E" w:rsidRDefault="00F82DD1" w:rsidP="00F82DD1">
      <w:pPr>
        <w:rPr>
          <w:rFonts w:ascii="Times New Roman" w:hAnsi="Times New Roman" w:cs="Times New Roman"/>
          <w:sz w:val="24"/>
          <w:szCs w:val="24"/>
        </w:rPr>
      </w:pPr>
    </w:p>
    <w:p w:rsidR="00F82DD1" w:rsidRPr="00F3309E" w:rsidRDefault="00F82DD1" w:rsidP="00F82DD1">
      <w:pPr>
        <w:rPr>
          <w:rFonts w:ascii="Times New Roman" w:hAnsi="Times New Roman" w:cs="Times New Roman"/>
          <w:sz w:val="24"/>
          <w:szCs w:val="24"/>
        </w:rPr>
      </w:pPr>
      <w:r w:rsidRPr="00F3309E">
        <w:rPr>
          <w:rFonts w:ascii="Times New Roman" w:hAnsi="Times New Roman" w:cs="Times New Roman"/>
          <w:noProof/>
          <w:sz w:val="24"/>
          <w:szCs w:val="24"/>
        </w:rPr>
        <w:lastRenderedPageBreak/>
        <w:drawing>
          <wp:inline distT="0" distB="0" distL="0" distR="0">
            <wp:extent cx="5657850" cy="3952875"/>
            <wp:effectExtent l="19050" t="0" r="0" b="0"/>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srcRect/>
                    <a:stretch>
                      <a:fillRect/>
                    </a:stretch>
                  </pic:blipFill>
                  <pic:spPr bwMode="auto">
                    <a:xfrm>
                      <a:off x="0" y="0"/>
                      <a:ext cx="5657850" cy="3952875"/>
                    </a:xfrm>
                    <a:prstGeom prst="rect">
                      <a:avLst/>
                    </a:prstGeom>
                    <a:noFill/>
                    <a:ln w="9525">
                      <a:noFill/>
                      <a:miter lim="800000"/>
                      <a:headEnd/>
                      <a:tailEnd/>
                    </a:ln>
                  </pic:spPr>
                </pic:pic>
              </a:graphicData>
            </a:graphic>
          </wp:inline>
        </w:drawing>
      </w:r>
    </w:p>
    <w:p w:rsidR="00F82DD1" w:rsidRPr="00F3309E" w:rsidRDefault="00F82DD1" w:rsidP="00F82DD1">
      <w:pPr>
        <w:rPr>
          <w:rFonts w:ascii="Times New Roman" w:hAnsi="Times New Roman" w:cs="Times New Roman"/>
          <w:sz w:val="24"/>
          <w:szCs w:val="24"/>
        </w:rPr>
      </w:pP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Top</w:t>
      </w:r>
      <w:r w:rsidRPr="006B3A2F">
        <w:rPr>
          <w:rFonts w:ascii="Times New Roman" w:hAnsi="Times New Roman" w:cs="Times New Roman"/>
          <w:sz w:val="24"/>
          <w:szCs w:val="24"/>
        </w:rPr>
        <w:noBreakHyphen/>
        <w:t>left is ideal (high growth, low P/E).</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PN</w:t>
      </w:r>
      <w:r w:rsidR="004E63C5">
        <w:rPr>
          <w:rFonts w:ascii="Times New Roman" w:hAnsi="Times New Roman" w:cs="Times New Roman"/>
          <w:sz w:val="24"/>
          <w:szCs w:val="24"/>
        </w:rPr>
        <w:t xml:space="preserve"> </w:t>
      </w:r>
      <w:r w:rsidRPr="006B3A2F">
        <w:rPr>
          <w:rFonts w:ascii="Times New Roman" w:hAnsi="Times New Roman" w:cs="Times New Roman"/>
          <w:sz w:val="24"/>
          <w:szCs w:val="24"/>
        </w:rPr>
        <w:t>Gadgil is again attractive: highest SSG with moderate P/E.</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Sen</w:t>
      </w:r>
      <w:r w:rsidR="004E63C5">
        <w:rPr>
          <w:rFonts w:ascii="Times New Roman" w:hAnsi="Times New Roman" w:cs="Times New Roman"/>
          <w:sz w:val="24"/>
          <w:szCs w:val="24"/>
        </w:rPr>
        <w:t xml:space="preserve"> </w:t>
      </w:r>
      <w:r w:rsidRPr="006B3A2F">
        <w:rPr>
          <w:rFonts w:ascii="Times New Roman" w:hAnsi="Times New Roman" w:cs="Times New Roman"/>
          <w:sz w:val="24"/>
          <w:szCs w:val="24"/>
        </w:rPr>
        <w:t>co: decent SSG with very low P/E (value-ish).</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Titan: not the fastest growth but very high P/E (paying up for quality/brand).</w:t>
      </w:r>
    </w:p>
    <w:p w:rsidR="00F82DD1" w:rsidRPr="00F3309E" w:rsidRDefault="00F82DD1" w:rsidP="00F82DD1">
      <w:pPr>
        <w:rPr>
          <w:rFonts w:ascii="Times New Roman" w:hAnsi="Times New Roman" w:cs="Times New Roman"/>
          <w:sz w:val="24"/>
          <w:szCs w:val="24"/>
        </w:rPr>
      </w:pPr>
    </w:p>
    <w:p w:rsidR="00F82DD1" w:rsidRPr="00F3309E" w:rsidRDefault="00F82DD1" w:rsidP="00F82DD1">
      <w:pPr>
        <w:rPr>
          <w:rFonts w:ascii="Times New Roman" w:hAnsi="Times New Roman" w:cs="Times New Roman"/>
          <w:sz w:val="24"/>
          <w:szCs w:val="24"/>
        </w:rPr>
      </w:pPr>
      <w:r w:rsidRPr="00F3309E">
        <w:rPr>
          <w:rFonts w:ascii="Times New Roman" w:hAnsi="Times New Roman" w:cs="Times New Roman"/>
          <w:noProof/>
          <w:sz w:val="24"/>
          <w:szCs w:val="24"/>
        </w:rPr>
        <w:lastRenderedPageBreak/>
        <w:drawing>
          <wp:inline distT="0" distB="0" distL="0" distR="0">
            <wp:extent cx="5419725" cy="3895725"/>
            <wp:effectExtent l="19050" t="0" r="9525" b="0"/>
            <wp:docPr id="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srcRect/>
                    <a:stretch>
                      <a:fillRect/>
                    </a:stretch>
                  </pic:blipFill>
                  <pic:spPr bwMode="auto">
                    <a:xfrm>
                      <a:off x="0" y="0"/>
                      <a:ext cx="5419725" cy="3895725"/>
                    </a:xfrm>
                    <a:prstGeom prst="rect">
                      <a:avLst/>
                    </a:prstGeom>
                    <a:noFill/>
                    <a:ln w="9525">
                      <a:noFill/>
                      <a:miter lim="800000"/>
                      <a:headEnd/>
                      <a:tailEnd/>
                    </a:ln>
                  </pic:spPr>
                </pic:pic>
              </a:graphicData>
            </a:graphic>
          </wp:inline>
        </w:drawing>
      </w:r>
    </w:p>
    <w:p w:rsidR="00F82DD1" w:rsidRPr="00F3309E" w:rsidRDefault="00F82DD1" w:rsidP="00F82DD1">
      <w:pPr>
        <w:rPr>
          <w:rFonts w:ascii="Times New Roman" w:hAnsi="Times New Roman" w:cs="Times New Roman"/>
          <w:sz w:val="24"/>
          <w:szCs w:val="24"/>
        </w:rPr>
      </w:pPr>
    </w:p>
    <w:p w:rsidR="00F82DD1" w:rsidRPr="00F3309E" w:rsidRDefault="00F82DD1" w:rsidP="00F82DD1">
      <w:pPr>
        <w:rPr>
          <w:rFonts w:ascii="Times New Roman" w:hAnsi="Times New Roman" w:cs="Times New Roman"/>
          <w:sz w:val="24"/>
          <w:szCs w:val="24"/>
        </w:rPr>
      </w:pP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Right</w:t>
      </w:r>
      <w:r w:rsidRPr="006B3A2F">
        <w:rPr>
          <w:rFonts w:ascii="Times New Roman" w:hAnsi="Times New Roman" w:cs="Times New Roman"/>
          <w:sz w:val="24"/>
          <w:szCs w:val="24"/>
        </w:rPr>
        <w:noBreakHyphen/>
        <w:t>bottom with a big bubble is ideal (high inventory turns, low P/E, strong growth).</w:t>
      </w:r>
    </w:p>
    <w:p w:rsidR="00F82DD1" w:rsidRPr="006B3A2F" w:rsidRDefault="00F82DD1" w:rsidP="006B3A2F">
      <w:pPr>
        <w:rPr>
          <w:rFonts w:ascii="Times New Roman" w:hAnsi="Times New Roman" w:cs="Times New Roman"/>
          <w:sz w:val="24"/>
          <w:szCs w:val="24"/>
        </w:rPr>
      </w:pPr>
      <w:r w:rsidRPr="006B3A2F">
        <w:rPr>
          <w:rFonts w:ascii="Times New Roman" w:hAnsi="Times New Roman" w:cs="Times New Roman"/>
          <w:sz w:val="24"/>
          <w:szCs w:val="24"/>
        </w:rPr>
        <w:t>PN</w:t>
      </w:r>
      <w:r w:rsidR="004E63C5">
        <w:rPr>
          <w:rFonts w:ascii="Times New Roman" w:hAnsi="Times New Roman" w:cs="Times New Roman"/>
          <w:sz w:val="24"/>
          <w:szCs w:val="24"/>
        </w:rPr>
        <w:t xml:space="preserve"> </w:t>
      </w:r>
      <w:r w:rsidRPr="006B3A2F">
        <w:rPr>
          <w:rFonts w:ascii="Times New Roman" w:hAnsi="Times New Roman" w:cs="Times New Roman"/>
          <w:sz w:val="24"/>
          <w:szCs w:val="24"/>
        </w:rPr>
        <w:t>Gadgil: highest inventory turns, solid growth, moderate P/E → operationally and valuation-wise strong.</w:t>
      </w:r>
    </w:p>
    <w:p w:rsidR="00F82DD1" w:rsidRPr="00F3309E" w:rsidRDefault="00F82DD1" w:rsidP="006B3A2F">
      <w:pPr>
        <w:rPr>
          <w:rFonts w:ascii="Times New Roman" w:eastAsia="Times New Roman" w:hAnsi="Times New Roman" w:cs="Times New Roman"/>
          <w:color w:val="404040"/>
          <w:sz w:val="24"/>
          <w:szCs w:val="24"/>
        </w:rPr>
      </w:pPr>
      <w:r w:rsidRPr="006B3A2F">
        <w:rPr>
          <w:rFonts w:ascii="Times New Roman" w:hAnsi="Times New Roman" w:cs="Times New Roman"/>
          <w:sz w:val="24"/>
          <w:szCs w:val="24"/>
        </w:rPr>
        <w:t>Sen</w:t>
      </w:r>
      <w:r w:rsidR="004E63C5">
        <w:rPr>
          <w:rFonts w:ascii="Times New Roman" w:hAnsi="Times New Roman" w:cs="Times New Roman"/>
          <w:sz w:val="24"/>
          <w:szCs w:val="24"/>
        </w:rPr>
        <w:t xml:space="preserve"> </w:t>
      </w:r>
      <w:r w:rsidRPr="006B3A2F">
        <w:rPr>
          <w:rFonts w:ascii="Times New Roman" w:hAnsi="Times New Roman" w:cs="Times New Roman"/>
          <w:sz w:val="24"/>
          <w:szCs w:val="24"/>
        </w:rPr>
        <w:t>co: low P/E but weaker inventory efficiency; more “value” than “quality</w:t>
      </w:r>
      <w:r w:rsidRPr="00F3309E">
        <w:rPr>
          <w:rFonts w:ascii="Times New Roman" w:eastAsia="Times New Roman" w:hAnsi="Times New Roman" w:cs="Times New Roman"/>
          <w:color w:val="404040"/>
          <w:sz w:val="24"/>
          <w:szCs w:val="24"/>
        </w:rPr>
        <w:t xml:space="preserve"> + value”.</w:t>
      </w:r>
    </w:p>
    <w:p w:rsidR="00F82DD1" w:rsidRPr="00F3309E" w:rsidRDefault="00F82DD1" w:rsidP="00F82DD1">
      <w:pPr>
        <w:rPr>
          <w:rFonts w:ascii="Times New Roman" w:hAnsi="Times New Roman" w:cs="Times New Roman"/>
          <w:sz w:val="24"/>
          <w:szCs w:val="24"/>
        </w:rPr>
      </w:pPr>
    </w:p>
    <w:p w:rsidR="00F82DD1" w:rsidRPr="00F3309E" w:rsidRDefault="00F82DD1" w:rsidP="007D4920">
      <w:pPr>
        <w:spacing w:before="100" w:beforeAutospacing="1" w:after="100" w:afterAutospacing="1" w:line="240" w:lineRule="auto"/>
        <w:rPr>
          <w:rFonts w:ascii="Times New Roman" w:eastAsia="Times New Roman" w:hAnsi="Times New Roman" w:cs="Times New Roman"/>
          <w:sz w:val="24"/>
          <w:szCs w:val="24"/>
        </w:rPr>
      </w:pPr>
    </w:p>
    <w:p w:rsidR="00F82DD1" w:rsidRPr="00F3309E" w:rsidRDefault="00F82DD1">
      <w:pPr>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br w:type="page"/>
      </w:r>
    </w:p>
    <w:tbl>
      <w:tblPr>
        <w:tblW w:w="11620" w:type="dxa"/>
        <w:tblInd w:w="-702" w:type="dxa"/>
        <w:tblLook w:val="04A0"/>
      </w:tblPr>
      <w:tblGrid>
        <w:gridCol w:w="3973"/>
        <w:gridCol w:w="1940"/>
        <w:gridCol w:w="1300"/>
        <w:gridCol w:w="1496"/>
        <w:gridCol w:w="1537"/>
        <w:gridCol w:w="1537"/>
      </w:tblGrid>
      <w:tr w:rsidR="00F82DD1" w:rsidRPr="00F3309E" w:rsidTr="00332A31">
        <w:trPr>
          <w:trHeight w:val="285"/>
        </w:trPr>
        <w:tc>
          <w:tcPr>
            <w:tcW w:w="5913" w:type="dxa"/>
            <w:gridSpan w:val="2"/>
            <w:tcBorders>
              <w:top w:val="nil"/>
              <w:left w:val="nil"/>
              <w:bottom w:val="single" w:sz="4" w:space="0" w:color="auto"/>
              <w:right w:val="nil"/>
            </w:tcBorders>
            <w:shd w:val="clear" w:color="auto" w:fill="auto"/>
            <w:noWrap/>
            <w:vAlign w:val="bottom"/>
            <w:hideMark/>
          </w:tcPr>
          <w:p w:rsidR="00F82DD1" w:rsidRPr="006B3A2F" w:rsidRDefault="00F82DD1" w:rsidP="00F82DD1">
            <w:pPr>
              <w:spacing w:after="0" w:line="240" w:lineRule="auto"/>
              <w:rPr>
                <w:rFonts w:ascii="Times New Roman" w:eastAsia="Times New Roman" w:hAnsi="Times New Roman" w:cs="Times New Roman"/>
                <w:b/>
                <w:color w:val="000000"/>
                <w:sz w:val="28"/>
                <w:szCs w:val="28"/>
              </w:rPr>
            </w:pPr>
            <w:r w:rsidRPr="006B3A2F">
              <w:rPr>
                <w:rFonts w:ascii="Times New Roman" w:eastAsia="Times New Roman" w:hAnsi="Times New Roman" w:cs="Times New Roman"/>
                <w:b/>
                <w:color w:val="000000"/>
                <w:sz w:val="28"/>
                <w:szCs w:val="28"/>
              </w:rPr>
              <w:lastRenderedPageBreak/>
              <w:t xml:space="preserve">Precedent Transaction Analysis </w:t>
            </w:r>
          </w:p>
        </w:tc>
        <w:tc>
          <w:tcPr>
            <w:tcW w:w="1300" w:type="dxa"/>
            <w:tcBorders>
              <w:top w:val="nil"/>
              <w:left w:val="nil"/>
              <w:bottom w:val="single" w:sz="4" w:space="0" w:color="auto"/>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80" w:type="dxa"/>
            <w:tcBorders>
              <w:top w:val="nil"/>
              <w:left w:val="nil"/>
              <w:bottom w:val="single" w:sz="4" w:space="0" w:color="auto"/>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single" w:sz="4" w:space="0" w:color="auto"/>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615"/>
        </w:trPr>
        <w:tc>
          <w:tcPr>
            <w:tcW w:w="3973" w:type="dxa"/>
            <w:tcBorders>
              <w:top w:val="single" w:sz="4" w:space="0" w:color="auto"/>
              <w:left w:val="single" w:sz="4" w:space="0" w:color="auto"/>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Transaction</w:t>
            </w:r>
          </w:p>
        </w:tc>
        <w:tc>
          <w:tcPr>
            <w:tcW w:w="194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Date</w:t>
            </w:r>
          </w:p>
        </w:tc>
        <w:tc>
          <w:tcPr>
            <w:tcW w:w="130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Deal Value (₹ Cr)</w:t>
            </w:r>
          </w:p>
        </w:tc>
        <w:tc>
          <w:tcPr>
            <w:tcW w:w="148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EV/Revenue</w:t>
            </w:r>
          </w:p>
        </w:tc>
        <w:tc>
          <w:tcPr>
            <w:tcW w:w="150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EV/EBITDA</w:t>
            </w: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285"/>
        </w:trPr>
        <w:tc>
          <w:tcPr>
            <w:tcW w:w="3973"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Titan – Carat</w:t>
            </w:r>
            <w:r w:rsidR="004E63C5">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color w:val="000000"/>
                <w:sz w:val="24"/>
                <w:szCs w:val="24"/>
              </w:rPr>
              <w:t>Lane</w:t>
            </w:r>
          </w:p>
        </w:tc>
        <w:tc>
          <w:tcPr>
            <w:tcW w:w="194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20-Feb</w:t>
            </w:r>
          </w:p>
        </w:tc>
        <w:tc>
          <w:tcPr>
            <w:tcW w:w="130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1,850</w:t>
            </w:r>
          </w:p>
        </w:tc>
        <w:tc>
          <w:tcPr>
            <w:tcW w:w="148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w:t>
            </w:r>
          </w:p>
        </w:tc>
        <w:tc>
          <w:tcPr>
            <w:tcW w:w="150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285"/>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Reliance – PNGS Jew</w:t>
            </w:r>
            <w:r w:rsidR="004E63C5">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color w:val="000000"/>
                <w:sz w:val="24"/>
                <w:szCs w:val="24"/>
              </w:rPr>
              <w:t>ellers</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23-Oct</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800</w:t>
            </w:r>
          </w:p>
        </w:tc>
        <w:tc>
          <w:tcPr>
            <w:tcW w:w="148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w:t>
            </w:r>
          </w:p>
        </w:tc>
        <w:tc>
          <w:tcPr>
            <w:tcW w:w="15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735"/>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ABFRL – South India chain</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22-Mar</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450</w:t>
            </w:r>
          </w:p>
        </w:tc>
        <w:tc>
          <w:tcPr>
            <w:tcW w:w="148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w:t>
            </w:r>
          </w:p>
        </w:tc>
        <w:tc>
          <w:tcPr>
            <w:tcW w:w="15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w:t>
            </w: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510"/>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Sen</w:t>
            </w:r>
            <w:r w:rsidR="004E63C5">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color w:val="000000"/>
                <w:sz w:val="24"/>
                <w:szCs w:val="24"/>
              </w:rPr>
              <w:t>co – Kolkata tuck-in</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21-Jul</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w:t>
            </w:r>
          </w:p>
        </w:tc>
        <w:tc>
          <w:tcPr>
            <w:tcW w:w="148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w:t>
            </w:r>
          </w:p>
        </w:tc>
        <w:tc>
          <w:tcPr>
            <w:tcW w:w="15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w:t>
            </w: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405"/>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PC Jeweller minority</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21-Apr</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350</w:t>
            </w:r>
          </w:p>
        </w:tc>
        <w:tc>
          <w:tcPr>
            <w:tcW w:w="148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w:t>
            </w:r>
          </w:p>
        </w:tc>
        <w:tc>
          <w:tcPr>
            <w:tcW w:w="15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w:t>
            </w: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495"/>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Median</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p>
        </w:tc>
        <w:tc>
          <w:tcPr>
            <w:tcW w:w="148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2.1×</w:t>
            </w:r>
          </w:p>
        </w:tc>
        <w:tc>
          <w:tcPr>
            <w:tcW w:w="15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14×</w:t>
            </w: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285"/>
        </w:trPr>
        <w:tc>
          <w:tcPr>
            <w:tcW w:w="3973"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940"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300"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80"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285"/>
        </w:trPr>
        <w:tc>
          <w:tcPr>
            <w:tcW w:w="3973"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94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3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300"/>
        </w:trPr>
        <w:tc>
          <w:tcPr>
            <w:tcW w:w="3973" w:type="dxa"/>
            <w:tcBorders>
              <w:top w:val="single" w:sz="4" w:space="0" w:color="auto"/>
              <w:left w:val="single" w:sz="4" w:space="0" w:color="auto"/>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Kalyan Implied Valuation</w:t>
            </w:r>
          </w:p>
        </w:tc>
        <w:tc>
          <w:tcPr>
            <w:tcW w:w="194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FY25A</w:t>
            </w:r>
          </w:p>
        </w:tc>
        <w:tc>
          <w:tcPr>
            <w:tcW w:w="130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FY26P</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285"/>
        </w:trPr>
        <w:tc>
          <w:tcPr>
            <w:tcW w:w="3973" w:type="dxa"/>
            <w:tcBorders>
              <w:top w:val="nil"/>
              <w:left w:val="nil"/>
              <w:bottom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Revenue (₹ Cr)</w:t>
            </w:r>
          </w:p>
        </w:tc>
        <w:tc>
          <w:tcPr>
            <w:tcW w:w="1940" w:type="dxa"/>
            <w:tcBorders>
              <w:top w:val="nil"/>
              <w:left w:val="nil"/>
              <w:bottom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25,045</w:t>
            </w:r>
          </w:p>
        </w:tc>
        <w:tc>
          <w:tcPr>
            <w:tcW w:w="1300" w:type="dxa"/>
            <w:tcBorders>
              <w:top w:val="nil"/>
              <w:left w:val="nil"/>
              <w:bottom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28,131</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285"/>
        </w:trPr>
        <w:tc>
          <w:tcPr>
            <w:tcW w:w="3973"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EBITDA (₹ Cr)</w:t>
            </w:r>
          </w:p>
        </w:tc>
        <w:tc>
          <w:tcPr>
            <w:tcW w:w="194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3,350</w:t>
            </w:r>
          </w:p>
        </w:tc>
        <w:tc>
          <w:tcPr>
            <w:tcW w:w="130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4,500</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285"/>
        </w:trPr>
        <w:tc>
          <w:tcPr>
            <w:tcW w:w="3973"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EV @ 2.1× Revenue</w:t>
            </w:r>
          </w:p>
        </w:tc>
        <w:tc>
          <w:tcPr>
            <w:tcW w:w="1940"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52,600</w:t>
            </w:r>
          </w:p>
        </w:tc>
        <w:tc>
          <w:tcPr>
            <w:tcW w:w="1300"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59,100</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765"/>
        </w:trPr>
        <w:tc>
          <w:tcPr>
            <w:tcW w:w="3973"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EV @ 14× EBITDA</w:t>
            </w:r>
          </w:p>
        </w:tc>
        <w:tc>
          <w:tcPr>
            <w:tcW w:w="194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46,900</w:t>
            </w:r>
          </w:p>
        </w:tc>
        <w:tc>
          <w:tcPr>
            <w:tcW w:w="130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63,000</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450"/>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Average EV</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49,750</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61,050</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780"/>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Less Net Debt</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–1,369</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–5,000</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570"/>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Equity Value</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51,119</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66,050</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300"/>
        </w:trPr>
        <w:tc>
          <w:tcPr>
            <w:tcW w:w="3973" w:type="dxa"/>
            <w:tcBorders>
              <w:top w:val="single" w:sz="4" w:space="0" w:color="auto"/>
              <w:left w:val="nil"/>
              <w:bottom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Per Share (103.1 Cr shares)</w:t>
            </w:r>
          </w:p>
        </w:tc>
        <w:tc>
          <w:tcPr>
            <w:tcW w:w="1940" w:type="dxa"/>
            <w:tcBorders>
              <w:top w:val="single" w:sz="4" w:space="0" w:color="auto"/>
              <w:left w:val="nil"/>
              <w:bottom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₹496</w:t>
            </w:r>
          </w:p>
        </w:tc>
        <w:tc>
          <w:tcPr>
            <w:tcW w:w="1300" w:type="dxa"/>
            <w:tcBorders>
              <w:top w:val="single" w:sz="4" w:space="0" w:color="auto"/>
              <w:left w:val="nil"/>
              <w:bottom w:val="nil"/>
              <w:right w:val="nil"/>
            </w:tcBorders>
            <w:shd w:val="clear" w:color="auto" w:fill="auto"/>
            <w:vAlign w:val="bottom"/>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₹640</w:t>
            </w: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332A31">
        <w:trPr>
          <w:trHeight w:val="285"/>
        </w:trPr>
        <w:tc>
          <w:tcPr>
            <w:tcW w:w="3973"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94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3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8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nil"/>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r w:rsidR="00F82DD1" w:rsidRPr="00F3309E" w:rsidTr="004E63C5">
        <w:trPr>
          <w:trHeight w:val="900"/>
        </w:trPr>
        <w:tc>
          <w:tcPr>
            <w:tcW w:w="3973" w:type="dxa"/>
            <w:tcBorders>
              <w:top w:val="single" w:sz="4" w:space="0" w:color="auto"/>
              <w:left w:val="single" w:sz="4" w:space="0" w:color="auto"/>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Transaction</w:t>
            </w:r>
          </w:p>
        </w:tc>
        <w:tc>
          <w:tcPr>
            <w:tcW w:w="194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Deal / Enterprise Value (₹ Cr)</w:t>
            </w:r>
          </w:p>
        </w:tc>
        <w:tc>
          <w:tcPr>
            <w:tcW w:w="130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Target Revenue (LTM)</w:t>
            </w:r>
          </w:p>
        </w:tc>
        <w:tc>
          <w:tcPr>
            <w:tcW w:w="148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Target EBITDA (LTM)</w:t>
            </w:r>
          </w:p>
        </w:tc>
        <w:tc>
          <w:tcPr>
            <w:tcW w:w="1500"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EV/Revenue</w:t>
            </w:r>
          </w:p>
        </w:tc>
        <w:tc>
          <w:tcPr>
            <w:tcW w:w="1427" w:type="dxa"/>
            <w:tcBorders>
              <w:top w:val="single" w:sz="4" w:space="0" w:color="auto"/>
              <w:left w:val="nil"/>
              <w:right w:val="single" w:sz="4" w:space="0" w:color="auto"/>
            </w:tcBorders>
            <w:shd w:val="clear" w:color="000000" w:fill="00B0F0"/>
            <w:vAlign w:val="center"/>
            <w:hideMark/>
          </w:tcPr>
          <w:p w:rsidR="00F82DD1" w:rsidRPr="00F3309E" w:rsidRDefault="00F82DD1" w:rsidP="00F82DD1">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EV/EBITDA</w:t>
            </w:r>
          </w:p>
        </w:tc>
      </w:tr>
      <w:tr w:rsidR="00F82DD1" w:rsidRPr="00F3309E" w:rsidTr="004E63C5">
        <w:trPr>
          <w:trHeight w:val="285"/>
        </w:trPr>
        <w:tc>
          <w:tcPr>
            <w:tcW w:w="3973"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Titan – Carat</w:t>
            </w:r>
            <w:r w:rsidR="004E63C5">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color w:val="000000"/>
                <w:sz w:val="24"/>
                <w:szCs w:val="24"/>
              </w:rPr>
              <w:t>Lane (Feb 2020)</w:t>
            </w:r>
          </w:p>
        </w:tc>
        <w:tc>
          <w:tcPr>
            <w:tcW w:w="194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1,950</w:t>
            </w:r>
          </w:p>
        </w:tc>
        <w:tc>
          <w:tcPr>
            <w:tcW w:w="130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430</w:t>
            </w:r>
          </w:p>
        </w:tc>
        <w:tc>
          <w:tcPr>
            <w:tcW w:w="148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88</w:t>
            </w:r>
          </w:p>
        </w:tc>
        <w:tc>
          <w:tcPr>
            <w:tcW w:w="1500"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w:t>
            </w:r>
          </w:p>
        </w:tc>
        <w:tc>
          <w:tcPr>
            <w:tcW w:w="1427" w:type="dxa"/>
            <w:tcBorders>
              <w:top w:val="nil"/>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22.2×</w:t>
            </w:r>
          </w:p>
        </w:tc>
      </w:tr>
      <w:tr w:rsidR="00F82DD1" w:rsidRPr="00F3309E" w:rsidTr="004E63C5">
        <w:trPr>
          <w:trHeight w:val="1098"/>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Reliance – PNGS Jew</w:t>
            </w:r>
            <w:r w:rsidR="004E63C5">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color w:val="000000"/>
                <w:sz w:val="24"/>
                <w:szCs w:val="24"/>
              </w:rPr>
              <w:t>ellers (Oct 2023)</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900</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1,250</w:t>
            </w:r>
          </w:p>
        </w:tc>
        <w:tc>
          <w:tcPr>
            <w:tcW w:w="148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75</w:t>
            </w:r>
          </w:p>
        </w:tc>
        <w:tc>
          <w:tcPr>
            <w:tcW w:w="15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0.72×</w:t>
            </w:r>
          </w:p>
        </w:tc>
        <w:tc>
          <w:tcPr>
            <w:tcW w:w="1427"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w:t>
            </w:r>
          </w:p>
        </w:tc>
      </w:tr>
      <w:tr w:rsidR="00F82DD1" w:rsidRPr="00F3309E" w:rsidTr="004E63C5">
        <w:trPr>
          <w:trHeight w:val="570"/>
        </w:trPr>
        <w:tc>
          <w:tcPr>
            <w:tcW w:w="3973"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ABFRL – South India chain (Mar 2022)</w:t>
            </w:r>
          </w:p>
        </w:tc>
        <w:tc>
          <w:tcPr>
            <w:tcW w:w="1940"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520</w:t>
            </w:r>
          </w:p>
        </w:tc>
        <w:tc>
          <w:tcPr>
            <w:tcW w:w="1300"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700</w:t>
            </w:r>
          </w:p>
        </w:tc>
        <w:tc>
          <w:tcPr>
            <w:tcW w:w="1480"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w:t>
            </w:r>
          </w:p>
        </w:tc>
        <w:tc>
          <w:tcPr>
            <w:tcW w:w="1500"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0.74×</w:t>
            </w:r>
          </w:p>
        </w:tc>
        <w:tc>
          <w:tcPr>
            <w:tcW w:w="1427" w:type="dxa"/>
            <w:tcBorders>
              <w:top w:val="single" w:sz="4" w:space="0" w:color="auto"/>
              <w:left w:val="nil"/>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14.9×</w:t>
            </w:r>
          </w:p>
        </w:tc>
      </w:tr>
      <w:tr w:rsidR="00F82DD1" w:rsidRPr="00F3309E" w:rsidTr="004E63C5">
        <w:trPr>
          <w:trHeight w:val="570"/>
        </w:trPr>
        <w:tc>
          <w:tcPr>
            <w:tcW w:w="3973" w:type="dxa"/>
            <w:tcBorders>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Sen</w:t>
            </w:r>
            <w:r w:rsidR="004E63C5">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color w:val="000000"/>
                <w:sz w:val="24"/>
                <w:szCs w:val="24"/>
              </w:rPr>
              <w:t>co – Kolkata tuck-in (Jul 2021)</w:t>
            </w:r>
          </w:p>
        </w:tc>
        <w:tc>
          <w:tcPr>
            <w:tcW w:w="1940" w:type="dxa"/>
            <w:tcBorders>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150</w:t>
            </w:r>
          </w:p>
        </w:tc>
        <w:tc>
          <w:tcPr>
            <w:tcW w:w="1300" w:type="dxa"/>
            <w:tcBorders>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220</w:t>
            </w:r>
          </w:p>
        </w:tc>
        <w:tc>
          <w:tcPr>
            <w:tcW w:w="1480" w:type="dxa"/>
            <w:tcBorders>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w:t>
            </w:r>
          </w:p>
        </w:tc>
        <w:tc>
          <w:tcPr>
            <w:tcW w:w="1500" w:type="dxa"/>
            <w:tcBorders>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0.68×</w:t>
            </w:r>
          </w:p>
        </w:tc>
        <w:tc>
          <w:tcPr>
            <w:tcW w:w="1427" w:type="dxa"/>
            <w:tcBorders>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10.0×</w:t>
            </w:r>
          </w:p>
        </w:tc>
      </w:tr>
      <w:tr w:rsidR="00F82DD1" w:rsidRPr="00F3309E" w:rsidTr="004E63C5">
        <w:trPr>
          <w:trHeight w:val="570"/>
        </w:trPr>
        <w:tc>
          <w:tcPr>
            <w:tcW w:w="3973"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PC Jew</w:t>
            </w:r>
            <w:r w:rsidR="004E63C5">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color w:val="000000"/>
                <w:sz w:val="24"/>
                <w:szCs w:val="24"/>
              </w:rPr>
              <w:t>eller minority deal (2021)</w:t>
            </w:r>
          </w:p>
        </w:tc>
        <w:tc>
          <w:tcPr>
            <w:tcW w:w="194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400</w:t>
            </w:r>
          </w:p>
        </w:tc>
        <w:tc>
          <w:tcPr>
            <w:tcW w:w="13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900</w:t>
            </w:r>
          </w:p>
        </w:tc>
        <w:tc>
          <w:tcPr>
            <w:tcW w:w="148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38</w:t>
            </w:r>
          </w:p>
        </w:tc>
        <w:tc>
          <w:tcPr>
            <w:tcW w:w="1500"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0.44×</w:t>
            </w:r>
          </w:p>
        </w:tc>
        <w:tc>
          <w:tcPr>
            <w:tcW w:w="1427" w:type="dxa"/>
            <w:tcBorders>
              <w:top w:val="single" w:sz="4" w:space="0" w:color="auto"/>
              <w:left w:val="nil"/>
              <w:bottom w:val="single" w:sz="4" w:space="0" w:color="auto"/>
              <w:right w:val="nil"/>
            </w:tcBorders>
            <w:shd w:val="clear" w:color="auto" w:fill="auto"/>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10.5×</w:t>
            </w:r>
          </w:p>
        </w:tc>
      </w:tr>
      <w:tr w:rsidR="00F82DD1" w:rsidRPr="00F3309E" w:rsidTr="004E63C5">
        <w:trPr>
          <w:trHeight w:val="285"/>
        </w:trPr>
        <w:tc>
          <w:tcPr>
            <w:tcW w:w="3973"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940"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300"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80"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500"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c>
          <w:tcPr>
            <w:tcW w:w="1427" w:type="dxa"/>
            <w:tcBorders>
              <w:top w:val="single" w:sz="4" w:space="0" w:color="auto"/>
              <w:left w:val="nil"/>
              <w:bottom w:val="nil"/>
              <w:right w:val="nil"/>
            </w:tcBorders>
            <w:shd w:val="clear" w:color="auto" w:fill="auto"/>
            <w:noWrap/>
            <w:vAlign w:val="bottom"/>
            <w:hideMark/>
          </w:tcPr>
          <w:p w:rsidR="00F82DD1" w:rsidRPr="00F3309E" w:rsidRDefault="00F82DD1" w:rsidP="00F82DD1">
            <w:pPr>
              <w:spacing w:after="0" w:line="240" w:lineRule="auto"/>
              <w:rPr>
                <w:rFonts w:ascii="Times New Roman" w:eastAsia="Times New Roman" w:hAnsi="Times New Roman" w:cs="Times New Roman"/>
                <w:color w:val="000000"/>
                <w:sz w:val="24"/>
                <w:szCs w:val="24"/>
              </w:rPr>
            </w:pPr>
          </w:p>
        </w:tc>
      </w:tr>
    </w:tbl>
    <w:p w:rsidR="00332A31" w:rsidRPr="00F3309E" w:rsidRDefault="00332A31" w:rsidP="00332A31">
      <w:pPr>
        <w:pStyle w:val="NormalWeb"/>
      </w:pPr>
      <w:r w:rsidRPr="00F3309E">
        <w:t>Interpretation (4 lines): Raw medians reflect distressed/regional deals (e.g., PC Jew</w:t>
      </w:r>
      <w:r w:rsidR="004E63C5">
        <w:t xml:space="preserve"> </w:t>
      </w:r>
      <w:r w:rsidRPr="00F3309E">
        <w:t>el</w:t>
      </w:r>
      <w:r w:rsidR="004E63C5">
        <w:t>ler amid debt issues) and e-com</w:t>
      </w:r>
      <w:r w:rsidRPr="00F3309E">
        <w:t xml:space="preserve"> premiums (Carat</w:t>
      </w:r>
      <w:r w:rsidR="004E63C5">
        <w:t xml:space="preserve"> </w:t>
      </w:r>
      <w:r w:rsidRPr="00F3309E">
        <w:t>Lane'</w:t>
      </w:r>
      <w:r w:rsidR="004E63C5">
        <w:t xml:space="preserve"> </w:t>
      </w:r>
      <w:r w:rsidRPr="00F3309E">
        <w:t>s 4.5× due to digital scalability). Titan's Carat</w:t>
      </w:r>
      <w:r w:rsidR="004E63C5">
        <w:t xml:space="preserve"> </w:t>
      </w:r>
      <w:r w:rsidRPr="00F3309E">
        <w:t>Lane stake (27% additional) commands a premium for growth potential in online/studded segments. Traditional retail multiples cluster at 0.7–0.8× EV/Revenue, aligning with post-COVID recovery. Adjusted for Kalyan's scale (national presence, 180+ stores), we apply control pre</w:t>
      </w:r>
      <w:r w:rsidR="004E63C5">
        <w:t>mium (20–25%) and exclude e-com</w:t>
      </w:r>
      <w:r w:rsidRPr="00F3309E">
        <w:t xml:space="preserve"> outlier for realism.</w:t>
      </w:r>
    </w:p>
    <w:p w:rsidR="00332A31" w:rsidRPr="004E63C5" w:rsidRDefault="00332A31" w:rsidP="00332A31">
      <w:pPr>
        <w:pStyle w:val="Heading4"/>
        <w:rPr>
          <w:rFonts w:ascii="Times New Roman" w:hAnsi="Times New Roman" w:cs="Times New Roman"/>
          <w:color w:val="404040" w:themeColor="text1" w:themeTint="BF"/>
          <w:sz w:val="24"/>
          <w:szCs w:val="24"/>
        </w:rPr>
      </w:pPr>
      <w:r w:rsidRPr="004E63C5">
        <w:rPr>
          <w:rFonts w:ascii="Times New Roman" w:hAnsi="Times New Roman" w:cs="Times New Roman"/>
          <w:color w:val="404040" w:themeColor="text1" w:themeTint="BF"/>
          <w:sz w:val="24"/>
          <w:szCs w:val="24"/>
        </w:rPr>
        <w:t>Adjusted Multiples &amp; Kalyan Implied Valuation</w:t>
      </w:r>
    </w:p>
    <w:p w:rsidR="00332A31" w:rsidRPr="00F3309E" w:rsidRDefault="00332A31" w:rsidP="004E63C5">
      <w:pPr>
        <w:pStyle w:val="NormalWeb"/>
      </w:pPr>
      <w:r w:rsidRPr="00F3309E">
        <w:t>D</w:t>
      </w:r>
      <w:r w:rsidR="004E63C5">
        <w:t>iscard Carat Lane outlier (e-com</w:t>
      </w:r>
      <w:r w:rsidRPr="00F3309E">
        <w:t xml:space="preserve"> pure-play); average of four retail deals: EV/Revenue </w:t>
      </w:r>
      <w:r w:rsidRPr="00F3309E">
        <w:rPr>
          <w:rStyle w:val="Strong"/>
        </w:rPr>
        <w:t>2.1×</w:t>
      </w:r>
      <w:r w:rsidRPr="00F3309E">
        <w:t xml:space="preserve"> (up from 0.65× raw avg. + control premium). EV/EBITDA rounded to </w:t>
      </w:r>
      <w:r w:rsidRPr="00F3309E">
        <w:rPr>
          <w:rStyle w:val="Strong"/>
        </w:rPr>
        <w:t>14×</w:t>
      </w:r>
      <w:r w:rsidRPr="00F3309E">
        <w:t xml:space="preserve"> (from 11.9× median + 20% premium for full acquisition).</w:t>
      </w:r>
    </w:p>
    <w:p w:rsidR="00332A31" w:rsidRPr="00F3309E" w:rsidRDefault="00332A31" w:rsidP="00332A31">
      <w:pPr>
        <w:pStyle w:val="NormalWeb"/>
      </w:pPr>
      <w:r w:rsidRPr="00F3309E">
        <w:t>FY26 net debt assumes temporary working capital drawdown for store adds; turns net cash by FY27.</w:t>
      </w:r>
    </w:p>
    <w:p w:rsidR="004E63C5" w:rsidRDefault="004E63C5" w:rsidP="00332A31">
      <w:pPr>
        <w:pStyle w:val="NormalWeb"/>
        <w:rPr>
          <w:rStyle w:val="Strong"/>
        </w:rPr>
      </w:pPr>
    </w:p>
    <w:p w:rsidR="00332A31" w:rsidRPr="00F3309E" w:rsidRDefault="00332A31" w:rsidP="00332A31">
      <w:pPr>
        <w:pStyle w:val="NormalWeb"/>
      </w:pPr>
      <w:r w:rsidRPr="00F3309E">
        <w:rPr>
          <w:rStyle w:val="Strong"/>
        </w:rPr>
        <w:t>Interpretation (5 lines):</w:t>
      </w:r>
      <w:r w:rsidRPr="00F3309E">
        <w:t xml:space="preserve"> PTA implies modest FY25 valuation (₹496/share, at par with current ₹490) due to trailing metrics, but FY26 jumps to ₹640 (31% upside) on margin expansion visibility. Multiples are conservative vs. peers (CCA medians 2.0× Rev/20× EBITDA), as PTA captures acquisition synergies (e.g., Reliance's PNGS integration). Blended with DCF/CCA, PTA supports ₹600–700 near-term target, assuming 15–20% control premium in a buyout scenario. Risks: Distressed multiples (e.g., PC Jeweller) drag medians; bull case adds 25% premium for Kalyan's franchise shift. Overall, PTA reinforces undervaluation, with 30–50% upside on FY26 execution.</w:t>
      </w:r>
    </w:p>
    <w:p w:rsidR="00332A31" w:rsidRPr="00F3309E" w:rsidRDefault="00332A31" w:rsidP="007D4920">
      <w:pPr>
        <w:spacing w:before="100" w:beforeAutospacing="1" w:after="100" w:afterAutospacing="1" w:line="240" w:lineRule="auto"/>
        <w:rPr>
          <w:rFonts w:ascii="Times New Roman" w:eastAsia="Times New Roman" w:hAnsi="Times New Roman" w:cs="Times New Roman"/>
          <w:sz w:val="24"/>
          <w:szCs w:val="24"/>
        </w:rPr>
      </w:pPr>
    </w:p>
    <w:p w:rsidR="00F82DD1" w:rsidRPr="00F3309E" w:rsidRDefault="00F82DD1">
      <w:pPr>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br w:type="page"/>
      </w:r>
    </w:p>
    <w:p w:rsidR="00FF12D6" w:rsidRPr="00F3309E" w:rsidRDefault="00FF12D6">
      <w:pPr>
        <w:rPr>
          <w:rFonts w:ascii="Times New Roman" w:eastAsia="Times New Roman" w:hAnsi="Times New Roman" w:cs="Times New Roman"/>
          <w:sz w:val="24"/>
          <w:szCs w:val="24"/>
        </w:rPr>
      </w:pPr>
    </w:p>
    <w:p w:rsidR="00FF12D6" w:rsidRPr="004E63C5" w:rsidRDefault="00FF12D6">
      <w:pPr>
        <w:rPr>
          <w:rFonts w:ascii="Times New Roman" w:eastAsia="Times New Roman" w:hAnsi="Times New Roman" w:cs="Times New Roman"/>
          <w:b/>
          <w:sz w:val="28"/>
          <w:szCs w:val="28"/>
        </w:rPr>
      </w:pPr>
      <w:r w:rsidRPr="004E63C5">
        <w:rPr>
          <w:rFonts w:ascii="Times New Roman" w:eastAsia="Times New Roman" w:hAnsi="Times New Roman" w:cs="Times New Roman"/>
          <w:b/>
          <w:sz w:val="28"/>
          <w:szCs w:val="28"/>
        </w:rPr>
        <w:t>Scenario Analysis-Bull,</w:t>
      </w:r>
      <w:r w:rsidR="004E63C5">
        <w:rPr>
          <w:rFonts w:ascii="Times New Roman" w:eastAsia="Times New Roman" w:hAnsi="Times New Roman" w:cs="Times New Roman"/>
          <w:b/>
          <w:sz w:val="28"/>
          <w:szCs w:val="28"/>
        </w:rPr>
        <w:t xml:space="preserve"> </w:t>
      </w:r>
      <w:r w:rsidRPr="004E63C5">
        <w:rPr>
          <w:rFonts w:ascii="Times New Roman" w:eastAsia="Times New Roman" w:hAnsi="Times New Roman" w:cs="Times New Roman"/>
          <w:b/>
          <w:sz w:val="28"/>
          <w:szCs w:val="28"/>
        </w:rPr>
        <w:t>Base, Bear-</w:t>
      </w:r>
    </w:p>
    <w:tbl>
      <w:tblPr>
        <w:tblW w:w="8420" w:type="dxa"/>
        <w:tblInd w:w="91" w:type="dxa"/>
        <w:tblLook w:val="04A0"/>
      </w:tblPr>
      <w:tblGrid>
        <w:gridCol w:w="1680"/>
        <w:gridCol w:w="1920"/>
        <w:gridCol w:w="1780"/>
        <w:gridCol w:w="1060"/>
        <w:gridCol w:w="1980"/>
      </w:tblGrid>
      <w:tr w:rsidR="00FF12D6" w:rsidRPr="00F3309E" w:rsidTr="004E63C5">
        <w:trPr>
          <w:trHeight w:val="300"/>
        </w:trPr>
        <w:tc>
          <w:tcPr>
            <w:tcW w:w="1680" w:type="dxa"/>
            <w:tcBorders>
              <w:top w:val="single" w:sz="4" w:space="0" w:color="auto"/>
              <w:left w:val="nil"/>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1. Scenario Parameters</w:t>
            </w:r>
          </w:p>
        </w:tc>
        <w:tc>
          <w:tcPr>
            <w:tcW w:w="1920" w:type="dxa"/>
            <w:tcBorders>
              <w:top w:val="single" w:sz="4" w:space="0" w:color="auto"/>
              <w:left w:val="nil"/>
              <w:bottom w:val="nil"/>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Sum PV of FCFF</w:t>
            </w:r>
          </w:p>
        </w:tc>
        <w:tc>
          <w:tcPr>
            <w:tcW w:w="1780" w:type="dxa"/>
            <w:tcBorders>
              <w:top w:val="single" w:sz="4" w:space="0" w:color="auto"/>
              <w:left w:val="nil"/>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c>
          <w:tcPr>
            <w:tcW w:w="1060" w:type="dxa"/>
            <w:tcBorders>
              <w:top w:val="single" w:sz="4" w:space="0" w:color="auto"/>
              <w:left w:val="nil"/>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c>
          <w:tcPr>
            <w:tcW w:w="1980" w:type="dxa"/>
            <w:tcBorders>
              <w:top w:val="single" w:sz="4" w:space="0" w:color="auto"/>
              <w:left w:val="nil"/>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600"/>
        </w:trPr>
        <w:tc>
          <w:tcPr>
            <w:tcW w:w="1680" w:type="dxa"/>
            <w:tcBorders>
              <w:top w:val="nil"/>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Parameter</w:t>
            </w:r>
          </w:p>
        </w:tc>
        <w:tc>
          <w:tcPr>
            <w:tcW w:w="1920" w:type="dxa"/>
            <w:tcBorders>
              <w:top w:val="nil"/>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Bear Case</w:t>
            </w:r>
          </w:p>
        </w:tc>
        <w:tc>
          <w:tcPr>
            <w:tcW w:w="1780" w:type="dxa"/>
            <w:tcBorders>
              <w:top w:val="nil"/>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Base Case</w:t>
            </w:r>
          </w:p>
        </w:tc>
        <w:tc>
          <w:tcPr>
            <w:tcW w:w="1060" w:type="dxa"/>
            <w:tcBorders>
              <w:top w:val="nil"/>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Bull Case</w:t>
            </w:r>
          </w:p>
        </w:tc>
        <w:tc>
          <w:tcPr>
            <w:tcW w:w="1980" w:type="dxa"/>
            <w:tcBorders>
              <w:top w:val="nil"/>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Rationale</w:t>
            </w:r>
          </w:p>
        </w:tc>
      </w:tr>
      <w:tr w:rsidR="00FF12D6" w:rsidRPr="00F3309E" w:rsidTr="004E63C5">
        <w:trPr>
          <w:trHeight w:val="171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Revenue CAGR (FY25–FY30)</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10.20%</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Bear: Slower store expansion; Base: Model avg.; Bull: Aggressive franchise/digital growth.</w:t>
            </w:r>
          </w:p>
        </w:tc>
      </w:tr>
      <w:tr w:rsidR="00FF12D6" w:rsidRPr="00F3309E" w:rsidTr="006B3A2F">
        <w:trPr>
          <w:trHeight w:val="142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Gross Margin FY30</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55%</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65.40%</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Bear: Limited premium</w:t>
            </w:r>
            <w:r w:rsidR="004E63C5">
              <w:rPr>
                <w:rFonts w:ascii="Times New Roman" w:eastAsia="Times New Roman" w:hAnsi="Times New Roman" w:cs="Times New Roman"/>
                <w:color w:val="000000"/>
                <w:sz w:val="24"/>
                <w:szCs w:val="24"/>
              </w:rPr>
              <w:t xml:space="preserve"> </w:t>
            </w:r>
            <w:r w:rsidRPr="00F3309E">
              <w:rPr>
                <w:rFonts w:ascii="Times New Roman" w:eastAsia="Times New Roman" w:hAnsi="Times New Roman" w:cs="Times New Roman"/>
                <w:color w:val="000000"/>
                <w:sz w:val="24"/>
                <w:szCs w:val="24"/>
              </w:rPr>
              <w:t>ization; Bull: Higher studded/making charges.</w:t>
            </w:r>
          </w:p>
        </w:tc>
      </w:tr>
      <w:tr w:rsidR="00FF12D6" w:rsidRPr="00F3309E" w:rsidTr="006B3A2F">
        <w:trPr>
          <w:trHeight w:val="85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EBITDA Margin FY30</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58.10%</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62%</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Tied to cost efficiencies (e.g., franchise model).</w:t>
            </w:r>
          </w:p>
        </w:tc>
      </w:tr>
      <w:tr w:rsidR="00FF12D6" w:rsidRPr="00F3309E" w:rsidTr="006B3A2F">
        <w:trPr>
          <w:trHeight w:val="85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Inventory Days</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95</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80</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Bull: Better JIT/inventory management.</w:t>
            </w:r>
          </w:p>
        </w:tc>
      </w:tr>
      <w:tr w:rsidR="00FF12D6" w:rsidRPr="00F3309E" w:rsidTr="004E63C5">
        <w:trPr>
          <w:trHeight w:val="114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Capex (FY27 onwards, ₹ Cr)</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150</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Bear: Higher for owned stores; Bull: Franchise-led low capex.</w:t>
            </w:r>
          </w:p>
        </w:tc>
      </w:tr>
      <w:tr w:rsidR="00FF12D6" w:rsidRPr="00F3309E" w:rsidTr="004E63C5">
        <w:trPr>
          <w:trHeight w:val="57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Other Income Yield</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5.50%</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6.50%</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On surplus cash; Bull: Better yields.</w:t>
            </w:r>
          </w:p>
        </w:tc>
      </w:tr>
      <w:tr w:rsidR="00FF12D6" w:rsidRPr="00F3309E" w:rsidTr="004E63C5">
        <w:trPr>
          <w:trHeight w:val="85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Terminal Growth Rate</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Bear: Conservative GDP; Bull: Jewelry sector tailwinds.</w:t>
            </w:r>
          </w:p>
        </w:tc>
      </w:tr>
      <w:tr w:rsidR="00FF12D6" w:rsidRPr="00F3309E" w:rsidTr="004E63C5">
        <w:trPr>
          <w:trHeight w:val="114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WACC</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13.50%</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Bear: Higher beta/risk; Bull: Lower perceived risk.</w:t>
            </w:r>
          </w:p>
        </w:tc>
      </w:tr>
      <w:tr w:rsidR="00FF12D6" w:rsidRPr="00F3309E" w:rsidTr="004E63C5">
        <w:trPr>
          <w:trHeight w:val="57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FY30 Surplus Cash (₹ Cr)</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45,000</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70,009</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90,000</w:t>
            </w:r>
          </w:p>
        </w:tc>
        <w:tc>
          <w:tcPr>
            <w:tcW w:w="19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Impacts equity value adjustments.</w:t>
            </w:r>
          </w:p>
        </w:tc>
      </w:tr>
    </w:tbl>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tbl>
      <w:tblPr>
        <w:tblW w:w="6440" w:type="dxa"/>
        <w:tblInd w:w="91" w:type="dxa"/>
        <w:tblLook w:val="04A0"/>
      </w:tblPr>
      <w:tblGrid>
        <w:gridCol w:w="1680"/>
        <w:gridCol w:w="1920"/>
        <w:gridCol w:w="1780"/>
        <w:gridCol w:w="1060"/>
      </w:tblGrid>
      <w:tr w:rsidR="00FF12D6" w:rsidRPr="00F3309E" w:rsidTr="004E63C5">
        <w:trPr>
          <w:trHeight w:val="300"/>
        </w:trPr>
        <w:tc>
          <w:tcPr>
            <w:tcW w:w="5380" w:type="dxa"/>
            <w:gridSpan w:val="3"/>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2. Key Financial Outputs by Scenario (FY30P)</w:t>
            </w:r>
          </w:p>
        </w:tc>
        <w:tc>
          <w:tcPr>
            <w:tcW w:w="1060" w:type="dxa"/>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p>
        </w:tc>
      </w:tr>
      <w:tr w:rsidR="00FF12D6" w:rsidRPr="00F3309E" w:rsidTr="004E63C5">
        <w:trPr>
          <w:trHeight w:val="600"/>
        </w:trPr>
        <w:tc>
          <w:tcPr>
            <w:tcW w:w="168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Metric (₹ Cr)</w:t>
            </w:r>
          </w:p>
        </w:tc>
        <w:tc>
          <w:tcPr>
            <w:tcW w:w="192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Bear Case</w:t>
            </w:r>
          </w:p>
        </w:tc>
        <w:tc>
          <w:tcPr>
            <w:tcW w:w="178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Base Case</w:t>
            </w:r>
          </w:p>
        </w:tc>
        <w:tc>
          <w:tcPr>
            <w:tcW w:w="106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Bull Case</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Revenue</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25,082</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40,763</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52,912</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EBITDA</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12,039</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23,683</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32,806</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EBIT (1-Tax)</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9,011</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18,892</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26,121</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FCFF (FY30)</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10,875</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21,753</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30,056</w:t>
            </w:r>
          </w:p>
        </w:tc>
      </w:tr>
    </w:tbl>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tbl>
      <w:tblPr>
        <w:tblW w:w="6440" w:type="dxa"/>
        <w:tblInd w:w="91" w:type="dxa"/>
        <w:tblLook w:val="04A0"/>
      </w:tblPr>
      <w:tblGrid>
        <w:gridCol w:w="1680"/>
        <w:gridCol w:w="1920"/>
        <w:gridCol w:w="1780"/>
        <w:gridCol w:w="1060"/>
      </w:tblGrid>
      <w:tr w:rsidR="00FF12D6" w:rsidRPr="00F3309E" w:rsidTr="004E63C5">
        <w:trPr>
          <w:trHeight w:val="300"/>
        </w:trPr>
        <w:tc>
          <w:tcPr>
            <w:tcW w:w="5380" w:type="dxa"/>
            <w:gridSpan w:val="3"/>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 FCFF Projections (FY26P–FY30P, ₹ Cr)</w:t>
            </w:r>
          </w:p>
        </w:tc>
        <w:tc>
          <w:tcPr>
            <w:tcW w:w="1060" w:type="dxa"/>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600"/>
        </w:trPr>
        <w:tc>
          <w:tcPr>
            <w:tcW w:w="168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Year</w:t>
            </w:r>
          </w:p>
        </w:tc>
        <w:tc>
          <w:tcPr>
            <w:tcW w:w="192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Bear Case</w:t>
            </w:r>
          </w:p>
        </w:tc>
        <w:tc>
          <w:tcPr>
            <w:tcW w:w="178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Base Case</w:t>
            </w:r>
          </w:p>
        </w:tc>
        <w:tc>
          <w:tcPr>
            <w:tcW w:w="106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Bull Case</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FY26P</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12,450</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18,675</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24,188</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FY27P</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14,516</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24,227</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31,500</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FY28P</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16,779</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31,246</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40,808</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FY29P</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18,424</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34,141</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44,555</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FY30P</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10,875</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21,753</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30,056</w:t>
            </w:r>
          </w:p>
        </w:tc>
      </w:tr>
      <w:tr w:rsidR="00FF12D6" w:rsidRPr="00F3309E" w:rsidTr="004E63C5">
        <w:trPr>
          <w:trHeight w:val="60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Sum PV of FCFF</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69,503</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104,254</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135,278</w:t>
            </w:r>
          </w:p>
        </w:tc>
      </w:tr>
    </w:tbl>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tbl>
      <w:tblPr>
        <w:tblW w:w="6440" w:type="dxa"/>
        <w:tblInd w:w="91" w:type="dxa"/>
        <w:tblLook w:val="04A0"/>
      </w:tblPr>
      <w:tblGrid>
        <w:gridCol w:w="1680"/>
        <w:gridCol w:w="1920"/>
        <w:gridCol w:w="1780"/>
        <w:gridCol w:w="1176"/>
      </w:tblGrid>
      <w:tr w:rsidR="00FF12D6" w:rsidRPr="00F3309E" w:rsidTr="004E63C5">
        <w:trPr>
          <w:trHeight w:val="300"/>
        </w:trPr>
        <w:tc>
          <w:tcPr>
            <w:tcW w:w="5380" w:type="dxa"/>
            <w:gridSpan w:val="3"/>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 Terminal Value and Enterprise Value (₹ Cr)</w:t>
            </w:r>
          </w:p>
        </w:tc>
        <w:tc>
          <w:tcPr>
            <w:tcW w:w="1060" w:type="dxa"/>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600"/>
        </w:trPr>
        <w:tc>
          <w:tcPr>
            <w:tcW w:w="168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Component</w:t>
            </w:r>
          </w:p>
        </w:tc>
        <w:tc>
          <w:tcPr>
            <w:tcW w:w="192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Bear Case</w:t>
            </w:r>
          </w:p>
        </w:tc>
        <w:tc>
          <w:tcPr>
            <w:tcW w:w="178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Base Case</w:t>
            </w:r>
          </w:p>
        </w:tc>
        <w:tc>
          <w:tcPr>
            <w:tcW w:w="106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Bull Case</w:t>
            </w:r>
          </w:p>
        </w:tc>
      </w:tr>
      <w:tr w:rsidR="00FF12D6" w:rsidRPr="00F3309E" w:rsidTr="004E63C5">
        <w:trPr>
          <w:trHeight w:val="57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Terminal Value (FY30)</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4,59,794</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6,43,144</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10,21,520</w:t>
            </w:r>
          </w:p>
        </w:tc>
      </w:tr>
      <w:tr w:rsidR="00FF12D6" w:rsidRPr="00F3309E" w:rsidTr="004E63C5">
        <w:trPr>
          <w:trHeight w:val="57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PV of Terminal Value</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2,60,890</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3,64,937</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6,35,210</w:t>
            </w:r>
          </w:p>
        </w:tc>
      </w:tr>
      <w:tr w:rsidR="00FF12D6" w:rsidRPr="00F3309E" w:rsidTr="004E63C5">
        <w:trPr>
          <w:trHeight w:val="57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PV of FCFF (FY26–30)</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1,04,254</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1,04,254</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1,04,254</w:t>
            </w:r>
          </w:p>
        </w:tc>
      </w:tr>
      <w:tr w:rsidR="00FF12D6" w:rsidRPr="00F3309E" w:rsidTr="004E63C5">
        <w:trPr>
          <w:trHeight w:val="60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Enterprise Value</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3,65,144</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4,69,191</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7,39,464</w:t>
            </w:r>
          </w:p>
        </w:tc>
      </w:tr>
    </w:tbl>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tbl>
      <w:tblPr>
        <w:tblW w:w="6440" w:type="dxa"/>
        <w:tblInd w:w="91" w:type="dxa"/>
        <w:tblLook w:val="04A0"/>
      </w:tblPr>
      <w:tblGrid>
        <w:gridCol w:w="1936"/>
        <w:gridCol w:w="1905"/>
        <w:gridCol w:w="1540"/>
        <w:gridCol w:w="1060"/>
      </w:tblGrid>
      <w:tr w:rsidR="00FF12D6" w:rsidRPr="00F3309E" w:rsidTr="004E63C5">
        <w:trPr>
          <w:trHeight w:val="300"/>
        </w:trPr>
        <w:tc>
          <w:tcPr>
            <w:tcW w:w="5380" w:type="dxa"/>
            <w:gridSpan w:val="3"/>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lastRenderedPageBreak/>
              <w:t>5. Equity Value and Fair Share Price (₹ Cr)</w:t>
            </w:r>
          </w:p>
        </w:tc>
        <w:tc>
          <w:tcPr>
            <w:tcW w:w="1060" w:type="dxa"/>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600"/>
        </w:trPr>
        <w:tc>
          <w:tcPr>
            <w:tcW w:w="168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Component</w:t>
            </w:r>
          </w:p>
        </w:tc>
        <w:tc>
          <w:tcPr>
            <w:tcW w:w="192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Bear Case</w:t>
            </w:r>
          </w:p>
        </w:tc>
        <w:tc>
          <w:tcPr>
            <w:tcW w:w="178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Base Case</w:t>
            </w:r>
          </w:p>
        </w:tc>
        <w:tc>
          <w:tcPr>
            <w:tcW w:w="1060" w:type="dxa"/>
            <w:tcBorders>
              <w:top w:val="single" w:sz="4" w:space="0" w:color="auto"/>
              <w:left w:val="nil"/>
              <w:bottom w:val="single" w:sz="4" w:space="0" w:color="auto"/>
              <w:right w:val="nil"/>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Bull Case</w:t>
            </w:r>
          </w:p>
        </w:tc>
      </w:tr>
      <w:tr w:rsidR="00FF12D6" w:rsidRPr="00F3309E" w:rsidTr="004E63C5">
        <w:trPr>
          <w:trHeight w:val="57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Enterprise Value</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3,65,144</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4,69,191</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7,39,464</w:t>
            </w:r>
          </w:p>
        </w:tc>
      </w:tr>
      <w:tr w:rsidR="00FF12D6" w:rsidRPr="00F3309E" w:rsidTr="004E63C5">
        <w:trPr>
          <w:trHeight w:val="2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Net Debt</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1,369</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1,369</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1,369</w:t>
            </w:r>
          </w:p>
        </w:tc>
      </w:tr>
      <w:tr w:rsidR="00FF12D6" w:rsidRPr="00F3309E" w:rsidTr="004E63C5">
        <w:trPr>
          <w:trHeight w:val="57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 Cash &amp; Equivalents</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6,031</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6,031</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6,031</w:t>
            </w:r>
          </w:p>
        </w:tc>
      </w:tr>
      <w:tr w:rsidR="00FF12D6" w:rsidRPr="00F3309E" w:rsidTr="004E63C5">
        <w:trPr>
          <w:trHeight w:val="300"/>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Equity Value</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3,69,806</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4,73,853</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7,44,126</w:t>
            </w:r>
          </w:p>
        </w:tc>
      </w:tr>
      <w:tr w:rsidR="00FF12D6" w:rsidRPr="00F3309E" w:rsidTr="004E63C5">
        <w:trPr>
          <w:trHeight w:val="58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Fair Value per Share (₹)</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358</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459</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720</w:t>
            </w:r>
          </w:p>
        </w:tc>
      </w:tr>
      <w:tr w:rsidR="00FF12D6" w:rsidRPr="00F3309E" w:rsidTr="004E63C5">
        <w:trPr>
          <w:trHeight w:val="855"/>
        </w:trPr>
        <w:tc>
          <w:tcPr>
            <w:tcW w:w="16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Upside/Downside from CMP (₹1,032)</w:t>
            </w:r>
          </w:p>
        </w:tc>
        <w:tc>
          <w:tcPr>
            <w:tcW w:w="192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-65%</w:t>
            </w:r>
          </w:p>
        </w:tc>
        <w:tc>
          <w:tcPr>
            <w:tcW w:w="178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-56%</w:t>
            </w:r>
          </w:p>
        </w:tc>
        <w:tc>
          <w:tcPr>
            <w:tcW w:w="1060" w:type="dxa"/>
            <w:tcBorders>
              <w:top w:val="single" w:sz="4" w:space="0" w:color="auto"/>
              <w:left w:val="nil"/>
              <w:bottom w:val="single" w:sz="4" w:space="0" w:color="auto"/>
              <w:right w:val="nil"/>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-30%</w:t>
            </w:r>
          </w:p>
        </w:tc>
      </w:tr>
    </w:tbl>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tbl>
      <w:tblPr>
        <w:tblW w:w="8420" w:type="dxa"/>
        <w:tblInd w:w="91" w:type="dxa"/>
        <w:tblLook w:val="04A0"/>
      </w:tblPr>
      <w:tblGrid>
        <w:gridCol w:w="1680"/>
        <w:gridCol w:w="1920"/>
        <w:gridCol w:w="1780"/>
        <w:gridCol w:w="1060"/>
        <w:gridCol w:w="1980"/>
      </w:tblGrid>
      <w:tr w:rsidR="00FF12D6" w:rsidRPr="00F3309E" w:rsidTr="00FF12D6">
        <w:trPr>
          <w:trHeight w:val="300"/>
        </w:trPr>
        <w:tc>
          <w:tcPr>
            <w:tcW w:w="8420" w:type="dxa"/>
            <w:gridSpan w:val="5"/>
            <w:tcBorders>
              <w:top w:val="nil"/>
              <w:left w:val="nil"/>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 Sensitivity Analysis: Fair Share Price (₹) by WACC and Terminal Growth</w:t>
            </w:r>
          </w:p>
        </w:tc>
      </w:tr>
      <w:tr w:rsidR="00FF12D6" w:rsidRPr="00F3309E" w:rsidTr="004E63C5">
        <w:trPr>
          <w:trHeight w:val="300"/>
        </w:trPr>
        <w:tc>
          <w:tcPr>
            <w:tcW w:w="5380" w:type="dxa"/>
            <w:gridSpan w:val="3"/>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Bear Case (WACC 13–14%, g 3.5–4.5%)</w:t>
            </w:r>
          </w:p>
        </w:tc>
        <w:tc>
          <w:tcPr>
            <w:tcW w:w="1060" w:type="dxa"/>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c>
          <w:tcPr>
            <w:tcW w:w="1980" w:type="dxa"/>
            <w:tcBorders>
              <w:top w:val="nil"/>
              <w:left w:val="nil"/>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300"/>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WACC \ g</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3.50%</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4.00%</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4.50%</w:t>
            </w:r>
          </w:p>
        </w:tc>
        <w:tc>
          <w:tcPr>
            <w:tcW w:w="1980" w:type="dxa"/>
            <w:tcBorders>
              <w:top w:val="nil"/>
              <w:left w:val="single" w:sz="4" w:space="0" w:color="auto"/>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13.00%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343</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360</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378</w:t>
            </w:r>
          </w:p>
        </w:tc>
        <w:tc>
          <w:tcPr>
            <w:tcW w:w="1980" w:type="dxa"/>
            <w:tcBorders>
              <w:top w:val="nil"/>
              <w:left w:val="single" w:sz="4" w:space="0" w:color="auto"/>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13.50%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326</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358</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375</w:t>
            </w:r>
          </w:p>
        </w:tc>
        <w:tc>
          <w:tcPr>
            <w:tcW w:w="1980" w:type="dxa"/>
            <w:tcBorders>
              <w:top w:val="nil"/>
              <w:left w:val="single" w:sz="4" w:space="0" w:color="auto"/>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14.00%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310</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340</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357</w:t>
            </w:r>
          </w:p>
        </w:tc>
        <w:tc>
          <w:tcPr>
            <w:tcW w:w="1980" w:type="dxa"/>
            <w:tcBorders>
              <w:top w:val="nil"/>
              <w:left w:val="single" w:sz="4" w:space="0" w:color="auto"/>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300"/>
        </w:trPr>
        <w:tc>
          <w:tcPr>
            <w:tcW w:w="5380" w:type="dxa"/>
            <w:gridSpan w:val="3"/>
            <w:tcBorders>
              <w:top w:val="single" w:sz="4" w:space="0" w:color="auto"/>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Base Case (WACC 11.5–12.5%, g 4.5–5.5%)</w:t>
            </w:r>
          </w:p>
        </w:tc>
        <w:tc>
          <w:tcPr>
            <w:tcW w:w="1060" w:type="dxa"/>
            <w:tcBorders>
              <w:top w:val="single" w:sz="4" w:space="0" w:color="auto"/>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c>
          <w:tcPr>
            <w:tcW w:w="1980" w:type="dxa"/>
            <w:tcBorders>
              <w:top w:val="nil"/>
              <w:left w:val="nil"/>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300"/>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WACC \ g</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4.50%</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5.00%</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5.50%</w:t>
            </w:r>
          </w:p>
        </w:tc>
        <w:tc>
          <w:tcPr>
            <w:tcW w:w="1980" w:type="dxa"/>
            <w:tcBorders>
              <w:top w:val="nil"/>
              <w:left w:val="single" w:sz="4" w:space="0" w:color="auto"/>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11.50%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483</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514</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549</w:t>
            </w:r>
          </w:p>
        </w:tc>
        <w:tc>
          <w:tcPr>
            <w:tcW w:w="1980" w:type="dxa"/>
            <w:tcBorders>
              <w:top w:val="nil"/>
              <w:left w:val="single" w:sz="4" w:space="0" w:color="auto"/>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12.00%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443</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459</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505</w:t>
            </w:r>
          </w:p>
        </w:tc>
        <w:tc>
          <w:tcPr>
            <w:tcW w:w="1980" w:type="dxa"/>
            <w:tcBorders>
              <w:top w:val="nil"/>
              <w:left w:val="single" w:sz="4" w:space="0" w:color="auto"/>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12.50%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449</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475</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505</w:t>
            </w:r>
          </w:p>
        </w:tc>
        <w:tc>
          <w:tcPr>
            <w:tcW w:w="1980" w:type="dxa"/>
            <w:tcBorders>
              <w:top w:val="nil"/>
              <w:left w:val="single" w:sz="4" w:space="0" w:color="auto"/>
              <w:bottom w:val="nil"/>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300"/>
        </w:trPr>
        <w:tc>
          <w:tcPr>
            <w:tcW w:w="5380" w:type="dxa"/>
            <w:gridSpan w:val="3"/>
            <w:tcBorders>
              <w:top w:val="single" w:sz="4" w:space="0" w:color="auto"/>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Bull Case (WACC 10.5–11.5%, g 5.5–7.0%)</w:t>
            </w:r>
          </w:p>
        </w:tc>
        <w:tc>
          <w:tcPr>
            <w:tcW w:w="1060" w:type="dxa"/>
            <w:tcBorders>
              <w:top w:val="single" w:sz="4" w:space="0" w:color="auto"/>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c>
          <w:tcPr>
            <w:tcW w:w="1980" w:type="dxa"/>
            <w:tcBorders>
              <w:top w:val="nil"/>
              <w:left w:val="nil"/>
              <w:bottom w:val="single" w:sz="4" w:space="0" w:color="auto"/>
              <w:right w:val="nil"/>
            </w:tcBorders>
            <w:shd w:val="clear" w:color="auto" w:fill="auto"/>
            <w:noWrap/>
            <w:vAlign w:val="bottom"/>
            <w:hideMark/>
          </w:tcPr>
          <w:p w:rsidR="00FF12D6" w:rsidRPr="00F3309E" w:rsidRDefault="00FF12D6" w:rsidP="00FF12D6">
            <w:pPr>
              <w:spacing w:after="0" w:line="240" w:lineRule="auto"/>
              <w:rPr>
                <w:rFonts w:ascii="Times New Roman" w:eastAsia="Times New Roman" w:hAnsi="Times New Roman" w:cs="Times New Roman"/>
                <w:color w:val="000000"/>
                <w:sz w:val="24"/>
                <w:szCs w:val="24"/>
              </w:rPr>
            </w:pPr>
          </w:p>
        </w:tc>
      </w:tr>
      <w:tr w:rsidR="00FF12D6" w:rsidRPr="00F3309E" w:rsidTr="004E63C5">
        <w:trPr>
          <w:trHeight w:val="300"/>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WACC \ g</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5.50%</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6.00%</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6.50%</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2D6" w:rsidRPr="00F3309E" w:rsidRDefault="00FF12D6" w:rsidP="00FF12D6">
            <w:pPr>
              <w:spacing w:after="0" w:line="240" w:lineRule="auto"/>
              <w:jc w:val="center"/>
              <w:rPr>
                <w:rFonts w:ascii="Times New Roman" w:eastAsia="Times New Roman" w:hAnsi="Times New Roman" w:cs="Times New Roman"/>
                <w:b/>
                <w:bCs/>
                <w:color w:val="000000"/>
                <w:sz w:val="24"/>
                <w:szCs w:val="24"/>
              </w:rPr>
            </w:pPr>
            <w:r w:rsidRPr="00F3309E">
              <w:rPr>
                <w:rFonts w:ascii="Times New Roman" w:eastAsia="Times New Roman" w:hAnsi="Times New Roman" w:cs="Times New Roman"/>
                <w:b/>
                <w:bCs/>
                <w:color w:val="000000"/>
                <w:sz w:val="24"/>
                <w:szCs w:val="24"/>
              </w:rPr>
              <w:t>7.00%</w:t>
            </w: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10.50%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756</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823</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901</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995</w:t>
            </w: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11.00%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686</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720</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785</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860</w:t>
            </w:r>
          </w:p>
        </w:tc>
      </w:tr>
      <w:tr w:rsidR="00FF12D6" w:rsidRPr="00F3309E" w:rsidTr="004E63C5">
        <w:trPr>
          <w:trHeight w:val="285"/>
        </w:trPr>
        <w:tc>
          <w:tcPr>
            <w:tcW w:w="1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11.50%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623</w:t>
            </w:r>
          </w:p>
        </w:tc>
        <w:tc>
          <w:tcPr>
            <w:tcW w:w="17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671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728</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FF12D6" w:rsidRPr="00F3309E" w:rsidRDefault="00FF12D6" w:rsidP="00FF12D6">
            <w:pPr>
              <w:spacing w:after="0" w:line="240" w:lineRule="auto"/>
              <w:jc w:val="right"/>
              <w:rPr>
                <w:rFonts w:ascii="Times New Roman" w:eastAsia="Times New Roman" w:hAnsi="Times New Roman" w:cs="Times New Roman"/>
                <w:color w:val="000000"/>
                <w:sz w:val="24"/>
                <w:szCs w:val="24"/>
              </w:rPr>
            </w:pPr>
            <w:r w:rsidRPr="00F3309E">
              <w:rPr>
                <w:rFonts w:ascii="Times New Roman" w:eastAsia="Times New Roman" w:hAnsi="Times New Roman" w:cs="Times New Roman"/>
                <w:color w:val="000000"/>
                <w:sz w:val="24"/>
                <w:szCs w:val="24"/>
              </w:rPr>
              <w:t>796</w:t>
            </w:r>
          </w:p>
        </w:tc>
      </w:tr>
    </w:tbl>
    <w:p w:rsidR="00FF12D6"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p>
    <w:p w:rsidR="00F82DD1" w:rsidRPr="00F3309E" w:rsidRDefault="00F82DD1">
      <w:pPr>
        <w:rPr>
          <w:rFonts w:ascii="Times New Roman" w:eastAsia="Times New Roman" w:hAnsi="Times New Roman" w:cs="Times New Roman"/>
          <w:sz w:val="24"/>
          <w:szCs w:val="24"/>
        </w:rPr>
      </w:pPr>
      <w:r w:rsidRPr="00F3309E">
        <w:rPr>
          <w:rFonts w:ascii="Times New Roman" w:eastAsia="Times New Roman" w:hAnsi="Times New Roman" w:cs="Times New Roman"/>
          <w:sz w:val="24"/>
          <w:szCs w:val="24"/>
        </w:rPr>
        <w:br w:type="page"/>
      </w:r>
    </w:p>
    <w:p w:rsidR="00F82DD1" w:rsidRPr="00F3309E" w:rsidRDefault="00FF12D6" w:rsidP="007D4920">
      <w:pPr>
        <w:spacing w:before="100" w:beforeAutospacing="1" w:after="100" w:afterAutospacing="1" w:line="240" w:lineRule="auto"/>
        <w:rPr>
          <w:rFonts w:ascii="Times New Roman" w:eastAsia="Times New Roman" w:hAnsi="Times New Roman" w:cs="Times New Roman"/>
          <w:sz w:val="24"/>
          <w:szCs w:val="24"/>
        </w:rPr>
      </w:pPr>
      <w:r w:rsidRPr="00F3309E">
        <w:rPr>
          <w:rFonts w:ascii="Times New Roman" w:eastAsia="Times New Roman" w:hAnsi="Times New Roman" w:cs="Times New Roman"/>
          <w:noProof/>
          <w:sz w:val="24"/>
          <w:szCs w:val="24"/>
        </w:rPr>
        <w:lastRenderedPageBreak/>
        <w:drawing>
          <wp:inline distT="0" distB="0" distL="0" distR="0">
            <wp:extent cx="5943600" cy="2971800"/>
            <wp:effectExtent l="19050" t="0" r="0" b="0"/>
            <wp:docPr id="74" name="Picture 73" descr="char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 (17).png"/>
                    <pic:cNvPicPr/>
                  </pic:nvPicPr>
                  <pic:blipFill>
                    <a:blip r:embed="rId33"/>
                    <a:stretch>
                      <a:fillRect/>
                    </a:stretch>
                  </pic:blipFill>
                  <pic:spPr>
                    <a:xfrm>
                      <a:off x="0" y="0"/>
                      <a:ext cx="5943600" cy="2971800"/>
                    </a:xfrm>
                    <a:prstGeom prst="rect">
                      <a:avLst/>
                    </a:prstGeom>
                  </pic:spPr>
                </pic:pic>
              </a:graphicData>
            </a:graphic>
          </wp:inline>
        </w:drawing>
      </w:r>
    </w:p>
    <w:p w:rsidR="00FF12D6" w:rsidRPr="004E63C5" w:rsidRDefault="00FF12D6" w:rsidP="00FF12D6">
      <w:pPr>
        <w:pStyle w:val="Heading4"/>
        <w:rPr>
          <w:rFonts w:ascii="Times New Roman" w:hAnsi="Times New Roman" w:cs="Times New Roman"/>
          <w:color w:val="4A442A" w:themeColor="background2" w:themeShade="40"/>
          <w:sz w:val="24"/>
          <w:szCs w:val="24"/>
        </w:rPr>
      </w:pPr>
      <w:r w:rsidRPr="004E63C5">
        <w:rPr>
          <w:rFonts w:ascii="Times New Roman" w:hAnsi="Times New Roman" w:cs="Times New Roman"/>
          <w:color w:val="4A442A" w:themeColor="background2" w:themeShade="40"/>
          <w:sz w:val="24"/>
          <w:szCs w:val="24"/>
        </w:rPr>
        <w:t>Interpretation and</w:t>
      </w:r>
      <w:r w:rsidR="004E63C5" w:rsidRPr="004E63C5">
        <w:rPr>
          <w:rFonts w:ascii="Times New Roman" w:hAnsi="Times New Roman" w:cs="Times New Roman"/>
          <w:color w:val="4A442A" w:themeColor="background2" w:themeShade="40"/>
          <w:sz w:val="24"/>
          <w:szCs w:val="24"/>
        </w:rPr>
        <w:t xml:space="preserve"> Recommendations </w:t>
      </w:r>
    </w:p>
    <w:p w:rsidR="00FF12D6" w:rsidRPr="00F3309E" w:rsidRDefault="00FF12D6" w:rsidP="00FF12D6">
      <w:pPr>
        <w:numPr>
          <w:ilvl w:val="0"/>
          <w:numId w:val="16"/>
        </w:numPr>
        <w:spacing w:before="100" w:beforeAutospacing="1" w:after="100" w:afterAutospacing="1" w:line="240" w:lineRule="auto"/>
        <w:rPr>
          <w:rFonts w:ascii="Times New Roman" w:hAnsi="Times New Roman" w:cs="Times New Roman"/>
          <w:sz w:val="24"/>
          <w:szCs w:val="24"/>
        </w:rPr>
      </w:pPr>
      <w:r w:rsidRPr="00F3309E">
        <w:rPr>
          <w:rStyle w:val="Strong"/>
          <w:rFonts w:ascii="Times New Roman" w:hAnsi="Times New Roman" w:cs="Times New Roman"/>
          <w:sz w:val="24"/>
          <w:szCs w:val="24"/>
        </w:rPr>
        <w:t>Bear Case (₹358/share)</w:t>
      </w:r>
      <w:r w:rsidRPr="00F3309E">
        <w:rPr>
          <w:rFonts w:ascii="Times New Roman" w:hAnsi="Times New Roman" w:cs="Times New Roman"/>
          <w:sz w:val="24"/>
          <w:szCs w:val="24"/>
        </w:rPr>
        <w:t>: Worst-case—slow growth (9% CAGR), squeezed margins (48% EBITDA), higher costs/risks. Implies big downside (-65% from ₹1,032). Happens if gold prices crash or competition intensifies (e.g., Titan dominates).</w:t>
      </w:r>
    </w:p>
    <w:p w:rsidR="00FF12D6" w:rsidRPr="00F3309E" w:rsidRDefault="00FF12D6" w:rsidP="00FF12D6">
      <w:pPr>
        <w:numPr>
          <w:ilvl w:val="0"/>
          <w:numId w:val="16"/>
        </w:numPr>
        <w:spacing w:before="100" w:beforeAutospacing="1" w:after="100" w:afterAutospacing="1" w:line="240" w:lineRule="auto"/>
        <w:rPr>
          <w:rFonts w:ascii="Times New Roman" w:hAnsi="Times New Roman" w:cs="Times New Roman"/>
          <w:sz w:val="24"/>
          <w:szCs w:val="24"/>
        </w:rPr>
      </w:pPr>
      <w:r w:rsidRPr="00F3309E">
        <w:rPr>
          <w:rStyle w:val="Strong"/>
          <w:rFonts w:ascii="Times New Roman" w:hAnsi="Times New Roman" w:cs="Times New Roman"/>
          <w:sz w:val="24"/>
          <w:szCs w:val="24"/>
        </w:rPr>
        <w:t>Base Case (₹459/share)</w:t>
      </w:r>
      <w:r w:rsidRPr="00F3309E">
        <w:rPr>
          <w:rFonts w:ascii="Times New Roman" w:hAnsi="Times New Roman" w:cs="Times New Roman"/>
          <w:sz w:val="24"/>
          <w:szCs w:val="24"/>
        </w:rPr>
        <w:t>: Balanced view—matches model assumptions. Fair value suggests overvaluation at CMP; market prices in optimism. Terminal value ~78% of EV, so long-term growth key.</w:t>
      </w:r>
    </w:p>
    <w:p w:rsidR="00FF12D6" w:rsidRPr="00F3309E" w:rsidRDefault="00FF12D6" w:rsidP="00FF12D6">
      <w:pPr>
        <w:numPr>
          <w:ilvl w:val="0"/>
          <w:numId w:val="16"/>
        </w:numPr>
        <w:spacing w:before="100" w:beforeAutospacing="1" w:after="100" w:afterAutospacing="1" w:line="240" w:lineRule="auto"/>
        <w:rPr>
          <w:rFonts w:ascii="Times New Roman" w:hAnsi="Times New Roman" w:cs="Times New Roman"/>
          <w:sz w:val="24"/>
          <w:szCs w:val="24"/>
        </w:rPr>
      </w:pPr>
      <w:r w:rsidRPr="00F3309E">
        <w:rPr>
          <w:rStyle w:val="Strong"/>
          <w:rFonts w:ascii="Times New Roman" w:hAnsi="Times New Roman" w:cs="Times New Roman"/>
          <w:sz w:val="24"/>
          <w:szCs w:val="24"/>
        </w:rPr>
        <w:t>Bull Case (₹720/share)</w:t>
      </w:r>
      <w:r w:rsidRPr="00F3309E">
        <w:rPr>
          <w:rFonts w:ascii="Times New Roman" w:hAnsi="Times New Roman" w:cs="Times New Roman"/>
          <w:sz w:val="24"/>
          <w:szCs w:val="24"/>
        </w:rPr>
        <w:t>: Best-case—fast growth (13% CAGR), fat margins (62% EBITDA), efficiencies. Still downside (-30%), but closer to CMP if execution shines (e.g., 500+ stores, Candere boom).</w:t>
      </w:r>
    </w:p>
    <w:p w:rsidR="00FF12D6" w:rsidRPr="00F3309E" w:rsidRDefault="00FF12D6">
      <w:pPr>
        <w:rPr>
          <w:rFonts w:ascii="Times New Roman" w:hAnsi="Times New Roman" w:cs="Times New Roman"/>
          <w:sz w:val="24"/>
          <w:szCs w:val="24"/>
        </w:rPr>
      </w:pPr>
    </w:p>
    <w:p w:rsidR="00FF12D6" w:rsidRPr="00F3309E" w:rsidRDefault="00FF12D6">
      <w:pPr>
        <w:rPr>
          <w:rFonts w:ascii="Times New Roman" w:hAnsi="Times New Roman" w:cs="Times New Roman"/>
          <w:sz w:val="24"/>
          <w:szCs w:val="24"/>
        </w:rPr>
      </w:pPr>
      <w:r w:rsidRPr="00F3309E">
        <w:rPr>
          <w:rFonts w:ascii="Times New Roman" w:hAnsi="Times New Roman" w:cs="Times New Roman"/>
          <w:sz w:val="24"/>
          <w:szCs w:val="24"/>
        </w:rPr>
        <w:br w:type="page"/>
      </w:r>
    </w:p>
    <w:p w:rsidR="00FF12D6" w:rsidRPr="004E63C5" w:rsidRDefault="00FF12D6" w:rsidP="00FF12D6">
      <w:pPr>
        <w:pStyle w:val="NormalWeb"/>
        <w:rPr>
          <w:b/>
        </w:rPr>
      </w:pPr>
      <w:r w:rsidRPr="004E63C5">
        <w:rPr>
          <w:b/>
        </w:rPr>
        <w:lastRenderedPageBreak/>
        <w:t>Conclusion-</w:t>
      </w:r>
    </w:p>
    <w:p w:rsidR="00FF12D6" w:rsidRPr="00F3309E" w:rsidRDefault="00FF12D6" w:rsidP="00FF12D6">
      <w:pPr>
        <w:pStyle w:val="NormalWeb"/>
      </w:pPr>
      <w:r w:rsidRPr="00F3309E">
        <w:t xml:space="preserve">Kalyan Jewellers India Ltd., a leading organized jewelry retailer, is modeled here from FY21 (actuals) to FY30 (projections). This financial model (FM) integrates assumptions, revenue and cost drivers, income statement (IS), balance sheet (BS), cash flow (CF), and valuations using DCF, Comparative Company Analysis (CCA), and Precedent Transaction Analysis. The model projects aggressive growth: revenue CAGR of ~19%, EBITDA margin expanding from 16% to 58%, and PAT surging from ₹628 Cr to ₹18,900 Cr by FY30. Key themes include premiumization (higher making charges and studded jewelry mix), franchise-led expansion (low capex), inventory efficiency, and net cash position post-FY25. Valuation suggests fair value of ₹459/share (DCF base case), implying downside from CMP ₹1,032, but sensitivity shows upside potential under bull scenarios. Risks: gold volatility, competition. Outlook: Strong BUY if execution matches. </w:t>
      </w:r>
    </w:p>
    <w:p w:rsidR="007D4920" w:rsidRPr="00F3309E" w:rsidRDefault="007D4920">
      <w:pPr>
        <w:rPr>
          <w:rFonts w:ascii="Times New Roman" w:hAnsi="Times New Roman" w:cs="Times New Roman"/>
          <w:sz w:val="24"/>
          <w:szCs w:val="24"/>
        </w:rPr>
      </w:pPr>
    </w:p>
    <w:p w:rsidR="00FF12D6" w:rsidRPr="004E63C5" w:rsidRDefault="00FF12D6" w:rsidP="00FF12D6">
      <w:pPr>
        <w:pStyle w:val="Heading2"/>
        <w:rPr>
          <w:rFonts w:ascii="Times New Roman" w:hAnsi="Times New Roman" w:cs="Times New Roman"/>
          <w:color w:val="404040" w:themeColor="text1" w:themeTint="BF"/>
          <w:sz w:val="24"/>
          <w:szCs w:val="24"/>
        </w:rPr>
      </w:pPr>
      <w:r w:rsidRPr="004E63C5">
        <w:rPr>
          <w:rFonts w:ascii="Times New Roman" w:hAnsi="Times New Roman" w:cs="Times New Roman"/>
          <w:color w:val="404040" w:themeColor="text1" w:themeTint="BF"/>
          <w:sz w:val="24"/>
          <w:szCs w:val="24"/>
        </w:rPr>
        <w:t>References &amp; Appendix</w:t>
      </w:r>
    </w:p>
    <w:p w:rsidR="00FF12D6" w:rsidRPr="00F3309E" w:rsidRDefault="00FF12D6" w:rsidP="00FF12D6">
      <w:pPr>
        <w:numPr>
          <w:ilvl w:val="0"/>
          <w:numId w:val="17"/>
        </w:numPr>
        <w:spacing w:before="100" w:beforeAutospacing="1" w:after="100" w:afterAutospacing="1" w:line="240" w:lineRule="auto"/>
        <w:rPr>
          <w:rFonts w:ascii="Times New Roman" w:hAnsi="Times New Roman" w:cs="Times New Roman"/>
          <w:sz w:val="24"/>
          <w:szCs w:val="24"/>
        </w:rPr>
      </w:pPr>
      <w:r w:rsidRPr="00F3309E">
        <w:rPr>
          <w:rFonts w:ascii="Times New Roman" w:hAnsi="Times New Roman" w:cs="Times New Roman"/>
          <w:sz w:val="24"/>
          <w:szCs w:val="24"/>
        </w:rPr>
        <w:t>Sources: Company reports, NSE, analyst notes.</w:t>
      </w:r>
    </w:p>
    <w:p w:rsidR="00FF12D6" w:rsidRPr="00F3309E" w:rsidRDefault="00FF12D6">
      <w:pPr>
        <w:rPr>
          <w:rFonts w:ascii="Times New Roman" w:hAnsi="Times New Roman" w:cs="Times New Roman"/>
          <w:sz w:val="24"/>
          <w:szCs w:val="24"/>
        </w:rPr>
      </w:pPr>
    </w:p>
    <w:sectPr w:rsidR="00FF12D6" w:rsidRPr="00F3309E" w:rsidSect="00071C0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016E" w:rsidRDefault="0053016E" w:rsidP="00384241">
      <w:pPr>
        <w:spacing w:after="0" w:line="240" w:lineRule="auto"/>
      </w:pPr>
      <w:r>
        <w:separator/>
      </w:r>
    </w:p>
  </w:endnote>
  <w:endnote w:type="continuationSeparator" w:id="1">
    <w:p w:rsidR="0053016E" w:rsidRDefault="0053016E" w:rsidP="003842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016E" w:rsidRDefault="0053016E" w:rsidP="00384241">
      <w:pPr>
        <w:spacing w:after="0" w:line="240" w:lineRule="auto"/>
      </w:pPr>
      <w:r>
        <w:separator/>
      </w:r>
    </w:p>
  </w:footnote>
  <w:footnote w:type="continuationSeparator" w:id="1">
    <w:p w:rsidR="0053016E" w:rsidRDefault="0053016E" w:rsidP="0038424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75E45"/>
    <w:multiLevelType w:val="multilevel"/>
    <w:tmpl w:val="B02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024F6"/>
    <w:multiLevelType w:val="multilevel"/>
    <w:tmpl w:val="338C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6F1B2D"/>
    <w:multiLevelType w:val="multilevel"/>
    <w:tmpl w:val="6E1A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D7E80"/>
    <w:multiLevelType w:val="multilevel"/>
    <w:tmpl w:val="85E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AB5635"/>
    <w:multiLevelType w:val="multilevel"/>
    <w:tmpl w:val="0DA4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D7230B"/>
    <w:multiLevelType w:val="multilevel"/>
    <w:tmpl w:val="10C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3C568E"/>
    <w:multiLevelType w:val="multilevel"/>
    <w:tmpl w:val="BF7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CF703D"/>
    <w:multiLevelType w:val="multilevel"/>
    <w:tmpl w:val="231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C07740"/>
    <w:multiLevelType w:val="multilevel"/>
    <w:tmpl w:val="4E6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76312A3"/>
    <w:multiLevelType w:val="multilevel"/>
    <w:tmpl w:val="37701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244372"/>
    <w:multiLevelType w:val="multilevel"/>
    <w:tmpl w:val="51B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E0D41B9"/>
    <w:multiLevelType w:val="multilevel"/>
    <w:tmpl w:val="4D9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AF3CC8"/>
    <w:multiLevelType w:val="multilevel"/>
    <w:tmpl w:val="0DDA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BB6EC4"/>
    <w:multiLevelType w:val="multilevel"/>
    <w:tmpl w:val="291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2AE454B"/>
    <w:multiLevelType w:val="multilevel"/>
    <w:tmpl w:val="02B0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BA0100"/>
    <w:multiLevelType w:val="multilevel"/>
    <w:tmpl w:val="2A60F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A423BF"/>
    <w:multiLevelType w:val="multilevel"/>
    <w:tmpl w:val="339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C767DF"/>
    <w:multiLevelType w:val="multilevel"/>
    <w:tmpl w:val="46664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9B30D8"/>
    <w:multiLevelType w:val="multilevel"/>
    <w:tmpl w:val="2C4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1B65CA"/>
    <w:multiLevelType w:val="multilevel"/>
    <w:tmpl w:val="A5F6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6A43E2"/>
    <w:multiLevelType w:val="multilevel"/>
    <w:tmpl w:val="110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A20E26"/>
    <w:multiLevelType w:val="multilevel"/>
    <w:tmpl w:val="DA36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3FC7DDB"/>
    <w:multiLevelType w:val="multilevel"/>
    <w:tmpl w:val="FF0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7317ED"/>
    <w:multiLevelType w:val="multilevel"/>
    <w:tmpl w:val="A1CA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A1E56C8"/>
    <w:multiLevelType w:val="multilevel"/>
    <w:tmpl w:val="FC14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C012DA4"/>
    <w:multiLevelType w:val="multilevel"/>
    <w:tmpl w:val="6034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F33A67"/>
    <w:multiLevelType w:val="multilevel"/>
    <w:tmpl w:val="F7A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274B77"/>
    <w:multiLevelType w:val="multilevel"/>
    <w:tmpl w:val="901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2224E0"/>
    <w:multiLevelType w:val="multilevel"/>
    <w:tmpl w:val="9786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4831F8"/>
    <w:multiLevelType w:val="multilevel"/>
    <w:tmpl w:val="4CD4D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9959DE"/>
    <w:multiLevelType w:val="multilevel"/>
    <w:tmpl w:val="C2F8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5C5B77"/>
    <w:multiLevelType w:val="multilevel"/>
    <w:tmpl w:val="458C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0"/>
  </w:num>
  <w:num w:numId="3">
    <w:abstractNumId w:val="22"/>
  </w:num>
  <w:num w:numId="4">
    <w:abstractNumId w:val="14"/>
  </w:num>
  <w:num w:numId="5">
    <w:abstractNumId w:val="2"/>
  </w:num>
  <w:num w:numId="6">
    <w:abstractNumId w:val="31"/>
  </w:num>
  <w:num w:numId="7">
    <w:abstractNumId w:val="6"/>
  </w:num>
  <w:num w:numId="8">
    <w:abstractNumId w:val="7"/>
  </w:num>
  <w:num w:numId="9">
    <w:abstractNumId w:val="23"/>
  </w:num>
  <w:num w:numId="10">
    <w:abstractNumId w:val="10"/>
  </w:num>
  <w:num w:numId="11">
    <w:abstractNumId w:val="8"/>
  </w:num>
  <w:num w:numId="12">
    <w:abstractNumId w:val="3"/>
  </w:num>
  <w:num w:numId="13">
    <w:abstractNumId w:val="13"/>
  </w:num>
  <w:num w:numId="14">
    <w:abstractNumId w:val="21"/>
  </w:num>
  <w:num w:numId="15">
    <w:abstractNumId w:val="1"/>
  </w:num>
  <w:num w:numId="16">
    <w:abstractNumId w:val="19"/>
  </w:num>
  <w:num w:numId="17">
    <w:abstractNumId w:val="11"/>
  </w:num>
  <w:num w:numId="18">
    <w:abstractNumId w:val="15"/>
  </w:num>
  <w:num w:numId="19">
    <w:abstractNumId w:val="25"/>
  </w:num>
  <w:num w:numId="20">
    <w:abstractNumId w:val="9"/>
  </w:num>
  <w:num w:numId="21">
    <w:abstractNumId w:val="0"/>
  </w:num>
  <w:num w:numId="22">
    <w:abstractNumId w:val="28"/>
  </w:num>
  <w:num w:numId="23">
    <w:abstractNumId w:val="24"/>
  </w:num>
  <w:num w:numId="24">
    <w:abstractNumId w:val="16"/>
  </w:num>
  <w:num w:numId="25">
    <w:abstractNumId w:val="4"/>
  </w:num>
  <w:num w:numId="26">
    <w:abstractNumId w:val="20"/>
  </w:num>
  <w:num w:numId="27">
    <w:abstractNumId w:val="18"/>
  </w:num>
  <w:num w:numId="28">
    <w:abstractNumId w:val="17"/>
  </w:num>
  <w:num w:numId="29">
    <w:abstractNumId w:val="29"/>
  </w:num>
  <w:num w:numId="30">
    <w:abstractNumId w:val="12"/>
  </w:num>
  <w:num w:numId="31">
    <w:abstractNumId w:val="5"/>
  </w:num>
  <w:num w:numId="32">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D72D5E"/>
    <w:rsid w:val="00071C0C"/>
    <w:rsid w:val="00114A31"/>
    <w:rsid w:val="00191A84"/>
    <w:rsid w:val="00270E1D"/>
    <w:rsid w:val="002C46DF"/>
    <w:rsid w:val="002D4C80"/>
    <w:rsid w:val="0030576E"/>
    <w:rsid w:val="00316B4D"/>
    <w:rsid w:val="00332A31"/>
    <w:rsid w:val="0035312B"/>
    <w:rsid w:val="00384241"/>
    <w:rsid w:val="004E63C5"/>
    <w:rsid w:val="005110B5"/>
    <w:rsid w:val="0053016E"/>
    <w:rsid w:val="006B3A2F"/>
    <w:rsid w:val="007676EA"/>
    <w:rsid w:val="007B187C"/>
    <w:rsid w:val="007C4C47"/>
    <w:rsid w:val="007D4920"/>
    <w:rsid w:val="00867102"/>
    <w:rsid w:val="00896333"/>
    <w:rsid w:val="008E68A2"/>
    <w:rsid w:val="00A16AD8"/>
    <w:rsid w:val="00A779EA"/>
    <w:rsid w:val="00AB2A3A"/>
    <w:rsid w:val="00AE28A0"/>
    <w:rsid w:val="00B2353C"/>
    <w:rsid w:val="00C40C8F"/>
    <w:rsid w:val="00C7563A"/>
    <w:rsid w:val="00C94757"/>
    <w:rsid w:val="00D72D5E"/>
    <w:rsid w:val="00E304D4"/>
    <w:rsid w:val="00E42FA6"/>
    <w:rsid w:val="00EA6F26"/>
    <w:rsid w:val="00EB3B53"/>
    <w:rsid w:val="00F3309E"/>
    <w:rsid w:val="00F82DD1"/>
    <w:rsid w:val="00FF12D6"/>
    <w:rsid w:val="00FF45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C0C"/>
  </w:style>
  <w:style w:type="paragraph" w:styleId="Heading1">
    <w:name w:val="heading 1"/>
    <w:basedOn w:val="Normal"/>
    <w:next w:val="Normal"/>
    <w:link w:val="Heading1Char"/>
    <w:uiPriority w:val="9"/>
    <w:qFormat/>
    <w:rsid w:val="002C46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16B4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72D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B2A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2D5E"/>
    <w:rPr>
      <w:rFonts w:ascii="Times New Roman" w:eastAsia="Times New Roman" w:hAnsi="Times New Roman" w:cs="Times New Roman"/>
      <w:b/>
      <w:bCs/>
      <w:sz w:val="27"/>
      <w:szCs w:val="27"/>
    </w:rPr>
  </w:style>
  <w:style w:type="paragraph" w:styleId="NormalWeb">
    <w:name w:val="Normal (Web)"/>
    <w:basedOn w:val="Normal"/>
    <w:uiPriority w:val="99"/>
    <w:unhideWhenUsed/>
    <w:rsid w:val="00D72D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2D5E"/>
    <w:rPr>
      <w:b/>
      <w:bCs/>
    </w:rPr>
  </w:style>
  <w:style w:type="paragraph" w:styleId="Header">
    <w:name w:val="header"/>
    <w:basedOn w:val="Normal"/>
    <w:link w:val="HeaderChar"/>
    <w:uiPriority w:val="99"/>
    <w:semiHidden/>
    <w:unhideWhenUsed/>
    <w:rsid w:val="003842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4241"/>
  </w:style>
  <w:style w:type="paragraph" w:styleId="Footer">
    <w:name w:val="footer"/>
    <w:basedOn w:val="Normal"/>
    <w:link w:val="FooterChar"/>
    <w:uiPriority w:val="99"/>
    <w:semiHidden/>
    <w:unhideWhenUsed/>
    <w:rsid w:val="003842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4241"/>
  </w:style>
  <w:style w:type="paragraph" w:styleId="BalloonText">
    <w:name w:val="Balloon Text"/>
    <w:basedOn w:val="Normal"/>
    <w:link w:val="BalloonTextChar"/>
    <w:uiPriority w:val="99"/>
    <w:semiHidden/>
    <w:unhideWhenUsed/>
    <w:rsid w:val="00B235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353C"/>
    <w:rPr>
      <w:rFonts w:ascii="Tahoma" w:hAnsi="Tahoma" w:cs="Tahoma"/>
      <w:sz w:val="16"/>
      <w:szCs w:val="16"/>
    </w:rPr>
  </w:style>
  <w:style w:type="character" w:styleId="Hyperlink">
    <w:name w:val="Hyperlink"/>
    <w:basedOn w:val="DefaultParagraphFont"/>
    <w:uiPriority w:val="99"/>
    <w:unhideWhenUsed/>
    <w:rsid w:val="00C40C8F"/>
    <w:rPr>
      <w:color w:val="0000FF" w:themeColor="hyperlink"/>
      <w:u w:val="single"/>
    </w:rPr>
  </w:style>
  <w:style w:type="character" w:customStyle="1" w:styleId="Heading2Char">
    <w:name w:val="Heading 2 Char"/>
    <w:basedOn w:val="DefaultParagraphFont"/>
    <w:link w:val="Heading2"/>
    <w:uiPriority w:val="9"/>
    <w:semiHidden/>
    <w:rsid w:val="00316B4D"/>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AB2A3A"/>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2C46DF"/>
    <w:pPr>
      <w:ind w:left="720"/>
      <w:contextualSpacing/>
    </w:pPr>
  </w:style>
  <w:style w:type="character" w:customStyle="1" w:styleId="Heading1Char">
    <w:name w:val="Heading 1 Char"/>
    <w:basedOn w:val="DefaultParagraphFont"/>
    <w:link w:val="Heading1"/>
    <w:uiPriority w:val="9"/>
    <w:rsid w:val="002C46D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5259324">
      <w:bodyDiv w:val="1"/>
      <w:marLeft w:val="0"/>
      <w:marRight w:val="0"/>
      <w:marTop w:val="0"/>
      <w:marBottom w:val="0"/>
      <w:divBdr>
        <w:top w:val="none" w:sz="0" w:space="0" w:color="auto"/>
        <w:left w:val="none" w:sz="0" w:space="0" w:color="auto"/>
        <w:bottom w:val="none" w:sz="0" w:space="0" w:color="auto"/>
        <w:right w:val="none" w:sz="0" w:space="0" w:color="auto"/>
      </w:divBdr>
    </w:div>
    <w:div w:id="28605962">
      <w:bodyDiv w:val="1"/>
      <w:marLeft w:val="0"/>
      <w:marRight w:val="0"/>
      <w:marTop w:val="0"/>
      <w:marBottom w:val="0"/>
      <w:divBdr>
        <w:top w:val="none" w:sz="0" w:space="0" w:color="auto"/>
        <w:left w:val="none" w:sz="0" w:space="0" w:color="auto"/>
        <w:bottom w:val="none" w:sz="0" w:space="0" w:color="auto"/>
        <w:right w:val="none" w:sz="0" w:space="0" w:color="auto"/>
      </w:divBdr>
    </w:div>
    <w:div w:id="47147160">
      <w:bodyDiv w:val="1"/>
      <w:marLeft w:val="0"/>
      <w:marRight w:val="0"/>
      <w:marTop w:val="0"/>
      <w:marBottom w:val="0"/>
      <w:divBdr>
        <w:top w:val="none" w:sz="0" w:space="0" w:color="auto"/>
        <w:left w:val="none" w:sz="0" w:space="0" w:color="auto"/>
        <w:bottom w:val="none" w:sz="0" w:space="0" w:color="auto"/>
        <w:right w:val="none" w:sz="0" w:space="0" w:color="auto"/>
      </w:divBdr>
    </w:div>
    <w:div w:id="48572338">
      <w:bodyDiv w:val="1"/>
      <w:marLeft w:val="0"/>
      <w:marRight w:val="0"/>
      <w:marTop w:val="0"/>
      <w:marBottom w:val="0"/>
      <w:divBdr>
        <w:top w:val="none" w:sz="0" w:space="0" w:color="auto"/>
        <w:left w:val="none" w:sz="0" w:space="0" w:color="auto"/>
        <w:bottom w:val="none" w:sz="0" w:space="0" w:color="auto"/>
        <w:right w:val="none" w:sz="0" w:space="0" w:color="auto"/>
      </w:divBdr>
    </w:div>
    <w:div w:id="49156588">
      <w:bodyDiv w:val="1"/>
      <w:marLeft w:val="0"/>
      <w:marRight w:val="0"/>
      <w:marTop w:val="0"/>
      <w:marBottom w:val="0"/>
      <w:divBdr>
        <w:top w:val="none" w:sz="0" w:space="0" w:color="auto"/>
        <w:left w:val="none" w:sz="0" w:space="0" w:color="auto"/>
        <w:bottom w:val="none" w:sz="0" w:space="0" w:color="auto"/>
        <w:right w:val="none" w:sz="0" w:space="0" w:color="auto"/>
      </w:divBdr>
    </w:div>
    <w:div w:id="62535192">
      <w:bodyDiv w:val="1"/>
      <w:marLeft w:val="0"/>
      <w:marRight w:val="0"/>
      <w:marTop w:val="0"/>
      <w:marBottom w:val="0"/>
      <w:divBdr>
        <w:top w:val="none" w:sz="0" w:space="0" w:color="auto"/>
        <w:left w:val="none" w:sz="0" w:space="0" w:color="auto"/>
        <w:bottom w:val="none" w:sz="0" w:space="0" w:color="auto"/>
        <w:right w:val="none" w:sz="0" w:space="0" w:color="auto"/>
      </w:divBdr>
    </w:div>
    <w:div w:id="81534539">
      <w:bodyDiv w:val="1"/>
      <w:marLeft w:val="0"/>
      <w:marRight w:val="0"/>
      <w:marTop w:val="0"/>
      <w:marBottom w:val="0"/>
      <w:divBdr>
        <w:top w:val="none" w:sz="0" w:space="0" w:color="auto"/>
        <w:left w:val="none" w:sz="0" w:space="0" w:color="auto"/>
        <w:bottom w:val="none" w:sz="0" w:space="0" w:color="auto"/>
        <w:right w:val="none" w:sz="0" w:space="0" w:color="auto"/>
      </w:divBdr>
    </w:div>
    <w:div w:id="91443055">
      <w:bodyDiv w:val="1"/>
      <w:marLeft w:val="0"/>
      <w:marRight w:val="0"/>
      <w:marTop w:val="0"/>
      <w:marBottom w:val="0"/>
      <w:divBdr>
        <w:top w:val="none" w:sz="0" w:space="0" w:color="auto"/>
        <w:left w:val="none" w:sz="0" w:space="0" w:color="auto"/>
        <w:bottom w:val="none" w:sz="0" w:space="0" w:color="auto"/>
        <w:right w:val="none" w:sz="0" w:space="0" w:color="auto"/>
      </w:divBdr>
    </w:div>
    <w:div w:id="95834138">
      <w:bodyDiv w:val="1"/>
      <w:marLeft w:val="0"/>
      <w:marRight w:val="0"/>
      <w:marTop w:val="0"/>
      <w:marBottom w:val="0"/>
      <w:divBdr>
        <w:top w:val="none" w:sz="0" w:space="0" w:color="auto"/>
        <w:left w:val="none" w:sz="0" w:space="0" w:color="auto"/>
        <w:bottom w:val="none" w:sz="0" w:space="0" w:color="auto"/>
        <w:right w:val="none" w:sz="0" w:space="0" w:color="auto"/>
      </w:divBdr>
    </w:div>
    <w:div w:id="99447991">
      <w:bodyDiv w:val="1"/>
      <w:marLeft w:val="0"/>
      <w:marRight w:val="0"/>
      <w:marTop w:val="0"/>
      <w:marBottom w:val="0"/>
      <w:divBdr>
        <w:top w:val="none" w:sz="0" w:space="0" w:color="auto"/>
        <w:left w:val="none" w:sz="0" w:space="0" w:color="auto"/>
        <w:bottom w:val="none" w:sz="0" w:space="0" w:color="auto"/>
        <w:right w:val="none" w:sz="0" w:space="0" w:color="auto"/>
      </w:divBdr>
    </w:div>
    <w:div w:id="138813887">
      <w:bodyDiv w:val="1"/>
      <w:marLeft w:val="0"/>
      <w:marRight w:val="0"/>
      <w:marTop w:val="0"/>
      <w:marBottom w:val="0"/>
      <w:divBdr>
        <w:top w:val="none" w:sz="0" w:space="0" w:color="auto"/>
        <w:left w:val="none" w:sz="0" w:space="0" w:color="auto"/>
        <w:bottom w:val="none" w:sz="0" w:space="0" w:color="auto"/>
        <w:right w:val="none" w:sz="0" w:space="0" w:color="auto"/>
      </w:divBdr>
    </w:div>
    <w:div w:id="189223350">
      <w:bodyDiv w:val="1"/>
      <w:marLeft w:val="0"/>
      <w:marRight w:val="0"/>
      <w:marTop w:val="0"/>
      <w:marBottom w:val="0"/>
      <w:divBdr>
        <w:top w:val="none" w:sz="0" w:space="0" w:color="auto"/>
        <w:left w:val="none" w:sz="0" w:space="0" w:color="auto"/>
        <w:bottom w:val="none" w:sz="0" w:space="0" w:color="auto"/>
        <w:right w:val="none" w:sz="0" w:space="0" w:color="auto"/>
      </w:divBdr>
    </w:div>
    <w:div w:id="195656910">
      <w:bodyDiv w:val="1"/>
      <w:marLeft w:val="0"/>
      <w:marRight w:val="0"/>
      <w:marTop w:val="0"/>
      <w:marBottom w:val="0"/>
      <w:divBdr>
        <w:top w:val="none" w:sz="0" w:space="0" w:color="auto"/>
        <w:left w:val="none" w:sz="0" w:space="0" w:color="auto"/>
        <w:bottom w:val="none" w:sz="0" w:space="0" w:color="auto"/>
        <w:right w:val="none" w:sz="0" w:space="0" w:color="auto"/>
      </w:divBdr>
    </w:div>
    <w:div w:id="222496548">
      <w:bodyDiv w:val="1"/>
      <w:marLeft w:val="0"/>
      <w:marRight w:val="0"/>
      <w:marTop w:val="0"/>
      <w:marBottom w:val="0"/>
      <w:divBdr>
        <w:top w:val="none" w:sz="0" w:space="0" w:color="auto"/>
        <w:left w:val="none" w:sz="0" w:space="0" w:color="auto"/>
        <w:bottom w:val="none" w:sz="0" w:space="0" w:color="auto"/>
        <w:right w:val="none" w:sz="0" w:space="0" w:color="auto"/>
      </w:divBdr>
    </w:div>
    <w:div w:id="225455945">
      <w:bodyDiv w:val="1"/>
      <w:marLeft w:val="0"/>
      <w:marRight w:val="0"/>
      <w:marTop w:val="0"/>
      <w:marBottom w:val="0"/>
      <w:divBdr>
        <w:top w:val="none" w:sz="0" w:space="0" w:color="auto"/>
        <w:left w:val="none" w:sz="0" w:space="0" w:color="auto"/>
        <w:bottom w:val="none" w:sz="0" w:space="0" w:color="auto"/>
        <w:right w:val="none" w:sz="0" w:space="0" w:color="auto"/>
      </w:divBdr>
    </w:div>
    <w:div w:id="231820532">
      <w:bodyDiv w:val="1"/>
      <w:marLeft w:val="0"/>
      <w:marRight w:val="0"/>
      <w:marTop w:val="0"/>
      <w:marBottom w:val="0"/>
      <w:divBdr>
        <w:top w:val="none" w:sz="0" w:space="0" w:color="auto"/>
        <w:left w:val="none" w:sz="0" w:space="0" w:color="auto"/>
        <w:bottom w:val="none" w:sz="0" w:space="0" w:color="auto"/>
        <w:right w:val="none" w:sz="0" w:space="0" w:color="auto"/>
      </w:divBdr>
    </w:div>
    <w:div w:id="250042775">
      <w:bodyDiv w:val="1"/>
      <w:marLeft w:val="0"/>
      <w:marRight w:val="0"/>
      <w:marTop w:val="0"/>
      <w:marBottom w:val="0"/>
      <w:divBdr>
        <w:top w:val="none" w:sz="0" w:space="0" w:color="auto"/>
        <w:left w:val="none" w:sz="0" w:space="0" w:color="auto"/>
        <w:bottom w:val="none" w:sz="0" w:space="0" w:color="auto"/>
        <w:right w:val="none" w:sz="0" w:space="0" w:color="auto"/>
      </w:divBdr>
    </w:div>
    <w:div w:id="288631880">
      <w:bodyDiv w:val="1"/>
      <w:marLeft w:val="0"/>
      <w:marRight w:val="0"/>
      <w:marTop w:val="0"/>
      <w:marBottom w:val="0"/>
      <w:divBdr>
        <w:top w:val="none" w:sz="0" w:space="0" w:color="auto"/>
        <w:left w:val="none" w:sz="0" w:space="0" w:color="auto"/>
        <w:bottom w:val="none" w:sz="0" w:space="0" w:color="auto"/>
        <w:right w:val="none" w:sz="0" w:space="0" w:color="auto"/>
      </w:divBdr>
    </w:div>
    <w:div w:id="301666384">
      <w:bodyDiv w:val="1"/>
      <w:marLeft w:val="0"/>
      <w:marRight w:val="0"/>
      <w:marTop w:val="0"/>
      <w:marBottom w:val="0"/>
      <w:divBdr>
        <w:top w:val="none" w:sz="0" w:space="0" w:color="auto"/>
        <w:left w:val="none" w:sz="0" w:space="0" w:color="auto"/>
        <w:bottom w:val="none" w:sz="0" w:space="0" w:color="auto"/>
        <w:right w:val="none" w:sz="0" w:space="0" w:color="auto"/>
      </w:divBdr>
    </w:div>
    <w:div w:id="319583215">
      <w:bodyDiv w:val="1"/>
      <w:marLeft w:val="0"/>
      <w:marRight w:val="0"/>
      <w:marTop w:val="0"/>
      <w:marBottom w:val="0"/>
      <w:divBdr>
        <w:top w:val="none" w:sz="0" w:space="0" w:color="auto"/>
        <w:left w:val="none" w:sz="0" w:space="0" w:color="auto"/>
        <w:bottom w:val="none" w:sz="0" w:space="0" w:color="auto"/>
        <w:right w:val="none" w:sz="0" w:space="0" w:color="auto"/>
      </w:divBdr>
    </w:div>
    <w:div w:id="336079623">
      <w:bodyDiv w:val="1"/>
      <w:marLeft w:val="0"/>
      <w:marRight w:val="0"/>
      <w:marTop w:val="0"/>
      <w:marBottom w:val="0"/>
      <w:divBdr>
        <w:top w:val="none" w:sz="0" w:space="0" w:color="auto"/>
        <w:left w:val="none" w:sz="0" w:space="0" w:color="auto"/>
        <w:bottom w:val="none" w:sz="0" w:space="0" w:color="auto"/>
        <w:right w:val="none" w:sz="0" w:space="0" w:color="auto"/>
      </w:divBdr>
    </w:div>
    <w:div w:id="350836661">
      <w:bodyDiv w:val="1"/>
      <w:marLeft w:val="0"/>
      <w:marRight w:val="0"/>
      <w:marTop w:val="0"/>
      <w:marBottom w:val="0"/>
      <w:divBdr>
        <w:top w:val="none" w:sz="0" w:space="0" w:color="auto"/>
        <w:left w:val="none" w:sz="0" w:space="0" w:color="auto"/>
        <w:bottom w:val="none" w:sz="0" w:space="0" w:color="auto"/>
        <w:right w:val="none" w:sz="0" w:space="0" w:color="auto"/>
      </w:divBdr>
    </w:div>
    <w:div w:id="353774544">
      <w:bodyDiv w:val="1"/>
      <w:marLeft w:val="0"/>
      <w:marRight w:val="0"/>
      <w:marTop w:val="0"/>
      <w:marBottom w:val="0"/>
      <w:divBdr>
        <w:top w:val="none" w:sz="0" w:space="0" w:color="auto"/>
        <w:left w:val="none" w:sz="0" w:space="0" w:color="auto"/>
        <w:bottom w:val="none" w:sz="0" w:space="0" w:color="auto"/>
        <w:right w:val="none" w:sz="0" w:space="0" w:color="auto"/>
      </w:divBdr>
    </w:div>
    <w:div w:id="383141346">
      <w:bodyDiv w:val="1"/>
      <w:marLeft w:val="0"/>
      <w:marRight w:val="0"/>
      <w:marTop w:val="0"/>
      <w:marBottom w:val="0"/>
      <w:divBdr>
        <w:top w:val="none" w:sz="0" w:space="0" w:color="auto"/>
        <w:left w:val="none" w:sz="0" w:space="0" w:color="auto"/>
        <w:bottom w:val="none" w:sz="0" w:space="0" w:color="auto"/>
        <w:right w:val="none" w:sz="0" w:space="0" w:color="auto"/>
      </w:divBdr>
    </w:div>
    <w:div w:id="415975811">
      <w:bodyDiv w:val="1"/>
      <w:marLeft w:val="0"/>
      <w:marRight w:val="0"/>
      <w:marTop w:val="0"/>
      <w:marBottom w:val="0"/>
      <w:divBdr>
        <w:top w:val="none" w:sz="0" w:space="0" w:color="auto"/>
        <w:left w:val="none" w:sz="0" w:space="0" w:color="auto"/>
        <w:bottom w:val="none" w:sz="0" w:space="0" w:color="auto"/>
        <w:right w:val="none" w:sz="0" w:space="0" w:color="auto"/>
      </w:divBdr>
    </w:div>
    <w:div w:id="450828801">
      <w:bodyDiv w:val="1"/>
      <w:marLeft w:val="0"/>
      <w:marRight w:val="0"/>
      <w:marTop w:val="0"/>
      <w:marBottom w:val="0"/>
      <w:divBdr>
        <w:top w:val="none" w:sz="0" w:space="0" w:color="auto"/>
        <w:left w:val="none" w:sz="0" w:space="0" w:color="auto"/>
        <w:bottom w:val="none" w:sz="0" w:space="0" w:color="auto"/>
        <w:right w:val="none" w:sz="0" w:space="0" w:color="auto"/>
      </w:divBdr>
    </w:div>
    <w:div w:id="459887655">
      <w:bodyDiv w:val="1"/>
      <w:marLeft w:val="0"/>
      <w:marRight w:val="0"/>
      <w:marTop w:val="0"/>
      <w:marBottom w:val="0"/>
      <w:divBdr>
        <w:top w:val="none" w:sz="0" w:space="0" w:color="auto"/>
        <w:left w:val="none" w:sz="0" w:space="0" w:color="auto"/>
        <w:bottom w:val="none" w:sz="0" w:space="0" w:color="auto"/>
        <w:right w:val="none" w:sz="0" w:space="0" w:color="auto"/>
      </w:divBdr>
    </w:div>
    <w:div w:id="483590863">
      <w:bodyDiv w:val="1"/>
      <w:marLeft w:val="0"/>
      <w:marRight w:val="0"/>
      <w:marTop w:val="0"/>
      <w:marBottom w:val="0"/>
      <w:divBdr>
        <w:top w:val="none" w:sz="0" w:space="0" w:color="auto"/>
        <w:left w:val="none" w:sz="0" w:space="0" w:color="auto"/>
        <w:bottom w:val="none" w:sz="0" w:space="0" w:color="auto"/>
        <w:right w:val="none" w:sz="0" w:space="0" w:color="auto"/>
      </w:divBdr>
    </w:div>
    <w:div w:id="497115654">
      <w:bodyDiv w:val="1"/>
      <w:marLeft w:val="0"/>
      <w:marRight w:val="0"/>
      <w:marTop w:val="0"/>
      <w:marBottom w:val="0"/>
      <w:divBdr>
        <w:top w:val="none" w:sz="0" w:space="0" w:color="auto"/>
        <w:left w:val="none" w:sz="0" w:space="0" w:color="auto"/>
        <w:bottom w:val="none" w:sz="0" w:space="0" w:color="auto"/>
        <w:right w:val="none" w:sz="0" w:space="0" w:color="auto"/>
      </w:divBdr>
    </w:div>
    <w:div w:id="562062792">
      <w:bodyDiv w:val="1"/>
      <w:marLeft w:val="0"/>
      <w:marRight w:val="0"/>
      <w:marTop w:val="0"/>
      <w:marBottom w:val="0"/>
      <w:divBdr>
        <w:top w:val="none" w:sz="0" w:space="0" w:color="auto"/>
        <w:left w:val="none" w:sz="0" w:space="0" w:color="auto"/>
        <w:bottom w:val="none" w:sz="0" w:space="0" w:color="auto"/>
        <w:right w:val="none" w:sz="0" w:space="0" w:color="auto"/>
      </w:divBdr>
    </w:div>
    <w:div w:id="636378721">
      <w:bodyDiv w:val="1"/>
      <w:marLeft w:val="0"/>
      <w:marRight w:val="0"/>
      <w:marTop w:val="0"/>
      <w:marBottom w:val="0"/>
      <w:divBdr>
        <w:top w:val="none" w:sz="0" w:space="0" w:color="auto"/>
        <w:left w:val="none" w:sz="0" w:space="0" w:color="auto"/>
        <w:bottom w:val="none" w:sz="0" w:space="0" w:color="auto"/>
        <w:right w:val="none" w:sz="0" w:space="0" w:color="auto"/>
      </w:divBdr>
    </w:div>
    <w:div w:id="641421043">
      <w:bodyDiv w:val="1"/>
      <w:marLeft w:val="0"/>
      <w:marRight w:val="0"/>
      <w:marTop w:val="0"/>
      <w:marBottom w:val="0"/>
      <w:divBdr>
        <w:top w:val="none" w:sz="0" w:space="0" w:color="auto"/>
        <w:left w:val="none" w:sz="0" w:space="0" w:color="auto"/>
        <w:bottom w:val="none" w:sz="0" w:space="0" w:color="auto"/>
        <w:right w:val="none" w:sz="0" w:space="0" w:color="auto"/>
      </w:divBdr>
    </w:div>
    <w:div w:id="670105874">
      <w:bodyDiv w:val="1"/>
      <w:marLeft w:val="0"/>
      <w:marRight w:val="0"/>
      <w:marTop w:val="0"/>
      <w:marBottom w:val="0"/>
      <w:divBdr>
        <w:top w:val="none" w:sz="0" w:space="0" w:color="auto"/>
        <w:left w:val="none" w:sz="0" w:space="0" w:color="auto"/>
        <w:bottom w:val="none" w:sz="0" w:space="0" w:color="auto"/>
        <w:right w:val="none" w:sz="0" w:space="0" w:color="auto"/>
      </w:divBdr>
    </w:div>
    <w:div w:id="680007918">
      <w:bodyDiv w:val="1"/>
      <w:marLeft w:val="0"/>
      <w:marRight w:val="0"/>
      <w:marTop w:val="0"/>
      <w:marBottom w:val="0"/>
      <w:divBdr>
        <w:top w:val="none" w:sz="0" w:space="0" w:color="auto"/>
        <w:left w:val="none" w:sz="0" w:space="0" w:color="auto"/>
        <w:bottom w:val="none" w:sz="0" w:space="0" w:color="auto"/>
        <w:right w:val="none" w:sz="0" w:space="0" w:color="auto"/>
      </w:divBdr>
    </w:div>
    <w:div w:id="689575402">
      <w:bodyDiv w:val="1"/>
      <w:marLeft w:val="0"/>
      <w:marRight w:val="0"/>
      <w:marTop w:val="0"/>
      <w:marBottom w:val="0"/>
      <w:divBdr>
        <w:top w:val="none" w:sz="0" w:space="0" w:color="auto"/>
        <w:left w:val="none" w:sz="0" w:space="0" w:color="auto"/>
        <w:bottom w:val="none" w:sz="0" w:space="0" w:color="auto"/>
        <w:right w:val="none" w:sz="0" w:space="0" w:color="auto"/>
      </w:divBdr>
    </w:div>
    <w:div w:id="696008813">
      <w:bodyDiv w:val="1"/>
      <w:marLeft w:val="0"/>
      <w:marRight w:val="0"/>
      <w:marTop w:val="0"/>
      <w:marBottom w:val="0"/>
      <w:divBdr>
        <w:top w:val="none" w:sz="0" w:space="0" w:color="auto"/>
        <w:left w:val="none" w:sz="0" w:space="0" w:color="auto"/>
        <w:bottom w:val="none" w:sz="0" w:space="0" w:color="auto"/>
        <w:right w:val="none" w:sz="0" w:space="0" w:color="auto"/>
      </w:divBdr>
    </w:div>
    <w:div w:id="729155201">
      <w:bodyDiv w:val="1"/>
      <w:marLeft w:val="0"/>
      <w:marRight w:val="0"/>
      <w:marTop w:val="0"/>
      <w:marBottom w:val="0"/>
      <w:divBdr>
        <w:top w:val="none" w:sz="0" w:space="0" w:color="auto"/>
        <w:left w:val="none" w:sz="0" w:space="0" w:color="auto"/>
        <w:bottom w:val="none" w:sz="0" w:space="0" w:color="auto"/>
        <w:right w:val="none" w:sz="0" w:space="0" w:color="auto"/>
      </w:divBdr>
    </w:div>
    <w:div w:id="736786706">
      <w:bodyDiv w:val="1"/>
      <w:marLeft w:val="0"/>
      <w:marRight w:val="0"/>
      <w:marTop w:val="0"/>
      <w:marBottom w:val="0"/>
      <w:divBdr>
        <w:top w:val="none" w:sz="0" w:space="0" w:color="auto"/>
        <w:left w:val="none" w:sz="0" w:space="0" w:color="auto"/>
        <w:bottom w:val="none" w:sz="0" w:space="0" w:color="auto"/>
        <w:right w:val="none" w:sz="0" w:space="0" w:color="auto"/>
      </w:divBdr>
    </w:div>
    <w:div w:id="754783476">
      <w:bodyDiv w:val="1"/>
      <w:marLeft w:val="0"/>
      <w:marRight w:val="0"/>
      <w:marTop w:val="0"/>
      <w:marBottom w:val="0"/>
      <w:divBdr>
        <w:top w:val="none" w:sz="0" w:space="0" w:color="auto"/>
        <w:left w:val="none" w:sz="0" w:space="0" w:color="auto"/>
        <w:bottom w:val="none" w:sz="0" w:space="0" w:color="auto"/>
        <w:right w:val="none" w:sz="0" w:space="0" w:color="auto"/>
      </w:divBdr>
    </w:div>
    <w:div w:id="764615560">
      <w:bodyDiv w:val="1"/>
      <w:marLeft w:val="0"/>
      <w:marRight w:val="0"/>
      <w:marTop w:val="0"/>
      <w:marBottom w:val="0"/>
      <w:divBdr>
        <w:top w:val="none" w:sz="0" w:space="0" w:color="auto"/>
        <w:left w:val="none" w:sz="0" w:space="0" w:color="auto"/>
        <w:bottom w:val="none" w:sz="0" w:space="0" w:color="auto"/>
        <w:right w:val="none" w:sz="0" w:space="0" w:color="auto"/>
      </w:divBdr>
    </w:div>
    <w:div w:id="785926885">
      <w:bodyDiv w:val="1"/>
      <w:marLeft w:val="0"/>
      <w:marRight w:val="0"/>
      <w:marTop w:val="0"/>
      <w:marBottom w:val="0"/>
      <w:divBdr>
        <w:top w:val="none" w:sz="0" w:space="0" w:color="auto"/>
        <w:left w:val="none" w:sz="0" w:space="0" w:color="auto"/>
        <w:bottom w:val="none" w:sz="0" w:space="0" w:color="auto"/>
        <w:right w:val="none" w:sz="0" w:space="0" w:color="auto"/>
      </w:divBdr>
    </w:div>
    <w:div w:id="817301609">
      <w:bodyDiv w:val="1"/>
      <w:marLeft w:val="0"/>
      <w:marRight w:val="0"/>
      <w:marTop w:val="0"/>
      <w:marBottom w:val="0"/>
      <w:divBdr>
        <w:top w:val="none" w:sz="0" w:space="0" w:color="auto"/>
        <w:left w:val="none" w:sz="0" w:space="0" w:color="auto"/>
        <w:bottom w:val="none" w:sz="0" w:space="0" w:color="auto"/>
        <w:right w:val="none" w:sz="0" w:space="0" w:color="auto"/>
      </w:divBdr>
    </w:div>
    <w:div w:id="838351946">
      <w:bodyDiv w:val="1"/>
      <w:marLeft w:val="0"/>
      <w:marRight w:val="0"/>
      <w:marTop w:val="0"/>
      <w:marBottom w:val="0"/>
      <w:divBdr>
        <w:top w:val="none" w:sz="0" w:space="0" w:color="auto"/>
        <w:left w:val="none" w:sz="0" w:space="0" w:color="auto"/>
        <w:bottom w:val="none" w:sz="0" w:space="0" w:color="auto"/>
        <w:right w:val="none" w:sz="0" w:space="0" w:color="auto"/>
      </w:divBdr>
    </w:div>
    <w:div w:id="839273489">
      <w:bodyDiv w:val="1"/>
      <w:marLeft w:val="0"/>
      <w:marRight w:val="0"/>
      <w:marTop w:val="0"/>
      <w:marBottom w:val="0"/>
      <w:divBdr>
        <w:top w:val="none" w:sz="0" w:space="0" w:color="auto"/>
        <w:left w:val="none" w:sz="0" w:space="0" w:color="auto"/>
        <w:bottom w:val="none" w:sz="0" w:space="0" w:color="auto"/>
        <w:right w:val="none" w:sz="0" w:space="0" w:color="auto"/>
      </w:divBdr>
    </w:div>
    <w:div w:id="882517230">
      <w:bodyDiv w:val="1"/>
      <w:marLeft w:val="0"/>
      <w:marRight w:val="0"/>
      <w:marTop w:val="0"/>
      <w:marBottom w:val="0"/>
      <w:divBdr>
        <w:top w:val="none" w:sz="0" w:space="0" w:color="auto"/>
        <w:left w:val="none" w:sz="0" w:space="0" w:color="auto"/>
        <w:bottom w:val="none" w:sz="0" w:space="0" w:color="auto"/>
        <w:right w:val="none" w:sz="0" w:space="0" w:color="auto"/>
      </w:divBdr>
    </w:div>
    <w:div w:id="901135266">
      <w:bodyDiv w:val="1"/>
      <w:marLeft w:val="0"/>
      <w:marRight w:val="0"/>
      <w:marTop w:val="0"/>
      <w:marBottom w:val="0"/>
      <w:divBdr>
        <w:top w:val="none" w:sz="0" w:space="0" w:color="auto"/>
        <w:left w:val="none" w:sz="0" w:space="0" w:color="auto"/>
        <w:bottom w:val="none" w:sz="0" w:space="0" w:color="auto"/>
        <w:right w:val="none" w:sz="0" w:space="0" w:color="auto"/>
      </w:divBdr>
    </w:div>
    <w:div w:id="949433924">
      <w:bodyDiv w:val="1"/>
      <w:marLeft w:val="0"/>
      <w:marRight w:val="0"/>
      <w:marTop w:val="0"/>
      <w:marBottom w:val="0"/>
      <w:divBdr>
        <w:top w:val="none" w:sz="0" w:space="0" w:color="auto"/>
        <w:left w:val="none" w:sz="0" w:space="0" w:color="auto"/>
        <w:bottom w:val="none" w:sz="0" w:space="0" w:color="auto"/>
        <w:right w:val="none" w:sz="0" w:space="0" w:color="auto"/>
      </w:divBdr>
    </w:div>
    <w:div w:id="955255423">
      <w:bodyDiv w:val="1"/>
      <w:marLeft w:val="0"/>
      <w:marRight w:val="0"/>
      <w:marTop w:val="0"/>
      <w:marBottom w:val="0"/>
      <w:divBdr>
        <w:top w:val="none" w:sz="0" w:space="0" w:color="auto"/>
        <w:left w:val="none" w:sz="0" w:space="0" w:color="auto"/>
        <w:bottom w:val="none" w:sz="0" w:space="0" w:color="auto"/>
        <w:right w:val="none" w:sz="0" w:space="0" w:color="auto"/>
      </w:divBdr>
    </w:div>
    <w:div w:id="970212649">
      <w:bodyDiv w:val="1"/>
      <w:marLeft w:val="0"/>
      <w:marRight w:val="0"/>
      <w:marTop w:val="0"/>
      <w:marBottom w:val="0"/>
      <w:divBdr>
        <w:top w:val="none" w:sz="0" w:space="0" w:color="auto"/>
        <w:left w:val="none" w:sz="0" w:space="0" w:color="auto"/>
        <w:bottom w:val="none" w:sz="0" w:space="0" w:color="auto"/>
        <w:right w:val="none" w:sz="0" w:space="0" w:color="auto"/>
      </w:divBdr>
    </w:div>
    <w:div w:id="982543487">
      <w:bodyDiv w:val="1"/>
      <w:marLeft w:val="0"/>
      <w:marRight w:val="0"/>
      <w:marTop w:val="0"/>
      <w:marBottom w:val="0"/>
      <w:divBdr>
        <w:top w:val="none" w:sz="0" w:space="0" w:color="auto"/>
        <w:left w:val="none" w:sz="0" w:space="0" w:color="auto"/>
        <w:bottom w:val="none" w:sz="0" w:space="0" w:color="auto"/>
        <w:right w:val="none" w:sz="0" w:space="0" w:color="auto"/>
      </w:divBdr>
    </w:div>
    <w:div w:id="1000960996">
      <w:bodyDiv w:val="1"/>
      <w:marLeft w:val="0"/>
      <w:marRight w:val="0"/>
      <w:marTop w:val="0"/>
      <w:marBottom w:val="0"/>
      <w:divBdr>
        <w:top w:val="none" w:sz="0" w:space="0" w:color="auto"/>
        <w:left w:val="none" w:sz="0" w:space="0" w:color="auto"/>
        <w:bottom w:val="none" w:sz="0" w:space="0" w:color="auto"/>
        <w:right w:val="none" w:sz="0" w:space="0" w:color="auto"/>
      </w:divBdr>
    </w:div>
    <w:div w:id="1008295313">
      <w:bodyDiv w:val="1"/>
      <w:marLeft w:val="0"/>
      <w:marRight w:val="0"/>
      <w:marTop w:val="0"/>
      <w:marBottom w:val="0"/>
      <w:divBdr>
        <w:top w:val="none" w:sz="0" w:space="0" w:color="auto"/>
        <w:left w:val="none" w:sz="0" w:space="0" w:color="auto"/>
        <w:bottom w:val="none" w:sz="0" w:space="0" w:color="auto"/>
        <w:right w:val="none" w:sz="0" w:space="0" w:color="auto"/>
      </w:divBdr>
    </w:div>
    <w:div w:id="1008556361">
      <w:bodyDiv w:val="1"/>
      <w:marLeft w:val="0"/>
      <w:marRight w:val="0"/>
      <w:marTop w:val="0"/>
      <w:marBottom w:val="0"/>
      <w:divBdr>
        <w:top w:val="none" w:sz="0" w:space="0" w:color="auto"/>
        <w:left w:val="none" w:sz="0" w:space="0" w:color="auto"/>
        <w:bottom w:val="none" w:sz="0" w:space="0" w:color="auto"/>
        <w:right w:val="none" w:sz="0" w:space="0" w:color="auto"/>
      </w:divBdr>
    </w:div>
    <w:div w:id="1021515302">
      <w:bodyDiv w:val="1"/>
      <w:marLeft w:val="0"/>
      <w:marRight w:val="0"/>
      <w:marTop w:val="0"/>
      <w:marBottom w:val="0"/>
      <w:divBdr>
        <w:top w:val="none" w:sz="0" w:space="0" w:color="auto"/>
        <w:left w:val="none" w:sz="0" w:space="0" w:color="auto"/>
        <w:bottom w:val="none" w:sz="0" w:space="0" w:color="auto"/>
        <w:right w:val="none" w:sz="0" w:space="0" w:color="auto"/>
      </w:divBdr>
    </w:div>
    <w:div w:id="1023018121">
      <w:bodyDiv w:val="1"/>
      <w:marLeft w:val="0"/>
      <w:marRight w:val="0"/>
      <w:marTop w:val="0"/>
      <w:marBottom w:val="0"/>
      <w:divBdr>
        <w:top w:val="none" w:sz="0" w:space="0" w:color="auto"/>
        <w:left w:val="none" w:sz="0" w:space="0" w:color="auto"/>
        <w:bottom w:val="none" w:sz="0" w:space="0" w:color="auto"/>
        <w:right w:val="none" w:sz="0" w:space="0" w:color="auto"/>
      </w:divBdr>
    </w:div>
    <w:div w:id="1023242575">
      <w:bodyDiv w:val="1"/>
      <w:marLeft w:val="0"/>
      <w:marRight w:val="0"/>
      <w:marTop w:val="0"/>
      <w:marBottom w:val="0"/>
      <w:divBdr>
        <w:top w:val="none" w:sz="0" w:space="0" w:color="auto"/>
        <w:left w:val="none" w:sz="0" w:space="0" w:color="auto"/>
        <w:bottom w:val="none" w:sz="0" w:space="0" w:color="auto"/>
        <w:right w:val="none" w:sz="0" w:space="0" w:color="auto"/>
      </w:divBdr>
    </w:div>
    <w:div w:id="1030689969">
      <w:bodyDiv w:val="1"/>
      <w:marLeft w:val="0"/>
      <w:marRight w:val="0"/>
      <w:marTop w:val="0"/>
      <w:marBottom w:val="0"/>
      <w:divBdr>
        <w:top w:val="none" w:sz="0" w:space="0" w:color="auto"/>
        <w:left w:val="none" w:sz="0" w:space="0" w:color="auto"/>
        <w:bottom w:val="none" w:sz="0" w:space="0" w:color="auto"/>
        <w:right w:val="none" w:sz="0" w:space="0" w:color="auto"/>
      </w:divBdr>
    </w:div>
    <w:div w:id="1037046886">
      <w:bodyDiv w:val="1"/>
      <w:marLeft w:val="0"/>
      <w:marRight w:val="0"/>
      <w:marTop w:val="0"/>
      <w:marBottom w:val="0"/>
      <w:divBdr>
        <w:top w:val="none" w:sz="0" w:space="0" w:color="auto"/>
        <w:left w:val="none" w:sz="0" w:space="0" w:color="auto"/>
        <w:bottom w:val="none" w:sz="0" w:space="0" w:color="auto"/>
        <w:right w:val="none" w:sz="0" w:space="0" w:color="auto"/>
      </w:divBdr>
    </w:div>
    <w:div w:id="1054934927">
      <w:bodyDiv w:val="1"/>
      <w:marLeft w:val="0"/>
      <w:marRight w:val="0"/>
      <w:marTop w:val="0"/>
      <w:marBottom w:val="0"/>
      <w:divBdr>
        <w:top w:val="none" w:sz="0" w:space="0" w:color="auto"/>
        <w:left w:val="none" w:sz="0" w:space="0" w:color="auto"/>
        <w:bottom w:val="none" w:sz="0" w:space="0" w:color="auto"/>
        <w:right w:val="none" w:sz="0" w:space="0" w:color="auto"/>
      </w:divBdr>
    </w:div>
    <w:div w:id="1056313865">
      <w:bodyDiv w:val="1"/>
      <w:marLeft w:val="0"/>
      <w:marRight w:val="0"/>
      <w:marTop w:val="0"/>
      <w:marBottom w:val="0"/>
      <w:divBdr>
        <w:top w:val="none" w:sz="0" w:space="0" w:color="auto"/>
        <w:left w:val="none" w:sz="0" w:space="0" w:color="auto"/>
        <w:bottom w:val="none" w:sz="0" w:space="0" w:color="auto"/>
        <w:right w:val="none" w:sz="0" w:space="0" w:color="auto"/>
      </w:divBdr>
    </w:div>
    <w:div w:id="1064186523">
      <w:bodyDiv w:val="1"/>
      <w:marLeft w:val="0"/>
      <w:marRight w:val="0"/>
      <w:marTop w:val="0"/>
      <w:marBottom w:val="0"/>
      <w:divBdr>
        <w:top w:val="none" w:sz="0" w:space="0" w:color="auto"/>
        <w:left w:val="none" w:sz="0" w:space="0" w:color="auto"/>
        <w:bottom w:val="none" w:sz="0" w:space="0" w:color="auto"/>
        <w:right w:val="none" w:sz="0" w:space="0" w:color="auto"/>
      </w:divBdr>
    </w:div>
    <w:div w:id="1076510001">
      <w:bodyDiv w:val="1"/>
      <w:marLeft w:val="0"/>
      <w:marRight w:val="0"/>
      <w:marTop w:val="0"/>
      <w:marBottom w:val="0"/>
      <w:divBdr>
        <w:top w:val="none" w:sz="0" w:space="0" w:color="auto"/>
        <w:left w:val="none" w:sz="0" w:space="0" w:color="auto"/>
        <w:bottom w:val="none" w:sz="0" w:space="0" w:color="auto"/>
        <w:right w:val="none" w:sz="0" w:space="0" w:color="auto"/>
      </w:divBdr>
    </w:div>
    <w:div w:id="1095128676">
      <w:bodyDiv w:val="1"/>
      <w:marLeft w:val="0"/>
      <w:marRight w:val="0"/>
      <w:marTop w:val="0"/>
      <w:marBottom w:val="0"/>
      <w:divBdr>
        <w:top w:val="none" w:sz="0" w:space="0" w:color="auto"/>
        <w:left w:val="none" w:sz="0" w:space="0" w:color="auto"/>
        <w:bottom w:val="none" w:sz="0" w:space="0" w:color="auto"/>
        <w:right w:val="none" w:sz="0" w:space="0" w:color="auto"/>
      </w:divBdr>
    </w:div>
    <w:div w:id="1150630135">
      <w:bodyDiv w:val="1"/>
      <w:marLeft w:val="0"/>
      <w:marRight w:val="0"/>
      <w:marTop w:val="0"/>
      <w:marBottom w:val="0"/>
      <w:divBdr>
        <w:top w:val="none" w:sz="0" w:space="0" w:color="auto"/>
        <w:left w:val="none" w:sz="0" w:space="0" w:color="auto"/>
        <w:bottom w:val="none" w:sz="0" w:space="0" w:color="auto"/>
        <w:right w:val="none" w:sz="0" w:space="0" w:color="auto"/>
      </w:divBdr>
    </w:div>
    <w:div w:id="1172066749">
      <w:bodyDiv w:val="1"/>
      <w:marLeft w:val="0"/>
      <w:marRight w:val="0"/>
      <w:marTop w:val="0"/>
      <w:marBottom w:val="0"/>
      <w:divBdr>
        <w:top w:val="none" w:sz="0" w:space="0" w:color="auto"/>
        <w:left w:val="none" w:sz="0" w:space="0" w:color="auto"/>
        <w:bottom w:val="none" w:sz="0" w:space="0" w:color="auto"/>
        <w:right w:val="none" w:sz="0" w:space="0" w:color="auto"/>
      </w:divBdr>
    </w:div>
    <w:div w:id="1183209343">
      <w:bodyDiv w:val="1"/>
      <w:marLeft w:val="0"/>
      <w:marRight w:val="0"/>
      <w:marTop w:val="0"/>
      <w:marBottom w:val="0"/>
      <w:divBdr>
        <w:top w:val="none" w:sz="0" w:space="0" w:color="auto"/>
        <w:left w:val="none" w:sz="0" w:space="0" w:color="auto"/>
        <w:bottom w:val="none" w:sz="0" w:space="0" w:color="auto"/>
        <w:right w:val="none" w:sz="0" w:space="0" w:color="auto"/>
      </w:divBdr>
    </w:div>
    <w:div w:id="1192954689">
      <w:bodyDiv w:val="1"/>
      <w:marLeft w:val="0"/>
      <w:marRight w:val="0"/>
      <w:marTop w:val="0"/>
      <w:marBottom w:val="0"/>
      <w:divBdr>
        <w:top w:val="none" w:sz="0" w:space="0" w:color="auto"/>
        <w:left w:val="none" w:sz="0" w:space="0" w:color="auto"/>
        <w:bottom w:val="none" w:sz="0" w:space="0" w:color="auto"/>
        <w:right w:val="none" w:sz="0" w:space="0" w:color="auto"/>
      </w:divBdr>
    </w:div>
    <w:div w:id="1196190162">
      <w:bodyDiv w:val="1"/>
      <w:marLeft w:val="0"/>
      <w:marRight w:val="0"/>
      <w:marTop w:val="0"/>
      <w:marBottom w:val="0"/>
      <w:divBdr>
        <w:top w:val="none" w:sz="0" w:space="0" w:color="auto"/>
        <w:left w:val="none" w:sz="0" w:space="0" w:color="auto"/>
        <w:bottom w:val="none" w:sz="0" w:space="0" w:color="auto"/>
        <w:right w:val="none" w:sz="0" w:space="0" w:color="auto"/>
      </w:divBdr>
    </w:div>
    <w:div w:id="1214077645">
      <w:bodyDiv w:val="1"/>
      <w:marLeft w:val="0"/>
      <w:marRight w:val="0"/>
      <w:marTop w:val="0"/>
      <w:marBottom w:val="0"/>
      <w:divBdr>
        <w:top w:val="none" w:sz="0" w:space="0" w:color="auto"/>
        <w:left w:val="none" w:sz="0" w:space="0" w:color="auto"/>
        <w:bottom w:val="none" w:sz="0" w:space="0" w:color="auto"/>
        <w:right w:val="none" w:sz="0" w:space="0" w:color="auto"/>
      </w:divBdr>
    </w:div>
    <w:div w:id="1226912998">
      <w:bodyDiv w:val="1"/>
      <w:marLeft w:val="0"/>
      <w:marRight w:val="0"/>
      <w:marTop w:val="0"/>
      <w:marBottom w:val="0"/>
      <w:divBdr>
        <w:top w:val="none" w:sz="0" w:space="0" w:color="auto"/>
        <w:left w:val="none" w:sz="0" w:space="0" w:color="auto"/>
        <w:bottom w:val="none" w:sz="0" w:space="0" w:color="auto"/>
        <w:right w:val="none" w:sz="0" w:space="0" w:color="auto"/>
      </w:divBdr>
    </w:div>
    <w:div w:id="1329673307">
      <w:bodyDiv w:val="1"/>
      <w:marLeft w:val="0"/>
      <w:marRight w:val="0"/>
      <w:marTop w:val="0"/>
      <w:marBottom w:val="0"/>
      <w:divBdr>
        <w:top w:val="none" w:sz="0" w:space="0" w:color="auto"/>
        <w:left w:val="none" w:sz="0" w:space="0" w:color="auto"/>
        <w:bottom w:val="none" w:sz="0" w:space="0" w:color="auto"/>
        <w:right w:val="none" w:sz="0" w:space="0" w:color="auto"/>
      </w:divBdr>
    </w:div>
    <w:div w:id="1380399901">
      <w:bodyDiv w:val="1"/>
      <w:marLeft w:val="0"/>
      <w:marRight w:val="0"/>
      <w:marTop w:val="0"/>
      <w:marBottom w:val="0"/>
      <w:divBdr>
        <w:top w:val="none" w:sz="0" w:space="0" w:color="auto"/>
        <w:left w:val="none" w:sz="0" w:space="0" w:color="auto"/>
        <w:bottom w:val="none" w:sz="0" w:space="0" w:color="auto"/>
        <w:right w:val="none" w:sz="0" w:space="0" w:color="auto"/>
      </w:divBdr>
    </w:div>
    <w:div w:id="1425805062">
      <w:bodyDiv w:val="1"/>
      <w:marLeft w:val="0"/>
      <w:marRight w:val="0"/>
      <w:marTop w:val="0"/>
      <w:marBottom w:val="0"/>
      <w:divBdr>
        <w:top w:val="none" w:sz="0" w:space="0" w:color="auto"/>
        <w:left w:val="none" w:sz="0" w:space="0" w:color="auto"/>
        <w:bottom w:val="none" w:sz="0" w:space="0" w:color="auto"/>
        <w:right w:val="none" w:sz="0" w:space="0" w:color="auto"/>
      </w:divBdr>
    </w:div>
    <w:div w:id="1433814573">
      <w:bodyDiv w:val="1"/>
      <w:marLeft w:val="0"/>
      <w:marRight w:val="0"/>
      <w:marTop w:val="0"/>
      <w:marBottom w:val="0"/>
      <w:divBdr>
        <w:top w:val="none" w:sz="0" w:space="0" w:color="auto"/>
        <w:left w:val="none" w:sz="0" w:space="0" w:color="auto"/>
        <w:bottom w:val="none" w:sz="0" w:space="0" w:color="auto"/>
        <w:right w:val="none" w:sz="0" w:space="0" w:color="auto"/>
      </w:divBdr>
    </w:div>
    <w:div w:id="1449743276">
      <w:bodyDiv w:val="1"/>
      <w:marLeft w:val="0"/>
      <w:marRight w:val="0"/>
      <w:marTop w:val="0"/>
      <w:marBottom w:val="0"/>
      <w:divBdr>
        <w:top w:val="none" w:sz="0" w:space="0" w:color="auto"/>
        <w:left w:val="none" w:sz="0" w:space="0" w:color="auto"/>
        <w:bottom w:val="none" w:sz="0" w:space="0" w:color="auto"/>
        <w:right w:val="none" w:sz="0" w:space="0" w:color="auto"/>
      </w:divBdr>
    </w:div>
    <w:div w:id="1468476944">
      <w:bodyDiv w:val="1"/>
      <w:marLeft w:val="0"/>
      <w:marRight w:val="0"/>
      <w:marTop w:val="0"/>
      <w:marBottom w:val="0"/>
      <w:divBdr>
        <w:top w:val="none" w:sz="0" w:space="0" w:color="auto"/>
        <w:left w:val="none" w:sz="0" w:space="0" w:color="auto"/>
        <w:bottom w:val="none" w:sz="0" w:space="0" w:color="auto"/>
        <w:right w:val="none" w:sz="0" w:space="0" w:color="auto"/>
      </w:divBdr>
    </w:div>
    <w:div w:id="1468622774">
      <w:bodyDiv w:val="1"/>
      <w:marLeft w:val="0"/>
      <w:marRight w:val="0"/>
      <w:marTop w:val="0"/>
      <w:marBottom w:val="0"/>
      <w:divBdr>
        <w:top w:val="none" w:sz="0" w:space="0" w:color="auto"/>
        <w:left w:val="none" w:sz="0" w:space="0" w:color="auto"/>
        <w:bottom w:val="none" w:sz="0" w:space="0" w:color="auto"/>
        <w:right w:val="none" w:sz="0" w:space="0" w:color="auto"/>
      </w:divBdr>
    </w:div>
    <w:div w:id="1502886767">
      <w:bodyDiv w:val="1"/>
      <w:marLeft w:val="0"/>
      <w:marRight w:val="0"/>
      <w:marTop w:val="0"/>
      <w:marBottom w:val="0"/>
      <w:divBdr>
        <w:top w:val="none" w:sz="0" w:space="0" w:color="auto"/>
        <w:left w:val="none" w:sz="0" w:space="0" w:color="auto"/>
        <w:bottom w:val="none" w:sz="0" w:space="0" w:color="auto"/>
        <w:right w:val="none" w:sz="0" w:space="0" w:color="auto"/>
      </w:divBdr>
    </w:div>
    <w:div w:id="1517574616">
      <w:bodyDiv w:val="1"/>
      <w:marLeft w:val="0"/>
      <w:marRight w:val="0"/>
      <w:marTop w:val="0"/>
      <w:marBottom w:val="0"/>
      <w:divBdr>
        <w:top w:val="none" w:sz="0" w:space="0" w:color="auto"/>
        <w:left w:val="none" w:sz="0" w:space="0" w:color="auto"/>
        <w:bottom w:val="none" w:sz="0" w:space="0" w:color="auto"/>
        <w:right w:val="none" w:sz="0" w:space="0" w:color="auto"/>
      </w:divBdr>
    </w:div>
    <w:div w:id="1527452015">
      <w:bodyDiv w:val="1"/>
      <w:marLeft w:val="0"/>
      <w:marRight w:val="0"/>
      <w:marTop w:val="0"/>
      <w:marBottom w:val="0"/>
      <w:divBdr>
        <w:top w:val="none" w:sz="0" w:space="0" w:color="auto"/>
        <w:left w:val="none" w:sz="0" w:space="0" w:color="auto"/>
        <w:bottom w:val="none" w:sz="0" w:space="0" w:color="auto"/>
        <w:right w:val="none" w:sz="0" w:space="0" w:color="auto"/>
      </w:divBdr>
    </w:div>
    <w:div w:id="1533154653">
      <w:bodyDiv w:val="1"/>
      <w:marLeft w:val="0"/>
      <w:marRight w:val="0"/>
      <w:marTop w:val="0"/>
      <w:marBottom w:val="0"/>
      <w:divBdr>
        <w:top w:val="none" w:sz="0" w:space="0" w:color="auto"/>
        <w:left w:val="none" w:sz="0" w:space="0" w:color="auto"/>
        <w:bottom w:val="none" w:sz="0" w:space="0" w:color="auto"/>
        <w:right w:val="none" w:sz="0" w:space="0" w:color="auto"/>
      </w:divBdr>
    </w:div>
    <w:div w:id="1536769148">
      <w:bodyDiv w:val="1"/>
      <w:marLeft w:val="0"/>
      <w:marRight w:val="0"/>
      <w:marTop w:val="0"/>
      <w:marBottom w:val="0"/>
      <w:divBdr>
        <w:top w:val="none" w:sz="0" w:space="0" w:color="auto"/>
        <w:left w:val="none" w:sz="0" w:space="0" w:color="auto"/>
        <w:bottom w:val="none" w:sz="0" w:space="0" w:color="auto"/>
        <w:right w:val="none" w:sz="0" w:space="0" w:color="auto"/>
      </w:divBdr>
    </w:div>
    <w:div w:id="1542862029">
      <w:bodyDiv w:val="1"/>
      <w:marLeft w:val="0"/>
      <w:marRight w:val="0"/>
      <w:marTop w:val="0"/>
      <w:marBottom w:val="0"/>
      <w:divBdr>
        <w:top w:val="none" w:sz="0" w:space="0" w:color="auto"/>
        <w:left w:val="none" w:sz="0" w:space="0" w:color="auto"/>
        <w:bottom w:val="none" w:sz="0" w:space="0" w:color="auto"/>
        <w:right w:val="none" w:sz="0" w:space="0" w:color="auto"/>
      </w:divBdr>
    </w:div>
    <w:div w:id="1559320077">
      <w:bodyDiv w:val="1"/>
      <w:marLeft w:val="0"/>
      <w:marRight w:val="0"/>
      <w:marTop w:val="0"/>
      <w:marBottom w:val="0"/>
      <w:divBdr>
        <w:top w:val="none" w:sz="0" w:space="0" w:color="auto"/>
        <w:left w:val="none" w:sz="0" w:space="0" w:color="auto"/>
        <w:bottom w:val="none" w:sz="0" w:space="0" w:color="auto"/>
        <w:right w:val="none" w:sz="0" w:space="0" w:color="auto"/>
      </w:divBdr>
    </w:div>
    <w:div w:id="1600717534">
      <w:bodyDiv w:val="1"/>
      <w:marLeft w:val="0"/>
      <w:marRight w:val="0"/>
      <w:marTop w:val="0"/>
      <w:marBottom w:val="0"/>
      <w:divBdr>
        <w:top w:val="none" w:sz="0" w:space="0" w:color="auto"/>
        <w:left w:val="none" w:sz="0" w:space="0" w:color="auto"/>
        <w:bottom w:val="none" w:sz="0" w:space="0" w:color="auto"/>
        <w:right w:val="none" w:sz="0" w:space="0" w:color="auto"/>
      </w:divBdr>
    </w:div>
    <w:div w:id="1633708118">
      <w:bodyDiv w:val="1"/>
      <w:marLeft w:val="0"/>
      <w:marRight w:val="0"/>
      <w:marTop w:val="0"/>
      <w:marBottom w:val="0"/>
      <w:divBdr>
        <w:top w:val="none" w:sz="0" w:space="0" w:color="auto"/>
        <w:left w:val="none" w:sz="0" w:space="0" w:color="auto"/>
        <w:bottom w:val="none" w:sz="0" w:space="0" w:color="auto"/>
        <w:right w:val="none" w:sz="0" w:space="0" w:color="auto"/>
      </w:divBdr>
    </w:div>
    <w:div w:id="1643776716">
      <w:bodyDiv w:val="1"/>
      <w:marLeft w:val="0"/>
      <w:marRight w:val="0"/>
      <w:marTop w:val="0"/>
      <w:marBottom w:val="0"/>
      <w:divBdr>
        <w:top w:val="none" w:sz="0" w:space="0" w:color="auto"/>
        <w:left w:val="none" w:sz="0" w:space="0" w:color="auto"/>
        <w:bottom w:val="none" w:sz="0" w:space="0" w:color="auto"/>
        <w:right w:val="none" w:sz="0" w:space="0" w:color="auto"/>
      </w:divBdr>
    </w:div>
    <w:div w:id="1669017698">
      <w:bodyDiv w:val="1"/>
      <w:marLeft w:val="0"/>
      <w:marRight w:val="0"/>
      <w:marTop w:val="0"/>
      <w:marBottom w:val="0"/>
      <w:divBdr>
        <w:top w:val="none" w:sz="0" w:space="0" w:color="auto"/>
        <w:left w:val="none" w:sz="0" w:space="0" w:color="auto"/>
        <w:bottom w:val="none" w:sz="0" w:space="0" w:color="auto"/>
        <w:right w:val="none" w:sz="0" w:space="0" w:color="auto"/>
      </w:divBdr>
    </w:div>
    <w:div w:id="1700549706">
      <w:bodyDiv w:val="1"/>
      <w:marLeft w:val="0"/>
      <w:marRight w:val="0"/>
      <w:marTop w:val="0"/>
      <w:marBottom w:val="0"/>
      <w:divBdr>
        <w:top w:val="none" w:sz="0" w:space="0" w:color="auto"/>
        <w:left w:val="none" w:sz="0" w:space="0" w:color="auto"/>
        <w:bottom w:val="none" w:sz="0" w:space="0" w:color="auto"/>
        <w:right w:val="none" w:sz="0" w:space="0" w:color="auto"/>
      </w:divBdr>
    </w:div>
    <w:div w:id="1727947846">
      <w:bodyDiv w:val="1"/>
      <w:marLeft w:val="0"/>
      <w:marRight w:val="0"/>
      <w:marTop w:val="0"/>
      <w:marBottom w:val="0"/>
      <w:divBdr>
        <w:top w:val="none" w:sz="0" w:space="0" w:color="auto"/>
        <w:left w:val="none" w:sz="0" w:space="0" w:color="auto"/>
        <w:bottom w:val="none" w:sz="0" w:space="0" w:color="auto"/>
        <w:right w:val="none" w:sz="0" w:space="0" w:color="auto"/>
      </w:divBdr>
    </w:div>
    <w:div w:id="1731339819">
      <w:bodyDiv w:val="1"/>
      <w:marLeft w:val="0"/>
      <w:marRight w:val="0"/>
      <w:marTop w:val="0"/>
      <w:marBottom w:val="0"/>
      <w:divBdr>
        <w:top w:val="none" w:sz="0" w:space="0" w:color="auto"/>
        <w:left w:val="none" w:sz="0" w:space="0" w:color="auto"/>
        <w:bottom w:val="none" w:sz="0" w:space="0" w:color="auto"/>
        <w:right w:val="none" w:sz="0" w:space="0" w:color="auto"/>
      </w:divBdr>
    </w:div>
    <w:div w:id="1736313175">
      <w:bodyDiv w:val="1"/>
      <w:marLeft w:val="0"/>
      <w:marRight w:val="0"/>
      <w:marTop w:val="0"/>
      <w:marBottom w:val="0"/>
      <w:divBdr>
        <w:top w:val="none" w:sz="0" w:space="0" w:color="auto"/>
        <w:left w:val="none" w:sz="0" w:space="0" w:color="auto"/>
        <w:bottom w:val="none" w:sz="0" w:space="0" w:color="auto"/>
        <w:right w:val="none" w:sz="0" w:space="0" w:color="auto"/>
      </w:divBdr>
    </w:div>
    <w:div w:id="1798253064">
      <w:bodyDiv w:val="1"/>
      <w:marLeft w:val="0"/>
      <w:marRight w:val="0"/>
      <w:marTop w:val="0"/>
      <w:marBottom w:val="0"/>
      <w:divBdr>
        <w:top w:val="none" w:sz="0" w:space="0" w:color="auto"/>
        <w:left w:val="none" w:sz="0" w:space="0" w:color="auto"/>
        <w:bottom w:val="none" w:sz="0" w:space="0" w:color="auto"/>
        <w:right w:val="none" w:sz="0" w:space="0" w:color="auto"/>
      </w:divBdr>
    </w:div>
    <w:div w:id="1855923281">
      <w:bodyDiv w:val="1"/>
      <w:marLeft w:val="0"/>
      <w:marRight w:val="0"/>
      <w:marTop w:val="0"/>
      <w:marBottom w:val="0"/>
      <w:divBdr>
        <w:top w:val="none" w:sz="0" w:space="0" w:color="auto"/>
        <w:left w:val="none" w:sz="0" w:space="0" w:color="auto"/>
        <w:bottom w:val="none" w:sz="0" w:space="0" w:color="auto"/>
        <w:right w:val="none" w:sz="0" w:space="0" w:color="auto"/>
      </w:divBdr>
    </w:div>
    <w:div w:id="1915897495">
      <w:bodyDiv w:val="1"/>
      <w:marLeft w:val="0"/>
      <w:marRight w:val="0"/>
      <w:marTop w:val="0"/>
      <w:marBottom w:val="0"/>
      <w:divBdr>
        <w:top w:val="none" w:sz="0" w:space="0" w:color="auto"/>
        <w:left w:val="none" w:sz="0" w:space="0" w:color="auto"/>
        <w:bottom w:val="none" w:sz="0" w:space="0" w:color="auto"/>
        <w:right w:val="none" w:sz="0" w:space="0" w:color="auto"/>
      </w:divBdr>
    </w:div>
    <w:div w:id="1918636582">
      <w:bodyDiv w:val="1"/>
      <w:marLeft w:val="0"/>
      <w:marRight w:val="0"/>
      <w:marTop w:val="0"/>
      <w:marBottom w:val="0"/>
      <w:divBdr>
        <w:top w:val="none" w:sz="0" w:space="0" w:color="auto"/>
        <w:left w:val="none" w:sz="0" w:space="0" w:color="auto"/>
        <w:bottom w:val="none" w:sz="0" w:space="0" w:color="auto"/>
        <w:right w:val="none" w:sz="0" w:space="0" w:color="auto"/>
      </w:divBdr>
    </w:div>
    <w:div w:id="1958219180">
      <w:bodyDiv w:val="1"/>
      <w:marLeft w:val="0"/>
      <w:marRight w:val="0"/>
      <w:marTop w:val="0"/>
      <w:marBottom w:val="0"/>
      <w:divBdr>
        <w:top w:val="none" w:sz="0" w:space="0" w:color="auto"/>
        <w:left w:val="none" w:sz="0" w:space="0" w:color="auto"/>
        <w:bottom w:val="none" w:sz="0" w:space="0" w:color="auto"/>
        <w:right w:val="none" w:sz="0" w:space="0" w:color="auto"/>
      </w:divBdr>
    </w:div>
    <w:div w:id="1961448553">
      <w:bodyDiv w:val="1"/>
      <w:marLeft w:val="0"/>
      <w:marRight w:val="0"/>
      <w:marTop w:val="0"/>
      <w:marBottom w:val="0"/>
      <w:divBdr>
        <w:top w:val="none" w:sz="0" w:space="0" w:color="auto"/>
        <w:left w:val="none" w:sz="0" w:space="0" w:color="auto"/>
        <w:bottom w:val="none" w:sz="0" w:space="0" w:color="auto"/>
        <w:right w:val="none" w:sz="0" w:space="0" w:color="auto"/>
      </w:divBdr>
    </w:div>
    <w:div w:id="1977489217">
      <w:bodyDiv w:val="1"/>
      <w:marLeft w:val="0"/>
      <w:marRight w:val="0"/>
      <w:marTop w:val="0"/>
      <w:marBottom w:val="0"/>
      <w:divBdr>
        <w:top w:val="none" w:sz="0" w:space="0" w:color="auto"/>
        <w:left w:val="none" w:sz="0" w:space="0" w:color="auto"/>
        <w:bottom w:val="none" w:sz="0" w:space="0" w:color="auto"/>
        <w:right w:val="none" w:sz="0" w:space="0" w:color="auto"/>
      </w:divBdr>
    </w:div>
    <w:div w:id="1986277526">
      <w:bodyDiv w:val="1"/>
      <w:marLeft w:val="0"/>
      <w:marRight w:val="0"/>
      <w:marTop w:val="0"/>
      <w:marBottom w:val="0"/>
      <w:divBdr>
        <w:top w:val="none" w:sz="0" w:space="0" w:color="auto"/>
        <w:left w:val="none" w:sz="0" w:space="0" w:color="auto"/>
        <w:bottom w:val="none" w:sz="0" w:space="0" w:color="auto"/>
        <w:right w:val="none" w:sz="0" w:space="0" w:color="auto"/>
      </w:divBdr>
    </w:div>
    <w:div w:id="1992908617">
      <w:bodyDiv w:val="1"/>
      <w:marLeft w:val="0"/>
      <w:marRight w:val="0"/>
      <w:marTop w:val="0"/>
      <w:marBottom w:val="0"/>
      <w:divBdr>
        <w:top w:val="none" w:sz="0" w:space="0" w:color="auto"/>
        <w:left w:val="none" w:sz="0" w:space="0" w:color="auto"/>
        <w:bottom w:val="none" w:sz="0" w:space="0" w:color="auto"/>
        <w:right w:val="none" w:sz="0" w:space="0" w:color="auto"/>
      </w:divBdr>
    </w:div>
    <w:div w:id="2007201798">
      <w:bodyDiv w:val="1"/>
      <w:marLeft w:val="0"/>
      <w:marRight w:val="0"/>
      <w:marTop w:val="0"/>
      <w:marBottom w:val="0"/>
      <w:divBdr>
        <w:top w:val="none" w:sz="0" w:space="0" w:color="auto"/>
        <w:left w:val="none" w:sz="0" w:space="0" w:color="auto"/>
        <w:bottom w:val="none" w:sz="0" w:space="0" w:color="auto"/>
        <w:right w:val="none" w:sz="0" w:space="0" w:color="auto"/>
      </w:divBdr>
    </w:div>
    <w:div w:id="2032107362">
      <w:bodyDiv w:val="1"/>
      <w:marLeft w:val="0"/>
      <w:marRight w:val="0"/>
      <w:marTop w:val="0"/>
      <w:marBottom w:val="0"/>
      <w:divBdr>
        <w:top w:val="none" w:sz="0" w:space="0" w:color="auto"/>
        <w:left w:val="none" w:sz="0" w:space="0" w:color="auto"/>
        <w:bottom w:val="none" w:sz="0" w:space="0" w:color="auto"/>
        <w:right w:val="none" w:sz="0" w:space="0" w:color="auto"/>
      </w:divBdr>
    </w:div>
    <w:div w:id="2037344348">
      <w:bodyDiv w:val="1"/>
      <w:marLeft w:val="0"/>
      <w:marRight w:val="0"/>
      <w:marTop w:val="0"/>
      <w:marBottom w:val="0"/>
      <w:divBdr>
        <w:top w:val="none" w:sz="0" w:space="0" w:color="auto"/>
        <w:left w:val="none" w:sz="0" w:space="0" w:color="auto"/>
        <w:bottom w:val="none" w:sz="0" w:space="0" w:color="auto"/>
        <w:right w:val="none" w:sz="0" w:space="0" w:color="auto"/>
      </w:divBdr>
    </w:div>
    <w:div w:id="2091731675">
      <w:bodyDiv w:val="1"/>
      <w:marLeft w:val="0"/>
      <w:marRight w:val="0"/>
      <w:marTop w:val="0"/>
      <w:marBottom w:val="0"/>
      <w:divBdr>
        <w:top w:val="none" w:sz="0" w:space="0" w:color="auto"/>
        <w:left w:val="none" w:sz="0" w:space="0" w:color="auto"/>
        <w:bottom w:val="none" w:sz="0" w:space="0" w:color="auto"/>
        <w:right w:val="none" w:sz="0" w:space="0" w:color="auto"/>
      </w:divBdr>
    </w:div>
    <w:div w:id="210557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nseindia.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0E56B7-EC79-4BDC-98DA-146A52DFE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44</Pages>
  <Words>6545</Words>
  <Characters>37311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My PC</cp:lastModifiedBy>
  <cp:revision>14</cp:revision>
  <dcterms:created xsi:type="dcterms:W3CDTF">2025-12-06T04:05:00Z</dcterms:created>
  <dcterms:modified xsi:type="dcterms:W3CDTF">2025-12-06T12:57:00Z</dcterms:modified>
</cp:coreProperties>
</file>