
<file path=[Content_Types].xml><?xml version="1.0" encoding="utf-8"?>
<ct:Types xmlns:ct="http://schemas.openxmlformats.org/package/2006/content-types">
  <ct:Default Extension="rels" ContentType="application/vnd.openxmlformats-package.relationships+xml"/>
  <ct:Default Extension="xml" ContentType="application/xml"/>
  <ct:Default Extension="png" ContentType="image/png"/>
  <ct:Override PartName="/word/document.xml" ContentType="application/vnd.openxmlformats-officedocument.wordprocessingml.document.main+xml"/>
  <ct:Override PartName="/word/styles.xml" ContentType="application/vnd.openxmlformats-officedocument.wordprocessingml.styles+xml"/>
</ct:Types>
</file>

<file path=_rels/.rels><?xml version='1.0' encoding='utf-8'?>
<rel:Relationships xmlns:rel="http://schemas.openxmlformats.org/package/2006/relationships"><rel:Relationship Id="rId1" Type="http://schemas.openxmlformats.org/officeDocument/2006/relationships/officeDocument" Target="word/document.xml" /></re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1"/>
      </w:pPr>
      <w:r>
        <w:t>Week 4: Supervised Learning Model Implementation</w:t>
      </w:r>
    </w:p>
    <w:p>
      <w:r>
        <w:t>YuvaIntern Virtual Data Science with Python Trainee Internship</w:t>
      </w:r>
    </w:p>
    <w:p>
      <w:pPr>
        <w:pStyle w:val="Heading1"/>
      </w:pPr>
      <w:r>
        <w:t>Introduction and problem definition</w:t>
      </w:r>
    </w:p>
    <w:p>
      <w:r>
        <w:t>This project compares binary classifiers for predicting the diagnosis label in a public teaching dataset from numeric measurements. The positive class is malignant, making malignant-class recall important alongside precision, F1, accuracy, and ROC-AUC. This is an educational exercise only, not a clinical decision system and must not be used to diagnose or guide patient care.</w:t>
      </w:r>
    </w:p>
    <w:p>
      <w:pPr>
        <w:pStyle w:val="Heading1"/>
      </w:pPr>
      <w:r>
        <w:t>Dataset source and description</w:t>
      </w:r>
    </w:p>
    <w:p>
      <w:r>
        <w:t>Source: UCI Machine Learning Repository, Breast Cancer Wisconsin (Diagnostic): https://archive.ics.uci.edu/dataset/17/breast+cancer+wisconsin+diagnostic. Loaded from scikit-learn 1.7.1's bundled copy; no network download was needed. This run used 569 observations and 30 real-valued features. Features describe cell-nucleus measurements derived from digitized fine needle aspirate images. The target is diagnosis: benign or malignant.</w:t>
      </w:r>
    </w:p>
    <w:p>
      <w:pPr>
        <w:pStyle w:val="Heading1"/>
      </w:pPr>
      <w:r>
        <w:t>Exploration and data quality</w:t>
      </w:r>
    </w:p>
    <w:p>
      <w:r>
        <w:t>Loaded shape: 569 rows by 31 columns including target. Missing feature cells: 0; exact duplicate rows: 0. The target remains separate from predictors, and the bundled matrix contains no identifier feature. Class counts:</w:t>
      </w:r>
    </w:p>
    <w:tbl>
      <w:tblPr>
        <w:tblBorders>
          <w:top w:val="single" w:sz="4" w:color="B7C9D6"/>
          <w:left w:val="single" w:sz="4" w:color="B7C9D6"/>
          <w:bottom w:val="single" w:sz="4" w:color="B7C9D6"/>
          <w:right w:val="single" w:sz="4" w:color="B7C9D6"/>
          <w:insideH w:val="single" w:sz="4" w:color="B7C9D6"/>
          <w:insideV w:val="single" w:sz="4" w:color="B7C9D6"/>
        </w:tblBorders>
      </w:tblPr>
      <w:tr>
        <w:tc>
          <w:p>
            <w:r>
              <w:t>class</w:t>
              <w:rPr>
                <w:b/>
              </w:rPr>
            </w:r>
          </w:p>
        </w:tc>
        <w:tc>
          <w:p>
            <w:r>
              <w:t>count</w:t>
              <w:rPr>
                <w:b/>
              </w:rPr>
            </w:r>
          </w:p>
        </w:tc>
      </w:tr>
      <w:tr>
        <w:tc>
          <w:p>
            <w:r>
              <w:t>benign</w:t>
            </w:r>
          </w:p>
        </w:tc>
        <w:tc>
          <w:p>
            <w:r>
              <w:t>357</w:t>
            </w:r>
          </w:p>
        </w:tc>
      </w:tr>
      <w:tr>
        <w:tc>
          <w:p>
            <w:r>
              <w:t>malignant</w:t>
            </w:r>
          </w:p>
        </w:tc>
        <w:tc>
          <w:p>
            <w:r>
              <w:t>212</w:t>
            </w:r>
          </w:p>
        </w:tc>
      </w:tr>
    </w:tbl>
    <w:p>
      <w:r>
        <w:t>All 30 available numeric measurements were retained. Missingness, dtypes, example rows, and descriptive statistics are saved as CSV/JSON artifacts.</w:t>
      </w:r>
    </w:p>
    <w:p>
      <w:pPr>
        <w:pStyle w:val="Heading1"/>
      </w:pPr>
      <w:r>
        <w:t>Preprocessing and feature engineering</w:t>
      </w:r>
    </w:p>
    <w:p>
      <w:r>
        <w:t>The data were split into stratified 80% training and 20% test sets before fitting transformations. A ColumnTransformer and Pipeline put median imputation inside cross-validation folds, preventing preprocessing leakage. Logistic Regression also uses StandardScaler because the feature units differ. Random Forest uses median imputation without scaling because decision trees do not require standardization. No additional feature engineering was applied; retaining documented measures avoids unvalidated derived variables. The diagnosis is used only as the target.</w:t>
      </w:r>
    </w:p>
    <w:p>
      <w:pPr>
        <w:pStyle w:val="Heading1"/>
      </w:pPr>
      <w:r>
        <w:t>Models and validation strategy</w:t>
      </w:r>
    </w:p>
    <w:p>
      <w:r>
        <w:t>Logistic Regression is the regularized linear baseline (C=1, lbfgs solver, max_iter=3000). Random Forest is a nonlinear comparison (300 trees, unlimited depth, min_samples_leaf=1). Five-fold StratifiedKFold cross-validation compares candidates using only training data. The selection rule is highest mean training-fold malignant-class F1; the held-out test scores are not used to select the model. The test partition is evaluated once after training.</w:t>
      </w:r>
    </w:p>
    <w:p>
      <w:pPr>
        <w:pStyle w:val="Heading1"/>
      </w:pPr>
      <w:r>
        <w:t>Cross-validation results (mean of five training folds)</w:t>
      </w:r>
    </w:p>
    <w:tbl>
      <w:tblPr>
        <w:tblBorders>
          <w:top w:val="single" w:sz="4" w:color="B7C9D6"/>
          <w:left w:val="single" w:sz="4" w:color="B7C9D6"/>
          <w:bottom w:val="single" w:sz="4" w:color="B7C9D6"/>
          <w:right w:val="single" w:sz="4" w:color="B7C9D6"/>
          <w:insideH w:val="single" w:sz="4" w:color="B7C9D6"/>
          <w:insideV w:val="single" w:sz="4" w:color="B7C9D6"/>
        </w:tblBorders>
      </w:tblPr>
      <w:tr>
        <w:tc>
          <w:p>
            <w:r>
              <w:t>model</w:t>
              <w:rPr>
                <w:b/>
              </w:rPr>
            </w:r>
          </w:p>
        </w:tc>
        <w:tc>
          <w:p>
            <w:r>
              <w:t>cv_accuracy_mean</w:t>
              <w:rPr>
                <w:b/>
              </w:rPr>
            </w:r>
          </w:p>
        </w:tc>
        <w:tc>
          <w:p>
            <w:r>
              <w:t>cv_precision_malignant_mean</w:t>
              <w:rPr>
                <w:b/>
              </w:rPr>
            </w:r>
          </w:p>
        </w:tc>
        <w:tc>
          <w:p>
            <w:r>
              <w:t>cv_recall_malignant_mean</w:t>
              <w:rPr>
                <w:b/>
              </w:rPr>
            </w:r>
          </w:p>
        </w:tc>
        <w:tc>
          <w:p>
            <w:r>
              <w:t>cv_f1_malignant_mean</w:t>
              <w:rPr>
                <w:b/>
              </w:rPr>
            </w:r>
          </w:p>
        </w:tc>
        <w:tc>
          <w:p>
            <w:r>
              <w:t>cv_roc_auc_malignant_mean</w:t>
              <w:rPr>
                <w:b/>
              </w:rPr>
            </w:r>
          </w:p>
        </w:tc>
      </w:tr>
      <w:tr>
        <w:tc>
          <w:p>
            <w:r>
              <w:t>Logistic Regression</w:t>
            </w:r>
          </w:p>
        </w:tc>
        <w:tc>
          <w:p>
            <w:r>
              <w:t>0.9736263736263737</w:t>
            </w:r>
          </w:p>
        </w:tc>
        <w:tc>
          <w:p>
            <w:r>
              <w:t>0.9771428571428572</w:t>
            </w:r>
          </w:p>
        </w:tc>
        <w:tc>
          <w:p>
            <w:r>
              <w:t>0.9529411764705882</w:t>
            </w:r>
          </w:p>
        </w:tc>
        <w:tc>
          <w:p>
            <w:r>
              <w:t>0.9640480895915677</w:t>
            </w:r>
          </w:p>
        </w:tc>
        <w:tc>
          <w:p>
            <w:r>
              <w:t>0.9957688338493291</w:t>
            </w:r>
          </w:p>
        </w:tc>
      </w:tr>
      <w:tr>
        <w:tc>
          <w:p>
            <w:r>
              <w:t>Random Forest</w:t>
            </w:r>
          </w:p>
        </w:tc>
        <w:tc>
          <w:p>
            <w:r>
              <w:t>0.9604395604395606</w:t>
            </w:r>
          </w:p>
        </w:tc>
        <w:tc>
          <w:p>
            <w:r>
              <w:t>0.9583806381790254</w:t>
            </w:r>
          </w:p>
        </w:tc>
        <w:tc>
          <w:p>
            <w:r>
              <w:t>0.9352941176470588</w:t>
            </w:r>
          </w:p>
        </w:tc>
        <w:tc>
          <w:p>
            <w:r>
              <w:t>0.9461476442657494</w:t>
            </w:r>
          </w:p>
        </w:tc>
        <w:tc>
          <w:p>
            <w:r>
              <w:t>0.9879772961816305</w:t>
            </w:r>
          </w:p>
        </w:tc>
      </w:tr>
    </w:tbl>
    <w:p>
      <w:pPr>
        <w:pStyle w:val="Heading1"/>
      </w:pPr>
      <w:r>
        <w:t>Held-out test model comparison</w:t>
      </w:r>
    </w:p>
    <w:tbl>
      <w:tblPr>
        <w:tblBorders>
          <w:top w:val="single" w:sz="4" w:color="B7C9D6"/>
          <w:left w:val="single" w:sz="4" w:color="B7C9D6"/>
          <w:bottom w:val="single" w:sz="4" w:color="B7C9D6"/>
          <w:right w:val="single" w:sz="4" w:color="B7C9D6"/>
          <w:insideH w:val="single" w:sz="4" w:color="B7C9D6"/>
          <w:insideV w:val="single" w:sz="4" w:color="B7C9D6"/>
        </w:tblBorders>
      </w:tblPr>
      <w:tr>
        <w:tc>
          <w:p>
            <w:r>
              <w:t>model</w:t>
              <w:rPr>
                <w:b/>
              </w:rPr>
            </w:r>
          </w:p>
        </w:tc>
        <w:tc>
          <w:p>
            <w:r>
              <w:t>test_accuracy</w:t>
              <w:rPr>
                <w:b/>
              </w:rPr>
            </w:r>
          </w:p>
        </w:tc>
        <w:tc>
          <w:p>
            <w:r>
              <w:t>test_precision_malignant</w:t>
              <w:rPr>
                <w:b/>
              </w:rPr>
            </w:r>
          </w:p>
        </w:tc>
        <w:tc>
          <w:p>
            <w:r>
              <w:t>test_recall_malignant</w:t>
              <w:rPr>
                <w:b/>
              </w:rPr>
            </w:r>
          </w:p>
        </w:tc>
        <w:tc>
          <w:p>
            <w:r>
              <w:t>test_f1_malignant</w:t>
              <w:rPr>
                <w:b/>
              </w:rPr>
            </w:r>
          </w:p>
        </w:tc>
        <w:tc>
          <w:p>
            <w:r>
              <w:t>test_roc_auc_malignant</w:t>
              <w:rPr>
                <w:b/>
              </w:rPr>
            </w:r>
          </w:p>
        </w:tc>
      </w:tr>
      <w:tr>
        <w:tc>
          <w:p>
            <w:r>
              <w:t>Logistic Regression</w:t>
            </w:r>
          </w:p>
        </w:tc>
        <w:tc>
          <w:p>
            <w:r>
              <w:t>0.9649122807017544</w:t>
            </w:r>
          </w:p>
        </w:tc>
        <w:tc>
          <w:p>
            <w:r>
              <w:t>0.975</w:t>
            </w:r>
          </w:p>
        </w:tc>
        <w:tc>
          <w:p>
            <w:r>
              <w:t>0.9285714285714286</w:t>
            </w:r>
          </w:p>
        </w:tc>
        <w:tc>
          <w:p>
            <w:r>
              <w:t>0.9512195121951219</w:t>
            </w:r>
          </w:p>
        </w:tc>
        <w:tc>
          <w:p>
            <w:r>
              <w:t>0.996031746031746</w:t>
            </w:r>
          </w:p>
        </w:tc>
      </w:tr>
      <w:tr>
        <w:tc>
          <w:p>
            <w:r>
              <w:t>Random Forest</w:t>
            </w:r>
          </w:p>
        </w:tc>
        <w:tc>
          <w:p>
            <w:r>
              <w:t>0.9736842105263158</w:t>
            </w:r>
          </w:p>
        </w:tc>
        <w:tc>
          <w:p>
            <w:r>
              <w:t>1.0</w:t>
            </w:r>
          </w:p>
        </w:tc>
        <w:tc>
          <w:p>
            <w:r>
              <w:t>0.9285714285714286</w:t>
            </w:r>
          </w:p>
        </w:tc>
        <w:tc>
          <w:p>
            <w:r>
              <w:t>0.9629629629629629</w:t>
            </w:r>
          </w:p>
        </w:tc>
        <w:tc>
          <w:p>
            <w:r>
              <w:t>0.9943783068783069</w:t>
            </w:r>
          </w:p>
        </w:tc>
      </w:tr>
    </w:tbl>
    <w:p>
      <w:r>
        <w:t>Selected by training cross-validation malignant F1: Logistic Regression. Its held-out test metrics: accuracy=0.9649, precision_malignant=0.9750, recall_malignant=0.9286, f1_malignant=0.9512, roc_auc_malignant=0.9960. These results describe one split and do not establish perfect generalization.</w:t>
      </w:r>
    </w:p>
    <w:p>
      <w:r>
        <w:t>The highest malignant F1 on this test split belongs to Random Forest (0.9630); this test result does not override the training-only cross-validation selection, because using it to select a model would leak test information into model choice.</w:t>
      </w:r>
    </w:p>
    <w:p>
      <w:pPr>
        <w:pStyle w:val="Heading1"/>
      </w:pPr>
      <w:r>
        <w:t>Classification report</w:t>
      </w:r>
    </w:p>
    <w:p>
      <w:r>
        <w:t>precision    recall  f1-score   support</w:t>
      </w:r>
    </w:p>
    <w:p>
      <w:r>
        <w:t/>
      </w:r>
    </w:p>
    <w:p>
      <w:r>
        <w:t xml:space="preserve">      benign       0.96      0.99      0.97        72</w:t>
      </w:r>
    </w:p>
    <w:p>
      <w:r>
        <w:t xml:space="preserve">   malignant       0.97      0.93      0.95        42</w:t>
      </w:r>
    </w:p>
    <w:p>
      <w:r>
        <w:t/>
      </w:r>
    </w:p>
    <w:p>
      <w:r>
        <w:t xml:space="preserve">    accuracy                           0.96       114</w:t>
      </w:r>
    </w:p>
    <w:p>
      <w:r>
        <w:t xml:space="preserve">   macro avg       0.97      0.96      0.96       114</w:t>
      </w:r>
    </w:p>
    <w:p>
      <w:r>
        <w:t>weighted avg       0.97      0.96      0.96       114</w:t>
      </w:r>
    </w:p>
    <w:p>
      <w:pPr>
        <w:pStyle w:val="Heading1"/>
      </w:pPr>
      <w:r>
        <w:t>Confusion matrix and ROC curve</w:t>
      </w:r>
    </w:p>
    <w:p>
      <w:r>
        <w:drawing>
          <wp:inline distT="0" distB="0" distL="0" distR="0">
            <wp:extent cx="5900000" cy="4747441"/>
            <wp:docPr id="1" name="image1.png" descr="Held-out test confusion matrix: actual rows, predicted columns, benign and malignant classes."/>
            <wp:cNvGraphicFramePr>
              <a:graphicFrameLocks noChangeAspect="1"/>
            </wp:cNvGraphicFramePr>
            <a:graphic>
              <a:graphicData uri="http://schemas.openxmlformats.org/drawingml/2006/picture">
                <pic:pic>
                  <pic:nvPicPr>
                    <pic:cNvPr id="1" name="image1.png"/>
                    <pic:cNvPicPr/>
                  </pic:nvPicPr>
                  <pic:blipFill>
                    <a:blip r:embed="rIdImage1"/>
                    <a:stretch>
                      <a:fillRect/>
                    </a:stretch>
                  </pic:blipFill>
                  <pic:spPr>
                    <a:xfrm>
                      <a:off x="0" y="0"/>
                      <a:ext cx="5900000" cy="4747441"/>
                    </a:xfrm>
                    <a:prstGeom prst="rect">
                      <a:avLst/>
                    </a:prstGeom>
                  </pic:spPr>
                </pic:pic>
              </a:graphicData>
            </a:graphic>
          </wp:inline>
        </w:drawing>
      </w:r>
    </w:p>
    <w:p>
      <w:r>
        <w:t>Held-out test confusion matrix: actual rows, predicted columns, benign and malignant classes.</w:t>
      </w:r>
    </w:p>
    <w:p>
      <w:r>
        <w:drawing>
          <wp:inline distT="0" distB="0" distL="0" distR="0">
            <wp:extent cx="5131877" cy="5200000"/>
            <wp:docPr id="2" name="image2.png" descr="Held-out ROC curve for the selected model; threshold performance and clinical costs require separate analysis."/>
            <wp:cNvGraphicFramePr>
              <a:graphicFrameLocks noChangeAspect="1"/>
            </wp:cNvGraphicFramePr>
            <a:graphic>
              <a:graphicData uri="http://schemas.openxmlformats.org/drawingml/2006/picture">
                <pic:pic>
                  <pic:nvPicPr>
                    <pic:cNvPr id="2" name="image2.png"/>
                    <pic:cNvPicPr/>
                  </pic:nvPicPr>
                  <pic:blipFill>
                    <a:blip r:embed="rIdImage2"/>
                    <a:stretch>
                      <a:fillRect/>
                    </a:stretch>
                  </pic:blipFill>
                  <pic:spPr>
                    <a:xfrm>
                      <a:off x="0" y="0"/>
                      <a:ext cx="5131877" cy="5200000"/>
                    </a:xfrm>
                    <a:prstGeom prst="rect">
                      <a:avLst/>
                    </a:prstGeom>
                  </pic:spPr>
                </pic:pic>
              </a:graphicData>
            </a:graphic>
          </wp:inline>
        </w:drawing>
      </w:r>
    </w:p>
    <w:p>
      <w:r>
        <w:t>Held-out ROC curve for the selected model; threshold performance and clinical costs require separate analysis.</w:t>
      </w:r>
    </w:p>
    <w:p>
      <w:pPr>
        <w:pStyle w:val="Heading1"/>
      </w:pPr>
      <w:r>
        <w:t>Feature interpretation</w:t>
      </w:r>
    </w:p>
    <w:p>
      <w:r>
        <w:drawing>
          <wp:inline distT="0" distB="0" distL="0" distR="0">
            <wp:extent cx="5900000" cy="4569378"/>
            <wp:docPr id="3" name="image3.png" descr="Top model-specific feature coefficients or importances; these are not causal explanations."/>
            <wp:cNvGraphicFramePr>
              <a:graphicFrameLocks noChangeAspect="1"/>
            </wp:cNvGraphicFramePr>
            <a:graphic>
              <a:graphicData uri="http://schemas.openxmlformats.org/drawingml/2006/picture">
                <pic:pic>
                  <pic:nvPicPr>
                    <pic:cNvPr id="3" name="image3.png"/>
                    <pic:cNvPicPr/>
                  </pic:nvPicPr>
                  <pic:blipFill>
                    <a:blip r:embed="rIdImage3"/>
                    <a:stretch>
                      <a:fillRect/>
                    </a:stretch>
                  </pic:blipFill>
                  <pic:spPr>
                    <a:xfrm>
                      <a:off x="0" y="0"/>
                      <a:ext cx="5900000" cy="4569378"/>
                    </a:xfrm>
                    <a:prstGeom prst="rect">
                      <a:avLst/>
                    </a:prstGeom>
                  </pic:spPr>
                </pic:pic>
              </a:graphicData>
            </a:graphic>
          </wp:inline>
        </w:drawing>
      </w:r>
    </w:p>
    <w:p>
      <w:r>
        <w:t>Top model-specific feature coefficients or importances; these are not causal explanations.</w:t>
      </w:r>
    </w:p>
    <w:p>
      <w:r>
        <w:t>Coefficients or impurity-based importances can be unstable when measurements are correlated. They describe the fitted model, not medical facts or causes.</w:t>
      </w:r>
    </w:p>
    <w:p>
      <w:pPr>
        <w:pStyle w:val="Heading1"/>
      </w:pPr>
      <w:r>
        <w:t>Strengths, limitations, ethics, and future improvements</w:t>
      </w:r>
    </w:p>
    <w:p>
      <w:r>
        <w:t>Strengths include public data, train-only preprocessing pipelines, stratified validation, cross-validation, an independent test partition, and transparent model comparison. Limitations include a modest historical sample, one split, no external validation, correlated features, and no decision-cost analysis. Medical errors have serious consequences. The model is not for real-world diagnosis or treatment. Further work would require representative external validation, calibration, threshold selection with clinical experts, privacy protections, fairness assessment, regulatory review, and human oversight.</w:t>
      </w:r>
    </w:p>
    <w:p>
      <w:pPr>
        <w:pStyle w:val="Heading1"/>
      </w:pPr>
      <w:r>
        <w:t>Conclusion</w:t>
      </w:r>
    </w:p>
    <w:p>
      <w:r>
        <w:t>This project demonstrates a reproducible supervised classification workflow with a linear baseline, a nonlinear comparison, cross-validation, and held-out metrics. Results are for learning model evaluation only.</w:t>
      </w:r>
    </w:p>
    <w:p>
      <w:pPr>
        <w:pStyle w:val="Heading1"/>
      </w:pPr>
      <w:r>
        <w:t>Reproducibility code excerpts</w:t>
      </w:r>
    </w:p>
    <w:p>
      <w:r>
        <w:t>X_train, X_test, y_train, y_test = train_test_split(X, y, test_size=0.20, stratify=y, random_state=42)</w:t>
      </w:r>
    </w:p>
    <w:p>
      <w:r>
        <w:t>pipeline = Pipeline([('preprocess', preprocessor), ('model', classifier)])</w:t>
      </w:r>
    </w:p>
    <w:p>
      <w:r>
        <w:t>cross_validate(pipeline, X_train, y_train, cv=StratifiedKFold(5), scoring=scoring)</w:t>
      </w:r>
    </w:p>
    <w:sectPr>
      <w:pgSz w:w="12240" w:h="15840"/>
      <w:pgMar w:top="900" w:right="900" w:bottom="900" w:left="900"/>
    </w:sectPr>
  </w:body>
</w:document>
</file>

<file path=word/styles.xml><?xml version="1.0" encoding="utf-8"?>
<w:styles xmlns:w="http://schemas.openxmlformats.org/wordprocessingml/2006/main">
  <w:docDefaults>
    <w:rPrDefault>
      <w:rPr>
        <w:rFonts w:ascii="Calibri" w:hAnsi="Calibri"/>
        <w:sz w:val="21"/>
      </w:rPr>
    </w:rPrDefault>
  </w:docDefaults>
  <w:style w:type="paragraph" w:styleId="Normal">
    <w:name w:val="Normal"/>
    <w:pPr>
      <w:keepNext/>
    </w:pPr>
    <w:rPr>
      <w:b/>
      <w:sz w:val="21"/>
      <w:color w:val="202124"/>
    </w:rPr>
  </w:style>
  <w:style w:type="paragraph" w:styleId="Heading1">
    <w:name w:val="Heading1"/>
    <w:pPr>
      <w:keepNext/>
    </w:pPr>
    <w:rPr>
      <w:b/>
      <w:sz w:val="32"/>
      <w:color w:val="174A6E"/>
    </w:rPr>
  </w:style>
  <w:style w:type="paragraph" w:styleId="Heading2">
    <w:name w:val="Heading2"/>
    <w:pPr>
      <w:keepNext/>
    </w:pPr>
    <w:rPr>
      <w:b/>
      <w:sz w:val="26"/>
      <w:color w:val="245B7A"/>
    </w:rPr>
  </w:style>
</w:styles>
</file>

<file path=word/_rels/document.xml.rels><?xml version='1.0' encoding='utf-8'?>
<rel:Relationships xmlns:rel="http://schemas.openxmlformats.org/package/2006/relationships"><rel:Relationship Id="rIdStyles" Type="http://schemas.openxmlformats.org/officeDocument/2006/relationships/styles" Target="styles.xml" /><rel:Relationship Id="rIdImage1" Type="http://schemas.openxmlformats.org/officeDocument/2006/relationships/image" Target="media/image1.png" /><rel:Relationship Id="rIdImage2" Type="http://schemas.openxmlformats.org/officeDocument/2006/relationships/image" Target="media/image2.png" /><rel:Relationship Id="rIdImage3" Type="http://schemas.openxmlformats.org/officeDocument/2006/relationships/image" Target="media/image3.png" /></rel:Relationships>
</file>