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Week 3 Executive Summary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Quantum-Classical Malware Family Classification — CTGAN-v2 Augmented Data Track (Version 1)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This week delivered a working version-1 pipeline: the CTGAN-v2 augmented malware-memory dataset was passed through the shared preprocessing stage — variance filtering (11 near-constant features dropped), a 0.95 correlation filter (nothing further removed), standardization, and PCA to the agreed 8-qubit budget (54.65% cumulative variance retained) — and fed directly into the existing QSVM and VQC code.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At a matched n=200 train / 60 test split, QSVM (fidelity kernel, angle-CNOT-angle feature map) reached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63.33% accuracy / 0.625 macro-F1</w:t>
      </w:r>
      <w:r>
        <w:rPr>
          <w:rFonts w:ascii="Calibri" w:cs="Calibri" w:eastAsia="Calibri" w:hAnsi="Calibri"/>
          <w:sz w:val="21"/>
          <w:szCs w:val="21"/>
        </w:rPr>
        <w:t xml:space="preserve">, narrowly beating a classical RBF-SVM control at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60.00% / 0.592</w:t>
      </w:r>
      <w:r>
        <w:rPr>
          <w:rFonts w:ascii="Calibri" w:cs="Calibri" w:eastAsia="Calibri" w:hAnsi="Calibri"/>
          <w:sz w:val="21"/>
          <w:szCs w:val="21"/>
        </w:rPr>
        <w:t xml:space="preserve">. The VQC (8-qubit AngleEmbedding + 1-rep StronglyEntanglingLayers, SPSA-trained, depth cut from 2 reps to curb vanishing gradients) trailed at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43.33% / 0.409</w:t>
      </w:r>
      <w:r>
        <w:rPr>
          <w:rFonts w:ascii="Calibri" w:cs="Calibri" w:eastAsia="Calibri" w:hAnsi="Calibri"/>
          <w:sz w:val="21"/>
          <w:szCs w:val="21"/>
        </w:rPr>
        <w:t xml:space="preserve"> — architecture still a placeholder pending a revised ansatz. Scaled to n=1,000 (QSVM via 50-landmark Nyström approximation, since the exact kernel is intractable at this size), QSVM rose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69.00% / 0.683</w:t>
      </w:r>
      <w:r>
        <w:rPr>
          <w:rFonts w:ascii="Calibri" w:cs="Calibri" w:eastAsia="Calibri" w:hAnsi="Calibri"/>
          <w:sz w:val="21"/>
          <w:szCs w:val="21"/>
        </w:rPr>
        <w:t xml:space="preserve">, but the classical control scaled further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71.00% / 0.712</w:t>
      </w:r>
      <w:r>
        <w:rPr>
          <w:rFonts w:ascii="Calibri" w:cs="Calibri" w:eastAsia="Calibri" w:hAnsi="Calibri"/>
          <w:sz w:val="21"/>
          <w:szCs w:val="21"/>
        </w:rPr>
        <w:t xml:space="preserve">, overtaking it. VQC barely moved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43.00% / 0.360</w:t>
      </w:r>
      <w:r>
        <w:rPr>
          <w:rFonts w:ascii="Calibri" w:cs="Calibri" w:eastAsia="Calibri" w:hAnsi="Calibri"/>
          <w:sz w:val="21"/>
          <w:szCs w:val="21"/>
        </w:rPr>
        <w:t xml:space="preserve"> — despite 400 SPSA steps and a larger batch, and final training loss stayed flat (1.03 → 1.11), so extra data was not the bottleneck.</w:t>
      </w:r>
    </w:p>
    <w:p>
      <w:pPr>
        <w:spacing w:after="60" w:before="100"/>
        <w:jc w:val="center"/>
      </w:pPr>
      <w:r>
        <w:drawing>
          <wp:inline distT="0" distB="0" distL="0" distR="0">
            <wp:extent cx="4295775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Accuracy vs. training size (n=200→1,000) for QSVM, VQC, and the classical baseline.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three-way test isolated whether augmentation specifically helps the quantum model. On the original, family-imbalanced data, QSVM accuracy collapsed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36.67% / 0.284 macro-F1</w:t>
      </w:r>
      <w:r>
        <w:rPr>
          <w:rFonts w:ascii="Calibri" w:cs="Calibri" w:eastAsia="Calibri" w:hAnsi="Calibri"/>
          <w:sz w:val="21"/>
          <w:szCs w:val="21"/>
        </w:rPr>
        <w:t xml:space="preserve">, with the Trojan class entirely unpredicted (0 precision/recall/F1 across all 19 test cases). The classical RBF-SVM degraded more gracefully on the same imbalanced split,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45.00% / 0.433</w:t>
      </w:r>
      <w:r>
        <w:rPr>
          <w:rFonts w:ascii="Calibri" w:cs="Calibri" w:eastAsia="Calibri" w:hAnsi="Calibri"/>
          <w:sz w:val="21"/>
          <w:szCs w:val="21"/>
        </w:rPr>
        <w:t xml:space="preserve">. Augmentation therefore lifted QSVM by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+26.66 points</w:t>
      </w:r>
      <w:r>
        <w:rPr>
          <w:rFonts w:ascii="Calibri" w:cs="Calibri" w:eastAsia="Calibri" w:hAnsi="Calibri"/>
          <w:sz w:val="21"/>
          <w:szCs w:val="21"/>
        </w:rPr>
        <w:t xml:space="preserve"> (36.67%→63.33%) versus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+15.00 points</w:t>
      </w:r>
      <w:r>
        <w:rPr>
          <w:rFonts w:ascii="Calibri" w:cs="Calibri" w:eastAsia="Calibri" w:hAnsi="Calibri"/>
          <w:sz w:val="21"/>
          <w:szCs w:val="21"/>
        </w:rPr>
        <w:t xml:space="preserve"> for the classical model over the same transition — the fidelity kernel is disproportionately hurt by imbalance and disproportionately rescued by balanced synthetic data.</w:t>
      </w:r>
    </w:p>
    <w:p>
      <w:pPr>
        <w:spacing w:after="60" w:before="100"/>
        <w:jc w:val="center"/>
      </w:pPr>
      <w:r>
        <w:drawing>
          <wp:inline distT="0" distB="0" distL="0" distR="0">
            <wp:extent cx="4295775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QSVM per-class F1 at n≈200: the Trojan class goes from total collapse to the strongest-performing class once augmented.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On whether the shortfall is quantum capacity or data fidelity: since QSVM and VQC consume the identical augmented input as the classical baseline, and only VQC lags badly (43% vs. 63–71%), this points to a VQC-specific circuit-expressivity / optimization bottleneck, not the augmented data. Separately, the 8-qubit PCA embedding keeps only 54.65% of post-filter variance, capping what any quantum model can see regardless of classifier design — a real information ceiling, distinct from data fidelity. The same augmented samples support strong classical (60–71%) and genuine QSVM gains, so fidelity is not implicated.</w:t>
      </w:r>
    </w:p>
    <w:p>
      <w:pPr>
        <w:spacing w:after="60" w:before="100"/>
        <w:jc w:val="center"/>
      </w:pPr>
      <w:r>
        <w:drawing>
          <wp:inline distT="0" distB="0" distL="0" distR="0">
            <wp:extent cx="4295775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Test accuracy with vs. without augmentation, matched at n=200 train / 60 test.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Version 1 closes with a reproducible end-to-end pipeline, a real but scale-shrinking QSVM edge (+3.3 points at n=200, overtaken by classical at n=1,000), VQC flagged as the weak link needing an ansatz/optimizer revision for version 2, and augmentation confirmed as a genuine quantum-specific gain — most visibly in preventing total Trojan-class collapse.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0a9f3b7bd7639a0bc987d0fe6d0c6d561db46c.png"/><Relationship Id="rId8" Type="http://schemas.openxmlformats.org/officeDocument/2006/relationships/image" Target="media/9c8dad4225f7612c90a5b14ec668ef1b63e2aeec.png"/><Relationship Id="rId9" Type="http://schemas.openxmlformats.org/officeDocument/2006/relationships/image" Target="media/232209733f01d6443dc758149fabb79cde9ed63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2026-08-02T18:21:08.984Z</dcterms:created>
  <dcterms:modified xsi:type="dcterms:W3CDTF">2026-08-02T18:21:08.999Z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