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BEA0" w14:textId="77777777" w:rsidR="003D2D70" w:rsidRDefault="00000000">
      <w:pPr>
        <w:spacing w:after="40"/>
      </w:pPr>
      <w:r>
        <w:rPr>
          <w:rFonts w:ascii="Arial" w:eastAsia="Arial" w:hAnsi="Arial" w:cs="Arial"/>
          <w:b/>
          <w:bCs/>
          <w:caps/>
          <w:color w:val="A32D2D"/>
          <w:sz w:val="18"/>
          <w:szCs w:val="18"/>
        </w:rPr>
        <w:t>NEWSLETTER CONTENT HANDOFF — FOR CLAUDE CODE</w:t>
      </w:r>
    </w:p>
    <w:p w14:paraId="78EAF935" w14:textId="77777777" w:rsidR="003D2D70" w:rsidRDefault="003D2D70">
      <w:pPr>
        <w:pBdr>
          <w:bottom w:val="single" w:sz="8" w:space="1" w:color="A32D2D"/>
        </w:pBdr>
      </w:pPr>
    </w:p>
    <w:p w14:paraId="69676B8D" w14:textId="77777777" w:rsidR="003D2D70" w:rsidRDefault="003D2D70">
      <w:pPr>
        <w:spacing w:after="140"/>
      </w:pPr>
    </w:p>
    <w:p w14:paraId="3F95DF75" w14:textId="77777777" w:rsidR="003D2D70" w:rsidRDefault="00000000">
      <w:pPr>
        <w:spacing w:after="60"/>
      </w:pPr>
      <w:r>
        <w:rPr>
          <w:rFonts w:ascii="Arial" w:eastAsia="Arial" w:hAnsi="Arial" w:cs="Arial"/>
          <w:b/>
          <w:bCs/>
          <w:sz w:val="22"/>
          <w:szCs w:val="22"/>
        </w:rPr>
        <w:t xml:space="preserve">Publication: </w:t>
      </w:r>
      <w:proofErr w:type="spellStart"/>
      <w:r>
        <w:rPr>
          <w:rFonts w:ascii="Arial" w:eastAsia="Arial" w:hAnsi="Arial" w:cs="Arial"/>
          <w:sz w:val="22"/>
          <w:szCs w:val="22"/>
        </w:rPr>
        <w:t>Vaqya</w:t>
      </w:r>
      <w:proofErr w:type="spellEnd"/>
      <w:r>
        <w:rPr>
          <w:rFonts w:ascii="Arial" w:eastAsia="Arial" w:hAnsi="Arial" w:cs="Arial"/>
          <w:sz w:val="22"/>
          <w:szCs w:val="22"/>
        </w:rPr>
        <w:t xml:space="preserve"> RCM Insights — The Revenue Cycle Report</w:t>
      </w:r>
    </w:p>
    <w:p w14:paraId="73AA602C" w14:textId="77777777" w:rsidR="003D2D70" w:rsidRDefault="00000000">
      <w:pPr>
        <w:spacing w:after="60"/>
      </w:pPr>
      <w:r>
        <w:rPr>
          <w:rFonts w:ascii="Arial" w:eastAsia="Arial" w:hAnsi="Arial" w:cs="Arial"/>
          <w:b/>
          <w:bCs/>
          <w:sz w:val="22"/>
          <w:szCs w:val="22"/>
        </w:rPr>
        <w:t xml:space="preserve">Issue: </w:t>
      </w:r>
      <w:r>
        <w:rPr>
          <w:rFonts w:ascii="Arial" w:eastAsia="Arial" w:hAnsi="Arial" w:cs="Arial"/>
          <w:sz w:val="22"/>
          <w:szCs w:val="22"/>
        </w:rPr>
        <w:t xml:space="preserve">Q2 </w:t>
      </w:r>
      <w:proofErr w:type="gramStart"/>
      <w:r>
        <w:rPr>
          <w:rFonts w:ascii="Arial" w:eastAsia="Arial" w:hAnsi="Arial" w:cs="Arial"/>
          <w:sz w:val="22"/>
          <w:szCs w:val="22"/>
        </w:rPr>
        <w:t>2026  |</w:t>
      </w:r>
      <w:proofErr w:type="gramEnd"/>
      <w:r>
        <w:rPr>
          <w:rFonts w:ascii="Arial" w:eastAsia="Arial" w:hAnsi="Arial" w:cs="Arial"/>
          <w:sz w:val="22"/>
          <w:szCs w:val="22"/>
        </w:rPr>
        <w:t xml:space="preserve">  Specialty Focus: Cardiology</w:t>
      </w:r>
    </w:p>
    <w:p w14:paraId="6A385B90" w14:textId="77777777" w:rsidR="003D2D70" w:rsidRDefault="00000000">
      <w:pPr>
        <w:spacing w:after="60"/>
      </w:pPr>
      <w:r>
        <w:rPr>
          <w:rFonts w:ascii="Arial" w:eastAsia="Arial" w:hAnsi="Arial" w:cs="Arial"/>
          <w:b/>
          <w:bCs/>
          <w:sz w:val="22"/>
          <w:szCs w:val="22"/>
        </w:rPr>
        <w:t xml:space="preserve">Publish Date: </w:t>
      </w:r>
      <w:r>
        <w:rPr>
          <w:rFonts w:ascii="Arial" w:eastAsia="Arial" w:hAnsi="Arial" w:cs="Arial"/>
          <w:sz w:val="22"/>
          <w:szCs w:val="22"/>
        </w:rPr>
        <w:t>July 2026</w:t>
      </w:r>
    </w:p>
    <w:p w14:paraId="0F1D8C97" w14:textId="77777777" w:rsidR="003D2D70" w:rsidRDefault="00000000">
      <w:pPr>
        <w:spacing w:after="60"/>
      </w:pPr>
      <w:r>
        <w:rPr>
          <w:rFonts w:ascii="Arial" w:eastAsia="Arial" w:hAnsi="Arial" w:cs="Arial"/>
          <w:b/>
          <w:bCs/>
          <w:sz w:val="22"/>
          <w:szCs w:val="22"/>
        </w:rPr>
        <w:t xml:space="preserve">Brand: </w:t>
      </w:r>
      <w:proofErr w:type="spellStart"/>
      <w:r>
        <w:rPr>
          <w:rFonts w:ascii="Arial" w:eastAsia="Arial" w:hAnsi="Arial" w:cs="Arial"/>
          <w:sz w:val="22"/>
          <w:szCs w:val="22"/>
        </w:rPr>
        <w:t>Vaqya</w:t>
      </w:r>
      <w:proofErr w:type="spellEnd"/>
      <w:r>
        <w:rPr>
          <w:rFonts w:ascii="Arial" w:eastAsia="Arial" w:hAnsi="Arial" w:cs="Arial"/>
          <w:sz w:val="22"/>
          <w:szCs w:val="22"/>
        </w:rPr>
        <w:t xml:space="preserve"> </w:t>
      </w:r>
      <w:proofErr w:type="gramStart"/>
      <w:r>
        <w:rPr>
          <w:rFonts w:ascii="Arial" w:eastAsia="Arial" w:hAnsi="Arial" w:cs="Arial"/>
          <w:sz w:val="22"/>
          <w:szCs w:val="22"/>
        </w:rPr>
        <w:t>LLC  |</w:t>
      </w:r>
      <w:proofErr w:type="gramEnd"/>
      <w:r>
        <w:rPr>
          <w:rFonts w:ascii="Arial" w:eastAsia="Arial" w:hAnsi="Arial" w:cs="Arial"/>
          <w:sz w:val="22"/>
          <w:szCs w:val="22"/>
        </w:rPr>
        <w:t xml:space="preserve">  Sun City (Phoenix), </w:t>
      </w:r>
      <w:proofErr w:type="gramStart"/>
      <w:r>
        <w:rPr>
          <w:rFonts w:ascii="Arial" w:eastAsia="Arial" w:hAnsi="Arial" w:cs="Arial"/>
          <w:sz w:val="22"/>
          <w:szCs w:val="22"/>
        </w:rPr>
        <w:t>AZ  |</w:t>
      </w:r>
      <w:proofErr w:type="gramEnd"/>
      <w:r>
        <w:rPr>
          <w:rFonts w:ascii="Arial" w:eastAsia="Arial" w:hAnsi="Arial" w:cs="Arial"/>
          <w:sz w:val="22"/>
          <w:szCs w:val="22"/>
        </w:rPr>
        <w:t xml:space="preserve">  vaqya.com</w:t>
      </w:r>
    </w:p>
    <w:p w14:paraId="7BA73832" w14:textId="77777777" w:rsidR="003D2D70" w:rsidRDefault="003D2D70">
      <w:pPr>
        <w:spacing w:after="280"/>
      </w:pPr>
    </w:p>
    <w:p w14:paraId="5923D0F8" w14:textId="77777777" w:rsidR="003D2D70" w:rsidRDefault="003D2D70">
      <w:pPr>
        <w:pBdr>
          <w:bottom w:val="single" w:sz="8" w:space="1" w:color="1B3A6B"/>
        </w:pBdr>
      </w:pPr>
    </w:p>
    <w:p w14:paraId="4E14AF35" w14:textId="77777777" w:rsidR="003D2D70" w:rsidRDefault="00000000">
      <w:pPr>
        <w:spacing w:before="320" w:after="100"/>
      </w:pPr>
      <w:r>
        <w:rPr>
          <w:rFonts w:ascii="Arial" w:eastAsia="Arial" w:hAnsi="Arial" w:cs="Arial"/>
          <w:b/>
          <w:bCs/>
          <w:caps/>
          <w:color w:val="A32D2D"/>
          <w:sz w:val="18"/>
          <w:szCs w:val="18"/>
        </w:rPr>
        <w:t>SECTION 1 — DEVELOPER INSTRUCTIONS</w:t>
      </w:r>
    </w:p>
    <w:p w14:paraId="0A925A6D" w14:textId="77777777" w:rsidR="003D2D70" w:rsidRDefault="00000000">
      <w:pPr>
        <w:pStyle w:val="Heading1"/>
      </w:pPr>
      <w:r>
        <w:t>How to use this document</w:t>
      </w:r>
    </w:p>
    <w:p w14:paraId="2BA3B6BB" w14:textId="77777777" w:rsidR="003D2D70" w:rsidRDefault="00000000">
      <w:pPr>
        <w:spacing w:before="60" w:after="120"/>
      </w:pPr>
      <w:r>
        <w:t xml:space="preserve">This document contains the complete editorial content for the Q2 2026 </w:t>
      </w:r>
      <w:proofErr w:type="spellStart"/>
      <w:r>
        <w:t>Vaqya</w:t>
      </w:r>
      <w:proofErr w:type="spellEnd"/>
      <w:r>
        <w:t xml:space="preserve"> RCM Insights newsletter — Cardiology focus. Every section below maps to a specific newsletter component. Use the DEV NOTES (amber highlights) for implementation guidance.</w:t>
      </w:r>
    </w:p>
    <w:p w14:paraId="42A5E113" w14:textId="77777777" w:rsidR="003D2D70" w:rsidRDefault="003D2D70">
      <w:pPr>
        <w:spacing w:after="140"/>
      </w:pPr>
    </w:p>
    <w:p w14:paraId="70B87821"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t xml:space="preserve">DEV NOTE: Render as responsive HTML email (600px </w:t>
      </w:r>
      <w:proofErr w:type="gramStart"/>
      <w:r>
        <w:rPr>
          <w:rFonts w:ascii="Arial" w:eastAsia="Arial" w:hAnsi="Arial" w:cs="Arial"/>
          <w:i/>
          <w:iCs/>
          <w:color w:val="92400E"/>
          <w:sz w:val="20"/>
          <w:szCs w:val="20"/>
        </w:rPr>
        <w:t>max-width</w:t>
      </w:r>
      <w:proofErr w:type="gramEnd"/>
      <w:r>
        <w:rPr>
          <w:rFonts w:ascii="Arial" w:eastAsia="Arial" w:hAnsi="Arial" w:cs="Arial"/>
          <w:i/>
          <w:iCs/>
          <w:color w:val="92400E"/>
          <w:sz w:val="20"/>
          <w:szCs w:val="20"/>
        </w:rPr>
        <w:t>) OR standalone web page. Single column. Mobile-first.</w:t>
      </w:r>
    </w:p>
    <w:p w14:paraId="6FE58F35"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t>DEV NOTE: Typography: Headlines = Arial/system-sans. Body = Georgia/system-serif. Min body size 15px, line-height 1.75.</w:t>
      </w:r>
    </w:p>
    <w:p w14:paraId="54B3E2F5"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t xml:space="preserve">DEV NOTE: Colors: Navy #1B3A6B (headers), Blue #185FA5 (accents/info), Red #A32D2D (warnings), Green #3B6D11 (opportunities), Purple #3C3489 (policy). Light </w:t>
      </w:r>
      <w:proofErr w:type="spellStart"/>
      <w:r>
        <w:rPr>
          <w:rFonts w:ascii="Arial" w:eastAsia="Arial" w:hAnsi="Arial" w:cs="Arial"/>
          <w:i/>
          <w:iCs/>
          <w:color w:val="92400E"/>
          <w:sz w:val="20"/>
          <w:szCs w:val="20"/>
        </w:rPr>
        <w:t>bg</w:t>
      </w:r>
      <w:proofErr w:type="spellEnd"/>
      <w:r>
        <w:rPr>
          <w:rFonts w:ascii="Arial" w:eastAsia="Arial" w:hAnsi="Arial" w:cs="Arial"/>
          <w:i/>
          <w:iCs/>
          <w:color w:val="92400E"/>
          <w:sz w:val="20"/>
          <w:szCs w:val="20"/>
        </w:rPr>
        <w:t xml:space="preserve"> variants: Blue #E6F1FB, Red #FCEBEB, Green #EAF3DE, Purple #EEEDFE.</w:t>
      </w:r>
    </w:p>
    <w:p w14:paraId="1416B0D7" w14:textId="77777777" w:rsidR="003D2D70" w:rsidRDefault="003D2D70">
      <w:pPr>
        <w:spacing w:after="140"/>
      </w:pPr>
    </w:p>
    <w:p w14:paraId="458AE7CB" w14:textId="77777777" w:rsidR="003D2D70" w:rsidRDefault="003D2D70">
      <w:pPr>
        <w:pBdr>
          <w:bottom w:val="single" w:sz="8" w:space="1" w:color="DDDDDD"/>
        </w:pBdr>
      </w:pPr>
    </w:p>
    <w:p w14:paraId="7CEB3FB8" w14:textId="77777777" w:rsidR="003D2D70" w:rsidRDefault="00000000">
      <w:pPr>
        <w:spacing w:before="320" w:after="100"/>
      </w:pPr>
      <w:r>
        <w:rPr>
          <w:rFonts w:ascii="Arial" w:eastAsia="Arial" w:hAnsi="Arial" w:cs="Arial"/>
          <w:b/>
          <w:bCs/>
          <w:caps/>
          <w:color w:val="A32D2D"/>
          <w:sz w:val="18"/>
          <w:szCs w:val="18"/>
        </w:rPr>
        <w:t>SECTION 2 — BRAND COLORS</w:t>
      </w:r>
    </w:p>
    <w:p w14:paraId="67F8620A" w14:textId="77777777" w:rsidR="003D2D70" w:rsidRDefault="00000000">
      <w:pPr>
        <w:pStyle w:val="Heading1"/>
      </w:pPr>
      <w:r>
        <w:t>Color &amp; type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3D2D70" w14:paraId="776AE2F8" w14:textId="77777777">
        <w:tblPrEx>
          <w:tblCellMar>
            <w:top w:w="0" w:type="dxa"/>
            <w:bottom w:w="0" w:type="dxa"/>
          </w:tblCellMar>
        </w:tblPrEx>
        <w:trPr>
          <w:tblHeader/>
        </w:trPr>
        <w:tc>
          <w:tcPr>
            <w:tcW w:w="3120" w:type="dxa"/>
            <w:shd w:val="clear" w:color="auto" w:fill="1B3A6B"/>
            <w:tcMar>
              <w:top w:w="80" w:type="dxa"/>
              <w:left w:w="120" w:type="dxa"/>
              <w:bottom w:w="80" w:type="dxa"/>
              <w:right w:w="120" w:type="dxa"/>
            </w:tcMar>
          </w:tcPr>
          <w:p w14:paraId="3ED5FE90" w14:textId="77777777" w:rsidR="003D2D70" w:rsidRDefault="00000000">
            <w:r>
              <w:rPr>
                <w:rFonts w:ascii="Arial" w:eastAsia="Arial" w:hAnsi="Arial" w:cs="Arial"/>
                <w:b/>
                <w:bCs/>
                <w:color w:val="FFFFFF"/>
                <w:sz w:val="20"/>
                <w:szCs w:val="20"/>
              </w:rPr>
              <w:t>Role</w:t>
            </w:r>
          </w:p>
        </w:tc>
        <w:tc>
          <w:tcPr>
            <w:tcW w:w="2340" w:type="dxa"/>
            <w:shd w:val="clear" w:color="auto" w:fill="1B3A6B"/>
            <w:tcMar>
              <w:top w:w="80" w:type="dxa"/>
              <w:left w:w="120" w:type="dxa"/>
              <w:bottom w:w="80" w:type="dxa"/>
              <w:right w:w="120" w:type="dxa"/>
            </w:tcMar>
          </w:tcPr>
          <w:p w14:paraId="3293A77D" w14:textId="77777777" w:rsidR="003D2D70" w:rsidRDefault="00000000">
            <w:r>
              <w:rPr>
                <w:rFonts w:ascii="Arial" w:eastAsia="Arial" w:hAnsi="Arial" w:cs="Arial"/>
                <w:b/>
                <w:bCs/>
                <w:color w:val="FFFFFF"/>
                <w:sz w:val="20"/>
                <w:szCs w:val="20"/>
              </w:rPr>
              <w:t>Hex</w:t>
            </w:r>
          </w:p>
        </w:tc>
        <w:tc>
          <w:tcPr>
            <w:tcW w:w="3900" w:type="dxa"/>
            <w:shd w:val="clear" w:color="auto" w:fill="1B3A6B"/>
            <w:tcMar>
              <w:top w:w="80" w:type="dxa"/>
              <w:left w:w="120" w:type="dxa"/>
              <w:bottom w:w="80" w:type="dxa"/>
              <w:right w:w="120" w:type="dxa"/>
            </w:tcMar>
          </w:tcPr>
          <w:p w14:paraId="658D43B2" w14:textId="77777777" w:rsidR="003D2D70" w:rsidRDefault="00000000">
            <w:r>
              <w:rPr>
                <w:rFonts w:ascii="Arial" w:eastAsia="Arial" w:hAnsi="Arial" w:cs="Arial"/>
                <w:b/>
                <w:bCs/>
                <w:color w:val="FFFFFF"/>
                <w:sz w:val="20"/>
                <w:szCs w:val="20"/>
              </w:rPr>
              <w:t>Usage</w:t>
            </w:r>
          </w:p>
        </w:tc>
      </w:tr>
      <w:tr w:rsidR="003D2D70" w14:paraId="7875DFD7" w14:textId="77777777">
        <w:tblPrEx>
          <w:tblCellMar>
            <w:top w:w="0" w:type="dxa"/>
            <w:bottom w:w="0" w:type="dxa"/>
          </w:tblCellMar>
        </w:tblPrEx>
        <w:tc>
          <w:tcPr>
            <w:tcW w:w="3120" w:type="dxa"/>
            <w:shd w:val="clear" w:color="auto" w:fill="F4F6F8"/>
            <w:tcMar>
              <w:top w:w="80" w:type="dxa"/>
              <w:left w:w="120" w:type="dxa"/>
              <w:bottom w:w="80" w:type="dxa"/>
              <w:right w:w="120" w:type="dxa"/>
            </w:tcMar>
          </w:tcPr>
          <w:p w14:paraId="5A924618" w14:textId="77777777" w:rsidR="003D2D70" w:rsidRDefault="00000000">
            <w:r>
              <w:rPr>
                <w:rFonts w:ascii="Arial" w:eastAsia="Arial" w:hAnsi="Arial" w:cs="Arial"/>
                <w:sz w:val="20"/>
                <w:szCs w:val="20"/>
              </w:rPr>
              <w:t>Primary Navy</w:t>
            </w:r>
          </w:p>
        </w:tc>
        <w:tc>
          <w:tcPr>
            <w:tcW w:w="2340" w:type="dxa"/>
            <w:shd w:val="clear" w:color="auto" w:fill="F4F6F8"/>
            <w:tcMar>
              <w:top w:w="80" w:type="dxa"/>
              <w:left w:w="120" w:type="dxa"/>
              <w:bottom w:w="80" w:type="dxa"/>
              <w:right w:w="120" w:type="dxa"/>
            </w:tcMar>
          </w:tcPr>
          <w:p w14:paraId="3897E641" w14:textId="77777777" w:rsidR="003D2D70" w:rsidRDefault="00000000">
            <w:r>
              <w:rPr>
                <w:rFonts w:ascii="Arial" w:eastAsia="Arial" w:hAnsi="Arial" w:cs="Arial"/>
                <w:sz w:val="20"/>
                <w:szCs w:val="20"/>
              </w:rPr>
              <w:t>#1B3A6B</w:t>
            </w:r>
          </w:p>
        </w:tc>
        <w:tc>
          <w:tcPr>
            <w:tcW w:w="3900" w:type="dxa"/>
            <w:shd w:val="clear" w:color="auto" w:fill="F4F6F8"/>
            <w:tcMar>
              <w:top w:w="80" w:type="dxa"/>
              <w:left w:w="120" w:type="dxa"/>
              <w:bottom w:w="80" w:type="dxa"/>
              <w:right w:w="120" w:type="dxa"/>
            </w:tcMar>
          </w:tcPr>
          <w:p w14:paraId="366915CB" w14:textId="77777777" w:rsidR="003D2D70" w:rsidRDefault="00000000">
            <w:r>
              <w:rPr>
                <w:rFonts w:ascii="Arial" w:eastAsia="Arial" w:hAnsi="Arial" w:cs="Arial"/>
                <w:sz w:val="20"/>
                <w:szCs w:val="20"/>
              </w:rPr>
              <w:t>Masthead, H1, rule lines, borders</w:t>
            </w:r>
          </w:p>
        </w:tc>
      </w:tr>
      <w:tr w:rsidR="003D2D70" w14:paraId="419031F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D1925CD" w14:textId="77777777" w:rsidR="003D2D70" w:rsidRDefault="00000000">
            <w:r>
              <w:rPr>
                <w:rFonts w:ascii="Arial" w:eastAsia="Arial" w:hAnsi="Arial" w:cs="Arial"/>
                <w:sz w:val="20"/>
                <w:szCs w:val="20"/>
              </w:rPr>
              <w:t>Primary Blue</w:t>
            </w:r>
          </w:p>
        </w:tc>
        <w:tc>
          <w:tcPr>
            <w:tcW w:w="2340" w:type="dxa"/>
            <w:shd w:val="clear" w:color="auto" w:fill="FFFFFF"/>
            <w:tcMar>
              <w:top w:w="80" w:type="dxa"/>
              <w:left w:w="120" w:type="dxa"/>
              <w:bottom w:w="80" w:type="dxa"/>
              <w:right w:w="120" w:type="dxa"/>
            </w:tcMar>
          </w:tcPr>
          <w:p w14:paraId="28CC1C7D" w14:textId="77777777" w:rsidR="003D2D70" w:rsidRDefault="00000000">
            <w:r>
              <w:rPr>
                <w:rFonts w:ascii="Arial" w:eastAsia="Arial" w:hAnsi="Arial" w:cs="Arial"/>
                <w:sz w:val="20"/>
                <w:szCs w:val="20"/>
              </w:rPr>
              <w:t>#185FA5</w:t>
            </w:r>
          </w:p>
        </w:tc>
        <w:tc>
          <w:tcPr>
            <w:tcW w:w="3900" w:type="dxa"/>
            <w:shd w:val="clear" w:color="auto" w:fill="FFFFFF"/>
            <w:tcMar>
              <w:top w:w="80" w:type="dxa"/>
              <w:left w:w="120" w:type="dxa"/>
              <w:bottom w:w="80" w:type="dxa"/>
              <w:right w:w="120" w:type="dxa"/>
            </w:tcMar>
          </w:tcPr>
          <w:p w14:paraId="396DBA48" w14:textId="77777777" w:rsidR="003D2D70" w:rsidRDefault="00000000">
            <w:r>
              <w:rPr>
                <w:rFonts w:ascii="Arial" w:eastAsia="Arial" w:hAnsi="Arial" w:cs="Arial"/>
                <w:sz w:val="20"/>
                <w:szCs w:val="20"/>
              </w:rPr>
              <w:t>H2, links, info nugget accent</w:t>
            </w:r>
          </w:p>
        </w:tc>
      </w:tr>
      <w:tr w:rsidR="003D2D70" w14:paraId="6E3C8EF4" w14:textId="77777777">
        <w:tblPrEx>
          <w:tblCellMar>
            <w:top w:w="0" w:type="dxa"/>
            <w:bottom w:w="0" w:type="dxa"/>
          </w:tblCellMar>
        </w:tblPrEx>
        <w:tc>
          <w:tcPr>
            <w:tcW w:w="3120" w:type="dxa"/>
            <w:shd w:val="clear" w:color="auto" w:fill="F4F6F8"/>
            <w:tcMar>
              <w:top w:w="80" w:type="dxa"/>
              <w:left w:w="120" w:type="dxa"/>
              <w:bottom w:w="80" w:type="dxa"/>
              <w:right w:w="120" w:type="dxa"/>
            </w:tcMar>
          </w:tcPr>
          <w:p w14:paraId="53D9104B" w14:textId="77777777" w:rsidR="003D2D70" w:rsidRDefault="00000000">
            <w:r>
              <w:rPr>
                <w:rFonts w:ascii="Arial" w:eastAsia="Arial" w:hAnsi="Arial" w:cs="Arial"/>
                <w:sz w:val="20"/>
                <w:szCs w:val="20"/>
              </w:rPr>
              <w:t>Blue Light</w:t>
            </w:r>
          </w:p>
        </w:tc>
        <w:tc>
          <w:tcPr>
            <w:tcW w:w="2340" w:type="dxa"/>
            <w:shd w:val="clear" w:color="auto" w:fill="F4F6F8"/>
            <w:tcMar>
              <w:top w:w="80" w:type="dxa"/>
              <w:left w:w="120" w:type="dxa"/>
              <w:bottom w:w="80" w:type="dxa"/>
              <w:right w:w="120" w:type="dxa"/>
            </w:tcMar>
          </w:tcPr>
          <w:p w14:paraId="4952DEFE" w14:textId="77777777" w:rsidR="003D2D70" w:rsidRDefault="00000000">
            <w:r>
              <w:rPr>
                <w:rFonts w:ascii="Arial" w:eastAsia="Arial" w:hAnsi="Arial" w:cs="Arial"/>
                <w:sz w:val="20"/>
                <w:szCs w:val="20"/>
              </w:rPr>
              <w:t>#E6F1FB</w:t>
            </w:r>
          </w:p>
        </w:tc>
        <w:tc>
          <w:tcPr>
            <w:tcW w:w="3900" w:type="dxa"/>
            <w:shd w:val="clear" w:color="auto" w:fill="F4F6F8"/>
            <w:tcMar>
              <w:top w:w="80" w:type="dxa"/>
              <w:left w:w="120" w:type="dxa"/>
              <w:bottom w:w="80" w:type="dxa"/>
              <w:right w:w="120" w:type="dxa"/>
            </w:tcMar>
          </w:tcPr>
          <w:p w14:paraId="0B4196A2" w14:textId="77777777" w:rsidR="003D2D70" w:rsidRDefault="00000000">
            <w:r>
              <w:rPr>
                <w:rFonts w:ascii="Arial" w:eastAsia="Arial" w:hAnsi="Arial" w:cs="Arial"/>
                <w:sz w:val="20"/>
                <w:szCs w:val="20"/>
              </w:rPr>
              <w:t>Info nugget background</w:t>
            </w:r>
          </w:p>
        </w:tc>
      </w:tr>
      <w:tr w:rsidR="003D2D70" w14:paraId="5A5A68B6"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4451922" w14:textId="77777777" w:rsidR="003D2D70" w:rsidRDefault="00000000">
            <w:r>
              <w:rPr>
                <w:rFonts w:ascii="Arial" w:eastAsia="Arial" w:hAnsi="Arial" w:cs="Arial"/>
                <w:sz w:val="20"/>
                <w:szCs w:val="20"/>
              </w:rPr>
              <w:t>Alert Red</w:t>
            </w:r>
          </w:p>
        </w:tc>
        <w:tc>
          <w:tcPr>
            <w:tcW w:w="2340" w:type="dxa"/>
            <w:shd w:val="clear" w:color="auto" w:fill="FFFFFF"/>
            <w:tcMar>
              <w:top w:w="80" w:type="dxa"/>
              <w:left w:w="120" w:type="dxa"/>
              <w:bottom w:w="80" w:type="dxa"/>
              <w:right w:w="120" w:type="dxa"/>
            </w:tcMar>
          </w:tcPr>
          <w:p w14:paraId="09E1F5D0" w14:textId="77777777" w:rsidR="003D2D70" w:rsidRDefault="00000000">
            <w:r>
              <w:rPr>
                <w:rFonts w:ascii="Arial" w:eastAsia="Arial" w:hAnsi="Arial" w:cs="Arial"/>
                <w:sz w:val="20"/>
                <w:szCs w:val="20"/>
              </w:rPr>
              <w:t>#A32D2D</w:t>
            </w:r>
          </w:p>
        </w:tc>
        <w:tc>
          <w:tcPr>
            <w:tcW w:w="3900" w:type="dxa"/>
            <w:shd w:val="clear" w:color="auto" w:fill="FFFFFF"/>
            <w:tcMar>
              <w:top w:w="80" w:type="dxa"/>
              <w:left w:w="120" w:type="dxa"/>
              <w:bottom w:w="80" w:type="dxa"/>
              <w:right w:w="120" w:type="dxa"/>
            </w:tcMar>
          </w:tcPr>
          <w:p w14:paraId="3C9FD27A" w14:textId="77777777" w:rsidR="003D2D70" w:rsidRDefault="00000000">
            <w:r>
              <w:rPr>
                <w:rFonts w:ascii="Arial" w:eastAsia="Arial" w:hAnsi="Arial" w:cs="Arial"/>
                <w:sz w:val="20"/>
                <w:szCs w:val="20"/>
              </w:rPr>
              <w:t>Warning nuggets, urgent callouts</w:t>
            </w:r>
          </w:p>
        </w:tc>
      </w:tr>
      <w:tr w:rsidR="003D2D70" w14:paraId="06646833" w14:textId="77777777">
        <w:tblPrEx>
          <w:tblCellMar>
            <w:top w:w="0" w:type="dxa"/>
            <w:bottom w:w="0" w:type="dxa"/>
          </w:tblCellMar>
        </w:tblPrEx>
        <w:tc>
          <w:tcPr>
            <w:tcW w:w="3120" w:type="dxa"/>
            <w:shd w:val="clear" w:color="auto" w:fill="F4F6F8"/>
            <w:tcMar>
              <w:top w:w="80" w:type="dxa"/>
              <w:left w:w="120" w:type="dxa"/>
              <w:bottom w:w="80" w:type="dxa"/>
              <w:right w:w="120" w:type="dxa"/>
            </w:tcMar>
          </w:tcPr>
          <w:p w14:paraId="596FF884" w14:textId="77777777" w:rsidR="003D2D70" w:rsidRDefault="00000000">
            <w:r>
              <w:rPr>
                <w:rFonts w:ascii="Arial" w:eastAsia="Arial" w:hAnsi="Arial" w:cs="Arial"/>
                <w:sz w:val="20"/>
                <w:szCs w:val="20"/>
              </w:rPr>
              <w:t>Red Light</w:t>
            </w:r>
          </w:p>
        </w:tc>
        <w:tc>
          <w:tcPr>
            <w:tcW w:w="2340" w:type="dxa"/>
            <w:shd w:val="clear" w:color="auto" w:fill="F4F6F8"/>
            <w:tcMar>
              <w:top w:w="80" w:type="dxa"/>
              <w:left w:w="120" w:type="dxa"/>
              <w:bottom w:w="80" w:type="dxa"/>
              <w:right w:w="120" w:type="dxa"/>
            </w:tcMar>
          </w:tcPr>
          <w:p w14:paraId="379DB718" w14:textId="77777777" w:rsidR="003D2D70" w:rsidRDefault="00000000">
            <w:r>
              <w:rPr>
                <w:rFonts w:ascii="Arial" w:eastAsia="Arial" w:hAnsi="Arial" w:cs="Arial"/>
                <w:sz w:val="20"/>
                <w:szCs w:val="20"/>
              </w:rPr>
              <w:t>#FCEBEB</w:t>
            </w:r>
          </w:p>
        </w:tc>
        <w:tc>
          <w:tcPr>
            <w:tcW w:w="3900" w:type="dxa"/>
            <w:shd w:val="clear" w:color="auto" w:fill="F4F6F8"/>
            <w:tcMar>
              <w:top w:w="80" w:type="dxa"/>
              <w:left w:w="120" w:type="dxa"/>
              <w:bottom w:w="80" w:type="dxa"/>
              <w:right w:w="120" w:type="dxa"/>
            </w:tcMar>
          </w:tcPr>
          <w:p w14:paraId="3885F713" w14:textId="77777777" w:rsidR="003D2D70" w:rsidRDefault="00000000">
            <w:r>
              <w:rPr>
                <w:rFonts w:ascii="Arial" w:eastAsia="Arial" w:hAnsi="Arial" w:cs="Arial"/>
                <w:sz w:val="20"/>
                <w:szCs w:val="20"/>
              </w:rPr>
              <w:t xml:space="preserve">Warning </w:t>
            </w:r>
            <w:proofErr w:type="gramStart"/>
            <w:r>
              <w:rPr>
                <w:rFonts w:ascii="Arial" w:eastAsia="Arial" w:hAnsi="Arial" w:cs="Arial"/>
                <w:sz w:val="20"/>
                <w:szCs w:val="20"/>
              </w:rPr>
              <w:t>nugget</w:t>
            </w:r>
            <w:proofErr w:type="gramEnd"/>
            <w:r>
              <w:rPr>
                <w:rFonts w:ascii="Arial" w:eastAsia="Arial" w:hAnsi="Arial" w:cs="Arial"/>
                <w:sz w:val="20"/>
                <w:szCs w:val="20"/>
              </w:rPr>
              <w:t xml:space="preserve"> background</w:t>
            </w:r>
          </w:p>
        </w:tc>
      </w:tr>
      <w:tr w:rsidR="003D2D70" w14:paraId="3CBB178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4FE2D44" w14:textId="77777777" w:rsidR="003D2D70" w:rsidRDefault="00000000">
            <w:r>
              <w:rPr>
                <w:rFonts w:ascii="Arial" w:eastAsia="Arial" w:hAnsi="Arial" w:cs="Arial"/>
                <w:sz w:val="20"/>
                <w:szCs w:val="20"/>
              </w:rPr>
              <w:t>Green</w:t>
            </w:r>
          </w:p>
        </w:tc>
        <w:tc>
          <w:tcPr>
            <w:tcW w:w="2340" w:type="dxa"/>
            <w:shd w:val="clear" w:color="auto" w:fill="FFFFFF"/>
            <w:tcMar>
              <w:top w:w="80" w:type="dxa"/>
              <w:left w:w="120" w:type="dxa"/>
              <w:bottom w:w="80" w:type="dxa"/>
              <w:right w:w="120" w:type="dxa"/>
            </w:tcMar>
          </w:tcPr>
          <w:p w14:paraId="361B6125" w14:textId="77777777" w:rsidR="003D2D70" w:rsidRDefault="00000000">
            <w:r>
              <w:rPr>
                <w:rFonts w:ascii="Arial" w:eastAsia="Arial" w:hAnsi="Arial" w:cs="Arial"/>
                <w:sz w:val="20"/>
                <w:szCs w:val="20"/>
              </w:rPr>
              <w:t>#3B6D11</w:t>
            </w:r>
          </w:p>
        </w:tc>
        <w:tc>
          <w:tcPr>
            <w:tcW w:w="3900" w:type="dxa"/>
            <w:shd w:val="clear" w:color="auto" w:fill="FFFFFF"/>
            <w:tcMar>
              <w:top w:w="80" w:type="dxa"/>
              <w:left w:w="120" w:type="dxa"/>
              <w:bottom w:w="80" w:type="dxa"/>
              <w:right w:w="120" w:type="dxa"/>
            </w:tcMar>
          </w:tcPr>
          <w:p w14:paraId="536AA14E" w14:textId="77777777" w:rsidR="003D2D70" w:rsidRDefault="00000000">
            <w:r>
              <w:rPr>
                <w:rFonts w:ascii="Arial" w:eastAsia="Arial" w:hAnsi="Arial" w:cs="Arial"/>
                <w:sz w:val="20"/>
                <w:szCs w:val="20"/>
              </w:rPr>
              <w:t>Opportunity nuggets</w:t>
            </w:r>
          </w:p>
        </w:tc>
      </w:tr>
      <w:tr w:rsidR="003D2D70" w14:paraId="4E028BBF" w14:textId="77777777">
        <w:tblPrEx>
          <w:tblCellMar>
            <w:top w:w="0" w:type="dxa"/>
            <w:bottom w:w="0" w:type="dxa"/>
          </w:tblCellMar>
        </w:tblPrEx>
        <w:tc>
          <w:tcPr>
            <w:tcW w:w="3120" w:type="dxa"/>
            <w:shd w:val="clear" w:color="auto" w:fill="F4F6F8"/>
            <w:tcMar>
              <w:top w:w="80" w:type="dxa"/>
              <w:left w:w="120" w:type="dxa"/>
              <w:bottom w:w="80" w:type="dxa"/>
              <w:right w:w="120" w:type="dxa"/>
            </w:tcMar>
          </w:tcPr>
          <w:p w14:paraId="7081BED3" w14:textId="77777777" w:rsidR="003D2D70" w:rsidRDefault="00000000">
            <w:r>
              <w:rPr>
                <w:rFonts w:ascii="Arial" w:eastAsia="Arial" w:hAnsi="Arial" w:cs="Arial"/>
                <w:sz w:val="20"/>
                <w:szCs w:val="20"/>
              </w:rPr>
              <w:t>Green Light</w:t>
            </w:r>
          </w:p>
        </w:tc>
        <w:tc>
          <w:tcPr>
            <w:tcW w:w="2340" w:type="dxa"/>
            <w:shd w:val="clear" w:color="auto" w:fill="F4F6F8"/>
            <w:tcMar>
              <w:top w:w="80" w:type="dxa"/>
              <w:left w:w="120" w:type="dxa"/>
              <w:bottom w:w="80" w:type="dxa"/>
              <w:right w:w="120" w:type="dxa"/>
            </w:tcMar>
          </w:tcPr>
          <w:p w14:paraId="3C82945F" w14:textId="77777777" w:rsidR="003D2D70" w:rsidRDefault="00000000">
            <w:r>
              <w:rPr>
                <w:rFonts w:ascii="Arial" w:eastAsia="Arial" w:hAnsi="Arial" w:cs="Arial"/>
                <w:sz w:val="20"/>
                <w:szCs w:val="20"/>
              </w:rPr>
              <w:t>#EAF3DE</w:t>
            </w:r>
          </w:p>
        </w:tc>
        <w:tc>
          <w:tcPr>
            <w:tcW w:w="3900" w:type="dxa"/>
            <w:shd w:val="clear" w:color="auto" w:fill="F4F6F8"/>
            <w:tcMar>
              <w:top w:w="80" w:type="dxa"/>
              <w:left w:w="120" w:type="dxa"/>
              <w:bottom w:w="80" w:type="dxa"/>
              <w:right w:w="120" w:type="dxa"/>
            </w:tcMar>
          </w:tcPr>
          <w:p w14:paraId="7882D3C1" w14:textId="77777777" w:rsidR="003D2D70" w:rsidRDefault="00000000">
            <w:r>
              <w:rPr>
                <w:rFonts w:ascii="Arial" w:eastAsia="Arial" w:hAnsi="Arial" w:cs="Arial"/>
                <w:sz w:val="20"/>
                <w:szCs w:val="20"/>
              </w:rPr>
              <w:t>Opportunity nugget background</w:t>
            </w:r>
          </w:p>
        </w:tc>
      </w:tr>
      <w:tr w:rsidR="003D2D70" w14:paraId="6D77D30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2B8094F" w14:textId="77777777" w:rsidR="003D2D70" w:rsidRDefault="00000000">
            <w:r>
              <w:rPr>
                <w:rFonts w:ascii="Arial" w:eastAsia="Arial" w:hAnsi="Arial" w:cs="Arial"/>
                <w:sz w:val="20"/>
                <w:szCs w:val="20"/>
              </w:rPr>
              <w:lastRenderedPageBreak/>
              <w:t>Purple</w:t>
            </w:r>
          </w:p>
        </w:tc>
        <w:tc>
          <w:tcPr>
            <w:tcW w:w="2340" w:type="dxa"/>
            <w:shd w:val="clear" w:color="auto" w:fill="FFFFFF"/>
            <w:tcMar>
              <w:top w:w="80" w:type="dxa"/>
              <w:left w:w="120" w:type="dxa"/>
              <w:bottom w:w="80" w:type="dxa"/>
              <w:right w:w="120" w:type="dxa"/>
            </w:tcMar>
          </w:tcPr>
          <w:p w14:paraId="7949FD41" w14:textId="77777777" w:rsidR="003D2D70" w:rsidRDefault="00000000">
            <w:r>
              <w:rPr>
                <w:rFonts w:ascii="Arial" w:eastAsia="Arial" w:hAnsi="Arial" w:cs="Arial"/>
                <w:sz w:val="20"/>
                <w:szCs w:val="20"/>
              </w:rPr>
              <w:t>#3C3489</w:t>
            </w:r>
          </w:p>
        </w:tc>
        <w:tc>
          <w:tcPr>
            <w:tcW w:w="3900" w:type="dxa"/>
            <w:shd w:val="clear" w:color="auto" w:fill="FFFFFF"/>
            <w:tcMar>
              <w:top w:w="80" w:type="dxa"/>
              <w:left w:w="120" w:type="dxa"/>
              <w:bottom w:w="80" w:type="dxa"/>
              <w:right w:w="120" w:type="dxa"/>
            </w:tcMar>
          </w:tcPr>
          <w:p w14:paraId="2685937C" w14:textId="77777777" w:rsidR="003D2D70" w:rsidRDefault="00000000">
            <w:r>
              <w:rPr>
                <w:rFonts w:ascii="Arial" w:eastAsia="Arial" w:hAnsi="Arial" w:cs="Arial"/>
                <w:sz w:val="20"/>
                <w:szCs w:val="20"/>
              </w:rPr>
              <w:t>Policy/regulatory nuggets</w:t>
            </w:r>
          </w:p>
        </w:tc>
      </w:tr>
      <w:tr w:rsidR="003D2D70" w14:paraId="30384A00" w14:textId="77777777">
        <w:tblPrEx>
          <w:tblCellMar>
            <w:top w:w="0" w:type="dxa"/>
            <w:bottom w:w="0" w:type="dxa"/>
          </w:tblCellMar>
        </w:tblPrEx>
        <w:tc>
          <w:tcPr>
            <w:tcW w:w="3120" w:type="dxa"/>
            <w:shd w:val="clear" w:color="auto" w:fill="F4F6F8"/>
            <w:tcMar>
              <w:top w:w="80" w:type="dxa"/>
              <w:left w:w="120" w:type="dxa"/>
              <w:bottom w:w="80" w:type="dxa"/>
              <w:right w:w="120" w:type="dxa"/>
            </w:tcMar>
          </w:tcPr>
          <w:p w14:paraId="28E7FC0E" w14:textId="77777777" w:rsidR="003D2D70" w:rsidRDefault="00000000">
            <w:r>
              <w:rPr>
                <w:rFonts w:ascii="Arial" w:eastAsia="Arial" w:hAnsi="Arial" w:cs="Arial"/>
                <w:sz w:val="20"/>
                <w:szCs w:val="20"/>
              </w:rPr>
              <w:t>Purple Light</w:t>
            </w:r>
          </w:p>
        </w:tc>
        <w:tc>
          <w:tcPr>
            <w:tcW w:w="2340" w:type="dxa"/>
            <w:shd w:val="clear" w:color="auto" w:fill="F4F6F8"/>
            <w:tcMar>
              <w:top w:w="80" w:type="dxa"/>
              <w:left w:w="120" w:type="dxa"/>
              <w:bottom w:w="80" w:type="dxa"/>
              <w:right w:w="120" w:type="dxa"/>
            </w:tcMar>
          </w:tcPr>
          <w:p w14:paraId="66BD5B42" w14:textId="77777777" w:rsidR="003D2D70" w:rsidRDefault="00000000">
            <w:r>
              <w:rPr>
                <w:rFonts w:ascii="Arial" w:eastAsia="Arial" w:hAnsi="Arial" w:cs="Arial"/>
                <w:sz w:val="20"/>
                <w:szCs w:val="20"/>
              </w:rPr>
              <w:t>#EEEDFE</w:t>
            </w:r>
          </w:p>
        </w:tc>
        <w:tc>
          <w:tcPr>
            <w:tcW w:w="3900" w:type="dxa"/>
            <w:shd w:val="clear" w:color="auto" w:fill="F4F6F8"/>
            <w:tcMar>
              <w:top w:w="80" w:type="dxa"/>
              <w:left w:w="120" w:type="dxa"/>
              <w:bottom w:w="80" w:type="dxa"/>
              <w:right w:w="120" w:type="dxa"/>
            </w:tcMar>
          </w:tcPr>
          <w:p w14:paraId="0962D955" w14:textId="77777777" w:rsidR="003D2D70" w:rsidRDefault="00000000">
            <w:r>
              <w:rPr>
                <w:rFonts w:ascii="Arial" w:eastAsia="Arial" w:hAnsi="Arial" w:cs="Arial"/>
                <w:sz w:val="20"/>
                <w:szCs w:val="20"/>
              </w:rPr>
              <w:t>Policy nugget background</w:t>
            </w:r>
          </w:p>
        </w:tc>
      </w:tr>
      <w:tr w:rsidR="003D2D70" w14:paraId="1E0393D1"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A7BBDB6" w14:textId="77777777" w:rsidR="003D2D70" w:rsidRDefault="00000000">
            <w:r>
              <w:rPr>
                <w:rFonts w:ascii="Arial" w:eastAsia="Arial" w:hAnsi="Arial" w:cs="Arial"/>
                <w:sz w:val="20"/>
                <w:szCs w:val="20"/>
              </w:rPr>
              <w:t>Body</w:t>
            </w:r>
          </w:p>
        </w:tc>
        <w:tc>
          <w:tcPr>
            <w:tcW w:w="2340" w:type="dxa"/>
            <w:shd w:val="clear" w:color="auto" w:fill="FFFFFF"/>
            <w:tcMar>
              <w:top w:w="80" w:type="dxa"/>
              <w:left w:w="120" w:type="dxa"/>
              <w:bottom w:w="80" w:type="dxa"/>
              <w:right w:w="120" w:type="dxa"/>
            </w:tcMar>
          </w:tcPr>
          <w:p w14:paraId="7829D58B" w14:textId="77777777" w:rsidR="003D2D70" w:rsidRDefault="00000000">
            <w:r>
              <w:rPr>
                <w:rFonts w:ascii="Arial" w:eastAsia="Arial" w:hAnsi="Arial" w:cs="Arial"/>
                <w:sz w:val="20"/>
                <w:szCs w:val="20"/>
              </w:rPr>
              <w:t>#1C1C1C</w:t>
            </w:r>
          </w:p>
        </w:tc>
        <w:tc>
          <w:tcPr>
            <w:tcW w:w="3900" w:type="dxa"/>
            <w:shd w:val="clear" w:color="auto" w:fill="FFFFFF"/>
            <w:tcMar>
              <w:top w:w="80" w:type="dxa"/>
              <w:left w:w="120" w:type="dxa"/>
              <w:bottom w:w="80" w:type="dxa"/>
              <w:right w:w="120" w:type="dxa"/>
            </w:tcMar>
          </w:tcPr>
          <w:p w14:paraId="77F21B05" w14:textId="77777777" w:rsidR="003D2D70" w:rsidRDefault="00000000">
            <w:r>
              <w:rPr>
                <w:rFonts w:ascii="Arial" w:eastAsia="Arial" w:hAnsi="Arial" w:cs="Arial"/>
                <w:sz w:val="20"/>
                <w:szCs w:val="20"/>
              </w:rPr>
              <w:t>All body copy</w:t>
            </w:r>
          </w:p>
        </w:tc>
      </w:tr>
      <w:tr w:rsidR="003D2D70" w14:paraId="16693C9A" w14:textId="77777777">
        <w:tblPrEx>
          <w:tblCellMar>
            <w:top w:w="0" w:type="dxa"/>
            <w:bottom w:w="0" w:type="dxa"/>
          </w:tblCellMar>
        </w:tblPrEx>
        <w:tc>
          <w:tcPr>
            <w:tcW w:w="3120" w:type="dxa"/>
            <w:shd w:val="clear" w:color="auto" w:fill="F4F6F8"/>
            <w:tcMar>
              <w:top w:w="80" w:type="dxa"/>
              <w:left w:w="120" w:type="dxa"/>
              <w:bottom w:w="80" w:type="dxa"/>
              <w:right w:w="120" w:type="dxa"/>
            </w:tcMar>
          </w:tcPr>
          <w:p w14:paraId="0A4A7C4A" w14:textId="77777777" w:rsidR="003D2D70" w:rsidRDefault="00000000">
            <w:r>
              <w:rPr>
                <w:rFonts w:ascii="Arial" w:eastAsia="Arial" w:hAnsi="Arial" w:cs="Arial"/>
                <w:sz w:val="20"/>
                <w:szCs w:val="20"/>
              </w:rPr>
              <w:t>Muted</w:t>
            </w:r>
          </w:p>
        </w:tc>
        <w:tc>
          <w:tcPr>
            <w:tcW w:w="2340" w:type="dxa"/>
            <w:shd w:val="clear" w:color="auto" w:fill="F4F6F8"/>
            <w:tcMar>
              <w:top w:w="80" w:type="dxa"/>
              <w:left w:w="120" w:type="dxa"/>
              <w:bottom w:w="80" w:type="dxa"/>
              <w:right w:w="120" w:type="dxa"/>
            </w:tcMar>
          </w:tcPr>
          <w:p w14:paraId="668EE1AC" w14:textId="77777777" w:rsidR="003D2D70" w:rsidRDefault="00000000">
            <w:r>
              <w:rPr>
                <w:rFonts w:ascii="Arial" w:eastAsia="Arial" w:hAnsi="Arial" w:cs="Arial"/>
                <w:sz w:val="20"/>
                <w:szCs w:val="20"/>
              </w:rPr>
              <w:t>#5F5E5A</w:t>
            </w:r>
          </w:p>
        </w:tc>
        <w:tc>
          <w:tcPr>
            <w:tcW w:w="3900" w:type="dxa"/>
            <w:shd w:val="clear" w:color="auto" w:fill="F4F6F8"/>
            <w:tcMar>
              <w:top w:w="80" w:type="dxa"/>
              <w:left w:w="120" w:type="dxa"/>
              <w:bottom w:w="80" w:type="dxa"/>
              <w:right w:w="120" w:type="dxa"/>
            </w:tcMar>
          </w:tcPr>
          <w:p w14:paraId="12746592" w14:textId="77777777" w:rsidR="003D2D70" w:rsidRDefault="00000000">
            <w:r>
              <w:rPr>
                <w:rFonts w:ascii="Arial" w:eastAsia="Arial" w:hAnsi="Arial" w:cs="Arial"/>
                <w:sz w:val="20"/>
                <w:szCs w:val="20"/>
              </w:rPr>
              <w:t xml:space="preserve">Labels, </w:t>
            </w:r>
            <w:proofErr w:type="gramStart"/>
            <w:r>
              <w:rPr>
                <w:rFonts w:ascii="Arial" w:eastAsia="Arial" w:hAnsi="Arial" w:cs="Arial"/>
                <w:sz w:val="20"/>
                <w:szCs w:val="20"/>
              </w:rPr>
              <w:t>meta</w:t>
            </w:r>
            <w:proofErr w:type="gramEnd"/>
            <w:r>
              <w:rPr>
                <w:rFonts w:ascii="Arial" w:eastAsia="Arial" w:hAnsi="Arial" w:cs="Arial"/>
                <w:sz w:val="20"/>
                <w:szCs w:val="20"/>
              </w:rPr>
              <w:t>, captions, footer</w:t>
            </w:r>
          </w:p>
        </w:tc>
      </w:tr>
      <w:tr w:rsidR="003D2D70" w14:paraId="04FA0E8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E469A03" w14:textId="77777777" w:rsidR="003D2D70" w:rsidRDefault="00000000">
            <w:r>
              <w:rPr>
                <w:rFonts w:ascii="Arial" w:eastAsia="Arial" w:hAnsi="Arial" w:cs="Arial"/>
                <w:sz w:val="20"/>
                <w:szCs w:val="20"/>
              </w:rPr>
              <w:t>Surface</w:t>
            </w:r>
          </w:p>
        </w:tc>
        <w:tc>
          <w:tcPr>
            <w:tcW w:w="2340" w:type="dxa"/>
            <w:shd w:val="clear" w:color="auto" w:fill="FFFFFF"/>
            <w:tcMar>
              <w:top w:w="80" w:type="dxa"/>
              <w:left w:w="120" w:type="dxa"/>
              <w:bottom w:w="80" w:type="dxa"/>
              <w:right w:w="120" w:type="dxa"/>
            </w:tcMar>
          </w:tcPr>
          <w:p w14:paraId="558F5C86" w14:textId="77777777" w:rsidR="003D2D70" w:rsidRDefault="00000000">
            <w:r>
              <w:rPr>
                <w:rFonts w:ascii="Arial" w:eastAsia="Arial" w:hAnsi="Arial" w:cs="Arial"/>
                <w:sz w:val="20"/>
                <w:szCs w:val="20"/>
              </w:rPr>
              <w:t>#F4F6F8</w:t>
            </w:r>
          </w:p>
        </w:tc>
        <w:tc>
          <w:tcPr>
            <w:tcW w:w="3900" w:type="dxa"/>
            <w:shd w:val="clear" w:color="auto" w:fill="FFFFFF"/>
            <w:tcMar>
              <w:top w:w="80" w:type="dxa"/>
              <w:left w:w="120" w:type="dxa"/>
              <w:bottom w:w="80" w:type="dxa"/>
              <w:right w:w="120" w:type="dxa"/>
            </w:tcMar>
          </w:tcPr>
          <w:p w14:paraId="77DD6F0C" w14:textId="77777777" w:rsidR="003D2D70" w:rsidRDefault="00000000">
            <w:r>
              <w:rPr>
                <w:rFonts w:ascii="Arial" w:eastAsia="Arial" w:hAnsi="Arial" w:cs="Arial"/>
                <w:sz w:val="20"/>
                <w:szCs w:val="20"/>
              </w:rPr>
              <w:t xml:space="preserve">Scenario box, action block </w:t>
            </w:r>
            <w:proofErr w:type="spellStart"/>
            <w:r>
              <w:rPr>
                <w:rFonts w:ascii="Arial" w:eastAsia="Arial" w:hAnsi="Arial" w:cs="Arial"/>
                <w:sz w:val="20"/>
                <w:szCs w:val="20"/>
              </w:rPr>
              <w:t>bg</w:t>
            </w:r>
            <w:proofErr w:type="spellEnd"/>
          </w:p>
        </w:tc>
      </w:tr>
    </w:tbl>
    <w:p w14:paraId="080D2658" w14:textId="77777777" w:rsidR="003D2D70" w:rsidRDefault="003D2D70">
      <w:pPr>
        <w:spacing w:after="280"/>
      </w:pPr>
    </w:p>
    <w:p w14:paraId="7B84BFC1" w14:textId="77777777" w:rsidR="003D2D70" w:rsidRDefault="003D2D70">
      <w:pPr>
        <w:pBdr>
          <w:bottom w:val="single" w:sz="8" w:space="1" w:color="DDDDDD"/>
        </w:pBdr>
      </w:pPr>
    </w:p>
    <w:p w14:paraId="2EBD3B63" w14:textId="77777777" w:rsidR="003D2D70" w:rsidRDefault="00000000">
      <w:pPr>
        <w:spacing w:before="320" w:after="100"/>
      </w:pPr>
      <w:r>
        <w:rPr>
          <w:rFonts w:ascii="Arial" w:eastAsia="Arial" w:hAnsi="Arial" w:cs="Arial"/>
          <w:b/>
          <w:bCs/>
          <w:caps/>
          <w:color w:val="A32D2D"/>
          <w:sz w:val="18"/>
          <w:szCs w:val="18"/>
        </w:rPr>
        <w:t>SECTION 3 — FULL EDITORIAL CONTENT</w:t>
      </w:r>
    </w:p>
    <w:p w14:paraId="2C9C0A93" w14:textId="77777777" w:rsidR="003D2D70" w:rsidRDefault="00000000">
      <w:pPr>
        <w:pStyle w:val="Heading1"/>
      </w:pPr>
      <w:r>
        <w:t>Newsletter copy — Q2 2026 Cardiology</w:t>
      </w:r>
    </w:p>
    <w:p w14:paraId="794E796C" w14:textId="77777777" w:rsidR="003D2D70" w:rsidRDefault="00000000">
      <w:pPr>
        <w:spacing w:before="320" w:after="100"/>
      </w:pPr>
      <w:r>
        <w:rPr>
          <w:rFonts w:ascii="Arial" w:eastAsia="Arial" w:hAnsi="Arial" w:cs="Arial"/>
          <w:b/>
          <w:bCs/>
          <w:caps/>
          <w:color w:val="185FA5"/>
          <w:sz w:val="18"/>
          <w:szCs w:val="18"/>
        </w:rPr>
        <w:t>COMPONENT: MASTHEAD</w:t>
      </w:r>
    </w:p>
    <w:p w14:paraId="52952423"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t>DEV NOTE: Full-width header block. Left: publication name (11px uppercase muted) above newsletter title (22px/500 Navy). Right or below: Issue date + specialty tag pill (</w:t>
      </w:r>
      <w:proofErr w:type="spellStart"/>
      <w:r>
        <w:rPr>
          <w:rFonts w:ascii="Arial" w:eastAsia="Arial" w:hAnsi="Arial" w:cs="Arial"/>
          <w:i/>
          <w:iCs/>
          <w:color w:val="92400E"/>
          <w:sz w:val="20"/>
          <w:szCs w:val="20"/>
        </w:rPr>
        <w:t>bg</w:t>
      </w:r>
      <w:proofErr w:type="spellEnd"/>
      <w:r>
        <w:rPr>
          <w:rFonts w:ascii="Arial" w:eastAsia="Arial" w:hAnsi="Arial" w:cs="Arial"/>
          <w:i/>
          <w:iCs/>
          <w:color w:val="92400E"/>
          <w:sz w:val="20"/>
          <w:szCs w:val="20"/>
        </w:rPr>
        <w:t xml:space="preserve"> #E6F1FB, text #0C447C, border-radius 999px, 11px uppercase).</w:t>
      </w:r>
    </w:p>
    <w:p w14:paraId="3E982EF4" w14:textId="77777777" w:rsidR="003D2D70" w:rsidRDefault="00000000">
      <w:pPr>
        <w:spacing w:after="60"/>
      </w:pPr>
      <w:r>
        <w:rPr>
          <w:rFonts w:ascii="Arial" w:eastAsia="Arial" w:hAnsi="Arial" w:cs="Arial"/>
          <w:b/>
          <w:bCs/>
          <w:sz w:val="22"/>
          <w:szCs w:val="22"/>
        </w:rPr>
        <w:t xml:space="preserve">Publication name: </w:t>
      </w:r>
      <w:proofErr w:type="spellStart"/>
      <w:r>
        <w:rPr>
          <w:rFonts w:ascii="Arial" w:eastAsia="Arial" w:hAnsi="Arial" w:cs="Arial"/>
          <w:sz w:val="22"/>
          <w:szCs w:val="22"/>
        </w:rPr>
        <w:t>Vaqya</w:t>
      </w:r>
      <w:proofErr w:type="spellEnd"/>
      <w:r>
        <w:rPr>
          <w:rFonts w:ascii="Arial" w:eastAsia="Arial" w:hAnsi="Arial" w:cs="Arial"/>
          <w:sz w:val="22"/>
          <w:szCs w:val="22"/>
        </w:rPr>
        <w:t xml:space="preserve"> RCM </w:t>
      </w:r>
      <w:proofErr w:type="gramStart"/>
      <w:r>
        <w:rPr>
          <w:rFonts w:ascii="Arial" w:eastAsia="Arial" w:hAnsi="Arial" w:cs="Arial"/>
          <w:sz w:val="22"/>
          <w:szCs w:val="22"/>
        </w:rPr>
        <w:t>Insights  ·</w:t>
      </w:r>
      <w:proofErr w:type="gramEnd"/>
      <w:r>
        <w:rPr>
          <w:rFonts w:ascii="Arial" w:eastAsia="Arial" w:hAnsi="Arial" w:cs="Arial"/>
          <w:sz w:val="22"/>
          <w:szCs w:val="22"/>
        </w:rPr>
        <w:t xml:space="preserve">  Q2 2026</w:t>
      </w:r>
    </w:p>
    <w:p w14:paraId="6F4E111E" w14:textId="77777777" w:rsidR="003D2D70" w:rsidRDefault="00000000">
      <w:pPr>
        <w:spacing w:after="60"/>
      </w:pPr>
      <w:r>
        <w:rPr>
          <w:rFonts w:ascii="Arial" w:eastAsia="Arial" w:hAnsi="Arial" w:cs="Arial"/>
          <w:b/>
          <w:bCs/>
          <w:sz w:val="22"/>
          <w:szCs w:val="22"/>
        </w:rPr>
        <w:t xml:space="preserve">Newsletter title: </w:t>
      </w:r>
      <w:r>
        <w:rPr>
          <w:rFonts w:ascii="Arial" w:eastAsia="Arial" w:hAnsi="Arial" w:cs="Arial"/>
          <w:sz w:val="22"/>
          <w:szCs w:val="22"/>
        </w:rPr>
        <w:t>The Revenue Cycle Report</w:t>
      </w:r>
    </w:p>
    <w:p w14:paraId="20F39ADF" w14:textId="77777777" w:rsidR="003D2D70" w:rsidRDefault="00000000">
      <w:pPr>
        <w:spacing w:after="60"/>
      </w:pPr>
      <w:r>
        <w:rPr>
          <w:rFonts w:ascii="Arial" w:eastAsia="Arial" w:hAnsi="Arial" w:cs="Arial"/>
          <w:b/>
          <w:bCs/>
          <w:sz w:val="22"/>
          <w:szCs w:val="22"/>
        </w:rPr>
        <w:t xml:space="preserve">Issue date: </w:t>
      </w:r>
      <w:r>
        <w:rPr>
          <w:rFonts w:ascii="Arial" w:eastAsia="Arial" w:hAnsi="Arial" w:cs="Arial"/>
          <w:sz w:val="22"/>
          <w:szCs w:val="22"/>
        </w:rPr>
        <w:t>July 2026</w:t>
      </w:r>
    </w:p>
    <w:p w14:paraId="3C8910F0" w14:textId="77777777" w:rsidR="003D2D70" w:rsidRDefault="00000000">
      <w:pPr>
        <w:spacing w:after="60"/>
      </w:pPr>
      <w:r>
        <w:rPr>
          <w:rFonts w:ascii="Arial" w:eastAsia="Arial" w:hAnsi="Arial" w:cs="Arial"/>
          <w:b/>
          <w:bCs/>
          <w:sz w:val="22"/>
          <w:szCs w:val="22"/>
        </w:rPr>
        <w:t xml:space="preserve">Specialty tag: </w:t>
      </w:r>
      <w:r>
        <w:rPr>
          <w:rFonts w:ascii="Arial" w:eastAsia="Arial" w:hAnsi="Arial" w:cs="Arial"/>
          <w:sz w:val="22"/>
          <w:szCs w:val="22"/>
        </w:rPr>
        <w:t xml:space="preserve">Specialty </w:t>
      </w:r>
      <w:proofErr w:type="gramStart"/>
      <w:r>
        <w:rPr>
          <w:rFonts w:ascii="Arial" w:eastAsia="Arial" w:hAnsi="Arial" w:cs="Arial"/>
          <w:sz w:val="22"/>
          <w:szCs w:val="22"/>
        </w:rPr>
        <w:t>Spotlight  |</w:t>
      </w:r>
      <w:proofErr w:type="gramEnd"/>
      <w:r>
        <w:rPr>
          <w:rFonts w:ascii="Arial" w:eastAsia="Arial" w:hAnsi="Arial" w:cs="Arial"/>
          <w:sz w:val="22"/>
          <w:szCs w:val="22"/>
        </w:rPr>
        <w:t xml:space="preserve">  Cardiology</w:t>
      </w:r>
    </w:p>
    <w:p w14:paraId="715B9C4E" w14:textId="77777777" w:rsidR="003D2D70" w:rsidRDefault="003D2D70">
      <w:pPr>
        <w:spacing w:after="140"/>
      </w:pPr>
    </w:p>
    <w:p w14:paraId="6288435C" w14:textId="77777777" w:rsidR="003D2D70" w:rsidRDefault="00000000">
      <w:pPr>
        <w:spacing w:before="320" w:after="100"/>
      </w:pPr>
      <w:r>
        <w:rPr>
          <w:rFonts w:ascii="Arial" w:eastAsia="Arial" w:hAnsi="Arial" w:cs="Arial"/>
          <w:b/>
          <w:bCs/>
          <w:caps/>
          <w:color w:val="185FA5"/>
          <w:sz w:val="18"/>
          <w:szCs w:val="18"/>
        </w:rPr>
        <w:t>COMPONENT: OPENING PARAGRAPH</w:t>
      </w:r>
    </w:p>
    <w:p w14:paraId="208D1756" w14:textId="77777777" w:rsidR="003D2D70" w:rsidRDefault="00000000">
      <w:pPr>
        <w:spacing w:before="60" w:after="120"/>
      </w:pPr>
      <w:r>
        <w:t xml:space="preserve">This quarter we focus on cardiology — a specialty at the epicenter of the most consequential coding overhaul in over a decade. The 2026 CPT changes weren't just an update. They rewired how interventional, diagnostic, and EP services are reported, valued, and paid. Six months in, the practices </w:t>
      </w:r>
      <w:proofErr w:type="gramStart"/>
      <w:r>
        <w:t>that</w:t>
      </w:r>
      <w:proofErr w:type="gramEnd"/>
      <w:r>
        <w:t xml:space="preserve"> prepared are pulling ahead. Those that didn't are living in their AR reports.</w:t>
      </w:r>
    </w:p>
    <w:p w14:paraId="5FC4FBD5" w14:textId="77777777" w:rsidR="003D2D70" w:rsidRDefault="003D2D70">
      <w:pPr>
        <w:spacing w:after="140"/>
      </w:pPr>
    </w:p>
    <w:p w14:paraId="22FE000F" w14:textId="77777777" w:rsidR="003D2D70" w:rsidRDefault="00000000">
      <w:pPr>
        <w:spacing w:before="320" w:after="100"/>
      </w:pPr>
      <w:r>
        <w:rPr>
          <w:rFonts w:ascii="Arial" w:eastAsia="Arial" w:hAnsi="Arial" w:cs="Arial"/>
          <w:b/>
          <w:bCs/>
          <w:caps/>
          <w:color w:val="185FA5"/>
          <w:sz w:val="18"/>
          <w:szCs w:val="18"/>
        </w:rPr>
        <w:t>COMPONENT: SCENARIO BLOCK</w:t>
      </w:r>
    </w:p>
    <w:p w14:paraId="05550596"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t>DEV NOTE: Left-bordered callout. Background #F4F6F8. Left border 3px solid #185FA5. Padding 16px 20px. Label 'A SCENARIO FROM THE FIELD' in 11px uppercase muted above italic body text.</w:t>
      </w:r>
    </w:p>
    <w:p w14:paraId="29C3FF92" w14:textId="77777777" w:rsidR="003D2D70" w:rsidRDefault="00000000">
      <w:pPr>
        <w:pBdr>
          <w:left w:val="thick" w:sz="20" w:space="10" w:color="185FA5"/>
        </w:pBdr>
        <w:shd w:val="clear" w:color="auto" w:fill="F4F6F8"/>
        <w:spacing w:before="80" w:after="80"/>
        <w:ind w:left="400"/>
      </w:pPr>
      <w:r>
        <w:rPr>
          <w:i/>
          <w:iCs/>
          <w:sz w:val="22"/>
          <w:szCs w:val="22"/>
        </w:rPr>
        <w:t>A four-physician interventional cardiology group has been billing PCI the same way for years. When the 2026 code changes took effect, their coders recognized the new complex PCI codes but weren't trained on the revised documentation requirements — specifically, that operative reports must now describe lesion location, vessel segments, and bifurcation involvement with enough specificity to support the new code family. Three months in, they're seeing a spike in technical denials and partial payments. The procedures are more complex than ever. The revenue doesn't reflect it.</w:t>
      </w:r>
    </w:p>
    <w:p w14:paraId="5F3040BB" w14:textId="77777777" w:rsidR="003D2D70" w:rsidRDefault="003D2D70">
      <w:pPr>
        <w:spacing w:after="140"/>
      </w:pPr>
    </w:p>
    <w:p w14:paraId="593024B7" w14:textId="77777777" w:rsidR="003D2D70" w:rsidRDefault="00000000">
      <w:pPr>
        <w:spacing w:before="320" w:after="100"/>
      </w:pPr>
      <w:r>
        <w:rPr>
          <w:rFonts w:ascii="Arial" w:eastAsia="Arial" w:hAnsi="Arial" w:cs="Arial"/>
          <w:b/>
          <w:bCs/>
          <w:caps/>
          <w:color w:val="185FA5"/>
          <w:sz w:val="18"/>
          <w:szCs w:val="18"/>
        </w:rPr>
        <w:t>COMPONENT: BODY NARRATIVE — 2 PARAGRAPHS</w:t>
      </w:r>
    </w:p>
    <w:p w14:paraId="26FD7811" w14:textId="77777777" w:rsidR="003D2D70" w:rsidRDefault="00000000">
      <w:pPr>
        <w:spacing w:before="60" w:after="120"/>
      </w:pPr>
      <w:r>
        <w:lastRenderedPageBreak/>
        <w:t xml:space="preserve">This is the story of 2026 for cardiology practices: a year where doing the right clinical work is no longer enough. The coding infrastructure behind that work </w:t>
      </w:r>
      <w:proofErr w:type="gramStart"/>
      <w:r>
        <w:t>has to</w:t>
      </w:r>
      <w:proofErr w:type="gramEnd"/>
      <w:r>
        <w:t xml:space="preserve"> keep up — or revenue quietly leaks out through downcodes, denials, and missed complexity capture.</w:t>
      </w:r>
    </w:p>
    <w:p w14:paraId="64F3FA1E" w14:textId="77777777" w:rsidR="003D2D70" w:rsidRDefault="00000000">
      <w:pPr>
        <w:spacing w:before="60" w:after="120"/>
      </w:pPr>
      <w:r>
        <w:t xml:space="preserve">The 2026 changes didn't arrive in a vacuum. They land on top of the 2.5% efficiency adjustment cutting procedural RVUs, a mandatory new heart failure payment model for cardiologists in major metro areas, and the </w:t>
      </w:r>
      <w:proofErr w:type="spellStart"/>
      <w:r>
        <w:t>WISeR</w:t>
      </w:r>
      <w:proofErr w:type="spellEnd"/>
      <w:r>
        <w:t xml:space="preserve"> AI prior authorization pilot running in Arizona, New Jersey, Ohio, Oklahoma, Texas, and Washington. For cardiology practices in the Southwest, this isn't an abstract policy conversation. It's this quarter's cash flow.</w:t>
      </w:r>
    </w:p>
    <w:p w14:paraId="7ECF37D9" w14:textId="77777777" w:rsidR="003D2D70" w:rsidRDefault="003D2D70">
      <w:pPr>
        <w:spacing w:after="140"/>
      </w:pPr>
    </w:p>
    <w:p w14:paraId="6E9E6FB3" w14:textId="77777777" w:rsidR="003D2D70" w:rsidRDefault="00000000">
      <w:pPr>
        <w:spacing w:before="320" w:after="100"/>
      </w:pPr>
      <w:r>
        <w:rPr>
          <w:rFonts w:ascii="Arial" w:eastAsia="Arial" w:hAnsi="Arial" w:cs="Arial"/>
          <w:b/>
          <w:bCs/>
          <w:caps/>
          <w:color w:val="185FA5"/>
          <w:sz w:val="18"/>
          <w:szCs w:val="18"/>
        </w:rPr>
        <w:t>COMPONENT: PRESSURE NUGGETS — 4 CARDS</w:t>
      </w:r>
    </w:p>
    <w:p w14:paraId="4F300735"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t xml:space="preserve">DEV NOTE: Each nugget = a card with colored left-border accent (4px), tag label (11px uppercase, accent color), bold title (14px), body text (13px), stat pill (12px, accent color </w:t>
      </w:r>
      <w:proofErr w:type="spellStart"/>
      <w:r>
        <w:rPr>
          <w:rFonts w:ascii="Arial" w:eastAsia="Arial" w:hAnsi="Arial" w:cs="Arial"/>
          <w:i/>
          <w:iCs/>
          <w:color w:val="92400E"/>
          <w:sz w:val="20"/>
          <w:szCs w:val="20"/>
        </w:rPr>
        <w:t>bg</w:t>
      </w:r>
      <w:proofErr w:type="spellEnd"/>
      <w:r>
        <w:rPr>
          <w:rFonts w:ascii="Arial" w:eastAsia="Arial" w:hAnsi="Arial" w:cs="Arial"/>
          <w:i/>
          <w:iCs/>
          <w:color w:val="92400E"/>
          <w:sz w:val="20"/>
          <w:szCs w:val="20"/>
        </w:rPr>
        <w:t>-light, accent color text). Gap between cards 12px. Background #FAFAFA.</w:t>
      </w:r>
    </w:p>
    <w:p w14:paraId="00916CBA" w14:textId="77777777" w:rsidR="003D2D70" w:rsidRDefault="003D2D70">
      <w:pPr>
        <w:spacing w:after="140"/>
      </w:pPr>
    </w:p>
    <w:p w14:paraId="6604C155" w14:textId="77777777" w:rsidR="003D2D70" w:rsidRDefault="00000000">
      <w:pPr>
        <w:pStyle w:val="Heading2"/>
      </w:pPr>
      <w:r>
        <w:rPr>
          <w:color w:val="A32D2D"/>
          <w:sz w:val="22"/>
          <w:szCs w:val="22"/>
        </w:rPr>
        <w:t>Nugget 1 — Coding volume</w:t>
      </w:r>
    </w:p>
    <w:p w14:paraId="5F79C8B3" w14:textId="77777777" w:rsidR="003D2D70" w:rsidRDefault="00000000">
      <w:pPr>
        <w:spacing w:before="80" w:after="40"/>
      </w:pPr>
      <w:r>
        <w:rPr>
          <w:rFonts w:ascii="Arial" w:eastAsia="Arial" w:hAnsi="Arial" w:cs="Arial"/>
          <w:b/>
          <w:bCs/>
          <w:color w:val="A32D2D"/>
          <w:sz w:val="16"/>
          <w:szCs w:val="16"/>
        </w:rPr>
        <w:t>CODING VOLUME</w:t>
      </w:r>
    </w:p>
    <w:p w14:paraId="5E1552C4" w14:textId="77777777" w:rsidR="003D2D70" w:rsidRDefault="00000000">
      <w:pPr>
        <w:spacing w:after="40"/>
      </w:pPr>
      <w:r>
        <w:rPr>
          <w:rFonts w:ascii="Arial" w:eastAsia="Arial" w:hAnsi="Arial" w:cs="Arial"/>
          <w:b/>
          <w:bCs/>
          <w:sz w:val="22"/>
          <w:szCs w:val="22"/>
        </w:rPr>
        <w:t>418 CPT changes — cardiology bears the biggest burden</w:t>
      </w:r>
    </w:p>
    <w:p w14:paraId="73151DF0" w14:textId="77777777" w:rsidR="003D2D70" w:rsidRDefault="00000000">
      <w:pPr>
        <w:spacing w:after="40"/>
      </w:pPr>
      <w:r>
        <w:rPr>
          <w:sz w:val="22"/>
          <w:szCs w:val="22"/>
        </w:rPr>
        <w:t xml:space="preserve">The 2026 CPT set brought 288 new codes, 84 deletions, and 46 revisions. Cardiology is disproportionately affected. The PCI family was fully restructured — legacy add-on codes eliminated, new complex PCI and chronic total occlusion (CTO) codes added, and lower extremity revascularization expanded from 16 codes to 46. Every change requires updated coder training, documentation workflows, and billing system configuration. Practices that haven't audited their claims since January are likely </w:t>
      </w:r>
      <w:proofErr w:type="spellStart"/>
      <w:r>
        <w:rPr>
          <w:sz w:val="22"/>
          <w:szCs w:val="22"/>
        </w:rPr>
        <w:t>undercoding</w:t>
      </w:r>
      <w:proofErr w:type="spellEnd"/>
      <w:r>
        <w:rPr>
          <w:sz w:val="22"/>
          <w:szCs w:val="22"/>
        </w:rPr>
        <w:t xml:space="preserve"> complex cases.</w:t>
      </w:r>
    </w:p>
    <w:p w14:paraId="0C2A803E" w14:textId="77777777" w:rsidR="003D2D70" w:rsidRDefault="00000000">
      <w:pPr>
        <w:spacing w:before="40" w:after="120"/>
      </w:pPr>
      <w:proofErr w:type="gramStart"/>
      <w:r>
        <w:rPr>
          <w:rFonts w:ascii="Arial" w:eastAsia="Arial" w:hAnsi="Arial" w:cs="Arial"/>
          <w:b/>
          <w:bCs/>
          <w:color w:val="A32D2D"/>
          <w:sz w:val="20"/>
          <w:szCs w:val="20"/>
        </w:rPr>
        <w:t>▸  LER</w:t>
      </w:r>
      <w:proofErr w:type="gramEnd"/>
      <w:r>
        <w:rPr>
          <w:rFonts w:ascii="Arial" w:eastAsia="Arial" w:hAnsi="Arial" w:cs="Arial"/>
          <w:b/>
          <w:bCs/>
          <w:color w:val="A32D2D"/>
          <w:sz w:val="20"/>
          <w:szCs w:val="20"/>
        </w:rPr>
        <w:t xml:space="preserve"> codes: 16 → </w:t>
      </w:r>
      <w:proofErr w:type="gramStart"/>
      <w:r>
        <w:rPr>
          <w:rFonts w:ascii="Arial" w:eastAsia="Arial" w:hAnsi="Arial" w:cs="Arial"/>
          <w:b/>
          <w:bCs/>
          <w:color w:val="A32D2D"/>
          <w:sz w:val="20"/>
          <w:szCs w:val="20"/>
        </w:rPr>
        <w:t>46  |</w:t>
      </w:r>
      <w:proofErr w:type="gramEnd"/>
      <w:r>
        <w:rPr>
          <w:rFonts w:ascii="Arial" w:eastAsia="Arial" w:hAnsi="Arial" w:cs="Arial"/>
          <w:b/>
          <w:bCs/>
          <w:color w:val="A32D2D"/>
          <w:sz w:val="20"/>
          <w:szCs w:val="20"/>
        </w:rPr>
        <w:t xml:space="preserve">  Complex PCI: new dedicated code family</w:t>
      </w:r>
    </w:p>
    <w:p w14:paraId="55868E55" w14:textId="77777777" w:rsidR="003D2D70" w:rsidRDefault="003D2D70">
      <w:pPr>
        <w:pBdr>
          <w:bottom w:val="single" w:sz="2" w:space="0" w:color="DDDDDD"/>
        </w:pBdr>
        <w:spacing w:after="120"/>
      </w:pPr>
    </w:p>
    <w:p w14:paraId="260F3B7B" w14:textId="77777777" w:rsidR="003D2D70" w:rsidRDefault="00000000">
      <w:pPr>
        <w:pStyle w:val="Heading2"/>
      </w:pPr>
      <w:r>
        <w:rPr>
          <w:color w:val="3C3489"/>
          <w:sz w:val="22"/>
          <w:szCs w:val="22"/>
        </w:rPr>
        <w:t>Nugget 2 — Site of service</w:t>
      </w:r>
    </w:p>
    <w:p w14:paraId="3169A70A" w14:textId="77777777" w:rsidR="003D2D70" w:rsidRDefault="00000000">
      <w:pPr>
        <w:spacing w:before="80" w:after="40"/>
      </w:pPr>
      <w:r>
        <w:rPr>
          <w:rFonts w:ascii="Arial" w:eastAsia="Arial" w:hAnsi="Arial" w:cs="Arial"/>
          <w:b/>
          <w:bCs/>
          <w:color w:val="3C3489"/>
          <w:sz w:val="16"/>
          <w:szCs w:val="16"/>
        </w:rPr>
        <w:t>SITE OF SERVICE</w:t>
      </w:r>
    </w:p>
    <w:p w14:paraId="3D39FDCE" w14:textId="77777777" w:rsidR="003D2D70" w:rsidRDefault="00000000">
      <w:pPr>
        <w:spacing w:after="40"/>
      </w:pPr>
      <w:r>
        <w:rPr>
          <w:rFonts w:ascii="Arial" w:eastAsia="Arial" w:hAnsi="Arial" w:cs="Arial"/>
          <w:b/>
          <w:bCs/>
          <w:sz w:val="22"/>
          <w:szCs w:val="22"/>
        </w:rPr>
        <w:t xml:space="preserve">Facility-based cardiology services </w:t>
      </w:r>
      <w:proofErr w:type="gramStart"/>
      <w:r>
        <w:rPr>
          <w:rFonts w:ascii="Arial" w:eastAsia="Arial" w:hAnsi="Arial" w:cs="Arial"/>
          <w:b/>
          <w:bCs/>
          <w:sz w:val="22"/>
          <w:szCs w:val="22"/>
        </w:rPr>
        <w:t>down</w:t>
      </w:r>
      <w:proofErr w:type="gramEnd"/>
      <w:r>
        <w:rPr>
          <w:rFonts w:ascii="Arial" w:eastAsia="Arial" w:hAnsi="Arial" w:cs="Arial"/>
          <w:b/>
          <w:bCs/>
          <w:sz w:val="22"/>
          <w:szCs w:val="22"/>
        </w:rPr>
        <w:t xml:space="preserve"> </w:t>
      </w:r>
      <w:proofErr w:type="gramStart"/>
      <w:r>
        <w:rPr>
          <w:rFonts w:ascii="Arial" w:eastAsia="Arial" w:hAnsi="Arial" w:cs="Arial"/>
          <w:b/>
          <w:bCs/>
          <w:sz w:val="22"/>
          <w:szCs w:val="22"/>
        </w:rPr>
        <w:t>7% —</w:t>
      </w:r>
      <w:proofErr w:type="gramEnd"/>
      <w:r>
        <w:rPr>
          <w:rFonts w:ascii="Arial" w:eastAsia="Arial" w:hAnsi="Arial" w:cs="Arial"/>
          <w:b/>
          <w:bCs/>
          <w:sz w:val="22"/>
          <w:szCs w:val="22"/>
        </w:rPr>
        <w:t xml:space="preserve"> office-based up 5%</w:t>
      </w:r>
    </w:p>
    <w:p w14:paraId="74CA9323" w14:textId="77777777" w:rsidR="003D2D70" w:rsidRDefault="00000000">
      <w:pPr>
        <w:spacing w:after="40"/>
      </w:pPr>
      <w:r>
        <w:rPr>
          <w:sz w:val="22"/>
          <w:szCs w:val="22"/>
        </w:rPr>
        <w:t xml:space="preserve">The 2026 fee schedule's </w:t>
      </w:r>
      <w:proofErr w:type="gramStart"/>
      <w:r>
        <w:rPr>
          <w:sz w:val="22"/>
          <w:szCs w:val="22"/>
        </w:rPr>
        <w:t>practice expense</w:t>
      </w:r>
      <w:proofErr w:type="gramEnd"/>
      <w:r>
        <w:rPr>
          <w:sz w:val="22"/>
          <w:szCs w:val="22"/>
        </w:rPr>
        <w:t xml:space="preserve"> recalibration hit facility-based cardiovascular services hard. Pacemaker implants, TAVR, PCI, and ablation performed in hospital settings saw indirect practice expense reductions of roughly 10%. Meanwhile, office-based non-facility services received a 5% bump. For cardiology groups splitting work between employed hospital settings and independent ASCs or offices, the site-of-service math has materially shifted. The good news: cardiac catheter ablation was added to the ASC covered procedures list — a long-advocated win creating new volume and revenue opportunity in the outpatient setting.</w:t>
      </w:r>
    </w:p>
    <w:p w14:paraId="1A7B949D" w14:textId="77777777" w:rsidR="003D2D70" w:rsidRDefault="00000000">
      <w:pPr>
        <w:spacing w:before="40" w:after="120"/>
      </w:pPr>
      <w:proofErr w:type="gramStart"/>
      <w:r>
        <w:rPr>
          <w:rFonts w:ascii="Arial" w:eastAsia="Arial" w:hAnsi="Arial" w:cs="Arial"/>
          <w:b/>
          <w:bCs/>
          <w:color w:val="3C3489"/>
          <w:sz w:val="20"/>
          <w:szCs w:val="20"/>
        </w:rPr>
        <w:t>▸  Facility</w:t>
      </w:r>
      <w:proofErr w:type="gramEnd"/>
      <w:r>
        <w:rPr>
          <w:rFonts w:ascii="Arial" w:eastAsia="Arial" w:hAnsi="Arial" w:cs="Arial"/>
          <w:b/>
          <w:bCs/>
          <w:color w:val="3C3489"/>
          <w:sz w:val="20"/>
          <w:szCs w:val="20"/>
        </w:rPr>
        <w:t>-based: −7</w:t>
      </w:r>
      <w:proofErr w:type="gramStart"/>
      <w:r>
        <w:rPr>
          <w:rFonts w:ascii="Arial" w:eastAsia="Arial" w:hAnsi="Arial" w:cs="Arial"/>
          <w:b/>
          <w:bCs/>
          <w:color w:val="3C3489"/>
          <w:sz w:val="20"/>
          <w:szCs w:val="20"/>
        </w:rPr>
        <w:t>%  |</w:t>
      </w:r>
      <w:proofErr w:type="gramEnd"/>
      <w:r>
        <w:rPr>
          <w:rFonts w:ascii="Arial" w:eastAsia="Arial" w:hAnsi="Arial" w:cs="Arial"/>
          <w:b/>
          <w:bCs/>
          <w:color w:val="3C3489"/>
          <w:sz w:val="20"/>
          <w:szCs w:val="20"/>
        </w:rPr>
        <w:t xml:space="preserve">  </w:t>
      </w:r>
      <w:proofErr w:type="gramStart"/>
      <w:r>
        <w:rPr>
          <w:rFonts w:ascii="Arial" w:eastAsia="Arial" w:hAnsi="Arial" w:cs="Arial"/>
          <w:b/>
          <w:bCs/>
          <w:color w:val="3C3489"/>
          <w:sz w:val="20"/>
          <w:szCs w:val="20"/>
        </w:rPr>
        <w:t>Non-facility</w:t>
      </w:r>
      <w:proofErr w:type="gramEnd"/>
      <w:r>
        <w:rPr>
          <w:rFonts w:ascii="Arial" w:eastAsia="Arial" w:hAnsi="Arial" w:cs="Arial"/>
          <w:b/>
          <w:bCs/>
          <w:color w:val="3C3489"/>
          <w:sz w:val="20"/>
          <w:szCs w:val="20"/>
        </w:rPr>
        <w:t>: +5</w:t>
      </w:r>
      <w:proofErr w:type="gramStart"/>
      <w:r>
        <w:rPr>
          <w:rFonts w:ascii="Arial" w:eastAsia="Arial" w:hAnsi="Arial" w:cs="Arial"/>
          <w:b/>
          <w:bCs/>
          <w:color w:val="3C3489"/>
          <w:sz w:val="20"/>
          <w:szCs w:val="20"/>
        </w:rPr>
        <w:t>%  |</w:t>
      </w:r>
      <w:proofErr w:type="gramEnd"/>
      <w:r>
        <w:rPr>
          <w:rFonts w:ascii="Arial" w:eastAsia="Arial" w:hAnsi="Arial" w:cs="Arial"/>
          <w:b/>
          <w:bCs/>
          <w:color w:val="3C3489"/>
          <w:sz w:val="20"/>
          <w:szCs w:val="20"/>
        </w:rPr>
        <w:t xml:space="preserve">  Ablation now covered in ASC</w:t>
      </w:r>
    </w:p>
    <w:p w14:paraId="1200F7EC" w14:textId="77777777" w:rsidR="003D2D70" w:rsidRDefault="003D2D70">
      <w:pPr>
        <w:pBdr>
          <w:bottom w:val="single" w:sz="2" w:space="0" w:color="DDDDDD"/>
        </w:pBdr>
        <w:spacing w:after="120"/>
      </w:pPr>
    </w:p>
    <w:p w14:paraId="4A33C4A4" w14:textId="77777777" w:rsidR="003D2D70" w:rsidRDefault="00000000">
      <w:pPr>
        <w:pStyle w:val="Heading2"/>
      </w:pPr>
      <w:r>
        <w:rPr>
          <w:color w:val="A32D2D"/>
          <w:sz w:val="22"/>
          <w:szCs w:val="22"/>
        </w:rPr>
        <w:t>Nugget 3 — Mandatory risk model</w:t>
      </w:r>
    </w:p>
    <w:p w14:paraId="3F0BB25A" w14:textId="77777777" w:rsidR="003D2D70" w:rsidRDefault="00000000">
      <w:pPr>
        <w:spacing w:before="80" w:after="40"/>
      </w:pPr>
      <w:r>
        <w:rPr>
          <w:rFonts w:ascii="Arial" w:eastAsia="Arial" w:hAnsi="Arial" w:cs="Arial"/>
          <w:b/>
          <w:bCs/>
          <w:color w:val="A32D2D"/>
          <w:sz w:val="16"/>
          <w:szCs w:val="16"/>
        </w:rPr>
        <w:t>MANDATORY RISK MODEL</w:t>
      </w:r>
    </w:p>
    <w:p w14:paraId="3EC5FA51" w14:textId="77777777" w:rsidR="003D2D70" w:rsidRDefault="00000000">
      <w:pPr>
        <w:spacing w:after="40"/>
      </w:pPr>
      <w:r>
        <w:rPr>
          <w:rFonts w:ascii="Arial" w:eastAsia="Arial" w:hAnsi="Arial" w:cs="Arial"/>
          <w:b/>
          <w:bCs/>
          <w:sz w:val="22"/>
          <w:szCs w:val="22"/>
        </w:rPr>
        <w:t>The Ambulatory Specialty Model — a mandatory risk arrangement for heart failure</w:t>
      </w:r>
    </w:p>
    <w:p w14:paraId="4C20C42D" w14:textId="77777777" w:rsidR="003D2D70" w:rsidRDefault="00000000">
      <w:pPr>
        <w:spacing w:after="40"/>
      </w:pPr>
      <w:r>
        <w:rPr>
          <w:sz w:val="22"/>
          <w:szCs w:val="22"/>
        </w:rPr>
        <w:t xml:space="preserve">CMS finalized a mandatory five-year Ambulatory Specialty Model (ASM) for heart failure, affecting cardiologists in selected metro areas who treated at least 20 traditional Medicare HF patients. It's a two-sided risk arrangement: payment adjustments of −9% to +9% on Medicare Part B reimbursements in the first payment year. This isn't optional — it's mandatory. Practices in qualifying CBSAs that haven't mapped their </w:t>
      </w:r>
      <w:r>
        <w:rPr>
          <w:sz w:val="22"/>
          <w:szCs w:val="22"/>
        </w:rPr>
        <w:lastRenderedPageBreak/>
        <w:t>HF patient panel, tracked quality metrics, or stress-tested financials under the downside risk scenario are flying blind.</w:t>
      </w:r>
    </w:p>
    <w:p w14:paraId="2012C884" w14:textId="77777777" w:rsidR="003D2D70" w:rsidRDefault="00000000">
      <w:pPr>
        <w:spacing w:before="40" w:after="120"/>
      </w:pPr>
      <w:proofErr w:type="gramStart"/>
      <w:r>
        <w:rPr>
          <w:rFonts w:ascii="Arial" w:eastAsia="Arial" w:hAnsi="Arial" w:cs="Arial"/>
          <w:b/>
          <w:bCs/>
          <w:color w:val="A32D2D"/>
          <w:sz w:val="20"/>
          <w:szCs w:val="20"/>
        </w:rPr>
        <w:t>▸  Risk</w:t>
      </w:r>
      <w:proofErr w:type="gramEnd"/>
      <w:r>
        <w:rPr>
          <w:rFonts w:ascii="Arial" w:eastAsia="Arial" w:hAnsi="Arial" w:cs="Arial"/>
          <w:b/>
          <w:bCs/>
          <w:color w:val="A32D2D"/>
          <w:sz w:val="20"/>
          <w:szCs w:val="20"/>
        </w:rPr>
        <w:t xml:space="preserve"> range: −9% to +9% on Part </w:t>
      </w:r>
      <w:proofErr w:type="gramStart"/>
      <w:r>
        <w:rPr>
          <w:rFonts w:ascii="Arial" w:eastAsia="Arial" w:hAnsi="Arial" w:cs="Arial"/>
          <w:b/>
          <w:bCs/>
          <w:color w:val="A32D2D"/>
          <w:sz w:val="20"/>
          <w:szCs w:val="20"/>
        </w:rPr>
        <w:t>B  |</w:t>
      </w:r>
      <w:proofErr w:type="gramEnd"/>
      <w:r>
        <w:rPr>
          <w:rFonts w:ascii="Arial" w:eastAsia="Arial" w:hAnsi="Arial" w:cs="Arial"/>
          <w:b/>
          <w:bCs/>
          <w:color w:val="A32D2D"/>
          <w:sz w:val="20"/>
          <w:szCs w:val="20"/>
        </w:rPr>
        <w:t xml:space="preserve">  Five-year mandatory term</w:t>
      </w:r>
    </w:p>
    <w:p w14:paraId="0BA34573" w14:textId="77777777" w:rsidR="003D2D70" w:rsidRDefault="003D2D70">
      <w:pPr>
        <w:pBdr>
          <w:bottom w:val="single" w:sz="2" w:space="0" w:color="DDDDDD"/>
        </w:pBdr>
        <w:spacing w:after="120"/>
      </w:pPr>
    </w:p>
    <w:p w14:paraId="11AC09EC" w14:textId="77777777" w:rsidR="003D2D70" w:rsidRDefault="00000000">
      <w:pPr>
        <w:pStyle w:val="Heading2"/>
      </w:pPr>
      <w:r>
        <w:rPr>
          <w:color w:val="3B6D11"/>
          <w:sz w:val="22"/>
          <w:szCs w:val="22"/>
        </w:rPr>
        <w:t>Nugget 4 — Opportunity</w:t>
      </w:r>
    </w:p>
    <w:p w14:paraId="10055E9B" w14:textId="77777777" w:rsidR="003D2D70" w:rsidRDefault="00000000">
      <w:pPr>
        <w:spacing w:before="80" w:after="40"/>
      </w:pPr>
      <w:r>
        <w:rPr>
          <w:rFonts w:ascii="Arial" w:eastAsia="Arial" w:hAnsi="Arial" w:cs="Arial"/>
          <w:b/>
          <w:bCs/>
          <w:color w:val="3B6D11"/>
          <w:sz w:val="16"/>
          <w:szCs w:val="16"/>
        </w:rPr>
        <w:t>OPPORTUNITY</w:t>
      </w:r>
    </w:p>
    <w:p w14:paraId="390B18CE" w14:textId="77777777" w:rsidR="003D2D70" w:rsidRDefault="00000000">
      <w:pPr>
        <w:spacing w:after="40"/>
      </w:pPr>
      <w:r>
        <w:rPr>
          <w:rFonts w:ascii="Arial" w:eastAsia="Arial" w:hAnsi="Arial" w:cs="Arial"/>
          <w:b/>
          <w:bCs/>
          <w:sz w:val="22"/>
          <w:szCs w:val="22"/>
        </w:rPr>
        <w:t>Remote physiologic monitoring — a genuine revenue expansion</w:t>
      </w:r>
    </w:p>
    <w:p w14:paraId="79C36F06" w14:textId="77777777" w:rsidR="003D2D70" w:rsidRDefault="00000000">
      <w:pPr>
        <w:spacing w:after="40"/>
      </w:pPr>
      <w:r>
        <w:rPr>
          <w:sz w:val="22"/>
          <w:szCs w:val="22"/>
        </w:rPr>
        <w:t>New RPM codes for 2026 — including 99445 and 99470 — expand what cardiology practices can bill for device data capture and real-time patient interaction, with lower minimum-day thresholds than before. For practices managing patients with implanted devices, wearables, or remote cardiac monitors, this is recurring monthly revenue most groups are leaving uncaptured. Combined with the AI-coronary plaque assessment code now elevated to Category I, technology-enabled services are being recognized in ways they weren't two years ago.</w:t>
      </w:r>
    </w:p>
    <w:p w14:paraId="5987315D" w14:textId="77777777" w:rsidR="003D2D70" w:rsidRDefault="00000000">
      <w:pPr>
        <w:spacing w:before="40" w:after="120"/>
      </w:pPr>
      <w:proofErr w:type="gramStart"/>
      <w:r>
        <w:rPr>
          <w:rFonts w:ascii="Arial" w:eastAsia="Arial" w:hAnsi="Arial" w:cs="Arial"/>
          <w:b/>
          <w:bCs/>
          <w:color w:val="3B6D11"/>
          <w:sz w:val="20"/>
          <w:szCs w:val="20"/>
        </w:rPr>
        <w:t>▸  New</w:t>
      </w:r>
      <w:proofErr w:type="gramEnd"/>
      <w:r>
        <w:rPr>
          <w:rFonts w:ascii="Arial" w:eastAsia="Arial" w:hAnsi="Arial" w:cs="Arial"/>
          <w:b/>
          <w:bCs/>
          <w:color w:val="3B6D11"/>
          <w:sz w:val="20"/>
          <w:szCs w:val="20"/>
        </w:rPr>
        <w:t xml:space="preserve"> RPM codes lower threshold to 2 days vs. prior 16-day minimum</w:t>
      </w:r>
    </w:p>
    <w:p w14:paraId="327DA41D" w14:textId="77777777" w:rsidR="003D2D70" w:rsidRDefault="003D2D70">
      <w:pPr>
        <w:pBdr>
          <w:bottom w:val="single" w:sz="2" w:space="0" w:color="DDDDDD"/>
        </w:pBdr>
        <w:spacing w:after="120"/>
      </w:pPr>
    </w:p>
    <w:p w14:paraId="190DB285" w14:textId="77777777" w:rsidR="003D2D70" w:rsidRDefault="003D2D70">
      <w:pPr>
        <w:spacing w:after="280"/>
      </w:pPr>
    </w:p>
    <w:p w14:paraId="3D8664D2" w14:textId="77777777" w:rsidR="003D2D70" w:rsidRDefault="00000000">
      <w:pPr>
        <w:spacing w:before="320" w:after="100"/>
      </w:pPr>
      <w:r>
        <w:rPr>
          <w:rFonts w:ascii="Arial" w:eastAsia="Arial" w:hAnsi="Arial" w:cs="Arial"/>
          <w:b/>
          <w:bCs/>
          <w:caps/>
          <w:color w:val="185FA5"/>
          <w:sz w:val="18"/>
          <w:szCs w:val="18"/>
        </w:rPr>
        <w:t>COMPONENT: RCM ACTIONS — 3 ITEMS</w:t>
      </w:r>
    </w:p>
    <w:p w14:paraId="67D69139"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t>DEV NOTE: Lightly shaded block (</w:t>
      </w:r>
      <w:proofErr w:type="spellStart"/>
      <w:r>
        <w:rPr>
          <w:rFonts w:ascii="Arial" w:eastAsia="Arial" w:hAnsi="Arial" w:cs="Arial"/>
          <w:i/>
          <w:iCs/>
          <w:color w:val="92400E"/>
          <w:sz w:val="20"/>
          <w:szCs w:val="20"/>
        </w:rPr>
        <w:t>bg</w:t>
      </w:r>
      <w:proofErr w:type="spellEnd"/>
      <w:r>
        <w:rPr>
          <w:rFonts w:ascii="Arial" w:eastAsia="Arial" w:hAnsi="Arial" w:cs="Arial"/>
          <w:i/>
          <w:iCs/>
          <w:color w:val="92400E"/>
          <w:sz w:val="20"/>
          <w:szCs w:val="20"/>
        </w:rPr>
        <w:t xml:space="preserve"> #F4F6F8, border-radius 12px, padding 16px). Each action: circle number badge (Navy </w:t>
      </w:r>
      <w:proofErr w:type="spellStart"/>
      <w:r>
        <w:rPr>
          <w:rFonts w:ascii="Arial" w:eastAsia="Arial" w:hAnsi="Arial" w:cs="Arial"/>
          <w:i/>
          <w:iCs/>
          <w:color w:val="92400E"/>
          <w:sz w:val="20"/>
          <w:szCs w:val="20"/>
        </w:rPr>
        <w:t>bg</w:t>
      </w:r>
      <w:proofErr w:type="spellEnd"/>
      <w:r>
        <w:rPr>
          <w:rFonts w:ascii="Arial" w:eastAsia="Arial" w:hAnsi="Arial" w:cs="Arial"/>
          <w:i/>
          <w:iCs/>
          <w:color w:val="92400E"/>
          <w:sz w:val="20"/>
          <w:szCs w:val="20"/>
        </w:rPr>
        <w:t>, white text, 22px diameter), bold lead-in title, 2-3 sentence body. Gap between actions 16px.</w:t>
      </w:r>
    </w:p>
    <w:p w14:paraId="2D8E15BE" w14:textId="77777777" w:rsidR="003D2D70" w:rsidRDefault="003D2D70">
      <w:pPr>
        <w:spacing w:after="140"/>
      </w:pPr>
    </w:p>
    <w:p w14:paraId="3EE4F24A" w14:textId="77777777" w:rsidR="003D2D70" w:rsidRDefault="00000000">
      <w:pPr>
        <w:spacing w:before="120" w:after="40"/>
      </w:pPr>
      <w:r>
        <w:rPr>
          <w:rFonts w:ascii="Arial" w:eastAsia="Arial" w:hAnsi="Arial" w:cs="Arial"/>
          <w:b/>
          <w:bCs/>
          <w:color w:val="1B3A6B"/>
        </w:rPr>
        <w:t>1</w:t>
      </w:r>
      <w:proofErr w:type="gramStart"/>
      <w:r>
        <w:rPr>
          <w:rFonts w:ascii="Arial" w:eastAsia="Arial" w:hAnsi="Arial" w:cs="Arial"/>
          <w:b/>
          <w:bCs/>
          <w:color w:val="1B3A6B"/>
        </w:rPr>
        <w:t>.  Run</w:t>
      </w:r>
      <w:proofErr w:type="gramEnd"/>
      <w:r>
        <w:rPr>
          <w:rFonts w:ascii="Arial" w:eastAsia="Arial" w:hAnsi="Arial" w:cs="Arial"/>
          <w:b/>
          <w:bCs/>
          <w:color w:val="1B3A6B"/>
        </w:rPr>
        <w:t xml:space="preserve"> a mid-year PCI and LER coding audit — immediately.</w:t>
      </w:r>
    </w:p>
    <w:p w14:paraId="702FD9AC" w14:textId="77777777" w:rsidR="003D2D70" w:rsidRDefault="00000000">
      <w:pPr>
        <w:spacing w:after="120"/>
        <w:ind w:left="480"/>
      </w:pPr>
      <w:r>
        <w:rPr>
          <w:sz w:val="23"/>
          <w:szCs w:val="23"/>
        </w:rPr>
        <w:t xml:space="preserve">Six months of claims under the new code structure is enough data to reveal patterns. Pull your interventional claims from January through June. Are complex PCI cases being coded to the new complexity codes or defaulting to the old simple-stent code? Are LER procedures landing in the right one of the 46 new categories? </w:t>
      </w:r>
      <w:proofErr w:type="spellStart"/>
      <w:r>
        <w:rPr>
          <w:sz w:val="23"/>
          <w:szCs w:val="23"/>
        </w:rPr>
        <w:t>Undercoding</w:t>
      </w:r>
      <w:proofErr w:type="spellEnd"/>
      <w:r>
        <w:rPr>
          <w:sz w:val="23"/>
          <w:szCs w:val="23"/>
        </w:rPr>
        <w:t xml:space="preserve"> on a single complex PCI can mean $400–$800 in lost reimbursement per case. At volume, that's a material number.</w:t>
      </w:r>
    </w:p>
    <w:p w14:paraId="76BE7EB0" w14:textId="77777777" w:rsidR="003D2D70" w:rsidRDefault="00000000">
      <w:pPr>
        <w:spacing w:before="120" w:after="40"/>
      </w:pPr>
      <w:r>
        <w:rPr>
          <w:rFonts w:ascii="Arial" w:eastAsia="Arial" w:hAnsi="Arial" w:cs="Arial"/>
          <w:b/>
          <w:bCs/>
          <w:color w:val="1B3A6B"/>
        </w:rPr>
        <w:t>2.  Map your site-of-service exposure and accelerate ASC volume where you can.</w:t>
      </w:r>
    </w:p>
    <w:p w14:paraId="050F12AA" w14:textId="77777777" w:rsidR="003D2D70" w:rsidRDefault="00000000">
      <w:pPr>
        <w:spacing w:after="120"/>
        <w:ind w:left="480"/>
      </w:pPr>
      <w:r>
        <w:rPr>
          <w:sz w:val="23"/>
          <w:szCs w:val="23"/>
        </w:rPr>
        <w:t xml:space="preserve">If a meaningful share of your ablation, </w:t>
      </w:r>
      <w:proofErr w:type="spellStart"/>
      <w:r>
        <w:rPr>
          <w:sz w:val="23"/>
          <w:szCs w:val="23"/>
        </w:rPr>
        <w:t>cath</w:t>
      </w:r>
      <w:proofErr w:type="spellEnd"/>
      <w:r>
        <w:rPr>
          <w:sz w:val="23"/>
          <w:szCs w:val="23"/>
        </w:rPr>
        <w:t xml:space="preserve">, or peripheral intervention volume is currently facility-based, the 7% practice expense reduction is a standing drag on your revenue. Now that cardiac catheter ablation is on the ASC covered procedures list, evaluate whether shifting appropriate cases to your ASC or an independent facility improves your net reimbursement. </w:t>
      </w:r>
      <w:proofErr w:type="gramStart"/>
      <w:r>
        <w:rPr>
          <w:sz w:val="23"/>
          <w:szCs w:val="23"/>
        </w:rPr>
        <w:t>The math</w:t>
      </w:r>
      <w:proofErr w:type="gramEnd"/>
      <w:r>
        <w:rPr>
          <w:sz w:val="23"/>
          <w:szCs w:val="23"/>
        </w:rPr>
        <w:t xml:space="preserve"> often favors the move.</w:t>
      </w:r>
    </w:p>
    <w:p w14:paraId="2E4BA673" w14:textId="77777777" w:rsidR="003D2D70" w:rsidRDefault="00000000">
      <w:pPr>
        <w:spacing w:before="120" w:after="40"/>
      </w:pPr>
      <w:r>
        <w:rPr>
          <w:rFonts w:ascii="Arial" w:eastAsia="Arial" w:hAnsi="Arial" w:cs="Arial"/>
          <w:b/>
          <w:bCs/>
          <w:color w:val="1B3A6B"/>
        </w:rPr>
        <w:t>3</w:t>
      </w:r>
      <w:proofErr w:type="gramStart"/>
      <w:r>
        <w:rPr>
          <w:rFonts w:ascii="Arial" w:eastAsia="Arial" w:hAnsi="Arial" w:cs="Arial"/>
          <w:b/>
          <w:bCs/>
          <w:color w:val="1B3A6B"/>
        </w:rPr>
        <w:t>.  Start</w:t>
      </w:r>
      <w:proofErr w:type="gramEnd"/>
      <w:r>
        <w:rPr>
          <w:rFonts w:ascii="Arial" w:eastAsia="Arial" w:hAnsi="Arial" w:cs="Arial"/>
          <w:b/>
          <w:bCs/>
          <w:color w:val="1B3A6B"/>
        </w:rPr>
        <w:t xml:space="preserve"> billing RPM if you have the patient panel to support it.</w:t>
      </w:r>
    </w:p>
    <w:p w14:paraId="273D6771" w14:textId="77777777" w:rsidR="003D2D70" w:rsidRDefault="00000000">
      <w:pPr>
        <w:spacing w:after="120"/>
        <w:ind w:left="480"/>
      </w:pPr>
      <w:r>
        <w:rPr>
          <w:sz w:val="23"/>
          <w:szCs w:val="23"/>
        </w:rPr>
        <w:t>If your practice manages patients with implanted cardiac devices, remote monitors, or wearable cardiac trackers and you aren't billing 99445 and 99470, you're leaving monthly recurring revenue on the table. The new codes require real-time interaction with the patient or caregiver — build that touch into your device clinic workflow and you've created a billable encounter you were already having.</w:t>
      </w:r>
    </w:p>
    <w:p w14:paraId="79B60F79" w14:textId="77777777" w:rsidR="003D2D70" w:rsidRDefault="003D2D70">
      <w:pPr>
        <w:spacing w:after="280"/>
      </w:pPr>
    </w:p>
    <w:p w14:paraId="587C825A" w14:textId="77777777" w:rsidR="003D2D70" w:rsidRDefault="00000000">
      <w:pPr>
        <w:spacing w:before="320" w:after="100"/>
      </w:pPr>
      <w:r>
        <w:rPr>
          <w:rFonts w:ascii="Arial" w:eastAsia="Arial" w:hAnsi="Arial" w:cs="Arial"/>
          <w:b/>
          <w:bCs/>
          <w:caps/>
          <w:color w:val="185FA5"/>
          <w:sz w:val="18"/>
          <w:szCs w:val="18"/>
        </w:rPr>
        <w:t>COMPONENT: CTA BLOCK</w:t>
      </w:r>
    </w:p>
    <w:p w14:paraId="3BA19807"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lastRenderedPageBreak/>
        <w:t>DEV NOTE: Bordered box: 0.5px Navy border, border-radius 12px, padding 16px 20px. Left: headline (15px bold) + body (14px). Right: button linking to vaqya.com/contact. Stack vertically on mobile.</w:t>
      </w:r>
    </w:p>
    <w:p w14:paraId="41521C82" w14:textId="77777777" w:rsidR="003D2D70" w:rsidRDefault="00000000">
      <w:pPr>
        <w:spacing w:after="60"/>
      </w:pPr>
      <w:r>
        <w:rPr>
          <w:rFonts w:ascii="Arial" w:eastAsia="Arial" w:hAnsi="Arial" w:cs="Arial"/>
          <w:b/>
          <w:bCs/>
          <w:sz w:val="22"/>
          <w:szCs w:val="22"/>
        </w:rPr>
        <w:t xml:space="preserve">CTA headline: </w:t>
      </w:r>
      <w:r>
        <w:rPr>
          <w:rFonts w:ascii="Arial" w:eastAsia="Arial" w:hAnsi="Arial" w:cs="Arial"/>
          <w:sz w:val="22"/>
          <w:szCs w:val="22"/>
        </w:rPr>
        <w:t>Is your cardiology billing keeping pace with the 2026 changes?</w:t>
      </w:r>
    </w:p>
    <w:p w14:paraId="061C8A83" w14:textId="77777777" w:rsidR="003D2D70" w:rsidRDefault="00000000">
      <w:pPr>
        <w:spacing w:before="60" w:after="120"/>
      </w:pPr>
      <w:proofErr w:type="spellStart"/>
      <w:r>
        <w:t>Vaqya's</w:t>
      </w:r>
      <w:proofErr w:type="spellEnd"/>
      <w:r>
        <w:t xml:space="preserve"> RCM team works with physician practices across specialties — including cardiology groups navigating the new PCI code family, ASM risk arrangements, and the </w:t>
      </w:r>
      <w:proofErr w:type="spellStart"/>
      <w:r>
        <w:t>WISeR</w:t>
      </w:r>
      <w:proofErr w:type="spellEnd"/>
      <w:r>
        <w:t xml:space="preserve"> prior auth environment in Arizona. If your denials are up or your AR is growing, let's look at why.</w:t>
      </w:r>
    </w:p>
    <w:p w14:paraId="0FFA6A8E" w14:textId="77777777" w:rsidR="003D2D70" w:rsidRDefault="00000000">
      <w:pPr>
        <w:spacing w:after="60"/>
      </w:pPr>
      <w:r>
        <w:rPr>
          <w:rFonts w:ascii="Arial" w:eastAsia="Arial" w:hAnsi="Arial" w:cs="Arial"/>
          <w:b/>
          <w:bCs/>
          <w:sz w:val="22"/>
          <w:szCs w:val="22"/>
        </w:rPr>
        <w:t xml:space="preserve">Button label: </w:t>
      </w:r>
      <w:r>
        <w:rPr>
          <w:rFonts w:ascii="Arial" w:eastAsia="Arial" w:hAnsi="Arial" w:cs="Arial"/>
          <w:sz w:val="22"/>
          <w:szCs w:val="22"/>
        </w:rPr>
        <w:t>Let's talk →</w:t>
      </w:r>
    </w:p>
    <w:p w14:paraId="14D68E73" w14:textId="77777777" w:rsidR="003D2D70" w:rsidRDefault="00000000">
      <w:pPr>
        <w:spacing w:after="60"/>
      </w:pPr>
      <w:r>
        <w:rPr>
          <w:rFonts w:ascii="Arial" w:eastAsia="Arial" w:hAnsi="Arial" w:cs="Arial"/>
          <w:b/>
          <w:bCs/>
          <w:sz w:val="22"/>
          <w:szCs w:val="22"/>
        </w:rPr>
        <w:t xml:space="preserve">Button URL: </w:t>
      </w:r>
      <w:r>
        <w:rPr>
          <w:rFonts w:ascii="Arial" w:eastAsia="Arial" w:hAnsi="Arial" w:cs="Arial"/>
          <w:sz w:val="22"/>
          <w:szCs w:val="22"/>
        </w:rPr>
        <w:t>https://vaqya.com/contact</w:t>
      </w:r>
    </w:p>
    <w:p w14:paraId="0623827C" w14:textId="77777777" w:rsidR="003D2D70" w:rsidRDefault="003D2D70">
      <w:pPr>
        <w:spacing w:after="140"/>
      </w:pPr>
    </w:p>
    <w:p w14:paraId="1B518513" w14:textId="77777777" w:rsidR="003D2D70" w:rsidRDefault="00000000">
      <w:pPr>
        <w:spacing w:before="320" w:after="100"/>
      </w:pPr>
      <w:r>
        <w:rPr>
          <w:rFonts w:ascii="Arial" w:eastAsia="Arial" w:hAnsi="Arial" w:cs="Arial"/>
          <w:b/>
          <w:bCs/>
          <w:caps/>
          <w:color w:val="185FA5"/>
          <w:sz w:val="18"/>
          <w:szCs w:val="18"/>
        </w:rPr>
        <w:t>COMPONENT: FOOTER</w:t>
      </w:r>
    </w:p>
    <w:p w14:paraId="216ADBF5" w14:textId="77777777" w:rsidR="003D2D70" w:rsidRDefault="00000000">
      <w:pPr>
        <w:pBdr>
          <w:left w:val="thick" w:sz="16" w:space="8" w:color="F59E0B"/>
        </w:pBdr>
        <w:shd w:val="clear" w:color="auto" w:fill="FFF8E1"/>
        <w:spacing w:before="60" w:after="60"/>
        <w:ind w:left="200"/>
      </w:pPr>
      <w:r>
        <w:rPr>
          <w:rFonts w:ascii="Arial" w:eastAsia="Arial" w:hAnsi="Arial" w:cs="Arial"/>
          <w:i/>
          <w:iCs/>
          <w:color w:val="92400E"/>
          <w:sz w:val="20"/>
          <w:szCs w:val="20"/>
        </w:rPr>
        <w:t>DEV NOTE: Below horizontal rule. Font-size 12px, color #5F5E5A. Three lines: next quarter preview, sources, brand line.</w:t>
      </w:r>
    </w:p>
    <w:p w14:paraId="1B85065F" w14:textId="77777777" w:rsidR="003D2D70" w:rsidRDefault="00000000">
      <w:pPr>
        <w:spacing w:after="60"/>
      </w:pPr>
      <w:r>
        <w:rPr>
          <w:rFonts w:ascii="Arial" w:eastAsia="Arial" w:hAnsi="Arial" w:cs="Arial"/>
          <w:b/>
          <w:bCs/>
          <w:sz w:val="22"/>
          <w:szCs w:val="22"/>
        </w:rPr>
        <w:t xml:space="preserve">Next quarter: </w:t>
      </w:r>
      <w:r>
        <w:rPr>
          <w:rFonts w:ascii="Arial" w:eastAsia="Arial" w:hAnsi="Arial" w:cs="Arial"/>
          <w:sz w:val="22"/>
          <w:szCs w:val="22"/>
        </w:rPr>
        <w:t>Rheumatology — biologic buy-and-bill margins, prior auth complexity, biosimilar billing risk, and CCM opportunity.</w:t>
      </w:r>
    </w:p>
    <w:p w14:paraId="59521F1C" w14:textId="77777777" w:rsidR="003D2D70" w:rsidRDefault="00000000">
      <w:pPr>
        <w:spacing w:after="60"/>
      </w:pPr>
      <w:r>
        <w:rPr>
          <w:rFonts w:ascii="Arial" w:eastAsia="Arial" w:hAnsi="Arial" w:cs="Arial"/>
          <w:b/>
          <w:bCs/>
          <w:sz w:val="22"/>
          <w:szCs w:val="22"/>
        </w:rPr>
        <w:t xml:space="preserve">Sources: </w:t>
      </w:r>
      <w:r>
        <w:rPr>
          <w:rFonts w:ascii="Arial" w:eastAsia="Arial" w:hAnsi="Arial" w:cs="Arial"/>
          <w:sz w:val="22"/>
          <w:szCs w:val="22"/>
        </w:rPr>
        <w:t xml:space="preserve">ACC · SCAI · CMS 2026 MPFS Final Rule · Cardiovascular Business · Cardiac Interventions Today · </w:t>
      </w:r>
      <w:proofErr w:type="spellStart"/>
      <w:r>
        <w:rPr>
          <w:rFonts w:ascii="Arial" w:eastAsia="Arial" w:hAnsi="Arial" w:cs="Arial"/>
          <w:sz w:val="22"/>
          <w:szCs w:val="22"/>
        </w:rPr>
        <w:t>HealthCell</w:t>
      </w:r>
      <w:proofErr w:type="spellEnd"/>
      <w:r>
        <w:rPr>
          <w:rFonts w:ascii="Arial" w:eastAsia="Arial" w:hAnsi="Arial" w:cs="Arial"/>
          <w:sz w:val="22"/>
          <w:szCs w:val="22"/>
        </w:rPr>
        <w:t xml:space="preserve"> · IMO Health · </w:t>
      </w:r>
      <w:proofErr w:type="spellStart"/>
      <w:r>
        <w:rPr>
          <w:rFonts w:ascii="Arial" w:eastAsia="Arial" w:hAnsi="Arial" w:cs="Arial"/>
          <w:sz w:val="22"/>
          <w:szCs w:val="22"/>
        </w:rPr>
        <w:t>StreamlineMD</w:t>
      </w:r>
      <w:proofErr w:type="spellEnd"/>
    </w:p>
    <w:p w14:paraId="3E8062A4" w14:textId="77777777" w:rsidR="003D2D70" w:rsidRDefault="00000000">
      <w:pPr>
        <w:spacing w:after="60"/>
      </w:pPr>
      <w:r>
        <w:rPr>
          <w:rFonts w:ascii="Arial" w:eastAsia="Arial" w:hAnsi="Arial" w:cs="Arial"/>
          <w:b/>
          <w:bCs/>
          <w:sz w:val="22"/>
          <w:szCs w:val="22"/>
        </w:rPr>
        <w:t xml:space="preserve">Brand line: </w:t>
      </w:r>
      <w:proofErr w:type="spellStart"/>
      <w:r>
        <w:rPr>
          <w:rFonts w:ascii="Arial" w:eastAsia="Arial" w:hAnsi="Arial" w:cs="Arial"/>
          <w:sz w:val="22"/>
          <w:szCs w:val="22"/>
        </w:rPr>
        <w:t>Vaqya</w:t>
      </w:r>
      <w:proofErr w:type="spellEnd"/>
      <w:r>
        <w:rPr>
          <w:rFonts w:ascii="Arial" w:eastAsia="Arial" w:hAnsi="Arial" w:cs="Arial"/>
          <w:sz w:val="22"/>
          <w:szCs w:val="22"/>
        </w:rPr>
        <w:t xml:space="preserve"> </w:t>
      </w:r>
      <w:proofErr w:type="gramStart"/>
      <w:r>
        <w:rPr>
          <w:rFonts w:ascii="Arial" w:eastAsia="Arial" w:hAnsi="Arial" w:cs="Arial"/>
          <w:sz w:val="22"/>
          <w:szCs w:val="22"/>
        </w:rPr>
        <w:t>LLC  ·</w:t>
      </w:r>
      <w:proofErr w:type="gramEnd"/>
      <w:r>
        <w:rPr>
          <w:rFonts w:ascii="Arial" w:eastAsia="Arial" w:hAnsi="Arial" w:cs="Arial"/>
          <w:sz w:val="22"/>
          <w:szCs w:val="22"/>
        </w:rPr>
        <w:t xml:space="preserve">  Sun City, </w:t>
      </w:r>
      <w:proofErr w:type="gramStart"/>
      <w:r>
        <w:rPr>
          <w:rFonts w:ascii="Arial" w:eastAsia="Arial" w:hAnsi="Arial" w:cs="Arial"/>
          <w:sz w:val="22"/>
          <w:szCs w:val="22"/>
        </w:rPr>
        <w:t>AZ  ·</w:t>
      </w:r>
      <w:proofErr w:type="gramEnd"/>
      <w:r>
        <w:rPr>
          <w:rFonts w:ascii="Arial" w:eastAsia="Arial" w:hAnsi="Arial" w:cs="Arial"/>
          <w:sz w:val="22"/>
          <w:szCs w:val="22"/>
        </w:rPr>
        <w:t xml:space="preserve">  vaqya.com</w:t>
      </w:r>
    </w:p>
    <w:p w14:paraId="5E5515E0" w14:textId="77777777" w:rsidR="003D2D70" w:rsidRDefault="003D2D70">
      <w:pPr>
        <w:spacing w:after="280"/>
      </w:pPr>
    </w:p>
    <w:p w14:paraId="01352C96" w14:textId="77777777" w:rsidR="003D2D70" w:rsidRDefault="003D2D70">
      <w:pPr>
        <w:pBdr>
          <w:bottom w:val="single" w:sz="8" w:space="1" w:color="DDDDDD"/>
        </w:pBdr>
      </w:pPr>
    </w:p>
    <w:p w14:paraId="6FFC33C8" w14:textId="77777777" w:rsidR="003D2D70" w:rsidRDefault="00000000">
      <w:pPr>
        <w:spacing w:before="320" w:after="100"/>
      </w:pPr>
      <w:r>
        <w:rPr>
          <w:rFonts w:ascii="Arial" w:eastAsia="Arial" w:hAnsi="Arial" w:cs="Arial"/>
          <w:b/>
          <w:bCs/>
          <w:caps/>
          <w:color w:val="A32D2D"/>
          <w:sz w:val="18"/>
          <w:szCs w:val="18"/>
        </w:rPr>
        <w:t>SECTION 4 — CONTENT SERIES ROTATION</w:t>
      </w:r>
    </w:p>
    <w:p w14:paraId="395B6FD3" w14:textId="77777777" w:rsidR="003D2D70" w:rsidRDefault="00000000">
      <w:pPr>
        <w:pStyle w:val="Heading1"/>
      </w:pPr>
      <w:r>
        <w:t>Quarterly series — confirmed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3D2D70" w14:paraId="42B9BBD9" w14:textId="77777777">
        <w:tblPrEx>
          <w:tblCellMar>
            <w:top w:w="0" w:type="dxa"/>
            <w:bottom w:w="0" w:type="dxa"/>
          </w:tblCellMar>
        </w:tblPrEx>
        <w:trPr>
          <w:tblHeader/>
        </w:trPr>
        <w:tc>
          <w:tcPr>
            <w:tcW w:w="1800" w:type="dxa"/>
            <w:shd w:val="clear" w:color="auto" w:fill="1B3A6B"/>
            <w:tcMar>
              <w:top w:w="80" w:type="dxa"/>
              <w:left w:w="120" w:type="dxa"/>
              <w:bottom w:w="80" w:type="dxa"/>
              <w:right w:w="120" w:type="dxa"/>
            </w:tcMar>
          </w:tcPr>
          <w:p w14:paraId="03DDD3E3" w14:textId="77777777" w:rsidR="003D2D70" w:rsidRDefault="00000000">
            <w:r>
              <w:rPr>
                <w:rFonts w:ascii="Arial" w:eastAsia="Arial" w:hAnsi="Arial" w:cs="Arial"/>
                <w:b/>
                <w:bCs/>
                <w:color w:val="FFFFFF"/>
                <w:sz w:val="20"/>
                <w:szCs w:val="20"/>
              </w:rPr>
              <w:t>Issue</w:t>
            </w:r>
          </w:p>
        </w:tc>
        <w:tc>
          <w:tcPr>
            <w:tcW w:w="2400" w:type="dxa"/>
            <w:shd w:val="clear" w:color="auto" w:fill="1B3A6B"/>
            <w:tcMar>
              <w:top w:w="80" w:type="dxa"/>
              <w:left w:w="120" w:type="dxa"/>
              <w:bottom w:w="80" w:type="dxa"/>
              <w:right w:w="120" w:type="dxa"/>
            </w:tcMar>
          </w:tcPr>
          <w:p w14:paraId="701663F5" w14:textId="77777777" w:rsidR="003D2D70" w:rsidRDefault="00000000">
            <w:r>
              <w:rPr>
                <w:rFonts w:ascii="Arial" w:eastAsia="Arial" w:hAnsi="Arial" w:cs="Arial"/>
                <w:b/>
                <w:bCs/>
                <w:color w:val="FFFFFF"/>
                <w:sz w:val="20"/>
                <w:szCs w:val="20"/>
              </w:rPr>
              <w:t>Specialty</w:t>
            </w:r>
          </w:p>
        </w:tc>
        <w:tc>
          <w:tcPr>
            <w:tcW w:w="5160" w:type="dxa"/>
            <w:shd w:val="clear" w:color="auto" w:fill="1B3A6B"/>
            <w:tcMar>
              <w:top w:w="80" w:type="dxa"/>
              <w:left w:w="120" w:type="dxa"/>
              <w:bottom w:w="80" w:type="dxa"/>
              <w:right w:w="120" w:type="dxa"/>
            </w:tcMar>
          </w:tcPr>
          <w:p w14:paraId="2605AC8F" w14:textId="77777777" w:rsidR="003D2D70" w:rsidRDefault="00000000">
            <w:r>
              <w:rPr>
                <w:rFonts w:ascii="Arial" w:eastAsia="Arial" w:hAnsi="Arial" w:cs="Arial"/>
                <w:b/>
                <w:bCs/>
                <w:color w:val="FFFFFF"/>
                <w:sz w:val="20"/>
                <w:szCs w:val="20"/>
              </w:rPr>
              <w:t>Key Themes</w:t>
            </w:r>
          </w:p>
        </w:tc>
      </w:tr>
      <w:tr w:rsidR="003D2D70" w14:paraId="676A3F7F" w14:textId="77777777">
        <w:tblPrEx>
          <w:tblCellMar>
            <w:top w:w="0" w:type="dxa"/>
            <w:bottom w:w="0" w:type="dxa"/>
          </w:tblCellMar>
        </w:tblPrEx>
        <w:tc>
          <w:tcPr>
            <w:tcW w:w="1800" w:type="dxa"/>
            <w:shd w:val="clear" w:color="auto" w:fill="F4F6F8"/>
            <w:tcMar>
              <w:top w:w="80" w:type="dxa"/>
              <w:left w:w="120" w:type="dxa"/>
              <w:bottom w:w="80" w:type="dxa"/>
              <w:right w:w="120" w:type="dxa"/>
            </w:tcMar>
          </w:tcPr>
          <w:p w14:paraId="6A683BC3" w14:textId="77777777" w:rsidR="003D2D70" w:rsidRDefault="00000000">
            <w:r>
              <w:rPr>
                <w:rFonts w:ascii="Arial" w:eastAsia="Arial" w:hAnsi="Arial" w:cs="Arial"/>
                <w:sz w:val="20"/>
                <w:szCs w:val="20"/>
              </w:rPr>
              <w:t>Q2 2026</w:t>
            </w:r>
          </w:p>
        </w:tc>
        <w:tc>
          <w:tcPr>
            <w:tcW w:w="2400" w:type="dxa"/>
            <w:shd w:val="clear" w:color="auto" w:fill="F4F6F8"/>
            <w:tcMar>
              <w:top w:w="80" w:type="dxa"/>
              <w:left w:w="120" w:type="dxa"/>
              <w:bottom w:w="80" w:type="dxa"/>
              <w:right w:w="120" w:type="dxa"/>
            </w:tcMar>
          </w:tcPr>
          <w:p w14:paraId="3BC99011" w14:textId="77777777" w:rsidR="003D2D70" w:rsidRDefault="00000000">
            <w:r>
              <w:rPr>
                <w:rFonts w:ascii="Arial" w:eastAsia="Arial" w:hAnsi="Arial" w:cs="Arial"/>
                <w:sz w:val="20"/>
                <w:szCs w:val="20"/>
              </w:rPr>
              <w:t>Cardiology ✓</w:t>
            </w:r>
          </w:p>
        </w:tc>
        <w:tc>
          <w:tcPr>
            <w:tcW w:w="5160" w:type="dxa"/>
            <w:shd w:val="clear" w:color="auto" w:fill="F4F6F8"/>
            <w:tcMar>
              <w:top w:w="80" w:type="dxa"/>
              <w:left w:w="120" w:type="dxa"/>
              <w:bottom w:w="80" w:type="dxa"/>
              <w:right w:w="120" w:type="dxa"/>
            </w:tcMar>
          </w:tcPr>
          <w:p w14:paraId="3EA8A90D" w14:textId="77777777" w:rsidR="003D2D70" w:rsidRDefault="00000000">
            <w:r>
              <w:rPr>
                <w:rFonts w:ascii="Arial" w:eastAsia="Arial" w:hAnsi="Arial" w:cs="Arial"/>
                <w:sz w:val="20"/>
                <w:szCs w:val="20"/>
              </w:rPr>
              <w:t xml:space="preserve">CPT overhaul, PCI </w:t>
            </w:r>
            <w:proofErr w:type="gramStart"/>
            <w:r>
              <w:rPr>
                <w:rFonts w:ascii="Arial" w:eastAsia="Arial" w:hAnsi="Arial" w:cs="Arial"/>
                <w:sz w:val="20"/>
                <w:szCs w:val="20"/>
              </w:rPr>
              <w:t>restructure</w:t>
            </w:r>
            <w:proofErr w:type="gramEnd"/>
            <w:r>
              <w:rPr>
                <w:rFonts w:ascii="Arial" w:eastAsia="Arial" w:hAnsi="Arial" w:cs="Arial"/>
                <w:sz w:val="20"/>
                <w:szCs w:val="20"/>
              </w:rPr>
              <w:t>, ASM HF model, site-of-service math, RPM opportunity</w:t>
            </w:r>
          </w:p>
        </w:tc>
      </w:tr>
      <w:tr w:rsidR="003D2D70" w14:paraId="12D70FC4"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7212DAED" w14:textId="77777777" w:rsidR="003D2D70" w:rsidRDefault="00000000">
            <w:r>
              <w:rPr>
                <w:rFonts w:ascii="Arial" w:eastAsia="Arial" w:hAnsi="Arial" w:cs="Arial"/>
                <w:sz w:val="20"/>
                <w:szCs w:val="20"/>
              </w:rPr>
              <w:t>Q3 2026</w:t>
            </w:r>
          </w:p>
        </w:tc>
        <w:tc>
          <w:tcPr>
            <w:tcW w:w="2400" w:type="dxa"/>
            <w:shd w:val="clear" w:color="auto" w:fill="FFFFFF"/>
            <w:tcMar>
              <w:top w:w="80" w:type="dxa"/>
              <w:left w:w="120" w:type="dxa"/>
              <w:bottom w:w="80" w:type="dxa"/>
              <w:right w:w="120" w:type="dxa"/>
            </w:tcMar>
          </w:tcPr>
          <w:p w14:paraId="5865B699" w14:textId="77777777" w:rsidR="003D2D70" w:rsidRDefault="00000000">
            <w:r>
              <w:rPr>
                <w:rFonts w:ascii="Arial" w:eastAsia="Arial" w:hAnsi="Arial" w:cs="Arial"/>
                <w:sz w:val="20"/>
                <w:szCs w:val="20"/>
              </w:rPr>
              <w:t>Rheumatology ✓</w:t>
            </w:r>
          </w:p>
        </w:tc>
        <w:tc>
          <w:tcPr>
            <w:tcW w:w="5160" w:type="dxa"/>
            <w:shd w:val="clear" w:color="auto" w:fill="FFFFFF"/>
            <w:tcMar>
              <w:top w:w="80" w:type="dxa"/>
              <w:left w:w="120" w:type="dxa"/>
              <w:bottom w:w="80" w:type="dxa"/>
              <w:right w:w="120" w:type="dxa"/>
            </w:tcMar>
          </w:tcPr>
          <w:p w14:paraId="511AF934" w14:textId="77777777" w:rsidR="003D2D70" w:rsidRDefault="00000000">
            <w:r>
              <w:rPr>
                <w:rFonts w:ascii="Arial" w:eastAsia="Arial" w:hAnsi="Arial" w:cs="Arial"/>
                <w:sz w:val="20"/>
                <w:szCs w:val="20"/>
              </w:rPr>
              <w:t>Biologic buy-and-bill, prior auth, biosimilar billing, CCM/telehealth</w:t>
            </w:r>
          </w:p>
        </w:tc>
      </w:tr>
      <w:tr w:rsidR="003D2D70" w14:paraId="389AA95D" w14:textId="77777777">
        <w:tblPrEx>
          <w:tblCellMar>
            <w:top w:w="0" w:type="dxa"/>
            <w:bottom w:w="0" w:type="dxa"/>
          </w:tblCellMar>
        </w:tblPrEx>
        <w:tc>
          <w:tcPr>
            <w:tcW w:w="1800" w:type="dxa"/>
            <w:shd w:val="clear" w:color="auto" w:fill="F4F6F8"/>
            <w:tcMar>
              <w:top w:w="80" w:type="dxa"/>
              <w:left w:w="120" w:type="dxa"/>
              <w:bottom w:w="80" w:type="dxa"/>
              <w:right w:w="120" w:type="dxa"/>
            </w:tcMar>
          </w:tcPr>
          <w:p w14:paraId="5F849DCE" w14:textId="77777777" w:rsidR="003D2D70" w:rsidRDefault="00000000">
            <w:r>
              <w:rPr>
                <w:rFonts w:ascii="Arial" w:eastAsia="Arial" w:hAnsi="Arial" w:cs="Arial"/>
                <w:sz w:val="20"/>
                <w:szCs w:val="20"/>
              </w:rPr>
              <w:t>Q4 2026</w:t>
            </w:r>
          </w:p>
        </w:tc>
        <w:tc>
          <w:tcPr>
            <w:tcW w:w="2400" w:type="dxa"/>
            <w:shd w:val="clear" w:color="auto" w:fill="F4F6F8"/>
            <w:tcMar>
              <w:top w:w="80" w:type="dxa"/>
              <w:left w:w="120" w:type="dxa"/>
              <w:bottom w:w="80" w:type="dxa"/>
              <w:right w:w="120" w:type="dxa"/>
            </w:tcMar>
          </w:tcPr>
          <w:p w14:paraId="7DA6CC3D" w14:textId="77777777" w:rsidR="003D2D70" w:rsidRDefault="00000000">
            <w:r>
              <w:rPr>
                <w:rFonts w:ascii="Arial" w:eastAsia="Arial" w:hAnsi="Arial" w:cs="Arial"/>
                <w:sz w:val="20"/>
                <w:szCs w:val="20"/>
              </w:rPr>
              <w:t>Primary Care / IM</w:t>
            </w:r>
          </w:p>
        </w:tc>
        <w:tc>
          <w:tcPr>
            <w:tcW w:w="5160" w:type="dxa"/>
            <w:shd w:val="clear" w:color="auto" w:fill="F4F6F8"/>
            <w:tcMar>
              <w:top w:w="80" w:type="dxa"/>
              <w:left w:w="120" w:type="dxa"/>
              <w:bottom w:w="80" w:type="dxa"/>
              <w:right w:w="120" w:type="dxa"/>
            </w:tcMar>
          </w:tcPr>
          <w:p w14:paraId="02F6294A" w14:textId="77777777" w:rsidR="003D2D70" w:rsidRDefault="00000000">
            <w:r>
              <w:rPr>
                <w:rFonts w:ascii="Arial" w:eastAsia="Arial" w:hAnsi="Arial" w:cs="Arial"/>
                <w:sz w:val="20"/>
                <w:szCs w:val="20"/>
              </w:rPr>
              <w:t>APM dual conversion factor, MA burden, CCM as revenue floor</w:t>
            </w:r>
          </w:p>
        </w:tc>
      </w:tr>
      <w:tr w:rsidR="003D2D70" w14:paraId="78D92BB8"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20603872" w14:textId="77777777" w:rsidR="003D2D70" w:rsidRDefault="00000000">
            <w:r>
              <w:rPr>
                <w:rFonts w:ascii="Arial" w:eastAsia="Arial" w:hAnsi="Arial" w:cs="Arial"/>
                <w:sz w:val="20"/>
                <w:szCs w:val="20"/>
              </w:rPr>
              <w:t>Q1 2027</w:t>
            </w:r>
          </w:p>
        </w:tc>
        <w:tc>
          <w:tcPr>
            <w:tcW w:w="2400" w:type="dxa"/>
            <w:shd w:val="clear" w:color="auto" w:fill="FFFFFF"/>
            <w:tcMar>
              <w:top w:w="80" w:type="dxa"/>
              <w:left w:w="120" w:type="dxa"/>
              <w:bottom w:w="80" w:type="dxa"/>
              <w:right w:w="120" w:type="dxa"/>
            </w:tcMar>
          </w:tcPr>
          <w:p w14:paraId="266227DC" w14:textId="77777777" w:rsidR="003D2D70" w:rsidRDefault="00000000">
            <w:r>
              <w:rPr>
                <w:rFonts w:ascii="Arial" w:eastAsia="Arial" w:hAnsi="Arial" w:cs="Arial"/>
                <w:sz w:val="20"/>
                <w:szCs w:val="20"/>
              </w:rPr>
              <w:t>Multi-Specialty</w:t>
            </w:r>
          </w:p>
        </w:tc>
        <w:tc>
          <w:tcPr>
            <w:tcW w:w="5160" w:type="dxa"/>
            <w:shd w:val="clear" w:color="auto" w:fill="FFFFFF"/>
            <w:tcMar>
              <w:top w:w="80" w:type="dxa"/>
              <w:left w:w="120" w:type="dxa"/>
              <w:bottom w:w="80" w:type="dxa"/>
              <w:right w:w="120" w:type="dxa"/>
            </w:tcMar>
          </w:tcPr>
          <w:p w14:paraId="1E9FF07A" w14:textId="77777777" w:rsidR="003D2D70" w:rsidRDefault="00000000">
            <w:r>
              <w:rPr>
                <w:rFonts w:ascii="Arial" w:eastAsia="Arial" w:hAnsi="Arial" w:cs="Arial"/>
                <w:sz w:val="20"/>
                <w:szCs w:val="20"/>
              </w:rPr>
              <w:t>Annual fee schedule preview, cross-specialty RCM priorities</w:t>
            </w:r>
          </w:p>
        </w:tc>
      </w:tr>
    </w:tbl>
    <w:p w14:paraId="3E6F22E9" w14:textId="77777777" w:rsidR="003D2D70" w:rsidRDefault="003D2D70">
      <w:pPr>
        <w:spacing w:after="280"/>
      </w:pPr>
    </w:p>
    <w:p w14:paraId="489B223B" w14:textId="77777777" w:rsidR="003D2D70" w:rsidRDefault="003D2D70">
      <w:pPr>
        <w:pBdr>
          <w:bottom w:val="single" w:sz="8" w:space="1" w:color="1B3A6B"/>
        </w:pBdr>
      </w:pPr>
    </w:p>
    <w:p w14:paraId="027D0642" w14:textId="77777777" w:rsidR="003D2D70" w:rsidRDefault="00000000">
      <w:pPr>
        <w:spacing w:before="160"/>
      </w:pPr>
      <w:r>
        <w:rPr>
          <w:rFonts w:ascii="Arial" w:eastAsia="Arial" w:hAnsi="Arial" w:cs="Arial"/>
          <w:i/>
          <w:iCs/>
          <w:color w:val="5F5E5A"/>
          <w:sz w:val="20"/>
          <w:szCs w:val="20"/>
        </w:rPr>
        <w:t>End of Handoff — Q2 2026 Cardiology</w:t>
      </w:r>
    </w:p>
    <w:sectPr w:rsidR="003D2D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22A6E"/>
    <w:multiLevelType w:val="hybridMultilevel"/>
    <w:tmpl w:val="41F84008"/>
    <w:lvl w:ilvl="0" w:tplc="0790831E">
      <w:start w:val="1"/>
      <w:numFmt w:val="bullet"/>
      <w:lvlText w:val="●"/>
      <w:lvlJc w:val="left"/>
      <w:pPr>
        <w:ind w:left="720" w:hanging="360"/>
      </w:pPr>
    </w:lvl>
    <w:lvl w:ilvl="1" w:tplc="BE2C582C">
      <w:start w:val="1"/>
      <w:numFmt w:val="bullet"/>
      <w:lvlText w:val="○"/>
      <w:lvlJc w:val="left"/>
      <w:pPr>
        <w:ind w:left="1440" w:hanging="360"/>
      </w:pPr>
    </w:lvl>
    <w:lvl w:ilvl="2" w:tplc="2B6C255A">
      <w:start w:val="1"/>
      <w:numFmt w:val="bullet"/>
      <w:lvlText w:val="■"/>
      <w:lvlJc w:val="left"/>
      <w:pPr>
        <w:ind w:left="2160" w:hanging="360"/>
      </w:pPr>
    </w:lvl>
    <w:lvl w:ilvl="3" w:tplc="78F009AC">
      <w:start w:val="1"/>
      <w:numFmt w:val="bullet"/>
      <w:lvlText w:val="●"/>
      <w:lvlJc w:val="left"/>
      <w:pPr>
        <w:ind w:left="2880" w:hanging="360"/>
      </w:pPr>
    </w:lvl>
    <w:lvl w:ilvl="4" w:tplc="459E3866">
      <w:start w:val="1"/>
      <w:numFmt w:val="bullet"/>
      <w:lvlText w:val="○"/>
      <w:lvlJc w:val="left"/>
      <w:pPr>
        <w:ind w:left="3600" w:hanging="360"/>
      </w:pPr>
    </w:lvl>
    <w:lvl w:ilvl="5" w:tplc="2B4C7984">
      <w:start w:val="1"/>
      <w:numFmt w:val="bullet"/>
      <w:lvlText w:val="■"/>
      <w:lvlJc w:val="left"/>
      <w:pPr>
        <w:ind w:left="4320" w:hanging="360"/>
      </w:pPr>
    </w:lvl>
    <w:lvl w:ilvl="6" w:tplc="1E0C364A">
      <w:start w:val="1"/>
      <w:numFmt w:val="bullet"/>
      <w:lvlText w:val="●"/>
      <w:lvlJc w:val="left"/>
      <w:pPr>
        <w:ind w:left="5040" w:hanging="360"/>
      </w:pPr>
    </w:lvl>
    <w:lvl w:ilvl="7" w:tplc="2B060C5C">
      <w:start w:val="1"/>
      <w:numFmt w:val="bullet"/>
      <w:lvlText w:val="●"/>
      <w:lvlJc w:val="left"/>
      <w:pPr>
        <w:ind w:left="5760" w:hanging="360"/>
      </w:pPr>
    </w:lvl>
    <w:lvl w:ilvl="8" w:tplc="8FB6C07E">
      <w:start w:val="1"/>
      <w:numFmt w:val="bullet"/>
      <w:lvlText w:val="●"/>
      <w:lvlJc w:val="left"/>
      <w:pPr>
        <w:ind w:left="6480" w:hanging="360"/>
      </w:pPr>
    </w:lvl>
  </w:abstractNum>
  <w:num w:numId="1" w16cid:durableId="17661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D70"/>
    <w:rsid w:val="0022361C"/>
    <w:rsid w:val="003A67F9"/>
    <w:rsid w:val="003D2D70"/>
    <w:rsid w:val="00700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C76B"/>
  <w15:docId w15:val="{D6977A8A-8DF8-409F-A937-1B8FFEFD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C1C1C"/>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rFonts w:ascii="Arial" w:eastAsia="Arial" w:hAnsi="Arial" w:cs="Arial"/>
      <w:b/>
      <w:bCs/>
      <w:color w:val="1B3A6B"/>
      <w:sz w:val="36"/>
      <w:szCs w:val="36"/>
    </w:rPr>
  </w:style>
  <w:style w:type="paragraph" w:styleId="Heading2">
    <w:name w:val="heading 2"/>
    <w:uiPriority w:val="9"/>
    <w:unhideWhenUsed/>
    <w:qFormat/>
    <w:pPr>
      <w:spacing w:before="220" w:after="80"/>
      <w:outlineLvl w:val="1"/>
    </w:pPr>
    <w:rPr>
      <w:rFonts w:ascii="Arial" w:eastAsia="Arial" w:hAnsi="Arial" w:cs="Arial"/>
      <w:b/>
      <w:bCs/>
      <w:color w:val="185FA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1552</Words>
  <Characters>8924</Characters>
  <Application>Microsoft Office Word</Application>
  <DocSecurity>0</DocSecurity>
  <Lines>221</Lines>
  <Paragraphs>127</Paragraphs>
  <ScaleCrop>false</ScaleCrop>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shanmugam mukundan</cp:lastModifiedBy>
  <cp:revision>3</cp:revision>
  <dcterms:created xsi:type="dcterms:W3CDTF">2026-04-13T03:58:00Z</dcterms:created>
  <dcterms:modified xsi:type="dcterms:W3CDTF">2026-04-13T03:59:00Z</dcterms:modified>
</cp:coreProperties>
</file>