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646DD" w14:textId="77777777" w:rsidR="008F6773" w:rsidRDefault="00974AFF">
      <w:pPr>
        <w:spacing w:after="40"/>
      </w:pPr>
      <w:r>
        <w:rPr>
          <w:rFonts w:ascii="Arial" w:eastAsia="Arial" w:hAnsi="Arial" w:cs="Arial"/>
          <w:b/>
          <w:bCs/>
          <w:caps/>
          <w:color w:val="A32D2D"/>
          <w:sz w:val="18"/>
          <w:szCs w:val="18"/>
        </w:rPr>
        <w:t>NEWSLETTER CONTENT HANDOFF — FOR CLAUDE CODE</w:t>
      </w:r>
    </w:p>
    <w:p w14:paraId="45994BF9" w14:textId="77777777" w:rsidR="008F6773" w:rsidRDefault="008F6773">
      <w:pPr>
        <w:pBdr>
          <w:bottom w:val="single" w:sz="8" w:space="1" w:color="A32D2D"/>
        </w:pBdr>
      </w:pPr>
    </w:p>
    <w:p w14:paraId="2504786F" w14:textId="77777777" w:rsidR="008F6773" w:rsidRDefault="008F6773">
      <w:pPr>
        <w:spacing w:after="140"/>
      </w:pPr>
    </w:p>
    <w:p w14:paraId="378D0029" w14:textId="77777777" w:rsidR="008F6773" w:rsidRDefault="00974AFF">
      <w:pPr>
        <w:spacing w:after="60"/>
      </w:pPr>
      <w:r>
        <w:rPr>
          <w:rFonts w:ascii="Arial" w:eastAsia="Arial" w:hAnsi="Arial" w:cs="Arial"/>
          <w:b/>
          <w:bCs/>
          <w:sz w:val="22"/>
          <w:szCs w:val="22"/>
        </w:rPr>
        <w:t xml:space="preserve">Publication: </w:t>
      </w:r>
      <w:proofErr w:type="spellStart"/>
      <w:r>
        <w:rPr>
          <w:rFonts w:ascii="Arial" w:eastAsia="Arial" w:hAnsi="Arial" w:cs="Arial"/>
          <w:sz w:val="22"/>
          <w:szCs w:val="22"/>
        </w:rPr>
        <w:t>Vaqya</w:t>
      </w:r>
      <w:proofErr w:type="spellEnd"/>
      <w:r>
        <w:rPr>
          <w:rFonts w:ascii="Arial" w:eastAsia="Arial" w:hAnsi="Arial" w:cs="Arial"/>
          <w:sz w:val="22"/>
          <w:szCs w:val="22"/>
        </w:rPr>
        <w:t xml:space="preserve"> RCM Insights — The Revenue Cycle Report</w:t>
      </w:r>
    </w:p>
    <w:p w14:paraId="374BE376" w14:textId="77777777" w:rsidR="008F6773" w:rsidRDefault="00974AFF">
      <w:pPr>
        <w:spacing w:after="60"/>
      </w:pPr>
      <w:r>
        <w:rPr>
          <w:rFonts w:ascii="Arial" w:eastAsia="Arial" w:hAnsi="Arial" w:cs="Arial"/>
          <w:b/>
          <w:bCs/>
          <w:sz w:val="22"/>
          <w:szCs w:val="22"/>
        </w:rPr>
        <w:t xml:space="preserve">Issue: </w:t>
      </w:r>
      <w:r>
        <w:rPr>
          <w:rFonts w:ascii="Arial" w:eastAsia="Arial" w:hAnsi="Arial" w:cs="Arial"/>
          <w:sz w:val="22"/>
          <w:szCs w:val="22"/>
        </w:rPr>
        <w:t xml:space="preserve">Q3 </w:t>
      </w:r>
      <w:proofErr w:type="gramStart"/>
      <w:r>
        <w:rPr>
          <w:rFonts w:ascii="Arial" w:eastAsia="Arial" w:hAnsi="Arial" w:cs="Arial"/>
          <w:sz w:val="22"/>
          <w:szCs w:val="22"/>
        </w:rPr>
        <w:t>2026  |</w:t>
      </w:r>
      <w:proofErr w:type="gramEnd"/>
      <w:r>
        <w:rPr>
          <w:rFonts w:ascii="Arial" w:eastAsia="Arial" w:hAnsi="Arial" w:cs="Arial"/>
          <w:sz w:val="22"/>
          <w:szCs w:val="22"/>
        </w:rPr>
        <w:t xml:space="preserve">  Specialty Focus: Rheumatology</w:t>
      </w:r>
    </w:p>
    <w:p w14:paraId="7561F30A" w14:textId="77777777" w:rsidR="008F6773" w:rsidRDefault="00974AFF">
      <w:pPr>
        <w:spacing w:after="60"/>
      </w:pPr>
      <w:r>
        <w:rPr>
          <w:rFonts w:ascii="Arial" w:eastAsia="Arial" w:hAnsi="Arial" w:cs="Arial"/>
          <w:b/>
          <w:bCs/>
          <w:sz w:val="22"/>
          <w:szCs w:val="22"/>
        </w:rPr>
        <w:t xml:space="preserve">Publish Date: </w:t>
      </w:r>
      <w:r>
        <w:rPr>
          <w:rFonts w:ascii="Arial" w:eastAsia="Arial" w:hAnsi="Arial" w:cs="Arial"/>
          <w:sz w:val="22"/>
          <w:szCs w:val="22"/>
        </w:rPr>
        <w:t>October 2026</w:t>
      </w:r>
    </w:p>
    <w:p w14:paraId="49B5CA48" w14:textId="77777777" w:rsidR="008F6773" w:rsidRDefault="00974AFF">
      <w:pPr>
        <w:spacing w:after="60"/>
      </w:pPr>
      <w:r>
        <w:rPr>
          <w:rFonts w:ascii="Arial" w:eastAsia="Arial" w:hAnsi="Arial" w:cs="Arial"/>
          <w:b/>
          <w:bCs/>
          <w:sz w:val="22"/>
          <w:szCs w:val="22"/>
        </w:rPr>
        <w:t xml:space="preserve">Brand: </w:t>
      </w:r>
      <w:proofErr w:type="spellStart"/>
      <w:r>
        <w:rPr>
          <w:rFonts w:ascii="Arial" w:eastAsia="Arial" w:hAnsi="Arial" w:cs="Arial"/>
          <w:sz w:val="22"/>
          <w:szCs w:val="22"/>
        </w:rPr>
        <w:t>Vaqya</w:t>
      </w:r>
      <w:proofErr w:type="spellEnd"/>
      <w:r>
        <w:rPr>
          <w:rFonts w:ascii="Arial" w:eastAsia="Arial" w:hAnsi="Arial" w:cs="Arial"/>
          <w:sz w:val="22"/>
          <w:szCs w:val="22"/>
        </w:rPr>
        <w:t xml:space="preserve"> </w:t>
      </w:r>
      <w:proofErr w:type="gramStart"/>
      <w:r>
        <w:rPr>
          <w:rFonts w:ascii="Arial" w:eastAsia="Arial" w:hAnsi="Arial" w:cs="Arial"/>
          <w:sz w:val="22"/>
          <w:szCs w:val="22"/>
        </w:rPr>
        <w:t>LLC  |</w:t>
      </w:r>
      <w:proofErr w:type="gramEnd"/>
      <w:r>
        <w:rPr>
          <w:rFonts w:ascii="Arial" w:eastAsia="Arial" w:hAnsi="Arial" w:cs="Arial"/>
          <w:sz w:val="22"/>
          <w:szCs w:val="22"/>
        </w:rPr>
        <w:t xml:space="preserve">  Sun City (Phoenix), </w:t>
      </w:r>
      <w:proofErr w:type="gramStart"/>
      <w:r>
        <w:rPr>
          <w:rFonts w:ascii="Arial" w:eastAsia="Arial" w:hAnsi="Arial" w:cs="Arial"/>
          <w:sz w:val="22"/>
          <w:szCs w:val="22"/>
        </w:rPr>
        <w:t>AZ  |</w:t>
      </w:r>
      <w:proofErr w:type="gramEnd"/>
      <w:r>
        <w:rPr>
          <w:rFonts w:ascii="Arial" w:eastAsia="Arial" w:hAnsi="Arial" w:cs="Arial"/>
          <w:sz w:val="22"/>
          <w:szCs w:val="22"/>
        </w:rPr>
        <w:t xml:space="preserve">  vaqya.com</w:t>
      </w:r>
    </w:p>
    <w:p w14:paraId="5E1E0B8A" w14:textId="77777777" w:rsidR="008F6773" w:rsidRDefault="008F6773">
      <w:pPr>
        <w:spacing w:after="280"/>
      </w:pPr>
    </w:p>
    <w:p w14:paraId="41AD8FBD" w14:textId="77777777" w:rsidR="008F6773" w:rsidRDefault="008F6773">
      <w:pPr>
        <w:pBdr>
          <w:bottom w:val="single" w:sz="8" w:space="1" w:color="1B3A6B"/>
        </w:pBdr>
      </w:pPr>
    </w:p>
    <w:p w14:paraId="3A702100" w14:textId="77777777" w:rsidR="008F6773" w:rsidRDefault="00974AFF">
      <w:pPr>
        <w:spacing w:before="320" w:after="100"/>
      </w:pPr>
      <w:r>
        <w:rPr>
          <w:rFonts w:ascii="Arial" w:eastAsia="Arial" w:hAnsi="Arial" w:cs="Arial"/>
          <w:b/>
          <w:bCs/>
          <w:caps/>
          <w:color w:val="A32D2D"/>
          <w:sz w:val="18"/>
          <w:szCs w:val="18"/>
        </w:rPr>
        <w:t>SECTION 1 — DEVELOPER INSTRUCTIONS</w:t>
      </w:r>
    </w:p>
    <w:p w14:paraId="7AAEC095" w14:textId="77777777" w:rsidR="008F6773" w:rsidRDefault="00974AFF">
      <w:pPr>
        <w:pStyle w:val="Heading1"/>
      </w:pPr>
      <w:r>
        <w:t>How to use this document</w:t>
      </w:r>
    </w:p>
    <w:p w14:paraId="1D1F0E31" w14:textId="77777777" w:rsidR="008F6773" w:rsidRDefault="00974AFF">
      <w:pPr>
        <w:spacing w:before="60" w:after="120"/>
      </w:pPr>
      <w:r>
        <w:t xml:space="preserve">This document contains the complete editorial content for the Q3 2026 </w:t>
      </w:r>
      <w:proofErr w:type="spellStart"/>
      <w:r>
        <w:t>Vaqya</w:t>
      </w:r>
      <w:proofErr w:type="spellEnd"/>
      <w:r>
        <w:t xml:space="preserve"> RCM Insights newsletter — Rheumatology focus. Structure, brand colors, and component architecture are identical to Q2. Refer to the Q2 handoff for the full color/type reference. Key </w:t>
      </w:r>
      <w:proofErr w:type="gramStart"/>
      <w:r>
        <w:t>differences</w:t>
      </w:r>
      <w:proofErr w:type="gramEnd"/>
      <w:r>
        <w:t xml:space="preserve"> this issue: accent color for specialty tag is </w:t>
      </w:r>
      <w:proofErr w:type="gramStart"/>
      <w:r>
        <w:t>Purple (#3C3489 / #</w:t>
      </w:r>
      <w:proofErr w:type="gramEnd"/>
      <w:r>
        <w:t>EEEDFE). Scenario box border color remains Blue.</w:t>
      </w:r>
    </w:p>
    <w:p w14:paraId="4B701D3B" w14:textId="77777777" w:rsidR="008F6773" w:rsidRDefault="008F6773">
      <w:pPr>
        <w:spacing w:after="140"/>
      </w:pPr>
    </w:p>
    <w:p w14:paraId="271E3973" w14:textId="77777777" w:rsidR="008F6773" w:rsidRDefault="00974AFF">
      <w:pPr>
        <w:pBdr>
          <w:left w:val="thick" w:sz="16" w:space="8" w:color="F59E0B"/>
        </w:pBdr>
        <w:shd w:val="clear" w:color="auto" w:fill="FFF8E1"/>
        <w:spacing w:before="60" w:after="60"/>
        <w:ind w:left="200"/>
      </w:pPr>
      <w:r>
        <w:rPr>
          <w:rFonts w:ascii="Arial" w:eastAsia="Arial" w:hAnsi="Arial" w:cs="Arial"/>
          <w:i/>
          <w:iCs/>
          <w:color w:val="92400E"/>
          <w:sz w:val="20"/>
          <w:szCs w:val="20"/>
        </w:rPr>
        <w:t xml:space="preserve">DEV NOTE: Reuse the same HTML/CSS template from Q2. Update: masthead issue label, specialty tag, all editorial content below, footer next-quarter line, and sources. No structural changes </w:t>
      </w:r>
      <w:proofErr w:type="gramStart"/>
      <w:r>
        <w:rPr>
          <w:rFonts w:ascii="Arial" w:eastAsia="Arial" w:hAnsi="Arial" w:cs="Arial"/>
          <w:i/>
          <w:iCs/>
          <w:color w:val="92400E"/>
          <w:sz w:val="20"/>
          <w:szCs w:val="20"/>
        </w:rPr>
        <w:t>needed</w:t>
      </w:r>
      <w:proofErr w:type="gramEnd"/>
      <w:r>
        <w:rPr>
          <w:rFonts w:ascii="Arial" w:eastAsia="Arial" w:hAnsi="Arial" w:cs="Arial"/>
          <w:i/>
          <w:iCs/>
          <w:color w:val="92400E"/>
          <w:sz w:val="20"/>
          <w:szCs w:val="20"/>
        </w:rPr>
        <w:t>.</w:t>
      </w:r>
    </w:p>
    <w:p w14:paraId="4D8EC286" w14:textId="77777777" w:rsidR="008F6773" w:rsidRDefault="008F6773">
      <w:pPr>
        <w:spacing w:after="280"/>
      </w:pPr>
    </w:p>
    <w:p w14:paraId="78C96F09" w14:textId="77777777" w:rsidR="008F6773" w:rsidRDefault="008F6773">
      <w:pPr>
        <w:pBdr>
          <w:bottom w:val="single" w:sz="8" w:space="1" w:color="DDDDDD"/>
        </w:pBdr>
      </w:pPr>
    </w:p>
    <w:p w14:paraId="62B59CBC" w14:textId="77777777" w:rsidR="008F6773" w:rsidRDefault="00974AFF">
      <w:pPr>
        <w:spacing w:before="320" w:after="100"/>
      </w:pPr>
      <w:r>
        <w:rPr>
          <w:rFonts w:ascii="Arial" w:eastAsia="Arial" w:hAnsi="Arial" w:cs="Arial"/>
          <w:b/>
          <w:bCs/>
          <w:caps/>
          <w:color w:val="A32D2D"/>
          <w:sz w:val="18"/>
          <w:szCs w:val="18"/>
        </w:rPr>
        <w:t>SECTION 2 — FULL EDITORIAL CONTENT</w:t>
      </w:r>
    </w:p>
    <w:p w14:paraId="6C4ACADC" w14:textId="77777777" w:rsidR="008F6773" w:rsidRDefault="00974AFF">
      <w:pPr>
        <w:pStyle w:val="Heading1"/>
      </w:pPr>
      <w:r>
        <w:t>Newsletter copy — Q3 2026 Rheumatology</w:t>
      </w:r>
    </w:p>
    <w:p w14:paraId="0C554FB6" w14:textId="77777777" w:rsidR="008F6773" w:rsidRDefault="00974AFF">
      <w:pPr>
        <w:spacing w:before="320" w:after="100"/>
      </w:pPr>
      <w:r>
        <w:rPr>
          <w:rFonts w:ascii="Arial" w:eastAsia="Arial" w:hAnsi="Arial" w:cs="Arial"/>
          <w:b/>
          <w:bCs/>
          <w:caps/>
          <w:color w:val="185FA5"/>
          <w:sz w:val="18"/>
          <w:szCs w:val="18"/>
        </w:rPr>
        <w:t>COMPONENT: MASTHEAD</w:t>
      </w:r>
    </w:p>
    <w:p w14:paraId="3FDFC146" w14:textId="77777777" w:rsidR="008F6773" w:rsidRDefault="00974AFF">
      <w:pPr>
        <w:spacing w:after="60"/>
      </w:pPr>
      <w:r>
        <w:rPr>
          <w:rFonts w:ascii="Arial" w:eastAsia="Arial" w:hAnsi="Arial" w:cs="Arial"/>
          <w:b/>
          <w:bCs/>
          <w:sz w:val="22"/>
          <w:szCs w:val="22"/>
        </w:rPr>
        <w:t xml:space="preserve">Publication name: </w:t>
      </w:r>
      <w:proofErr w:type="spellStart"/>
      <w:r>
        <w:rPr>
          <w:rFonts w:ascii="Arial" w:eastAsia="Arial" w:hAnsi="Arial" w:cs="Arial"/>
          <w:sz w:val="22"/>
          <w:szCs w:val="22"/>
        </w:rPr>
        <w:t>Vaqya</w:t>
      </w:r>
      <w:proofErr w:type="spellEnd"/>
      <w:r>
        <w:rPr>
          <w:rFonts w:ascii="Arial" w:eastAsia="Arial" w:hAnsi="Arial" w:cs="Arial"/>
          <w:sz w:val="22"/>
          <w:szCs w:val="22"/>
        </w:rPr>
        <w:t xml:space="preserve"> RCM </w:t>
      </w:r>
      <w:proofErr w:type="gramStart"/>
      <w:r>
        <w:rPr>
          <w:rFonts w:ascii="Arial" w:eastAsia="Arial" w:hAnsi="Arial" w:cs="Arial"/>
          <w:sz w:val="22"/>
          <w:szCs w:val="22"/>
        </w:rPr>
        <w:t>Insights  ·</w:t>
      </w:r>
      <w:proofErr w:type="gramEnd"/>
      <w:r>
        <w:rPr>
          <w:rFonts w:ascii="Arial" w:eastAsia="Arial" w:hAnsi="Arial" w:cs="Arial"/>
          <w:sz w:val="22"/>
          <w:szCs w:val="22"/>
        </w:rPr>
        <w:t xml:space="preserve">  Q3 2026</w:t>
      </w:r>
    </w:p>
    <w:p w14:paraId="06067133" w14:textId="77777777" w:rsidR="008F6773" w:rsidRDefault="00974AFF">
      <w:pPr>
        <w:spacing w:after="60"/>
      </w:pPr>
      <w:r>
        <w:rPr>
          <w:rFonts w:ascii="Arial" w:eastAsia="Arial" w:hAnsi="Arial" w:cs="Arial"/>
          <w:b/>
          <w:bCs/>
          <w:sz w:val="22"/>
          <w:szCs w:val="22"/>
        </w:rPr>
        <w:t xml:space="preserve">Newsletter title: </w:t>
      </w:r>
      <w:r>
        <w:rPr>
          <w:rFonts w:ascii="Arial" w:eastAsia="Arial" w:hAnsi="Arial" w:cs="Arial"/>
          <w:sz w:val="22"/>
          <w:szCs w:val="22"/>
        </w:rPr>
        <w:t>The Revenue Cycle Report</w:t>
      </w:r>
    </w:p>
    <w:p w14:paraId="4031720A" w14:textId="77777777" w:rsidR="008F6773" w:rsidRDefault="00974AFF">
      <w:pPr>
        <w:spacing w:after="60"/>
      </w:pPr>
      <w:r>
        <w:rPr>
          <w:rFonts w:ascii="Arial" w:eastAsia="Arial" w:hAnsi="Arial" w:cs="Arial"/>
          <w:b/>
          <w:bCs/>
          <w:sz w:val="22"/>
          <w:szCs w:val="22"/>
        </w:rPr>
        <w:t xml:space="preserve">Issue date: </w:t>
      </w:r>
      <w:r>
        <w:rPr>
          <w:rFonts w:ascii="Arial" w:eastAsia="Arial" w:hAnsi="Arial" w:cs="Arial"/>
          <w:sz w:val="22"/>
          <w:szCs w:val="22"/>
        </w:rPr>
        <w:t>October 2026</w:t>
      </w:r>
    </w:p>
    <w:p w14:paraId="43F0D288" w14:textId="77777777" w:rsidR="008F6773" w:rsidRDefault="00974AFF">
      <w:pPr>
        <w:spacing w:after="60"/>
      </w:pPr>
      <w:r>
        <w:rPr>
          <w:rFonts w:ascii="Arial" w:eastAsia="Arial" w:hAnsi="Arial" w:cs="Arial"/>
          <w:b/>
          <w:bCs/>
          <w:sz w:val="22"/>
          <w:szCs w:val="22"/>
        </w:rPr>
        <w:t xml:space="preserve">Specialty tag: </w:t>
      </w:r>
      <w:r>
        <w:rPr>
          <w:rFonts w:ascii="Arial" w:eastAsia="Arial" w:hAnsi="Arial" w:cs="Arial"/>
          <w:sz w:val="22"/>
          <w:szCs w:val="22"/>
        </w:rPr>
        <w:t xml:space="preserve">Specialty </w:t>
      </w:r>
      <w:proofErr w:type="gramStart"/>
      <w:r>
        <w:rPr>
          <w:rFonts w:ascii="Arial" w:eastAsia="Arial" w:hAnsi="Arial" w:cs="Arial"/>
          <w:sz w:val="22"/>
          <w:szCs w:val="22"/>
        </w:rPr>
        <w:t>Spotlight  |</w:t>
      </w:r>
      <w:proofErr w:type="gramEnd"/>
      <w:r>
        <w:rPr>
          <w:rFonts w:ascii="Arial" w:eastAsia="Arial" w:hAnsi="Arial" w:cs="Arial"/>
          <w:sz w:val="22"/>
          <w:szCs w:val="22"/>
        </w:rPr>
        <w:t xml:space="preserve">  Rheumatology</w:t>
      </w:r>
    </w:p>
    <w:p w14:paraId="08C990A3" w14:textId="77777777" w:rsidR="008F6773" w:rsidRDefault="00974AFF">
      <w:pPr>
        <w:pBdr>
          <w:left w:val="thick" w:sz="16" w:space="8" w:color="F59E0B"/>
        </w:pBdr>
        <w:shd w:val="clear" w:color="auto" w:fill="FFF8E1"/>
        <w:spacing w:before="60" w:after="60"/>
        <w:ind w:left="200"/>
      </w:pPr>
      <w:r>
        <w:rPr>
          <w:rFonts w:ascii="Arial" w:eastAsia="Arial" w:hAnsi="Arial" w:cs="Arial"/>
          <w:i/>
          <w:iCs/>
          <w:color w:val="92400E"/>
          <w:sz w:val="20"/>
          <w:szCs w:val="20"/>
        </w:rPr>
        <w:t xml:space="preserve">DEV NOTE: Specialty tag </w:t>
      </w:r>
      <w:proofErr w:type="gramStart"/>
      <w:r>
        <w:rPr>
          <w:rFonts w:ascii="Arial" w:eastAsia="Arial" w:hAnsi="Arial" w:cs="Arial"/>
          <w:i/>
          <w:iCs/>
          <w:color w:val="92400E"/>
          <w:sz w:val="20"/>
          <w:szCs w:val="20"/>
        </w:rPr>
        <w:t>pill</w:t>
      </w:r>
      <w:proofErr w:type="gramEnd"/>
      <w:r>
        <w:rPr>
          <w:rFonts w:ascii="Arial" w:eastAsia="Arial" w:hAnsi="Arial" w:cs="Arial"/>
          <w:i/>
          <w:iCs/>
          <w:color w:val="92400E"/>
          <w:sz w:val="20"/>
          <w:szCs w:val="20"/>
        </w:rPr>
        <w:t xml:space="preserve"> this issue: background #EEEDFE, text #3C3489 (Purple).</w:t>
      </w:r>
    </w:p>
    <w:p w14:paraId="37BE7FE7" w14:textId="77777777" w:rsidR="008F6773" w:rsidRDefault="008F6773">
      <w:pPr>
        <w:spacing w:after="140"/>
      </w:pPr>
    </w:p>
    <w:p w14:paraId="223D8DB9" w14:textId="77777777" w:rsidR="008F6773" w:rsidRDefault="00974AFF">
      <w:pPr>
        <w:spacing w:before="320" w:after="100"/>
      </w:pPr>
      <w:r>
        <w:rPr>
          <w:rFonts w:ascii="Arial" w:eastAsia="Arial" w:hAnsi="Arial" w:cs="Arial"/>
          <w:b/>
          <w:bCs/>
          <w:caps/>
          <w:color w:val="185FA5"/>
          <w:sz w:val="18"/>
          <w:szCs w:val="18"/>
        </w:rPr>
        <w:t>COMPONENT: OPENING PARAGRAPH</w:t>
      </w:r>
    </w:p>
    <w:p w14:paraId="2E72ACA7" w14:textId="77777777" w:rsidR="008F6773" w:rsidRDefault="00974AFF">
      <w:pPr>
        <w:spacing w:before="60" w:after="120"/>
      </w:pPr>
      <w:r>
        <w:t xml:space="preserve">This quarter we zero in on rheumatology — a field where a single denied infusion can </w:t>
      </w:r>
      <w:proofErr w:type="gramStart"/>
      <w:r>
        <w:t>cost a practice</w:t>
      </w:r>
      <w:proofErr w:type="gramEnd"/>
      <w:r>
        <w:t xml:space="preserve"> $4,000 or more, and where the gap between clinical complexity and payer logic is wider than almost anywhere else in medicine. The specialty sits at the intersection of three converging pressures: high-</w:t>
      </w:r>
      <w:r>
        <w:lastRenderedPageBreak/>
        <w:t>cost biologic drugs, aggressive payer utilization management, and Medicare reimbursement policies that haven't kept pace with the actual cost of delivering care.</w:t>
      </w:r>
    </w:p>
    <w:p w14:paraId="00565039" w14:textId="77777777" w:rsidR="008F6773" w:rsidRDefault="008F6773">
      <w:pPr>
        <w:spacing w:after="140"/>
      </w:pPr>
    </w:p>
    <w:p w14:paraId="0A504E1D" w14:textId="77777777" w:rsidR="008F6773" w:rsidRDefault="00974AFF">
      <w:pPr>
        <w:spacing w:before="320" w:after="100"/>
      </w:pPr>
      <w:r>
        <w:rPr>
          <w:rFonts w:ascii="Arial" w:eastAsia="Arial" w:hAnsi="Arial" w:cs="Arial"/>
          <w:b/>
          <w:bCs/>
          <w:caps/>
          <w:color w:val="185FA5"/>
          <w:sz w:val="18"/>
          <w:szCs w:val="18"/>
        </w:rPr>
        <w:t>COMPONENT: SCENARIO BLOCK</w:t>
      </w:r>
    </w:p>
    <w:p w14:paraId="45D152E0" w14:textId="77777777" w:rsidR="008F6773" w:rsidRDefault="00974AFF">
      <w:pPr>
        <w:pBdr>
          <w:left w:val="thick" w:sz="16" w:space="8" w:color="F59E0B"/>
        </w:pBdr>
        <w:shd w:val="clear" w:color="auto" w:fill="FFF8E1"/>
        <w:spacing w:before="60" w:after="60"/>
        <w:ind w:left="200"/>
      </w:pPr>
      <w:r>
        <w:rPr>
          <w:rFonts w:ascii="Arial" w:eastAsia="Arial" w:hAnsi="Arial" w:cs="Arial"/>
          <w:i/>
          <w:iCs/>
          <w:color w:val="92400E"/>
          <w:sz w:val="20"/>
          <w:szCs w:val="20"/>
        </w:rPr>
        <w:t>DEV NOTE: Same left-bordered callout style as Q2. Background #F4F6F8, left border 3px solid #185FA5, padding 16px 20px.</w:t>
      </w:r>
    </w:p>
    <w:p w14:paraId="0A654744" w14:textId="77777777" w:rsidR="008F6773" w:rsidRDefault="00974AFF">
      <w:pPr>
        <w:pBdr>
          <w:left w:val="thick" w:sz="20" w:space="10" w:color="185FA5"/>
        </w:pBdr>
        <w:shd w:val="clear" w:color="auto" w:fill="F4F6F8"/>
        <w:spacing w:before="80" w:after="80"/>
        <w:ind w:left="400"/>
      </w:pPr>
      <w:r>
        <w:rPr>
          <w:i/>
          <w:iCs/>
          <w:sz w:val="22"/>
          <w:szCs w:val="22"/>
        </w:rPr>
        <w:t xml:space="preserve">A rheumatology practice in the Southwest has been administering infliximab infusions for a patient with refractory rheumatoid arthritis for two years. The treatment is working. Then, without warning, the Medicare Advantage plan downcodes the infusion claim and flags the </w:t>
      </w:r>
      <w:proofErr w:type="gramStart"/>
      <w:r>
        <w:rPr>
          <w:i/>
          <w:iCs/>
          <w:sz w:val="22"/>
          <w:szCs w:val="22"/>
        </w:rPr>
        <w:t>biologic</w:t>
      </w:r>
      <w:proofErr w:type="gramEnd"/>
      <w:r>
        <w:rPr>
          <w:i/>
          <w:iCs/>
          <w:sz w:val="22"/>
          <w:szCs w:val="22"/>
        </w:rPr>
        <w:t xml:space="preserve"> for re-authorization — requiring fresh documentation of step therapy failure, current disease activity scores, and lab values going back six months. The prior auth takes three weeks. The patient misses a dose. </w:t>
      </w:r>
      <w:proofErr w:type="gramStart"/>
      <w:r>
        <w:rPr>
          <w:i/>
          <w:iCs/>
          <w:sz w:val="22"/>
          <w:szCs w:val="22"/>
        </w:rPr>
        <w:t>The practice</w:t>
      </w:r>
      <w:proofErr w:type="gramEnd"/>
      <w:r>
        <w:rPr>
          <w:i/>
          <w:iCs/>
          <w:sz w:val="22"/>
          <w:szCs w:val="22"/>
        </w:rPr>
        <w:t xml:space="preserve"> absorbs the administrative cost. Sound familiar?</w:t>
      </w:r>
    </w:p>
    <w:p w14:paraId="6A6BB578" w14:textId="77777777" w:rsidR="008F6773" w:rsidRDefault="008F6773">
      <w:pPr>
        <w:spacing w:after="140"/>
      </w:pPr>
    </w:p>
    <w:p w14:paraId="411DBE85" w14:textId="77777777" w:rsidR="008F6773" w:rsidRDefault="00974AFF">
      <w:pPr>
        <w:spacing w:before="320" w:after="100"/>
      </w:pPr>
      <w:r>
        <w:rPr>
          <w:rFonts w:ascii="Arial" w:eastAsia="Arial" w:hAnsi="Arial" w:cs="Arial"/>
          <w:b/>
          <w:bCs/>
          <w:caps/>
          <w:color w:val="185FA5"/>
          <w:sz w:val="18"/>
          <w:szCs w:val="18"/>
        </w:rPr>
        <w:t>COMPONENT: BODY NARRATIVE — 2 PARAGRAPHS</w:t>
      </w:r>
    </w:p>
    <w:p w14:paraId="2D22CCCF" w14:textId="77777777" w:rsidR="008F6773" w:rsidRDefault="00974AFF">
      <w:pPr>
        <w:spacing w:before="60" w:after="120"/>
      </w:pPr>
      <w:r>
        <w:t>This isn't a billing error. It's the new operating reality for rheumatology practices. The specialty's revenue model depends heavily on biologics administered under buy-and-bill arrangements — where the practice purchases the drug and bills Medicare Part B for both the drug (J-code) and the infusion service. Medicare reimbursement is tied to Average Sales Price (ASP) calculations, and 2026 brought new pressure: if the Medicare Drug Price Negotiation Program's Maximum Fair Price gets folded into ASP, reimbur</w:t>
      </w:r>
      <w:r>
        <w:t>sement rates could fall below acquisition cost, forcing some practices to administer drugs at a loss.</w:t>
      </w:r>
    </w:p>
    <w:p w14:paraId="2B17E888" w14:textId="77777777" w:rsidR="008F6773" w:rsidRDefault="00974AFF">
      <w:pPr>
        <w:spacing w:before="60" w:after="120"/>
      </w:pPr>
      <w:r>
        <w:t xml:space="preserve">Meanwhile, payer utilization management is intensifying. Prior authorization requirements are expanding, criteria change quarterly without notice, and the </w:t>
      </w:r>
      <w:proofErr w:type="spellStart"/>
      <w:r>
        <w:t>WISeR</w:t>
      </w:r>
      <w:proofErr w:type="spellEnd"/>
      <w:r>
        <w:t xml:space="preserve"> AI prior authorization pilot — now live in Arizona — introduces algorithmic denial review for Medicare patients, adding a new layer of unpredictability for practices managing high-cost drug approvals. The ACR has formally opposed the ASP methodology change and is actively lobbying for prior auth reform — but until policy catches up, the operational burden falls on the practice.</w:t>
      </w:r>
    </w:p>
    <w:p w14:paraId="4F40803F" w14:textId="77777777" w:rsidR="008F6773" w:rsidRDefault="008F6773">
      <w:pPr>
        <w:spacing w:after="140"/>
      </w:pPr>
    </w:p>
    <w:p w14:paraId="7884DEBA" w14:textId="77777777" w:rsidR="008F6773" w:rsidRDefault="00974AFF">
      <w:pPr>
        <w:spacing w:before="320" w:after="100"/>
      </w:pPr>
      <w:r>
        <w:rPr>
          <w:rFonts w:ascii="Arial" w:eastAsia="Arial" w:hAnsi="Arial" w:cs="Arial"/>
          <w:b/>
          <w:bCs/>
          <w:caps/>
          <w:color w:val="185FA5"/>
          <w:sz w:val="18"/>
          <w:szCs w:val="18"/>
        </w:rPr>
        <w:t>COMPONENT: PRESSURE NUGGETS — 4 CARDS</w:t>
      </w:r>
    </w:p>
    <w:p w14:paraId="1C6190B7" w14:textId="77777777" w:rsidR="008F6773" w:rsidRDefault="00974AFF">
      <w:pPr>
        <w:pBdr>
          <w:left w:val="thick" w:sz="16" w:space="8" w:color="F59E0B"/>
        </w:pBdr>
        <w:shd w:val="clear" w:color="auto" w:fill="FFF8E1"/>
        <w:spacing w:before="60" w:after="60"/>
        <w:ind w:left="200"/>
      </w:pPr>
      <w:r>
        <w:rPr>
          <w:rFonts w:ascii="Arial" w:eastAsia="Arial" w:hAnsi="Arial" w:cs="Arial"/>
          <w:i/>
          <w:iCs/>
          <w:color w:val="92400E"/>
          <w:sz w:val="20"/>
          <w:szCs w:val="20"/>
        </w:rPr>
        <w:t>DEV NOTE: Same card structure as Q2. Colors: Red for revenue/warning nuggets, Purple for policy/auth nuggets, Blue for informational, Green for opportunity.</w:t>
      </w:r>
    </w:p>
    <w:p w14:paraId="65F97BCB" w14:textId="77777777" w:rsidR="008F6773" w:rsidRDefault="008F6773">
      <w:pPr>
        <w:spacing w:after="140"/>
      </w:pPr>
    </w:p>
    <w:p w14:paraId="2F0F073E" w14:textId="77777777" w:rsidR="008F6773" w:rsidRDefault="00974AFF">
      <w:pPr>
        <w:pStyle w:val="Heading2"/>
      </w:pPr>
      <w:r>
        <w:rPr>
          <w:color w:val="A32D2D"/>
          <w:sz w:val="22"/>
          <w:szCs w:val="22"/>
        </w:rPr>
        <w:t>Nugget 1 — Buy-and-bill risk</w:t>
      </w:r>
    </w:p>
    <w:p w14:paraId="6E95AFF6" w14:textId="77777777" w:rsidR="008F6773" w:rsidRDefault="00974AFF">
      <w:pPr>
        <w:spacing w:before="80" w:after="40"/>
      </w:pPr>
      <w:r>
        <w:rPr>
          <w:rFonts w:ascii="Arial" w:eastAsia="Arial" w:hAnsi="Arial" w:cs="Arial"/>
          <w:b/>
          <w:bCs/>
          <w:color w:val="A32D2D"/>
          <w:sz w:val="16"/>
          <w:szCs w:val="16"/>
        </w:rPr>
        <w:t>BUY-AND-BILL RISK</w:t>
      </w:r>
    </w:p>
    <w:p w14:paraId="7F8C536B" w14:textId="77777777" w:rsidR="008F6773" w:rsidRDefault="00974AFF">
      <w:pPr>
        <w:spacing w:after="40"/>
      </w:pPr>
      <w:r>
        <w:rPr>
          <w:rFonts w:ascii="Arial" w:eastAsia="Arial" w:hAnsi="Arial" w:cs="Arial"/>
          <w:b/>
          <w:bCs/>
          <w:sz w:val="22"/>
          <w:szCs w:val="22"/>
        </w:rPr>
        <w:t>Buy-and-bill is under siege</w:t>
      </w:r>
    </w:p>
    <w:p w14:paraId="4569352B" w14:textId="77777777" w:rsidR="008F6773" w:rsidRDefault="00974AFF">
      <w:pPr>
        <w:spacing w:after="40"/>
      </w:pPr>
      <w:r>
        <w:rPr>
          <w:sz w:val="22"/>
          <w:szCs w:val="22"/>
        </w:rPr>
        <w:t xml:space="preserve">Rheumatology's revenue model depends heavily on biologics administered under buy-and-bill arrangements. Medicare reimbursement is tied to ASP calculations, and a proposed policy change — folding the Maximum Fair Price into ASP — could push reimbursement below acquisition cost for some drugs. </w:t>
      </w:r>
      <w:proofErr w:type="gramStart"/>
      <w:r>
        <w:rPr>
          <w:sz w:val="22"/>
          <w:szCs w:val="22"/>
        </w:rPr>
        <w:t>Biologics</w:t>
      </w:r>
      <w:proofErr w:type="gramEnd"/>
      <w:r>
        <w:rPr>
          <w:sz w:val="22"/>
          <w:szCs w:val="22"/>
        </w:rPr>
        <w:t xml:space="preserve"> like Remicade can run $3,800 per infusion and Stelara $12,000 per dose. A single documentation or coding misalignment on a J-code can result in denied reimbursement on a drug that </w:t>
      </w:r>
      <w:proofErr w:type="gramStart"/>
      <w:r>
        <w:rPr>
          <w:sz w:val="22"/>
          <w:szCs w:val="22"/>
        </w:rPr>
        <w:t>cost</w:t>
      </w:r>
      <w:proofErr w:type="gramEnd"/>
      <w:r>
        <w:rPr>
          <w:sz w:val="22"/>
          <w:szCs w:val="22"/>
        </w:rPr>
        <w:t xml:space="preserve"> the practice thousands. The ACR has formally opposed the ASP methodology change.</w:t>
      </w:r>
    </w:p>
    <w:p w14:paraId="702991DA" w14:textId="77777777" w:rsidR="008F6773" w:rsidRDefault="00974AFF">
      <w:pPr>
        <w:spacing w:before="40" w:after="120"/>
      </w:pPr>
      <w:proofErr w:type="gramStart"/>
      <w:r>
        <w:rPr>
          <w:rFonts w:ascii="Arial" w:eastAsia="Arial" w:hAnsi="Arial" w:cs="Arial"/>
          <w:b/>
          <w:bCs/>
          <w:color w:val="A32D2D"/>
          <w:sz w:val="20"/>
          <w:szCs w:val="20"/>
        </w:rPr>
        <w:t>▸</w:t>
      </w:r>
      <w:r>
        <w:rPr>
          <w:rFonts w:ascii="Arial" w:eastAsia="Arial" w:hAnsi="Arial" w:cs="Arial"/>
          <w:b/>
          <w:bCs/>
          <w:color w:val="A32D2D"/>
          <w:sz w:val="20"/>
          <w:szCs w:val="20"/>
        </w:rPr>
        <w:t xml:space="preserve">  ACR</w:t>
      </w:r>
      <w:proofErr w:type="gramEnd"/>
      <w:r>
        <w:rPr>
          <w:rFonts w:ascii="Arial" w:eastAsia="Arial" w:hAnsi="Arial" w:cs="Arial"/>
          <w:b/>
          <w:bCs/>
          <w:color w:val="A32D2D"/>
          <w:sz w:val="20"/>
          <w:szCs w:val="20"/>
        </w:rPr>
        <w:t xml:space="preserve"> formally opposed the new ASP </w:t>
      </w:r>
      <w:proofErr w:type="gramStart"/>
      <w:r>
        <w:rPr>
          <w:rFonts w:ascii="Arial" w:eastAsia="Arial" w:hAnsi="Arial" w:cs="Arial"/>
          <w:b/>
          <w:bCs/>
          <w:color w:val="A32D2D"/>
          <w:sz w:val="20"/>
          <w:szCs w:val="20"/>
        </w:rPr>
        <w:t>methodology  |</w:t>
      </w:r>
      <w:proofErr w:type="gramEnd"/>
      <w:r>
        <w:rPr>
          <w:rFonts w:ascii="Arial" w:eastAsia="Arial" w:hAnsi="Arial" w:cs="Arial"/>
          <w:b/>
          <w:bCs/>
          <w:color w:val="A32D2D"/>
          <w:sz w:val="20"/>
          <w:szCs w:val="20"/>
        </w:rPr>
        <w:t xml:space="preserve">  Buy-and-bill margin at risk</w:t>
      </w:r>
    </w:p>
    <w:p w14:paraId="05CD533B" w14:textId="77777777" w:rsidR="008F6773" w:rsidRDefault="008F6773">
      <w:pPr>
        <w:pBdr>
          <w:bottom w:val="single" w:sz="2" w:space="0" w:color="DDDDDD"/>
        </w:pBdr>
        <w:spacing w:after="120"/>
      </w:pPr>
    </w:p>
    <w:p w14:paraId="30FEBBCD" w14:textId="77777777" w:rsidR="008F6773" w:rsidRDefault="00974AFF">
      <w:pPr>
        <w:pStyle w:val="Heading2"/>
      </w:pPr>
      <w:r>
        <w:rPr>
          <w:color w:val="3C3489"/>
          <w:sz w:val="22"/>
          <w:szCs w:val="22"/>
        </w:rPr>
        <w:t xml:space="preserve">Nugget 2 — Prior </w:t>
      </w:r>
      <w:proofErr w:type="gramStart"/>
      <w:r>
        <w:rPr>
          <w:color w:val="3C3489"/>
          <w:sz w:val="22"/>
          <w:szCs w:val="22"/>
        </w:rPr>
        <w:t>auth complexity</w:t>
      </w:r>
      <w:proofErr w:type="gramEnd"/>
    </w:p>
    <w:p w14:paraId="3777783F" w14:textId="77777777" w:rsidR="008F6773" w:rsidRDefault="00974AFF">
      <w:pPr>
        <w:spacing w:before="80" w:after="40"/>
      </w:pPr>
      <w:r>
        <w:rPr>
          <w:rFonts w:ascii="Arial" w:eastAsia="Arial" w:hAnsi="Arial" w:cs="Arial"/>
          <w:b/>
          <w:bCs/>
          <w:color w:val="3C3489"/>
          <w:sz w:val="16"/>
          <w:szCs w:val="16"/>
        </w:rPr>
        <w:t>PRIOR AUTH COMPLEXITY</w:t>
      </w:r>
    </w:p>
    <w:p w14:paraId="7D4CDB61" w14:textId="77777777" w:rsidR="008F6773" w:rsidRDefault="00974AFF">
      <w:pPr>
        <w:spacing w:after="40"/>
      </w:pPr>
      <w:r>
        <w:rPr>
          <w:rFonts w:ascii="Arial" w:eastAsia="Arial" w:hAnsi="Arial" w:cs="Arial"/>
          <w:b/>
          <w:bCs/>
          <w:sz w:val="22"/>
          <w:szCs w:val="22"/>
        </w:rPr>
        <w:t>Prior auth: more frequent, more complex, now algorithmic</w:t>
      </w:r>
    </w:p>
    <w:p w14:paraId="088917EB" w14:textId="77777777" w:rsidR="008F6773" w:rsidRDefault="00974AFF">
      <w:pPr>
        <w:spacing w:after="40"/>
      </w:pPr>
      <w:r>
        <w:rPr>
          <w:sz w:val="22"/>
          <w:szCs w:val="22"/>
        </w:rPr>
        <w:t xml:space="preserve">97% of Medicare Advantage plans require prior authorization for biologic DMARDs. Payer-specific criteria change quarterly — what cleared last year may fail this year. The new </w:t>
      </w:r>
      <w:proofErr w:type="spellStart"/>
      <w:r>
        <w:rPr>
          <w:sz w:val="22"/>
          <w:szCs w:val="22"/>
        </w:rPr>
        <w:t>WISeR</w:t>
      </w:r>
      <w:proofErr w:type="spellEnd"/>
      <w:r>
        <w:rPr>
          <w:sz w:val="22"/>
          <w:szCs w:val="22"/>
        </w:rPr>
        <w:t xml:space="preserve"> AI prior authorization pilot, live in Arizona and five other states, introduces algorithmic denial review for Medicare patients through 2031. Incomplete documentation of step therapy failure, disease activity scores, or lab values going back 6+ months is now enough to trigger a denial on a treatment that's been working for years.</w:t>
      </w:r>
    </w:p>
    <w:p w14:paraId="0E6759A2" w14:textId="77777777" w:rsidR="008F6773" w:rsidRDefault="00974AFF">
      <w:pPr>
        <w:spacing w:before="40" w:after="120"/>
      </w:pPr>
      <w:proofErr w:type="gramStart"/>
      <w:r>
        <w:rPr>
          <w:rFonts w:ascii="Arial" w:eastAsia="Arial" w:hAnsi="Arial" w:cs="Arial"/>
          <w:b/>
          <w:bCs/>
          <w:color w:val="3C3489"/>
          <w:sz w:val="20"/>
          <w:szCs w:val="20"/>
        </w:rPr>
        <w:t>▸</w:t>
      </w:r>
      <w:r>
        <w:rPr>
          <w:rFonts w:ascii="Arial" w:eastAsia="Arial" w:hAnsi="Arial" w:cs="Arial"/>
          <w:b/>
          <w:bCs/>
          <w:color w:val="3C3489"/>
          <w:sz w:val="20"/>
          <w:szCs w:val="20"/>
        </w:rPr>
        <w:t xml:space="preserve">  18</w:t>
      </w:r>
      <w:proofErr w:type="gramEnd"/>
      <w:r>
        <w:rPr>
          <w:rFonts w:ascii="Arial" w:eastAsia="Arial" w:hAnsi="Arial" w:cs="Arial"/>
          <w:b/>
          <w:bCs/>
          <w:color w:val="3C3489"/>
          <w:sz w:val="20"/>
          <w:szCs w:val="20"/>
        </w:rPr>
        <w:t>–22% of denied specialty meds: patients never access the treatment</w:t>
      </w:r>
    </w:p>
    <w:p w14:paraId="2DE6455D" w14:textId="77777777" w:rsidR="008F6773" w:rsidRDefault="008F6773">
      <w:pPr>
        <w:pBdr>
          <w:bottom w:val="single" w:sz="2" w:space="0" w:color="DDDDDD"/>
        </w:pBdr>
        <w:spacing w:after="120"/>
      </w:pPr>
    </w:p>
    <w:p w14:paraId="75FFCC63" w14:textId="77777777" w:rsidR="008F6773" w:rsidRDefault="00974AFF">
      <w:pPr>
        <w:pStyle w:val="Heading2"/>
      </w:pPr>
      <w:r>
        <w:rPr>
          <w:sz w:val="22"/>
          <w:szCs w:val="22"/>
        </w:rPr>
        <w:t>Nugget 3 — Biosimilar billing</w:t>
      </w:r>
    </w:p>
    <w:p w14:paraId="7150D65E" w14:textId="77777777" w:rsidR="008F6773" w:rsidRDefault="00974AFF">
      <w:pPr>
        <w:spacing w:before="80" w:after="40"/>
      </w:pPr>
      <w:r>
        <w:rPr>
          <w:rFonts w:ascii="Arial" w:eastAsia="Arial" w:hAnsi="Arial" w:cs="Arial"/>
          <w:b/>
          <w:bCs/>
          <w:color w:val="185FA5"/>
          <w:sz w:val="16"/>
          <w:szCs w:val="16"/>
        </w:rPr>
        <w:t>BIOSIMILAR BILLING</w:t>
      </w:r>
    </w:p>
    <w:p w14:paraId="453CBD46" w14:textId="77777777" w:rsidR="008F6773" w:rsidRDefault="00974AFF">
      <w:pPr>
        <w:spacing w:after="40"/>
      </w:pPr>
      <w:r>
        <w:rPr>
          <w:rFonts w:ascii="Arial" w:eastAsia="Arial" w:hAnsi="Arial" w:cs="Arial"/>
          <w:b/>
          <w:bCs/>
          <w:sz w:val="22"/>
          <w:szCs w:val="22"/>
        </w:rPr>
        <w:t>Biosimilar complexity adds a new billing layer</w:t>
      </w:r>
    </w:p>
    <w:p w14:paraId="4635FA46" w14:textId="77777777" w:rsidR="008F6773" w:rsidRDefault="00974AFF">
      <w:pPr>
        <w:spacing w:after="40"/>
      </w:pPr>
      <w:r>
        <w:rPr>
          <w:sz w:val="22"/>
          <w:szCs w:val="22"/>
        </w:rPr>
        <w:t xml:space="preserve">As payers push biosimilar adoption — adalimumab biosimilars, infliximab biosimilars — practices must navigate new HCPCS codes, NDC reporting requirements, and formulary-specific coverage rules. Some biosimilars are reimbursed below acquisition cost, creating a financial trap for practices without real-time payer policy visibility. Payers are pushing </w:t>
      </w:r>
      <w:proofErr w:type="gramStart"/>
      <w:r>
        <w:rPr>
          <w:sz w:val="22"/>
          <w:szCs w:val="22"/>
        </w:rPr>
        <w:t>substitution</w:t>
      </w:r>
      <w:proofErr w:type="gramEnd"/>
      <w:r>
        <w:rPr>
          <w:sz w:val="22"/>
          <w:szCs w:val="22"/>
        </w:rPr>
        <w:t xml:space="preserve">, but the billing infrastructure to support it cleanly is </w:t>
      </w:r>
      <w:proofErr w:type="gramStart"/>
      <w:r>
        <w:rPr>
          <w:sz w:val="22"/>
          <w:szCs w:val="22"/>
        </w:rPr>
        <w:t>lagging behind</w:t>
      </w:r>
      <w:proofErr w:type="gramEnd"/>
      <w:r>
        <w:rPr>
          <w:sz w:val="22"/>
          <w:szCs w:val="22"/>
        </w:rPr>
        <w:t xml:space="preserve"> the clinical reality.</w:t>
      </w:r>
    </w:p>
    <w:p w14:paraId="1FCF3316" w14:textId="77777777" w:rsidR="008F6773" w:rsidRDefault="00974AFF">
      <w:pPr>
        <w:spacing w:before="40" w:after="120"/>
      </w:pPr>
      <w:proofErr w:type="gramStart"/>
      <w:r>
        <w:rPr>
          <w:rFonts w:ascii="Arial" w:eastAsia="Arial" w:hAnsi="Arial" w:cs="Arial"/>
          <w:b/>
          <w:bCs/>
          <w:color w:val="185FA5"/>
          <w:sz w:val="20"/>
          <w:szCs w:val="20"/>
        </w:rPr>
        <w:t>▸</w:t>
      </w:r>
      <w:r>
        <w:rPr>
          <w:rFonts w:ascii="Arial" w:eastAsia="Arial" w:hAnsi="Arial" w:cs="Arial"/>
          <w:b/>
          <w:bCs/>
          <w:color w:val="185FA5"/>
          <w:sz w:val="20"/>
          <w:szCs w:val="20"/>
        </w:rPr>
        <w:t xml:space="preserve">  2026</w:t>
      </w:r>
      <w:proofErr w:type="gramEnd"/>
      <w:r>
        <w:rPr>
          <w:rFonts w:ascii="Arial" w:eastAsia="Arial" w:hAnsi="Arial" w:cs="Arial"/>
          <w:b/>
          <w:bCs/>
          <w:color w:val="185FA5"/>
          <w:sz w:val="20"/>
          <w:szCs w:val="20"/>
        </w:rPr>
        <w:t>: new J-code scrutiny + NDC reporting required for biosimilars</w:t>
      </w:r>
    </w:p>
    <w:p w14:paraId="6AE79CCB" w14:textId="77777777" w:rsidR="008F6773" w:rsidRDefault="008F6773">
      <w:pPr>
        <w:pBdr>
          <w:bottom w:val="single" w:sz="2" w:space="0" w:color="DDDDDD"/>
        </w:pBdr>
        <w:spacing w:after="120"/>
      </w:pPr>
    </w:p>
    <w:p w14:paraId="527714BA" w14:textId="77777777" w:rsidR="008F6773" w:rsidRDefault="00974AFF">
      <w:pPr>
        <w:pStyle w:val="Heading2"/>
      </w:pPr>
      <w:r>
        <w:rPr>
          <w:color w:val="3B6D11"/>
          <w:sz w:val="22"/>
          <w:szCs w:val="22"/>
        </w:rPr>
        <w:t>Nugget 4 — Opportunity</w:t>
      </w:r>
    </w:p>
    <w:p w14:paraId="3D62FC83" w14:textId="77777777" w:rsidR="008F6773" w:rsidRDefault="00974AFF">
      <w:pPr>
        <w:spacing w:before="80" w:after="40"/>
      </w:pPr>
      <w:r>
        <w:rPr>
          <w:rFonts w:ascii="Arial" w:eastAsia="Arial" w:hAnsi="Arial" w:cs="Arial"/>
          <w:b/>
          <w:bCs/>
          <w:color w:val="3B6D11"/>
          <w:sz w:val="16"/>
          <w:szCs w:val="16"/>
        </w:rPr>
        <w:t>OPPORTUNITY</w:t>
      </w:r>
    </w:p>
    <w:p w14:paraId="197DF85F" w14:textId="77777777" w:rsidR="008F6773" w:rsidRDefault="00974AFF">
      <w:pPr>
        <w:spacing w:after="40"/>
      </w:pPr>
      <w:r>
        <w:rPr>
          <w:rFonts w:ascii="Arial" w:eastAsia="Arial" w:hAnsi="Arial" w:cs="Arial"/>
          <w:b/>
          <w:bCs/>
          <w:sz w:val="22"/>
          <w:szCs w:val="22"/>
        </w:rPr>
        <w:t>CCM and RPM — recurring revenue hiding in plain sight</w:t>
      </w:r>
    </w:p>
    <w:p w14:paraId="10AE12A1" w14:textId="77777777" w:rsidR="008F6773" w:rsidRDefault="00974AFF">
      <w:pPr>
        <w:spacing w:after="40"/>
      </w:pPr>
      <w:r>
        <w:rPr>
          <w:sz w:val="22"/>
          <w:szCs w:val="22"/>
        </w:rPr>
        <w:t xml:space="preserve">Congress extended telehealth </w:t>
      </w:r>
      <w:proofErr w:type="gramStart"/>
      <w:r>
        <w:rPr>
          <w:sz w:val="22"/>
          <w:szCs w:val="22"/>
        </w:rPr>
        <w:t>flexibilities</w:t>
      </w:r>
      <w:proofErr w:type="gramEnd"/>
      <w:r>
        <w:rPr>
          <w:sz w:val="22"/>
          <w:szCs w:val="22"/>
        </w:rPr>
        <w:t xml:space="preserve"> two more years in early 2026, including virtual supervision. For rheumatology, this opens real billing opportunity: Chronic Care Management (CCM) and Remote Patient Monitoring (RPM) codes apply directly to the chronic autoimmune patient population. Most rheumatology practices are delivering the care that qualifies — phone check-ins, medication adjustments, care coordination — they just aren't billing for it. For a panel of 150–200 qualifying patients, CCM billing alone can add $8,000–$15,000 p</w:t>
      </w:r>
      <w:r>
        <w:rPr>
          <w:sz w:val="22"/>
          <w:szCs w:val="22"/>
        </w:rPr>
        <w:t>er month in recurring revenue.</w:t>
      </w:r>
    </w:p>
    <w:p w14:paraId="010D7439" w14:textId="77777777" w:rsidR="008F6773" w:rsidRDefault="00974AFF">
      <w:pPr>
        <w:spacing w:before="40" w:after="120"/>
      </w:pPr>
      <w:proofErr w:type="gramStart"/>
      <w:r>
        <w:rPr>
          <w:rFonts w:ascii="Arial" w:eastAsia="Arial" w:hAnsi="Arial" w:cs="Arial"/>
          <w:b/>
          <w:bCs/>
          <w:color w:val="3B6D11"/>
          <w:sz w:val="20"/>
          <w:szCs w:val="20"/>
        </w:rPr>
        <w:t>▸</w:t>
      </w:r>
      <w:r>
        <w:rPr>
          <w:rFonts w:ascii="Arial" w:eastAsia="Arial" w:hAnsi="Arial" w:cs="Arial"/>
          <w:b/>
          <w:bCs/>
          <w:color w:val="3B6D11"/>
          <w:sz w:val="20"/>
          <w:szCs w:val="20"/>
        </w:rPr>
        <w:t xml:space="preserve">  Telehealth</w:t>
      </w:r>
      <w:proofErr w:type="gramEnd"/>
      <w:r>
        <w:rPr>
          <w:rFonts w:ascii="Arial" w:eastAsia="Arial" w:hAnsi="Arial" w:cs="Arial"/>
          <w:b/>
          <w:bCs/>
          <w:color w:val="3B6D11"/>
          <w:sz w:val="20"/>
          <w:szCs w:val="20"/>
        </w:rPr>
        <w:t xml:space="preserve"> extended 2 more </w:t>
      </w:r>
      <w:proofErr w:type="gramStart"/>
      <w:r>
        <w:rPr>
          <w:rFonts w:ascii="Arial" w:eastAsia="Arial" w:hAnsi="Arial" w:cs="Arial"/>
          <w:b/>
          <w:bCs/>
          <w:color w:val="3B6D11"/>
          <w:sz w:val="20"/>
          <w:szCs w:val="20"/>
        </w:rPr>
        <w:t>years  |</w:t>
      </w:r>
      <w:proofErr w:type="gramEnd"/>
      <w:r>
        <w:rPr>
          <w:rFonts w:ascii="Arial" w:eastAsia="Arial" w:hAnsi="Arial" w:cs="Arial"/>
          <w:b/>
          <w:bCs/>
          <w:color w:val="3B6D11"/>
          <w:sz w:val="20"/>
          <w:szCs w:val="20"/>
        </w:rPr>
        <w:t xml:space="preserve">  New Advanced Primary Care Management codes available</w:t>
      </w:r>
    </w:p>
    <w:p w14:paraId="7C3057FD" w14:textId="77777777" w:rsidR="008F6773" w:rsidRDefault="008F6773">
      <w:pPr>
        <w:pBdr>
          <w:bottom w:val="single" w:sz="2" w:space="0" w:color="DDDDDD"/>
        </w:pBdr>
        <w:spacing w:after="120"/>
      </w:pPr>
    </w:p>
    <w:p w14:paraId="65AC8855" w14:textId="77777777" w:rsidR="008F6773" w:rsidRDefault="008F6773">
      <w:pPr>
        <w:spacing w:after="280"/>
      </w:pPr>
    </w:p>
    <w:p w14:paraId="26F72130" w14:textId="77777777" w:rsidR="008F6773" w:rsidRDefault="00974AFF">
      <w:pPr>
        <w:spacing w:before="320" w:after="100"/>
      </w:pPr>
      <w:r>
        <w:rPr>
          <w:rFonts w:ascii="Arial" w:eastAsia="Arial" w:hAnsi="Arial" w:cs="Arial"/>
          <w:b/>
          <w:bCs/>
          <w:caps/>
          <w:color w:val="185FA5"/>
          <w:sz w:val="18"/>
          <w:szCs w:val="18"/>
        </w:rPr>
        <w:t>COMPONENT: RCM ACTIONS — 3 ITEMS</w:t>
      </w:r>
    </w:p>
    <w:p w14:paraId="71C0EF06" w14:textId="77777777" w:rsidR="008F6773" w:rsidRDefault="00974AFF">
      <w:pPr>
        <w:pBdr>
          <w:left w:val="thick" w:sz="16" w:space="8" w:color="F59E0B"/>
        </w:pBdr>
        <w:shd w:val="clear" w:color="auto" w:fill="FFF8E1"/>
        <w:spacing w:before="60" w:after="60"/>
        <w:ind w:left="200"/>
      </w:pPr>
      <w:r>
        <w:rPr>
          <w:rFonts w:ascii="Arial" w:eastAsia="Arial" w:hAnsi="Arial" w:cs="Arial"/>
          <w:i/>
          <w:iCs/>
          <w:color w:val="92400E"/>
          <w:sz w:val="20"/>
          <w:szCs w:val="20"/>
        </w:rPr>
        <w:t>DEV NOTE: Same shaded block structure as Q2 (</w:t>
      </w:r>
      <w:proofErr w:type="spellStart"/>
      <w:r>
        <w:rPr>
          <w:rFonts w:ascii="Arial" w:eastAsia="Arial" w:hAnsi="Arial" w:cs="Arial"/>
          <w:i/>
          <w:iCs/>
          <w:color w:val="92400E"/>
          <w:sz w:val="20"/>
          <w:szCs w:val="20"/>
        </w:rPr>
        <w:t>bg</w:t>
      </w:r>
      <w:proofErr w:type="spellEnd"/>
      <w:r>
        <w:rPr>
          <w:rFonts w:ascii="Arial" w:eastAsia="Arial" w:hAnsi="Arial" w:cs="Arial"/>
          <w:i/>
          <w:iCs/>
          <w:color w:val="92400E"/>
          <w:sz w:val="20"/>
          <w:szCs w:val="20"/>
        </w:rPr>
        <w:t xml:space="preserve"> #F4F6F8, border-radius 12px, padding 16px). Circle number badge + bold title + body copy.</w:t>
      </w:r>
    </w:p>
    <w:p w14:paraId="119EA90D" w14:textId="77777777" w:rsidR="008F6773" w:rsidRDefault="008F6773">
      <w:pPr>
        <w:spacing w:after="140"/>
      </w:pPr>
    </w:p>
    <w:p w14:paraId="0EC8128B" w14:textId="77777777" w:rsidR="008F6773" w:rsidRDefault="00974AFF">
      <w:pPr>
        <w:spacing w:before="120" w:after="40"/>
      </w:pPr>
      <w:r>
        <w:rPr>
          <w:rFonts w:ascii="Arial" w:eastAsia="Arial" w:hAnsi="Arial" w:cs="Arial"/>
          <w:b/>
          <w:bCs/>
          <w:color w:val="1B3A6B"/>
        </w:rPr>
        <w:t>1</w:t>
      </w:r>
      <w:proofErr w:type="gramStart"/>
      <w:r>
        <w:rPr>
          <w:rFonts w:ascii="Arial" w:eastAsia="Arial" w:hAnsi="Arial" w:cs="Arial"/>
          <w:b/>
          <w:bCs/>
          <w:color w:val="1B3A6B"/>
        </w:rPr>
        <w:t>.  Build</w:t>
      </w:r>
      <w:proofErr w:type="gramEnd"/>
      <w:r>
        <w:rPr>
          <w:rFonts w:ascii="Arial" w:eastAsia="Arial" w:hAnsi="Arial" w:cs="Arial"/>
          <w:b/>
          <w:bCs/>
          <w:color w:val="1B3A6B"/>
        </w:rPr>
        <w:t xml:space="preserve"> a </w:t>
      </w:r>
      <w:proofErr w:type="gramStart"/>
      <w:r>
        <w:rPr>
          <w:rFonts w:ascii="Arial" w:eastAsia="Arial" w:hAnsi="Arial" w:cs="Arial"/>
          <w:b/>
          <w:bCs/>
          <w:color w:val="1B3A6B"/>
        </w:rPr>
        <w:t>biologic</w:t>
      </w:r>
      <w:proofErr w:type="gramEnd"/>
      <w:r>
        <w:rPr>
          <w:rFonts w:ascii="Arial" w:eastAsia="Arial" w:hAnsi="Arial" w:cs="Arial"/>
          <w:b/>
          <w:bCs/>
          <w:color w:val="1B3A6B"/>
        </w:rPr>
        <w:t xml:space="preserve"> prior auth playbook — by payer.</w:t>
      </w:r>
    </w:p>
    <w:p w14:paraId="2C7C2887" w14:textId="77777777" w:rsidR="008F6773" w:rsidRDefault="00974AFF">
      <w:pPr>
        <w:spacing w:after="120"/>
        <w:ind w:left="480"/>
      </w:pPr>
      <w:r>
        <w:rPr>
          <w:sz w:val="23"/>
          <w:szCs w:val="23"/>
        </w:rPr>
        <w:t>Generic PA workflows fail in rheumatology. Each Medicare Advantage plan has different step therapy criteria, documentation requirements, and appeal timelines. Map them. A denial on a $12,000 infusion that takes three weeks to resolve isn't a paperwork problem — it's a cash flow event. Know what each payer needs before the claim goes out, not after it comes back.</w:t>
      </w:r>
    </w:p>
    <w:p w14:paraId="322B8834" w14:textId="77777777" w:rsidR="008F6773" w:rsidRDefault="00974AFF">
      <w:pPr>
        <w:spacing w:before="120" w:after="40"/>
      </w:pPr>
      <w:r>
        <w:rPr>
          <w:rFonts w:ascii="Arial" w:eastAsia="Arial" w:hAnsi="Arial" w:cs="Arial"/>
          <w:b/>
          <w:bCs/>
          <w:color w:val="1B3A6B"/>
        </w:rPr>
        <w:lastRenderedPageBreak/>
        <w:t>2</w:t>
      </w:r>
      <w:proofErr w:type="gramStart"/>
      <w:r>
        <w:rPr>
          <w:rFonts w:ascii="Arial" w:eastAsia="Arial" w:hAnsi="Arial" w:cs="Arial"/>
          <w:b/>
          <w:bCs/>
          <w:color w:val="1B3A6B"/>
        </w:rPr>
        <w:t>.  Audit</w:t>
      </w:r>
      <w:proofErr w:type="gramEnd"/>
      <w:r>
        <w:rPr>
          <w:rFonts w:ascii="Arial" w:eastAsia="Arial" w:hAnsi="Arial" w:cs="Arial"/>
          <w:b/>
          <w:bCs/>
          <w:color w:val="1B3A6B"/>
        </w:rPr>
        <w:t xml:space="preserve"> your J-code and NDC reporting monthly.</w:t>
      </w:r>
    </w:p>
    <w:p w14:paraId="4B14FF78" w14:textId="77777777" w:rsidR="008F6773" w:rsidRDefault="00974AFF">
      <w:pPr>
        <w:spacing w:after="120"/>
        <w:ind w:left="480"/>
      </w:pPr>
      <w:r>
        <w:rPr>
          <w:sz w:val="23"/>
          <w:szCs w:val="23"/>
        </w:rPr>
        <w:t xml:space="preserve">NDC reporting errors and unit miscalculations on biologic claims are among the most common denial root causes in rheumatology. A single documentation or coding misalignment can result in denied reimbursement on a drug that </w:t>
      </w:r>
      <w:proofErr w:type="gramStart"/>
      <w:r>
        <w:rPr>
          <w:sz w:val="23"/>
          <w:szCs w:val="23"/>
        </w:rPr>
        <w:t>cost</w:t>
      </w:r>
      <w:proofErr w:type="gramEnd"/>
      <w:r>
        <w:rPr>
          <w:sz w:val="23"/>
          <w:szCs w:val="23"/>
        </w:rPr>
        <w:t xml:space="preserve"> the practice thousands. Monthly audits catch patterns before they compound into material AR problems.</w:t>
      </w:r>
    </w:p>
    <w:p w14:paraId="7F996A7E" w14:textId="77777777" w:rsidR="008F6773" w:rsidRDefault="00974AFF">
      <w:pPr>
        <w:spacing w:before="120" w:after="40"/>
      </w:pPr>
      <w:r>
        <w:rPr>
          <w:rFonts w:ascii="Arial" w:eastAsia="Arial" w:hAnsi="Arial" w:cs="Arial"/>
          <w:b/>
          <w:bCs/>
          <w:color w:val="1B3A6B"/>
        </w:rPr>
        <w:t>3</w:t>
      </w:r>
      <w:proofErr w:type="gramStart"/>
      <w:r>
        <w:rPr>
          <w:rFonts w:ascii="Arial" w:eastAsia="Arial" w:hAnsi="Arial" w:cs="Arial"/>
          <w:b/>
          <w:bCs/>
          <w:color w:val="1B3A6B"/>
        </w:rPr>
        <w:t>.  Start</w:t>
      </w:r>
      <w:proofErr w:type="gramEnd"/>
      <w:r>
        <w:rPr>
          <w:rFonts w:ascii="Arial" w:eastAsia="Arial" w:hAnsi="Arial" w:cs="Arial"/>
          <w:b/>
          <w:bCs/>
          <w:color w:val="1B3A6B"/>
        </w:rPr>
        <w:t xml:space="preserve"> billing CCM and RPM if you aren't already.</w:t>
      </w:r>
    </w:p>
    <w:p w14:paraId="3B97640D" w14:textId="77777777" w:rsidR="008F6773" w:rsidRDefault="00974AFF">
      <w:pPr>
        <w:spacing w:after="120"/>
        <w:ind w:left="480"/>
      </w:pPr>
      <w:r>
        <w:rPr>
          <w:sz w:val="23"/>
          <w:szCs w:val="23"/>
        </w:rPr>
        <w:t xml:space="preserve">Most rheumatology practices </w:t>
      </w:r>
      <w:proofErr w:type="gramStart"/>
      <w:r>
        <w:rPr>
          <w:sz w:val="23"/>
          <w:szCs w:val="23"/>
        </w:rPr>
        <w:t>are delivering</w:t>
      </w:r>
      <w:proofErr w:type="gramEnd"/>
      <w:r>
        <w:rPr>
          <w:sz w:val="23"/>
          <w:szCs w:val="23"/>
        </w:rPr>
        <w:t xml:space="preserve"> the care that qualifies — they just aren't capturing it. For a panel of 150–200 chronic patients, CCM billing alone can add $8,000–$15,000 per month in revenue with no additional clinical visits required. The two-year telehealth extension locks in favorable reimbursement to build this now.</w:t>
      </w:r>
    </w:p>
    <w:p w14:paraId="39E61F5D" w14:textId="77777777" w:rsidR="008F6773" w:rsidRDefault="008F6773">
      <w:pPr>
        <w:spacing w:after="280"/>
      </w:pPr>
    </w:p>
    <w:p w14:paraId="4C4E080E" w14:textId="77777777" w:rsidR="008F6773" w:rsidRDefault="00974AFF">
      <w:pPr>
        <w:spacing w:before="320" w:after="100"/>
      </w:pPr>
      <w:r>
        <w:rPr>
          <w:rFonts w:ascii="Arial" w:eastAsia="Arial" w:hAnsi="Arial" w:cs="Arial"/>
          <w:b/>
          <w:bCs/>
          <w:caps/>
          <w:color w:val="185FA5"/>
          <w:sz w:val="18"/>
          <w:szCs w:val="18"/>
        </w:rPr>
        <w:t>COMPONENT: CTA BLOCK</w:t>
      </w:r>
    </w:p>
    <w:p w14:paraId="6897CFAF" w14:textId="77777777" w:rsidR="008F6773" w:rsidRDefault="00974AFF">
      <w:pPr>
        <w:pBdr>
          <w:left w:val="thick" w:sz="16" w:space="8" w:color="F59E0B"/>
        </w:pBdr>
        <w:shd w:val="clear" w:color="auto" w:fill="FFF8E1"/>
        <w:spacing w:before="60" w:after="60"/>
        <w:ind w:left="200"/>
      </w:pPr>
      <w:r>
        <w:rPr>
          <w:rFonts w:ascii="Arial" w:eastAsia="Arial" w:hAnsi="Arial" w:cs="Arial"/>
          <w:i/>
          <w:iCs/>
          <w:color w:val="92400E"/>
          <w:sz w:val="20"/>
          <w:szCs w:val="20"/>
        </w:rPr>
        <w:t>DEV NOTE: Same bordered box as Q2. Update headline and body copy only. Button URL and label unchanged.</w:t>
      </w:r>
    </w:p>
    <w:p w14:paraId="23075B2C" w14:textId="77777777" w:rsidR="008F6773" w:rsidRDefault="00974AFF">
      <w:pPr>
        <w:spacing w:after="60"/>
      </w:pPr>
      <w:r>
        <w:rPr>
          <w:rFonts w:ascii="Arial" w:eastAsia="Arial" w:hAnsi="Arial" w:cs="Arial"/>
          <w:b/>
          <w:bCs/>
          <w:sz w:val="22"/>
          <w:szCs w:val="22"/>
        </w:rPr>
        <w:t xml:space="preserve">CTA headline: </w:t>
      </w:r>
      <w:r>
        <w:rPr>
          <w:rFonts w:ascii="Arial" w:eastAsia="Arial" w:hAnsi="Arial" w:cs="Arial"/>
          <w:sz w:val="22"/>
          <w:szCs w:val="22"/>
        </w:rPr>
        <w:t>Is your rheumatology billing working as hard as your clinical team?</w:t>
      </w:r>
    </w:p>
    <w:p w14:paraId="6C415E5B" w14:textId="77777777" w:rsidR="008F6773" w:rsidRDefault="00974AFF">
      <w:pPr>
        <w:spacing w:before="60" w:after="120"/>
      </w:pPr>
      <w:proofErr w:type="spellStart"/>
      <w:r>
        <w:t>Vaqya's</w:t>
      </w:r>
      <w:proofErr w:type="spellEnd"/>
      <w:r>
        <w:t xml:space="preserve"> RCM specialists work with physician practices across specialties to reduce denials, recover underpayments, and build the revenue cycle infrastructure that keeps independent practices independent. Our team brings specialty-trained coders who understand the biologic billing environment, payer-by-payer prior auth requirements, and the 2026 fee schedule changes affecting rheumatology.</w:t>
      </w:r>
    </w:p>
    <w:p w14:paraId="22CDABD1" w14:textId="77777777" w:rsidR="008F6773" w:rsidRDefault="00974AFF">
      <w:pPr>
        <w:spacing w:after="60"/>
      </w:pPr>
      <w:r>
        <w:rPr>
          <w:rFonts w:ascii="Arial" w:eastAsia="Arial" w:hAnsi="Arial" w:cs="Arial"/>
          <w:b/>
          <w:bCs/>
          <w:sz w:val="22"/>
          <w:szCs w:val="22"/>
        </w:rPr>
        <w:t xml:space="preserve">Button label: </w:t>
      </w:r>
      <w:r>
        <w:rPr>
          <w:rFonts w:ascii="Arial" w:eastAsia="Arial" w:hAnsi="Arial" w:cs="Arial"/>
          <w:sz w:val="22"/>
          <w:szCs w:val="22"/>
        </w:rPr>
        <w:t>Let's talk →</w:t>
      </w:r>
    </w:p>
    <w:p w14:paraId="474533FD" w14:textId="77777777" w:rsidR="008F6773" w:rsidRDefault="00974AFF">
      <w:pPr>
        <w:spacing w:after="60"/>
      </w:pPr>
      <w:r>
        <w:rPr>
          <w:rFonts w:ascii="Arial" w:eastAsia="Arial" w:hAnsi="Arial" w:cs="Arial"/>
          <w:b/>
          <w:bCs/>
          <w:sz w:val="22"/>
          <w:szCs w:val="22"/>
        </w:rPr>
        <w:t xml:space="preserve">Button URL: </w:t>
      </w:r>
      <w:r>
        <w:rPr>
          <w:rFonts w:ascii="Arial" w:eastAsia="Arial" w:hAnsi="Arial" w:cs="Arial"/>
          <w:sz w:val="22"/>
          <w:szCs w:val="22"/>
        </w:rPr>
        <w:t>https://vaqya.com/contact</w:t>
      </w:r>
    </w:p>
    <w:p w14:paraId="44E83A31" w14:textId="77777777" w:rsidR="008F6773" w:rsidRDefault="008F6773">
      <w:pPr>
        <w:spacing w:after="140"/>
      </w:pPr>
    </w:p>
    <w:p w14:paraId="1C0D3601" w14:textId="77777777" w:rsidR="008F6773" w:rsidRDefault="00974AFF">
      <w:pPr>
        <w:spacing w:before="320" w:after="100"/>
      </w:pPr>
      <w:r>
        <w:rPr>
          <w:rFonts w:ascii="Arial" w:eastAsia="Arial" w:hAnsi="Arial" w:cs="Arial"/>
          <w:b/>
          <w:bCs/>
          <w:caps/>
          <w:color w:val="185FA5"/>
          <w:sz w:val="18"/>
          <w:szCs w:val="18"/>
        </w:rPr>
        <w:t>COMPONENT: FOOTER</w:t>
      </w:r>
    </w:p>
    <w:p w14:paraId="41DD93CA" w14:textId="77777777" w:rsidR="008F6773" w:rsidRDefault="00974AFF">
      <w:pPr>
        <w:spacing w:after="60"/>
      </w:pPr>
      <w:r>
        <w:rPr>
          <w:rFonts w:ascii="Arial" w:eastAsia="Arial" w:hAnsi="Arial" w:cs="Arial"/>
          <w:b/>
          <w:bCs/>
          <w:sz w:val="22"/>
          <w:szCs w:val="22"/>
        </w:rPr>
        <w:t xml:space="preserve">Next quarter: </w:t>
      </w:r>
      <w:r>
        <w:rPr>
          <w:rFonts w:ascii="Arial" w:eastAsia="Arial" w:hAnsi="Arial" w:cs="Arial"/>
          <w:sz w:val="22"/>
          <w:szCs w:val="22"/>
        </w:rPr>
        <w:t>Primary Care &amp; Internal Medicine — APM dual conversion factor strategy, Medicare Advantage burden, and CCM as a revenue floor.</w:t>
      </w:r>
    </w:p>
    <w:p w14:paraId="6C7B7489" w14:textId="77777777" w:rsidR="008F6773" w:rsidRDefault="00974AFF">
      <w:pPr>
        <w:spacing w:after="60"/>
      </w:pPr>
      <w:r>
        <w:rPr>
          <w:rFonts w:ascii="Arial" w:eastAsia="Arial" w:hAnsi="Arial" w:cs="Arial"/>
          <w:b/>
          <w:bCs/>
          <w:sz w:val="22"/>
          <w:szCs w:val="22"/>
        </w:rPr>
        <w:t xml:space="preserve">Sources: </w:t>
      </w:r>
      <w:r>
        <w:rPr>
          <w:rFonts w:ascii="Arial" w:eastAsia="Arial" w:hAnsi="Arial" w:cs="Arial"/>
          <w:sz w:val="22"/>
          <w:szCs w:val="22"/>
        </w:rPr>
        <w:t xml:space="preserve">ACR · MGMA · CMS 2026 MPFS Final Rule · </w:t>
      </w:r>
      <w:proofErr w:type="spellStart"/>
      <w:r>
        <w:rPr>
          <w:rFonts w:ascii="Arial" w:eastAsia="Arial" w:hAnsi="Arial" w:cs="Arial"/>
          <w:sz w:val="22"/>
          <w:szCs w:val="22"/>
        </w:rPr>
        <w:t>MedCloudMD</w:t>
      </w:r>
      <w:proofErr w:type="spellEnd"/>
      <w:r>
        <w:rPr>
          <w:rFonts w:ascii="Arial" w:eastAsia="Arial" w:hAnsi="Arial" w:cs="Arial"/>
          <w:sz w:val="22"/>
          <w:szCs w:val="22"/>
        </w:rPr>
        <w:t xml:space="preserve"> · Counterforce Health · Arthritis Foundation · Cloud RCM Solutions</w:t>
      </w:r>
    </w:p>
    <w:p w14:paraId="5732A8E6" w14:textId="77777777" w:rsidR="008F6773" w:rsidRDefault="00974AFF">
      <w:pPr>
        <w:spacing w:after="60"/>
      </w:pPr>
      <w:r>
        <w:rPr>
          <w:rFonts w:ascii="Arial" w:eastAsia="Arial" w:hAnsi="Arial" w:cs="Arial"/>
          <w:b/>
          <w:bCs/>
          <w:sz w:val="22"/>
          <w:szCs w:val="22"/>
        </w:rPr>
        <w:t xml:space="preserve">Brand line: </w:t>
      </w:r>
      <w:proofErr w:type="spellStart"/>
      <w:r>
        <w:rPr>
          <w:rFonts w:ascii="Arial" w:eastAsia="Arial" w:hAnsi="Arial" w:cs="Arial"/>
          <w:sz w:val="22"/>
          <w:szCs w:val="22"/>
        </w:rPr>
        <w:t>Vaqya</w:t>
      </w:r>
      <w:proofErr w:type="spellEnd"/>
      <w:r>
        <w:rPr>
          <w:rFonts w:ascii="Arial" w:eastAsia="Arial" w:hAnsi="Arial" w:cs="Arial"/>
          <w:sz w:val="22"/>
          <w:szCs w:val="22"/>
        </w:rPr>
        <w:t xml:space="preserve"> </w:t>
      </w:r>
      <w:proofErr w:type="gramStart"/>
      <w:r>
        <w:rPr>
          <w:rFonts w:ascii="Arial" w:eastAsia="Arial" w:hAnsi="Arial" w:cs="Arial"/>
          <w:sz w:val="22"/>
          <w:szCs w:val="22"/>
        </w:rPr>
        <w:t>LLC  ·</w:t>
      </w:r>
      <w:proofErr w:type="gramEnd"/>
      <w:r>
        <w:rPr>
          <w:rFonts w:ascii="Arial" w:eastAsia="Arial" w:hAnsi="Arial" w:cs="Arial"/>
          <w:sz w:val="22"/>
          <w:szCs w:val="22"/>
        </w:rPr>
        <w:t xml:space="preserve">  Sun City, </w:t>
      </w:r>
      <w:proofErr w:type="gramStart"/>
      <w:r>
        <w:rPr>
          <w:rFonts w:ascii="Arial" w:eastAsia="Arial" w:hAnsi="Arial" w:cs="Arial"/>
          <w:sz w:val="22"/>
          <w:szCs w:val="22"/>
        </w:rPr>
        <w:t>AZ  ·</w:t>
      </w:r>
      <w:proofErr w:type="gramEnd"/>
      <w:r>
        <w:rPr>
          <w:rFonts w:ascii="Arial" w:eastAsia="Arial" w:hAnsi="Arial" w:cs="Arial"/>
          <w:sz w:val="22"/>
          <w:szCs w:val="22"/>
        </w:rPr>
        <w:t xml:space="preserve">  vaqya.com</w:t>
      </w:r>
    </w:p>
    <w:p w14:paraId="4D866695" w14:textId="77777777" w:rsidR="008F6773" w:rsidRDefault="008F6773">
      <w:pPr>
        <w:spacing w:after="280"/>
      </w:pPr>
    </w:p>
    <w:p w14:paraId="381A329A" w14:textId="77777777" w:rsidR="008F6773" w:rsidRDefault="008F6773">
      <w:pPr>
        <w:pBdr>
          <w:bottom w:val="single" w:sz="8" w:space="1" w:color="DDDDDD"/>
        </w:pBdr>
      </w:pPr>
    </w:p>
    <w:p w14:paraId="60141AEE" w14:textId="77777777" w:rsidR="008F6773" w:rsidRDefault="00974AFF">
      <w:pPr>
        <w:spacing w:before="320" w:after="100"/>
      </w:pPr>
      <w:r>
        <w:rPr>
          <w:rFonts w:ascii="Arial" w:eastAsia="Arial" w:hAnsi="Arial" w:cs="Arial"/>
          <w:b/>
          <w:bCs/>
          <w:caps/>
          <w:color w:val="A32D2D"/>
          <w:sz w:val="18"/>
          <w:szCs w:val="18"/>
        </w:rPr>
        <w:t>SECTION 3 — CONTENT SERIES ROTATION</w:t>
      </w:r>
    </w:p>
    <w:p w14:paraId="7E5A0642" w14:textId="77777777" w:rsidR="008F6773" w:rsidRDefault="00974AFF">
      <w:pPr>
        <w:pStyle w:val="Heading1"/>
      </w:pPr>
      <w:r>
        <w:t>Quarterly series — confirmed rotation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8F6773" w14:paraId="1418FA33" w14:textId="77777777">
        <w:tblPrEx>
          <w:tblCellMar>
            <w:top w:w="0" w:type="dxa"/>
            <w:bottom w:w="0" w:type="dxa"/>
          </w:tblCellMar>
        </w:tblPrEx>
        <w:trPr>
          <w:tblHeader/>
        </w:trPr>
        <w:tc>
          <w:tcPr>
            <w:tcW w:w="1800" w:type="dxa"/>
            <w:shd w:val="clear" w:color="auto" w:fill="1B3A6B"/>
            <w:tcMar>
              <w:top w:w="80" w:type="dxa"/>
              <w:left w:w="120" w:type="dxa"/>
              <w:bottom w:w="80" w:type="dxa"/>
              <w:right w:w="120" w:type="dxa"/>
            </w:tcMar>
          </w:tcPr>
          <w:p w14:paraId="5EAEFE19" w14:textId="77777777" w:rsidR="008F6773" w:rsidRDefault="00974AFF">
            <w:r>
              <w:rPr>
                <w:rFonts w:ascii="Arial" w:eastAsia="Arial" w:hAnsi="Arial" w:cs="Arial"/>
                <w:b/>
                <w:bCs/>
                <w:color w:val="FFFFFF"/>
                <w:sz w:val="20"/>
                <w:szCs w:val="20"/>
              </w:rPr>
              <w:t>Issue</w:t>
            </w:r>
          </w:p>
        </w:tc>
        <w:tc>
          <w:tcPr>
            <w:tcW w:w="2400" w:type="dxa"/>
            <w:shd w:val="clear" w:color="auto" w:fill="1B3A6B"/>
            <w:tcMar>
              <w:top w:w="80" w:type="dxa"/>
              <w:left w:w="120" w:type="dxa"/>
              <w:bottom w:w="80" w:type="dxa"/>
              <w:right w:w="120" w:type="dxa"/>
            </w:tcMar>
          </w:tcPr>
          <w:p w14:paraId="7A56E31D" w14:textId="77777777" w:rsidR="008F6773" w:rsidRDefault="00974AFF">
            <w:r>
              <w:rPr>
                <w:rFonts w:ascii="Arial" w:eastAsia="Arial" w:hAnsi="Arial" w:cs="Arial"/>
                <w:b/>
                <w:bCs/>
                <w:color w:val="FFFFFF"/>
                <w:sz w:val="20"/>
                <w:szCs w:val="20"/>
              </w:rPr>
              <w:t>Specialty</w:t>
            </w:r>
          </w:p>
        </w:tc>
        <w:tc>
          <w:tcPr>
            <w:tcW w:w="5160" w:type="dxa"/>
            <w:shd w:val="clear" w:color="auto" w:fill="1B3A6B"/>
            <w:tcMar>
              <w:top w:w="80" w:type="dxa"/>
              <w:left w:w="120" w:type="dxa"/>
              <w:bottom w:w="80" w:type="dxa"/>
              <w:right w:w="120" w:type="dxa"/>
            </w:tcMar>
          </w:tcPr>
          <w:p w14:paraId="7253CE29" w14:textId="77777777" w:rsidR="008F6773" w:rsidRDefault="00974AFF">
            <w:r>
              <w:rPr>
                <w:rFonts w:ascii="Arial" w:eastAsia="Arial" w:hAnsi="Arial" w:cs="Arial"/>
                <w:b/>
                <w:bCs/>
                <w:color w:val="FFFFFF"/>
                <w:sz w:val="20"/>
                <w:szCs w:val="20"/>
              </w:rPr>
              <w:t>Key Themes</w:t>
            </w:r>
          </w:p>
        </w:tc>
      </w:tr>
      <w:tr w:rsidR="008F6773" w14:paraId="112294E3" w14:textId="77777777">
        <w:tblPrEx>
          <w:tblCellMar>
            <w:top w:w="0" w:type="dxa"/>
            <w:bottom w:w="0" w:type="dxa"/>
          </w:tblCellMar>
        </w:tblPrEx>
        <w:tc>
          <w:tcPr>
            <w:tcW w:w="1800" w:type="dxa"/>
            <w:shd w:val="clear" w:color="auto" w:fill="F4F6F8"/>
            <w:tcMar>
              <w:top w:w="80" w:type="dxa"/>
              <w:left w:w="120" w:type="dxa"/>
              <w:bottom w:w="80" w:type="dxa"/>
              <w:right w:w="120" w:type="dxa"/>
            </w:tcMar>
          </w:tcPr>
          <w:p w14:paraId="1D434162" w14:textId="77777777" w:rsidR="008F6773" w:rsidRDefault="00974AFF">
            <w:r>
              <w:rPr>
                <w:rFonts w:ascii="Arial" w:eastAsia="Arial" w:hAnsi="Arial" w:cs="Arial"/>
                <w:sz w:val="20"/>
                <w:szCs w:val="20"/>
              </w:rPr>
              <w:t>Q2 2026</w:t>
            </w:r>
          </w:p>
        </w:tc>
        <w:tc>
          <w:tcPr>
            <w:tcW w:w="2400" w:type="dxa"/>
            <w:shd w:val="clear" w:color="auto" w:fill="F4F6F8"/>
            <w:tcMar>
              <w:top w:w="80" w:type="dxa"/>
              <w:left w:w="120" w:type="dxa"/>
              <w:bottom w:w="80" w:type="dxa"/>
              <w:right w:w="120" w:type="dxa"/>
            </w:tcMar>
          </w:tcPr>
          <w:p w14:paraId="383011B0" w14:textId="77777777" w:rsidR="008F6773" w:rsidRDefault="00974AFF">
            <w:r>
              <w:rPr>
                <w:rFonts w:ascii="Arial" w:eastAsia="Arial" w:hAnsi="Arial" w:cs="Arial"/>
                <w:sz w:val="20"/>
                <w:szCs w:val="20"/>
              </w:rPr>
              <w:t>Cardiology ✓</w:t>
            </w:r>
          </w:p>
        </w:tc>
        <w:tc>
          <w:tcPr>
            <w:tcW w:w="5160" w:type="dxa"/>
            <w:shd w:val="clear" w:color="auto" w:fill="F4F6F8"/>
            <w:tcMar>
              <w:top w:w="80" w:type="dxa"/>
              <w:left w:w="120" w:type="dxa"/>
              <w:bottom w:w="80" w:type="dxa"/>
              <w:right w:w="120" w:type="dxa"/>
            </w:tcMar>
          </w:tcPr>
          <w:p w14:paraId="2723528C" w14:textId="77777777" w:rsidR="008F6773" w:rsidRDefault="00974AFF">
            <w:r>
              <w:rPr>
                <w:rFonts w:ascii="Arial" w:eastAsia="Arial" w:hAnsi="Arial" w:cs="Arial"/>
                <w:sz w:val="20"/>
                <w:szCs w:val="20"/>
              </w:rPr>
              <w:t xml:space="preserve">CPT overhaul, PCI </w:t>
            </w:r>
            <w:proofErr w:type="gramStart"/>
            <w:r>
              <w:rPr>
                <w:rFonts w:ascii="Arial" w:eastAsia="Arial" w:hAnsi="Arial" w:cs="Arial"/>
                <w:sz w:val="20"/>
                <w:szCs w:val="20"/>
              </w:rPr>
              <w:t>restructure</w:t>
            </w:r>
            <w:proofErr w:type="gramEnd"/>
            <w:r>
              <w:rPr>
                <w:rFonts w:ascii="Arial" w:eastAsia="Arial" w:hAnsi="Arial" w:cs="Arial"/>
                <w:sz w:val="20"/>
                <w:szCs w:val="20"/>
              </w:rPr>
              <w:t>, ASM HF model, site-of-service math, RPM opportunity</w:t>
            </w:r>
          </w:p>
        </w:tc>
      </w:tr>
      <w:tr w:rsidR="008F6773" w14:paraId="1F096E3D"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76B67BA3" w14:textId="77777777" w:rsidR="008F6773" w:rsidRDefault="00974AFF">
            <w:r>
              <w:rPr>
                <w:rFonts w:ascii="Arial" w:eastAsia="Arial" w:hAnsi="Arial" w:cs="Arial"/>
                <w:sz w:val="20"/>
                <w:szCs w:val="20"/>
              </w:rPr>
              <w:lastRenderedPageBreak/>
              <w:t>Q3 2026</w:t>
            </w:r>
          </w:p>
        </w:tc>
        <w:tc>
          <w:tcPr>
            <w:tcW w:w="2400" w:type="dxa"/>
            <w:shd w:val="clear" w:color="auto" w:fill="FFFFFF"/>
            <w:tcMar>
              <w:top w:w="80" w:type="dxa"/>
              <w:left w:w="120" w:type="dxa"/>
              <w:bottom w:w="80" w:type="dxa"/>
              <w:right w:w="120" w:type="dxa"/>
            </w:tcMar>
          </w:tcPr>
          <w:p w14:paraId="51B21EBD" w14:textId="77777777" w:rsidR="008F6773" w:rsidRDefault="00974AFF">
            <w:r>
              <w:rPr>
                <w:rFonts w:ascii="Arial" w:eastAsia="Arial" w:hAnsi="Arial" w:cs="Arial"/>
                <w:sz w:val="20"/>
                <w:szCs w:val="20"/>
              </w:rPr>
              <w:t>Rheumatology ✓</w:t>
            </w:r>
          </w:p>
        </w:tc>
        <w:tc>
          <w:tcPr>
            <w:tcW w:w="5160" w:type="dxa"/>
            <w:shd w:val="clear" w:color="auto" w:fill="FFFFFF"/>
            <w:tcMar>
              <w:top w:w="80" w:type="dxa"/>
              <w:left w:w="120" w:type="dxa"/>
              <w:bottom w:w="80" w:type="dxa"/>
              <w:right w:w="120" w:type="dxa"/>
            </w:tcMar>
          </w:tcPr>
          <w:p w14:paraId="395222AF" w14:textId="77777777" w:rsidR="008F6773" w:rsidRDefault="00974AFF">
            <w:r>
              <w:rPr>
                <w:rFonts w:ascii="Arial" w:eastAsia="Arial" w:hAnsi="Arial" w:cs="Arial"/>
                <w:sz w:val="20"/>
                <w:szCs w:val="20"/>
              </w:rPr>
              <w:t>Biologic buy-and-bill, prior auth, biosimilar billing, CCM/telehealth</w:t>
            </w:r>
          </w:p>
        </w:tc>
      </w:tr>
      <w:tr w:rsidR="008F6773" w14:paraId="5D35894B" w14:textId="77777777">
        <w:tblPrEx>
          <w:tblCellMar>
            <w:top w:w="0" w:type="dxa"/>
            <w:bottom w:w="0" w:type="dxa"/>
          </w:tblCellMar>
        </w:tblPrEx>
        <w:tc>
          <w:tcPr>
            <w:tcW w:w="1800" w:type="dxa"/>
            <w:shd w:val="clear" w:color="auto" w:fill="F4F6F8"/>
            <w:tcMar>
              <w:top w:w="80" w:type="dxa"/>
              <w:left w:w="120" w:type="dxa"/>
              <w:bottom w:w="80" w:type="dxa"/>
              <w:right w:w="120" w:type="dxa"/>
            </w:tcMar>
          </w:tcPr>
          <w:p w14:paraId="47D6EBC2" w14:textId="77777777" w:rsidR="008F6773" w:rsidRDefault="00974AFF">
            <w:r>
              <w:rPr>
                <w:rFonts w:ascii="Arial" w:eastAsia="Arial" w:hAnsi="Arial" w:cs="Arial"/>
                <w:sz w:val="20"/>
                <w:szCs w:val="20"/>
              </w:rPr>
              <w:t>Q4 2026</w:t>
            </w:r>
          </w:p>
        </w:tc>
        <w:tc>
          <w:tcPr>
            <w:tcW w:w="2400" w:type="dxa"/>
            <w:shd w:val="clear" w:color="auto" w:fill="F4F6F8"/>
            <w:tcMar>
              <w:top w:w="80" w:type="dxa"/>
              <w:left w:w="120" w:type="dxa"/>
              <w:bottom w:w="80" w:type="dxa"/>
              <w:right w:w="120" w:type="dxa"/>
            </w:tcMar>
          </w:tcPr>
          <w:p w14:paraId="1B1F43E6" w14:textId="77777777" w:rsidR="008F6773" w:rsidRDefault="00974AFF">
            <w:r>
              <w:rPr>
                <w:rFonts w:ascii="Arial" w:eastAsia="Arial" w:hAnsi="Arial" w:cs="Arial"/>
                <w:sz w:val="20"/>
                <w:szCs w:val="20"/>
              </w:rPr>
              <w:t>Primary Care / IM</w:t>
            </w:r>
          </w:p>
        </w:tc>
        <w:tc>
          <w:tcPr>
            <w:tcW w:w="5160" w:type="dxa"/>
            <w:shd w:val="clear" w:color="auto" w:fill="F4F6F8"/>
            <w:tcMar>
              <w:top w:w="80" w:type="dxa"/>
              <w:left w:w="120" w:type="dxa"/>
              <w:bottom w:w="80" w:type="dxa"/>
              <w:right w:w="120" w:type="dxa"/>
            </w:tcMar>
          </w:tcPr>
          <w:p w14:paraId="197CA0E7" w14:textId="77777777" w:rsidR="008F6773" w:rsidRDefault="00974AFF">
            <w:r>
              <w:rPr>
                <w:rFonts w:ascii="Arial" w:eastAsia="Arial" w:hAnsi="Arial" w:cs="Arial"/>
                <w:sz w:val="20"/>
                <w:szCs w:val="20"/>
              </w:rPr>
              <w:t>APM dual conversion factor, MA burden, CCM as revenue floor</w:t>
            </w:r>
          </w:p>
        </w:tc>
      </w:tr>
      <w:tr w:rsidR="008F6773" w14:paraId="5321E3F0"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69E0F81B" w14:textId="77777777" w:rsidR="008F6773" w:rsidRDefault="00974AFF">
            <w:r>
              <w:rPr>
                <w:rFonts w:ascii="Arial" w:eastAsia="Arial" w:hAnsi="Arial" w:cs="Arial"/>
                <w:sz w:val="20"/>
                <w:szCs w:val="20"/>
              </w:rPr>
              <w:t>Q1 2027</w:t>
            </w:r>
          </w:p>
        </w:tc>
        <w:tc>
          <w:tcPr>
            <w:tcW w:w="2400" w:type="dxa"/>
            <w:shd w:val="clear" w:color="auto" w:fill="FFFFFF"/>
            <w:tcMar>
              <w:top w:w="80" w:type="dxa"/>
              <w:left w:w="120" w:type="dxa"/>
              <w:bottom w:w="80" w:type="dxa"/>
              <w:right w:w="120" w:type="dxa"/>
            </w:tcMar>
          </w:tcPr>
          <w:p w14:paraId="769B194B" w14:textId="77777777" w:rsidR="008F6773" w:rsidRDefault="00974AFF">
            <w:r>
              <w:rPr>
                <w:rFonts w:ascii="Arial" w:eastAsia="Arial" w:hAnsi="Arial" w:cs="Arial"/>
                <w:sz w:val="20"/>
                <w:szCs w:val="20"/>
              </w:rPr>
              <w:t>Multi-Specialty</w:t>
            </w:r>
          </w:p>
        </w:tc>
        <w:tc>
          <w:tcPr>
            <w:tcW w:w="5160" w:type="dxa"/>
            <w:shd w:val="clear" w:color="auto" w:fill="FFFFFF"/>
            <w:tcMar>
              <w:top w:w="80" w:type="dxa"/>
              <w:left w:w="120" w:type="dxa"/>
              <w:bottom w:w="80" w:type="dxa"/>
              <w:right w:w="120" w:type="dxa"/>
            </w:tcMar>
          </w:tcPr>
          <w:p w14:paraId="37264B42" w14:textId="77777777" w:rsidR="008F6773" w:rsidRDefault="00974AFF">
            <w:r>
              <w:rPr>
                <w:rFonts w:ascii="Arial" w:eastAsia="Arial" w:hAnsi="Arial" w:cs="Arial"/>
                <w:sz w:val="20"/>
                <w:szCs w:val="20"/>
              </w:rPr>
              <w:t>Annual fee schedule preview, cross-specialty RCM priorities</w:t>
            </w:r>
          </w:p>
        </w:tc>
      </w:tr>
    </w:tbl>
    <w:p w14:paraId="56325A88" w14:textId="77777777" w:rsidR="008F6773" w:rsidRDefault="008F6773">
      <w:pPr>
        <w:spacing w:after="280"/>
      </w:pPr>
    </w:p>
    <w:p w14:paraId="64C80645" w14:textId="77777777" w:rsidR="008F6773" w:rsidRDefault="008F6773">
      <w:pPr>
        <w:pBdr>
          <w:bottom w:val="single" w:sz="8" w:space="1" w:color="1B3A6B"/>
        </w:pBdr>
      </w:pPr>
    </w:p>
    <w:p w14:paraId="68A5705D" w14:textId="77777777" w:rsidR="008F6773" w:rsidRDefault="00974AFF">
      <w:pPr>
        <w:spacing w:before="160"/>
      </w:pPr>
      <w:r>
        <w:rPr>
          <w:rFonts w:ascii="Arial" w:eastAsia="Arial" w:hAnsi="Arial" w:cs="Arial"/>
          <w:i/>
          <w:iCs/>
          <w:color w:val="5F5E5A"/>
          <w:sz w:val="20"/>
          <w:szCs w:val="20"/>
        </w:rPr>
        <w:t>End of Handoff — Q3 2026 Rheumatology</w:t>
      </w:r>
    </w:p>
    <w:sectPr w:rsidR="008F677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C7EC7"/>
    <w:multiLevelType w:val="hybridMultilevel"/>
    <w:tmpl w:val="D6C4C6E2"/>
    <w:lvl w:ilvl="0" w:tplc="62CA40E0">
      <w:start w:val="1"/>
      <w:numFmt w:val="bullet"/>
      <w:lvlText w:val="●"/>
      <w:lvlJc w:val="left"/>
      <w:pPr>
        <w:ind w:left="720" w:hanging="360"/>
      </w:pPr>
    </w:lvl>
    <w:lvl w:ilvl="1" w:tplc="6034329C">
      <w:start w:val="1"/>
      <w:numFmt w:val="bullet"/>
      <w:lvlText w:val="○"/>
      <w:lvlJc w:val="left"/>
      <w:pPr>
        <w:ind w:left="1440" w:hanging="360"/>
      </w:pPr>
    </w:lvl>
    <w:lvl w:ilvl="2" w:tplc="DF4C28F4">
      <w:start w:val="1"/>
      <w:numFmt w:val="bullet"/>
      <w:lvlText w:val="■"/>
      <w:lvlJc w:val="left"/>
      <w:pPr>
        <w:ind w:left="2160" w:hanging="360"/>
      </w:pPr>
    </w:lvl>
    <w:lvl w:ilvl="3" w:tplc="74AAFD8A">
      <w:start w:val="1"/>
      <w:numFmt w:val="bullet"/>
      <w:lvlText w:val="●"/>
      <w:lvlJc w:val="left"/>
      <w:pPr>
        <w:ind w:left="2880" w:hanging="360"/>
      </w:pPr>
    </w:lvl>
    <w:lvl w:ilvl="4" w:tplc="4F2E2478">
      <w:start w:val="1"/>
      <w:numFmt w:val="bullet"/>
      <w:lvlText w:val="○"/>
      <w:lvlJc w:val="left"/>
      <w:pPr>
        <w:ind w:left="3600" w:hanging="360"/>
      </w:pPr>
    </w:lvl>
    <w:lvl w:ilvl="5" w:tplc="8D50E020">
      <w:start w:val="1"/>
      <w:numFmt w:val="bullet"/>
      <w:lvlText w:val="■"/>
      <w:lvlJc w:val="left"/>
      <w:pPr>
        <w:ind w:left="4320" w:hanging="360"/>
      </w:pPr>
    </w:lvl>
    <w:lvl w:ilvl="6" w:tplc="E29C382E">
      <w:start w:val="1"/>
      <w:numFmt w:val="bullet"/>
      <w:lvlText w:val="●"/>
      <w:lvlJc w:val="left"/>
      <w:pPr>
        <w:ind w:left="5040" w:hanging="360"/>
      </w:pPr>
    </w:lvl>
    <w:lvl w:ilvl="7" w:tplc="95267388">
      <w:start w:val="1"/>
      <w:numFmt w:val="bullet"/>
      <w:lvlText w:val="●"/>
      <w:lvlJc w:val="left"/>
      <w:pPr>
        <w:ind w:left="5760" w:hanging="360"/>
      </w:pPr>
    </w:lvl>
    <w:lvl w:ilvl="8" w:tplc="822A0C0A">
      <w:start w:val="1"/>
      <w:numFmt w:val="bullet"/>
      <w:lvlText w:val="●"/>
      <w:lvlJc w:val="left"/>
      <w:pPr>
        <w:ind w:left="6480" w:hanging="360"/>
      </w:pPr>
    </w:lvl>
  </w:abstractNum>
  <w:num w:numId="1" w16cid:durableId="8057811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773"/>
    <w:rsid w:val="0022361C"/>
    <w:rsid w:val="005D4EB3"/>
    <w:rsid w:val="008F6773"/>
    <w:rsid w:val="00974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A2715"/>
  <w15:docId w15:val="{D6977A8A-8DF8-409F-A937-1B8FFEFD5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1C1C1C"/>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rFonts w:ascii="Arial" w:eastAsia="Arial" w:hAnsi="Arial" w:cs="Arial"/>
      <w:b/>
      <w:bCs/>
      <w:color w:val="1B3A6B"/>
      <w:sz w:val="36"/>
      <w:szCs w:val="36"/>
    </w:rPr>
  </w:style>
  <w:style w:type="paragraph" w:styleId="Heading2">
    <w:name w:val="heading 2"/>
    <w:uiPriority w:val="9"/>
    <w:unhideWhenUsed/>
    <w:qFormat/>
    <w:pPr>
      <w:spacing w:before="220" w:after="80"/>
      <w:outlineLvl w:val="1"/>
    </w:pPr>
    <w:rPr>
      <w:rFonts w:ascii="Arial" w:eastAsia="Arial" w:hAnsi="Arial" w:cs="Arial"/>
      <w:b/>
      <w:bCs/>
      <w:color w:val="185FA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1407</Words>
  <Characters>8092</Characters>
  <Application>Microsoft Office Word</Application>
  <DocSecurity>0</DocSecurity>
  <Lines>202</Lines>
  <Paragraphs>133</Paragraphs>
  <ScaleCrop>false</ScaleCrop>
  <Company/>
  <LinksUpToDate>false</LinksUpToDate>
  <CharactersWithSpaces>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shanmugam mukundan</cp:lastModifiedBy>
  <cp:revision>2</cp:revision>
  <dcterms:created xsi:type="dcterms:W3CDTF">2026-04-13T03:59:00Z</dcterms:created>
  <dcterms:modified xsi:type="dcterms:W3CDTF">2026-04-13T03:59:00Z</dcterms:modified>
</cp:coreProperties>
</file>