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0E3A8" w14:textId="77777777" w:rsidR="00D67394" w:rsidRDefault="00000000">
      <w:pPr>
        <w:spacing w:after="60"/>
        <w:jc w:val="center"/>
      </w:pPr>
      <w:r>
        <w:rPr>
          <w:rFonts w:eastAsia="Calibri"/>
          <w:b/>
          <w:bCs/>
          <w:color w:val="1F3864"/>
          <w:sz w:val="34"/>
          <w:szCs w:val="34"/>
        </w:rPr>
        <w:t>WISER × BQP Quantum Challenge 2026</w:t>
      </w:r>
    </w:p>
    <w:p w14:paraId="63CA5F26" w14:textId="77777777" w:rsidR="00D67394" w:rsidRDefault="00000000">
      <w:pPr>
        <w:spacing w:after="60"/>
        <w:jc w:val="center"/>
      </w:pPr>
      <w:r>
        <w:rPr>
          <w:rFonts w:eastAsia="Calibri"/>
          <w:b/>
          <w:bCs/>
          <w:color w:val="2E5496"/>
          <w:sz w:val="26"/>
          <w:szCs w:val="26"/>
        </w:rPr>
        <w:t>Team Research Proposal</w:t>
      </w:r>
    </w:p>
    <w:p w14:paraId="65B11AB5" w14:textId="5D1D98B8" w:rsidR="00D67394" w:rsidRDefault="00661DA1">
      <w:pPr>
        <w:spacing w:after="40"/>
        <w:jc w:val="center"/>
      </w:pPr>
      <w:r>
        <w:rPr>
          <w:rFonts w:eastAsia="Calibri"/>
          <w:i/>
          <w:iCs/>
          <w:color w:val="595959"/>
          <w:sz w:val="22"/>
          <w:szCs w:val="22"/>
        </w:rPr>
        <w:t>Benchmark of Quantum-Assisted Physics-Informed Neural Networks for Navier–Stokes Shock Tube Simulation</w:t>
      </w:r>
    </w:p>
    <w:p w14:paraId="565A6CCA" w14:textId="77777777" w:rsidR="00D67394" w:rsidRDefault="00000000">
      <w:pPr>
        <w:spacing w:after="80"/>
        <w:jc w:val="center"/>
        <w:rPr>
          <w:rFonts w:eastAsia="Calibri"/>
          <w:color w:val="595959"/>
          <w:sz w:val="20"/>
          <w:szCs w:val="20"/>
        </w:rPr>
      </w:pPr>
      <w:r>
        <w:rPr>
          <w:rFonts w:eastAsia="Calibri"/>
          <w:color w:val="595959"/>
          <w:sz w:val="20"/>
          <w:szCs w:val="20"/>
        </w:rPr>
        <w:t>Submission Deadline: 7 August 2026</w:t>
      </w:r>
    </w:p>
    <w:p w14:paraId="1C6720A1" w14:textId="171802BB" w:rsidR="00892742" w:rsidRDefault="00892742">
      <w:pPr>
        <w:spacing w:after="80"/>
        <w:jc w:val="center"/>
      </w:pPr>
      <w:r>
        <w:rPr>
          <w:rFonts w:eastAsia="Calibri"/>
          <w:color w:val="595959"/>
          <w:sz w:val="20"/>
          <w:szCs w:val="20"/>
        </w:rPr>
        <w:t>Team member: David Liu, Shan Zeng</w:t>
      </w:r>
    </w:p>
    <w:p w14:paraId="660C75D2" w14:textId="77777777" w:rsidR="00D67394" w:rsidRDefault="00000000">
      <w:pPr>
        <w:pStyle w:val="Heading1"/>
        <w:spacing w:before="320" w:after="160"/>
      </w:pPr>
      <w:r>
        <w:rPr>
          <w:rFonts w:eastAsia="Calibri"/>
          <w:b/>
          <w:bCs/>
          <w:color w:val="1F3864"/>
          <w:sz w:val="30"/>
          <w:szCs w:val="30"/>
        </w:rPr>
        <w:t>1. Executive Summary</w:t>
      </w:r>
    </w:p>
    <w:p w14:paraId="08BD3AA4" w14:textId="2C1734E3" w:rsidR="00CB1997" w:rsidRPr="005F5C27" w:rsidRDefault="00CB1997" w:rsidP="00CB1997">
      <w:pPr>
        <w:spacing w:after="120" w:line="276" w:lineRule="auto"/>
        <w:jc w:val="both"/>
        <w:rPr>
          <w:rFonts w:eastAsia="Calibri"/>
        </w:rPr>
      </w:pPr>
      <w:r>
        <w:rPr>
          <w:rFonts w:eastAsia="Calibri"/>
        </w:rPr>
        <w:t xml:space="preserve">This proposal describes our team's research plan for the WISER × BQP Quantum Challenge 2026. We address the challenge core question: when, why, and how does introducing a quantum layer change the learning dynamics of a physics-informed neural network </w:t>
      </w:r>
      <w:r>
        <w:t>(PINN) [1, 2, 3]</w:t>
      </w:r>
      <w:r>
        <w:t>?</w:t>
      </w:r>
    </w:p>
    <w:p w14:paraId="5E7F6112" w14:textId="414898D5" w:rsidR="00CB1997" w:rsidRDefault="00CB1997" w:rsidP="00CB1997">
      <w:pPr>
        <w:spacing w:after="120" w:line="276" w:lineRule="auto"/>
        <w:jc w:val="both"/>
      </w:pPr>
      <w:r>
        <w:rPr>
          <w:rFonts w:eastAsia="Calibri"/>
        </w:rPr>
        <w:t xml:space="preserve">Our use case is the heatlow approaching a hypersonic vehicle surface, modelled by the three </w:t>
      </w:r>
      <w:r>
        <w:t>conservation laws of a viscous gas: mass, momentum, and energy that are solved together on a single shared grid</w:t>
      </w:r>
      <w:r>
        <w:t xml:space="preserve">. We train four surrogate machine learning models spanning the classical-to-quantum spectrum, using a field-level architecture where the model input is </w:t>
      </w:r>
      <w:r>
        <w:t xml:space="preserve">[x, t, </w:t>
      </w:r>
      <w:proofErr w:type="spellStart"/>
      <w:r>
        <w:t>p_ratio</w:t>
      </w:r>
      <w:proofErr w:type="spellEnd"/>
      <w:r>
        <w:t xml:space="preserve">, μ, </w:t>
      </w:r>
      <w:proofErr w:type="spellStart"/>
      <w:r>
        <w:t>ρ_L</w:t>
      </w:r>
      <w:proofErr w:type="spellEnd"/>
      <w:r>
        <w:t xml:space="preserve">, </w:t>
      </w:r>
      <w:proofErr w:type="spellStart"/>
      <w:r>
        <w:t>ρ_R</w:t>
      </w:r>
      <w:proofErr w:type="spellEnd"/>
      <w:r>
        <w:t xml:space="preserve">, </w:t>
      </w:r>
      <w:proofErr w:type="spellStart"/>
      <w:r>
        <w:t>p_R</w:t>
      </w:r>
      <w:proofErr w:type="spellEnd"/>
      <w:r>
        <w:t>]</w:t>
      </w:r>
      <w:r w:rsidR="003912AD">
        <w:t xml:space="preserve"> (</w:t>
      </w:r>
      <w:r>
        <w:t>7 scalars</w:t>
      </w:r>
      <w:r w:rsidR="003912AD">
        <w:t>)</w:t>
      </w:r>
      <w:r>
        <w:t xml:space="preserve"> and the output is a gas field value. </w:t>
      </w:r>
      <w:r>
        <w:t>This is an ideal PINN test case: it combines multiple coupled PDEs and enables true PDE-residual losses via automatic differentiation through the network</w:t>
      </w:r>
      <w:r>
        <w:t>.</w:t>
      </w:r>
    </w:p>
    <w:p w14:paraId="57BBD1EB" w14:textId="77777777" w:rsidR="00CB1997" w:rsidRDefault="00CB1997" w:rsidP="00CB1997">
      <w:pPr>
        <w:spacing w:after="60" w:line="276" w:lineRule="auto"/>
      </w:pPr>
      <w:r>
        <w:rPr>
          <w:rFonts w:eastAsia="Calibri"/>
          <w:b/>
          <w:bCs/>
        </w:rPr>
        <w:t>The four models are:</w:t>
      </w:r>
    </w:p>
    <w:p w14:paraId="5B71112A" w14:textId="74CD13A9" w:rsidR="00CB1997" w:rsidRDefault="00CB1997" w:rsidP="00CB1997">
      <w:pPr>
        <w:pStyle w:val="ListParagraph"/>
        <w:numPr>
          <w:ilvl w:val="0"/>
          <w:numId w:val="1"/>
        </w:numPr>
        <w:spacing w:after="80" w:line="264" w:lineRule="auto"/>
        <w:jc w:val="both"/>
      </w:pPr>
      <w:r>
        <w:rPr>
          <w:rFonts w:eastAsia="Calibri"/>
        </w:rPr>
        <w:t>Classical MLP and PINN</w:t>
      </w:r>
      <w:proofErr w:type="gramStart"/>
      <w:r w:rsidR="00AA1D68">
        <w:rPr>
          <w:rFonts w:eastAsia="Calibri"/>
        </w:rPr>
        <w:t xml:space="preserve">: </w:t>
      </w:r>
      <w:r>
        <w:rPr>
          <w:rFonts w:eastAsia="Calibri"/>
        </w:rPr>
        <w:t xml:space="preserve"> classical</w:t>
      </w:r>
      <w:proofErr w:type="gramEnd"/>
      <w:r>
        <w:rPr>
          <w:rFonts w:eastAsia="Calibri"/>
        </w:rPr>
        <w:t xml:space="preserve"> baselines (100 parameters), without and with the physics loss.</w:t>
      </w:r>
    </w:p>
    <w:p w14:paraId="1BAC6E92" w14:textId="0879877C" w:rsidR="00CB1997" w:rsidRDefault="00CB1997" w:rsidP="00CB1997">
      <w:pPr>
        <w:pStyle w:val="ListParagraph"/>
        <w:numPr>
          <w:ilvl w:val="0"/>
          <w:numId w:val="1"/>
        </w:numPr>
        <w:spacing w:after="80" w:line="264" w:lineRule="auto"/>
        <w:jc w:val="both"/>
      </w:pPr>
      <w:r>
        <w:rPr>
          <w:rFonts w:eastAsia="Calibri"/>
        </w:rPr>
        <w:t>QAPINN</w:t>
      </w:r>
      <w:r w:rsidR="00AA1D68">
        <w:rPr>
          <w:rFonts w:eastAsia="Calibri"/>
        </w:rPr>
        <w:t xml:space="preserve">: </w:t>
      </w:r>
      <w:r>
        <w:rPr>
          <w:rFonts w:eastAsia="Calibri"/>
        </w:rPr>
        <w:t>hybrid models (100 parameters) with a variational quantum circuit (VQC) layer at different layers with the physics loss.</w:t>
      </w:r>
    </w:p>
    <w:p w14:paraId="411AA99C" w14:textId="16D33096" w:rsidR="00CB1997" w:rsidRDefault="00CB1997" w:rsidP="00CB1997">
      <w:pPr>
        <w:pStyle w:val="ListParagraph"/>
        <w:numPr>
          <w:ilvl w:val="0"/>
          <w:numId w:val="1"/>
        </w:numPr>
        <w:spacing w:after="80" w:line="264" w:lineRule="auto"/>
        <w:jc w:val="both"/>
      </w:pPr>
      <w:r>
        <w:rPr>
          <w:rFonts w:eastAsia="Calibri"/>
        </w:rPr>
        <w:t>QPINN</w:t>
      </w:r>
      <w:r w:rsidR="00AA1D68">
        <w:rPr>
          <w:rFonts w:eastAsia="Calibri"/>
        </w:rPr>
        <w:t xml:space="preserve">: </w:t>
      </w:r>
      <w:r>
        <w:rPr>
          <w:rFonts w:eastAsia="Calibri"/>
        </w:rPr>
        <w:t xml:space="preserve">fully quantum </w:t>
      </w:r>
      <w:proofErr w:type="spellStart"/>
      <w:r>
        <w:rPr>
          <w:rFonts w:eastAsia="Calibri"/>
        </w:rPr>
        <w:t>mo</w:t>
      </w:r>
      <w:proofErr w:type="spellEnd"/>
      <w:r>
        <w:rPr>
          <w:rFonts w:eastAsia="Calibri"/>
        </w:rPr>
        <w:t xml:space="preserve">, with all computation inside the VQC and zero classical layers, with classical and quantum physics loss, </w:t>
      </w:r>
      <w:r>
        <w:t>using LCU to combine the five physics loss terms</w:t>
      </w:r>
      <w:r>
        <w:t>.</w:t>
      </w:r>
    </w:p>
    <w:p w14:paraId="36E9A5F5" w14:textId="77777777" w:rsidR="00CB1997" w:rsidRDefault="00CB1997" w:rsidP="00CB1997">
      <w:pPr>
        <w:spacing w:after="120" w:line="276" w:lineRule="auto"/>
        <w:jc w:val="both"/>
      </w:pPr>
      <w:r>
        <w:rPr>
          <w:rFonts w:eastAsia="Calibri"/>
        </w:rPr>
        <w:t>Our key contributions are: (1) a physically self-consistent 1-D compressible gas simulation governed by the mass, momentum, and energy conservation laws on a single shared grid; (2) a field-level surrogate enabling a true PDE-residual physics loss built as a complete set of physical constraints; (3) a fully quantum QPINN that matches hybrid accuracy with similar or fewer parameters; (4) systematic studies of circuit depth, encoding scheme, ancilla count, and quantum-layer position at different layer or loss function; and (5) interpretation of every result through XAI attribution linked back to the governing physics.</w:t>
      </w:r>
    </w:p>
    <w:p w14:paraId="5DB24F64" w14:textId="77777777" w:rsidR="00D67394" w:rsidRDefault="00000000">
      <w:pPr>
        <w:pStyle w:val="Heading1"/>
        <w:spacing w:before="320" w:after="160"/>
      </w:pPr>
      <w:r>
        <w:rPr>
          <w:rFonts w:eastAsia="Calibri"/>
          <w:b/>
          <w:bCs/>
          <w:color w:val="1F3864"/>
          <w:sz w:val="30"/>
          <w:szCs w:val="30"/>
        </w:rPr>
        <w:t>2. Problem Statement</w:t>
      </w:r>
    </w:p>
    <w:p w14:paraId="1C9C947C" w14:textId="0B70AC80" w:rsidR="00D67394" w:rsidRDefault="00000000">
      <w:pPr>
        <w:pStyle w:val="Heading2"/>
        <w:spacing w:before="220" w:after="120"/>
      </w:pPr>
      <w:r>
        <w:rPr>
          <w:rFonts w:eastAsia="Calibri"/>
          <w:b/>
          <w:bCs/>
          <w:color w:val="2E5496"/>
          <w:sz w:val="25"/>
          <w:szCs w:val="25"/>
        </w:rPr>
        <w:t>2.1 Physical Background</w:t>
      </w:r>
    </w:p>
    <w:p w14:paraId="0411BC9B" w14:textId="5A0C4CC9" w:rsidR="0055249B" w:rsidRPr="0055249B" w:rsidRDefault="0055249B" w:rsidP="0055249B">
      <w:pPr>
        <w:spacing w:before="60" w:after="120" w:line="276" w:lineRule="auto"/>
        <w:jc w:val="both"/>
        <w:rPr>
          <w:rFonts w:eastAsia="Calibri"/>
        </w:rPr>
      </w:pPr>
      <w:r>
        <w:rPr>
          <w:rFonts w:eastAsia="Calibri"/>
        </w:rPr>
        <w:t xml:space="preserve">The Navier–Stokes shock tube is a canonical benchmark in computational fluid dynamics. A diaphragm initially separates a high-pressure left state from a low-pressure right state inside a one-dimensional tube; when the diaphragm bursts at </w:t>
      </w:r>
      <m:oMath>
        <m:r>
          <w:rPr>
            <w:rFonts w:ascii="Cambria Math" w:eastAsia="Calibri" w:hAnsi="Cambria Math"/>
          </w:rPr>
          <m:t>t=0</m:t>
        </m:r>
      </m:oMath>
      <w:r>
        <w:rPr>
          <w:rFonts w:eastAsia="Calibri"/>
        </w:rPr>
        <w:t xml:space="preserve">, three distinct wave fa a left-travelling rarefaction fan, a contact discontinuity, and a right-travelling shock whose inviscid limiting solution is given analytically by the Euler equations </w:t>
      </w:r>
      <w:r>
        <w:t>[4]</w:t>
      </w:r>
      <w:r>
        <w:t>. This problem is a stringent test for any surrogate model because it combines smooth, continuous regions with sharp discontinuities and nonlinear coupling between density, velocity, pressure, and temperature.</w:t>
      </w:r>
    </w:p>
    <w:p w14:paraId="179E7421" w14:textId="791FA05F" w:rsidR="00D67394" w:rsidRDefault="00000000" w:rsidP="0055249B">
      <w:pPr>
        <w:spacing w:before="60" w:after="120" w:line="276" w:lineRule="auto"/>
        <w:jc w:val="both"/>
      </w:pPr>
      <w:r>
        <w:rPr>
          <w:rFonts w:eastAsia="Calibri"/>
        </w:rPr>
        <w:t xml:space="preserve">Predicting the full shock tube solution requires solving the compressible Navier–Stokes equations, and high-resolution direct numerical simulation is expensive when sweeping across many initial conditions (pressure ratio, viscosity, initial state). A fast, accurate surrogate that reproduces the shock tube state (the density, velocity, and pressure fields as functions of position and time) at query time is therefore of direct relevance to BQP's BQPhy </w:t>
      </w:r>
      <w:r>
        <w:rPr>
          <w:rFonts w:eastAsia="Calibri"/>
        </w:rPr>
        <w:lastRenderedPageBreak/>
        <w:t>platform. The same compressible-flow physics governs internal ballistics, supersonic nozzle flows, and blast wave propagation, so the surrogate target generalises well beyond the canonical shock tube.</w:t>
      </w:r>
    </w:p>
    <w:p w14:paraId="34D9D00F" w14:textId="77777777" w:rsidR="00D67394" w:rsidRDefault="00000000">
      <w:pPr>
        <w:pStyle w:val="Heading2"/>
        <w:spacing w:before="220" w:after="120"/>
      </w:pPr>
      <w:r>
        <w:rPr>
          <w:rFonts w:eastAsia="Calibri"/>
          <w:b/>
          <w:bCs/>
          <w:color w:val="2E5496"/>
          <w:sz w:val="25"/>
          <w:szCs w:val="25"/>
        </w:rPr>
        <w:t>2.2 The System-Level Question</w:t>
      </w:r>
    </w:p>
    <w:p w14:paraId="230FA086" w14:textId="25669D0E" w:rsidR="00D67394" w:rsidRDefault="00000000" w:rsidP="00927375">
      <w:pPr>
        <w:spacing w:after="120" w:line="276" w:lineRule="auto"/>
        <w:jc w:val="both"/>
      </w:pPr>
      <w:r>
        <w:rPr>
          <w:rFonts w:eastAsia="Calibri"/>
          <w:b/>
          <w:bCs/>
        </w:rPr>
        <w:t xml:space="preserve">Primary engineering question: </w:t>
      </w:r>
      <w:r>
        <w:rPr>
          <w:rFonts w:eastAsia="Calibri"/>
        </w:rPr>
        <w:t xml:space="preserve">Given the initial conditions (pressure ratio </w:t>
      </w:r>
      <m:oMath>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L</m:t>
            </m:r>
          </m:sub>
        </m:sSub>
        <m:r>
          <m:rPr>
            <m:sty m:val="p"/>
          </m:rPr>
          <w:rPr>
            <w:rFonts w:ascii="Cambria Math" w:eastAsia="Calibri" w:hAnsi="Cambria Math"/>
          </w:rPr>
          <m:t>/</m:t>
        </m:r>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R</m:t>
            </m:r>
          </m:sub>
        </m:sSub>
      </m:oMath>
      <w:r>
        <w:rPr>
          <w:rFonts w:eastAsia="Calibri"/>
        </w:rPr>
        <w:t xml:space="preserve">, left and right densities </w:t>
      </w:r>
      <m:oMath>
        <m:sSub>
          <m:sSubPr>
            <m:ctrlPr>
              <w:rPr>
                <w:rFonts w:ascii="Cambria Math" w:eastAsia="Calibri" w:hAnsi="Cambria Math"/>
              </w:rPr>
            </m:ctrlPr>
          </m:sSubPr>
          <m:e>
            <m:r>
              <w:rPr>
                <w:rFonts w:ascii="Cambria Math" w:eastAsia="Calibri" w:hAnsi="Cambria Math"/>
              </w:rPr>
              <m:t>ρ</m:t>
            </m:r>
          </m:e>
          <m:sub>
            <m:r>
              <w:rPr>
                <w:rFonts w:ascii="Cambria Math" w:eastAsia="Calibri" w:hAnsi="Cambria Math"/>
              </w:rPr>
              <m:t>L</m:t>
            </m:r>
          </m:sub>
        </m:sSub>
      </m:oMath>
      <w:r>
        <w:rPr>
          <w:rFonts w:eastAsia="Calibri"/>
        </w:rPr>
        <w:t xml:space="preserve">, </w:t>
      </w:r>
      <m:oMath>
        <m:sSub>
          <m:sSubPr>
            <m:ctrlPr>
              <w:rPr>
                <w:rFonts w:ascii="Cambria Math" w:eastAsia="Calibri" w:hAnsi="Cambria Math"/>
              </w:rPr>
            </m:ctrlPr>
          </m:sSubPr>
          <m:e>
            <m:r>
              <w:rPr>
                <w:rFonts w:ascii="Cambria Math" w:eastAsia="Calibri" w:hAnsi="Cambria Math"/>
              </w:rPr>
              <m:t>ρ</m:t>
            </m:r>
          </m:e>
          <m:sub>
            <m:r>
              <w:rPr>
                <w:rFonts w:ascii="Cambria Math" w:eastAsia="Calibri" w:hAnsi="Cambria Math"/>
              </w:rPr>
              <m:t>R</m:t>
            </m:r>
          </m:sub>
        </m:sSub>
      </m:oMath>
      <w:r>
        <w:rPr>
          <w:rFonts w:eastAsia="Calibri"/>
        </w:rPr>
        <w:t xml:space="preserve">, right pressure </w:t>
      </w:r>
      <m:oMath>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R</m:t>
            </m:r>
          </m:sub>
        </m:sSub>
      </m:oMath>
      <w:r>
        <w:rPr>
          <w:rFonts w:eastAsia="Calibri"/>
        </w:rPr>
        <w:t xml:space="preserve">, and dynamic viscosity </w:t>
      </w:r>
      <m:oMath>
        <m:r>
          <w:rPr>
            <w:rFonts w:ascii="Cambria Math" w:eastAsia="Calibri" w:hAnsi="Cambria Math"/>
          </w:rPr>
          <m:t>μ</m:t>
        </m:r>
      </m:oMath>
      <w:r>
        <w:rPr>
          <w:rFonts w:eastAsia="Calibri"/>
        </w:rPr>
        <w:t>), how do the density, velocity, and pressure fields evolve in space and time inside the shock tube, and where do the shock front, contact discontinuity, and rarefaction fan travel?</w:t>
      </w:r>
    </w:p>
    <w:p w14:paraId="298DFCB0" w14:textId="1A008F43" w:rsidR="00D67394" w:rsidRDefault="00000000" w:rsidP="00F53A8B">
      <w:pPr>
        <w:spacing w:after="120" w:line="276" w:lineRule="auto"/>
        <w:jc w:val="both"/>
      </w:pPr>
      <w:r>
        <w:rPr>
          <w:rFonts w:eastAsia="Calibri"/>
        </w:rPr>
        <w:t>This is answered by simulating the Navier–Stokes shock tube. A high-pressure gas on the left drives a shock rightward while a rarefaction fan travels left; between them a contact discontinuity separates gas originating from each side. Capturing this correctly requires the three conservation laws of compressible gas: mass, momentum, and energy that are solved together. This is because they are physically inseparable: the velocity field transports mass (continuity), the pressure gradient accelerates the flow (momentum), and compression and expansion change the internal energy (energy). The shock speed and the post-shock state that emerge are exactly the quantities a downstream blast-wave or nozzle analysis needs. In our simulator the shock position is tracked as the location of maximum pressure gradient, and the peak post-shock density rise is the key scalar diagnostic. The surrogate's task is therefore to reproduce the full ρ(x, t), u(x, t), and p(x, t) fields accurately enough that these wave-front positions are recovered correctly.</w:t>
      </w:r>
    </w:p>
    <w:p w14:paraId="4723B4C5" w14:textId="77777777" w:rsidR="00D67394" w:rsidRDefault="00000000">
      <w:pPr>
        <w:pStyle w:val="Heading2"/>
        <w:spacing w:before="220" w:after="120"/>
      </w:pPr>
      <w:r>
        <w:rPr>
          <w:rFonts w:eastAsia="Calibri"/>
          <w:b/>
          <w:bCs/>
          <w:color w:val="2E5496"/>
          <w:sz w:val="25"/>
          <w:szCs w:val="25"/>
        </w:rPr>
        <w:t>2.3 The Governing Equations — One Gas, Three Conservation Laws</w:t>
      </w:r>
    </w:p>
    <w:p w14:paraId="3FDAB252" w14:textId="440E9C37" w:rsidR="00D67394" w:rsidRDefault="00000000" w:rsidP="00143A38">
      <w:pPr>
        <w:spacing w:after="120" w:line="276" w:lineRule="auto"/>
        <w:jc w:val="both"/>
      </w:pPr>
      <w:r>
        <w:rPr>
          <w:rFonts w:eastAsia="Calibri"/>
        </w:rPr>
        <w:t>Rather than three separate PDEs on artificially separated regions, we model a single physical domain: a 1-D compressible viscous tube. All three fields are properties of the same gas at each location, so they legitimately share one grid. At every point the gas has a density, a velocity, and a pressure simultaneously.</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3300"/>
        <w:gridCol w:w="1500"/>
      </w:tblGrid>
      <w:tr w:rsidR="00D67394" w14:paraId="5FFFA5B1" w14:textId="77777777" w:rsidTr="00D83F86">
        <w:trPr>
          <w:tblHeader/>
          <w:jc w:val="center"/>
        </w:trPr>
        <w:tc>
          <w:tcPr>
            <w:tcW w:w="1500" w:type="dxa"/>
            <w:shd w:val="clear" w:color="auto" w:fill="1F3864"/>
            <w:tcMar>
              <w:top w:w="60" w:type="dxa"/>
              <w:left w:w="90" w:type="dxa"/>
              <w:bottom w:w="60" w:type="dxa"/>
              <w:right w:w="90" w:type="dxa"/>
            </w:tcMar>
          </w:tcPr>
          <w:p w14:paraId="43F7DBF1" w14:textId="77777777" w:rsidR="00D67394" w:rsidRDefault="00000000" w:rsidP="00143A38">
            <w:pPr>
              <w:spacing w:after="20" w:line="252" w:lineRule="auto"/>
              <w:jc w:val="both"/>
            </w:pPr>
            <w:r>
              <w:rPr>
                <w:rFonts w:eastAsia="Calibri"/>
                <w:b/>
                <w:bCs/>
                <w:color w:val="FFFFFF"/>
                <w:sz w:val="19"/>
                <w:szCs w:val="19"/>
              </w:rPr>
              <w:t>Field</w:t>
            </w:r>
          </w:p>
        </w:tc>
        <w:tc>
          <w:tcPr>
            <w:tcW w:w="2500" w:type="dxa"/>
            <w:shd w:val="clear" w:color="auto" w:fill="1F3864"/>
            <w:tcMar>
              <w:top w:w="60" w:type="dxa"/>
              <w:left w:w="90" w:type="dxa"/>
              <w:bottom w:w="60" w:type="dxa"/>
              <w:right w:w="90" w:type="dxa"/>
            </w:tcMar>
          </w:tcPr>
          <w:p w14:paraId="16BD7276" w14:textId="77777777" w:rsidR="00D67394" w:rsidRDefault="00000000" w:rsidP="00143A38">
            <w:pPr>
              <w:spacing w:after="20" w:line="252" w:lineRule="auto"/>
              <w:jc w:val="both"/>
            </w:pPr>
            <w:r>
              <w:rPr>
                <w:rFonts w:eastAsia="Calibri"/>
                <w:b/>
                <w:bCs/>
                <w:color w:val="FFFFFF"/>
                <w:sz w:val="19"/>
                <w:szCs w:val="19"/>
              </w:rPr>
              <w:t>Conservation law</w:t>
            </w:r>
          </w:p>
        </w:tc>
        <w:tc>
          <w:tcPr>
            <w:tcW w:w="3300" w:type="dxa"/>
            <w:shd w:val="clear" w:color="auto" w:fill="1F3864"/>
            <w:tcMar>
              <w:top w:w="60" w:type="dxa"/>
              <w:left w:w="90" w:type="dxa"/>
              <w:bottom w:w="60" w:type="dxa"/>
              <w:right w:w="90" w:type="dxa"/>
            </w:tcMar>
          </w:tcPr>
          <w:p w14:paraId="7CDCDE66" w14:textId="77777777" w:rsidR="00D67394" w:rsidRDefault="00000000" w:rsidP="00143A38">
            <w:pPr>
              <w:spacing w:after="20" w:line="252" w:lineRule="auto"/>
              <w:jc w:val="both"/>
            </w:pPr>
            <w:r>
              <w:rPr>
                <w:rFonts w:eastAsia="Calibri"/>
                <w:b/>
                <w:bCs/>
                <w:color w:val="FFFFFF"/>
                <w:sz w:val="19"/>
                <w:szCs w:val="19"/>
              </w:rPr>
              <w:t>Equation (non-dimensional)</w:t>
            </w:r>
          </w:p>
        </w:tc>
        <w:tc>
          <w:tcPr>
            <w:tcW w:w="1500" w:type="dxa"/>
            <w:shd w:val="clear" w:color="auto" w:fill="1F3864"/>
            <w:tcMar>
              <w:top w:w="60" w:type="dxa"/>
              <w:left w:w="90" w:type="dxa"/>
              <w:bottom w:w="60" w:type="dxa"/>
              <w:right w:w="90" w:type="dxa"/>
            </w:tcMar>
          </w:tcPr>
          <w:p w14:paraId="404CDE79" w14:textId="77777777" w:rsidR="00D67394" w:rsidRDefault="00000000" w:rsidP="00143A38">
            <w:pPr>
              <w:spacing w:after="20" w:line="252" w:lineRule="auto"/>
              <w:jc w:val="both"/>
            </w:pPr>
            <w:r>
              <w:rPr>
                <w:rFonts w:eastAsia="Calibri"/>
                <w:b/>
                <w:bCs/>
                <w:color w:val="FFFFFF"/>
                <w:sz w:val="19"/>
                <w:szCs w:val="19"/>
              </w:rPr>
              <w:t>Role</w:t>
            </w:r>
          </w:p>
        </w:tc>
      </w:tr>
      <w:tr w:rsidR="00D67394" w14:paraId="5F8A8FE4" w14:textId="77777777" w:rsidTr="00D83F86">
        <w:trPr>
          <w:jc w:val="center"/>
        </w:trPr>
        <w:tc>
          <w:tcPr>
            <w:tcW w:w="1500" w:type="dxa"/>
            <w:shd w:val="clear" w:color="auto" w:fill="FFFFFF"/>
            <w:tcMar>
              <w:top w:w="60" w:type="dxa"/>
              <w:left w:w="90" w:type="dxa"/>
              <w:bottom w:w="60" w:type="dxa"/>
              <w:right w:w="90" w:type="dxa"/>
            </w:tcMar>
          </w:tcPr>
          <w:p w14:paraId="6D845A0E" w14:textId="77777777" w:rsidR="00D67394" w:rsidRDefault="00000000" w:rsidP="00143A38">
            <w:pPr>
              <w:spacing w:after="20" w:line="252" w:lineRule="auto"/>
              <w:jc w:val="both"/>
            </w:pPr>
            <w:r>
              <w:rPr>
                <w:rFonts w:eastAsia="Calibri"/>
                <w:sz w:val="19"/>
                <w:szCs w:val="19"/>
              </w:rPr>
              <w:t>ρ (density)</w:t>
            </w:r>
          </w:p>
        </w:tc>
        <w:tc>
          <w:tcPr>
            <w:tcW w:w="2500" w:type="dxa"/>
            <w:shd w:val="clear" w:color="auto" w:fill="FFFFFF"/>
            <w:tcMar>
              <w:top w:w="60" w:type="dxa"/>
              <w:left w:w="90" w:type="dxa"/>
              <w:bottom w:w="60" w:type="dxa"/>
              <w:right w:w="90" w:type="dxa"/>
            </w:tcMar>
          </w:tcPr>
          <w:p w14:paraId="097FB45D" w14:textId="77777777" w:rsidR="00D67394" w:rsidRDefault="00000000" w:rsidP="00143A38">
            <w:pPr>
              <w:spacing w:after="20" w:line="252" w:lineRule="auto"/>
              <w:jc w:val="both"/>
            </w:pPr>
            <w:r>
              <w:rPr>
                <w:rFonts w:eastAsia="Calibri"/>
                <w:sz w:val="19"/>
                <w:szCs w:val="19"/>
              </w:rPr>
              <w:t>Mass continuity</w:t>
            </w:r>
          </w:p>
        </w:tc>
        <w:tc>
          <w:tcPr>
            <w:tcW w:w="3300" w:type="dxa"/>
            <w:shd w:val="clear" w:color="auto" w:fill="FFFFFF"/>
            <w:tcMar>
              <w:top w:w="60" w:type="dxa"/>
              <w:left w:w="90" w:type="dxa"/>
              <w:bottom w:w="60" w:type="dxa"/>
              <w:right w:w="90" w:type="dxa"/>
            </w:tcMar>
          </w:tcPr>
          <w:p w14:paraId="03370F35" w14:textId="77777777" w:rsidR="00D67394" w:rsidRDefault="00000000" w:rsidP="00143A38">
            <w:pPr>
              <w:spacing w:after="20" w:line="252" w:lineRule="auto"/>
              <w:jc w:val="both"/>
            </w:pPr>
            <w:r>
              <w:rPr>
                <w:rFonts w:eastAsia="Calibri"/>
                <w:sz w:val="19"/>
                <w:szCs w:val="19"/>
              </w:rPr>
              <w:t>∂ρ/∂t + ∂(ρu)/∂x = 0</w:t>
            </w:r>
          </w:p>
        </w:tc>
        <w:tc>
          <w:tcPr>
            <w:tcW w:w="1500" w:type="dxa"/>
            <w:shd w:val="clear" w:color="auto" w:fill="FFFFFF"/>
            <w:tcMar>
              <w:top w:w="60" w:type="dxa"/>
              <w:left w:w="90" w:type="dxa"/>
              <w:bottom w:w="60" w:type="dxa"/>
              <w:right w:w="90" w:type="dxa"/>
            </w:tcMar>
          </w:tcPr>
          <w:p w14:paraId="724F194D" w14:textId="77777777" w:rsidR="00D67394" w:rsidRDefault="00000000" w:rsidP="00143A38">
            <w:pPr>
              <w:spacing w:after="20" w:line="252" w:lineRule="auto"/>
              <w:jc w:val="both"/>
            </w:pPr>
            <w:r>
              <w:rPr>
                <w:rFonts w:eastAsia="Calibri"/>
                <w:sz w:val="19"/>
                <w:szCs w:val="19"/>
              </w:rPr>
              <w:t>gas compresses as it decelerates</w:t>
            </w:r>
          </w:p>
        </w:tc>
      </w:tr>
      <w:tr w:rsidR="00D67394" w14:paraId="7C9432FA" w14:textId="77777777" w:rsidTr="00D83F86">
        <w:trPr>
          <w:jc w:val="center"/>
        </w:trPr>
        <w:tc>
          <w:tcPr>
            <w:tcW w:w="1500" w:type="dxa"/>
            <w:shd w:val="clear" w:color="auto" w:fill="F2F5FA"/>
            <w:tcMar>
              <w:top w:w="60" w:type="dxa"/>
              <w:left w:w="90" w:type="dxa"/>
              <w:bottom w:w="60" w:type="dxa"/>
              <w:right w:w="90" w:type="dxa"/>
            </w:tcMar>
          </w:tcPr>
          <w:p w14:paraId="61BF0467" w14:textId="77777777" w:rsidR="00D67394" w:rsidRDefault="00000000" w:rsidP="00143A38">
            <w:pPr>
              <w:spacing w:after="20" w:line="252" w:lineRule="auto"/>
              <w:jc w:val="both"/>
            </w:pPr>
            <w:r>
              <w:rPr>
                <w:rFonts w:eastAsia="Calibri"/>
                <w:sz w:val="19"/>
                <w:szCs w:val="19"/>
              </w:rPr>
              <w:t>u (velocity)</w:t>
            </w:r>
          </w:p>
        </w:tc>
        <w:tc>
          <w:tcPr>
            <w:tcW w:w="2500" w:type="dxa"/>
            <w:shd w:val="clear" w:color="auto" w:fill="F2F5FA"/>
            <w:tcMar>
              <w:top w:w="60" w:type="dxa"/>
              <w:left w:w="90" w:type="dxa"/>
              <w:bottom w:w="60" w:type="dxa"/>
              <w:right w:w="90" w:type="dxa"/>
            </w:tcMar>
          </w:tcPr>
          <w:p w14:paraId="7818D6CE" w14:textId="77777777" w:rsidR="00D67394" w:rsidRDefault="00000000" w:rsidP="00143A38">
            <w:pPr>
              <w:spacing w:after="20" w:line="252" w:lineRule="auto"/>
              <w:jc w:val="both"/>
            </w:pPr>
            <w:r>
              <w:rPr>
                <w:rFonts w:eastAsia="Calibri"/>
                <w:sz w:val="19"/>
                <w:szCs w:val="19"/>
              </w:rPr>
              <w:t>Momentum balance</w:t>
            </w:r>
          </w:p>
        </w:tc>
        <w:tc>
          <w:tcPr>
            <w:tcW w:w="3300" w:type="dxa"/>
            <w:shd w:val="clear" w:color="auto" w:fill="F2F5FA"/>
            <w:tcMar>
              <w:top w:w="60" w:type="dxa"/>
              <w:left w:w="90" w:type="dxa"/>
              <w:bottom w:w="60" w:type="dxa"/>
              <w:right w:w="90" w:type="dxa"/>
            </w:tcMar>
          </w:tcPr>
          <w:p w14:paraId="6BF5928C" w14:textId="77777777" w:rsidR="00D67394" w:rsidRDefault="00000000" w:rsidP="00143A38">
            <w:pPr>
              <w:spacing w:after="20" w:line="252" w:lineRule="auto"/>
              <w:jc w:val="both"/>
            </w:pPr>
            <w:r>
              <w:rPr>
                <w:rFonts w:eastAsia="Calibri"/>
                <w:sz w:val="19"/>
                <w:szCs w:val="19"/>
              </w:rPr>
              <w:t>∂u/∂t + u·∂u/∂x = −(1/ρ)·∂p/∂x + ν·∂²u/∂x²</w:t>
            </w:r>
          </w:p>
        </w:tc>
        <w:tc>
          <w:tcPr>
            <w:tcW w:w="1500" w:type="dxa"/>
            <w:shd w:val="clear" w:color="auto" w:fill="F2F5FA"/>
            <w:tcMar>
              <w:top w:w="60" w:type="dxa"/>
              <w:left w:w="90" w:type="dxa"/>
              <w:bottom w:w="60" w:type="dxa"/>
              <w:right w:w="90" w:type="dxa"/>
            </w:tcMar>
          </w:tcPr>
          <w:p w14:paraId="4703EC7C" w14:textId="77777777" w:rsidR="00D67394" w:rsidRDefault="00000000" w:rsidP="00143A38">
            <w:pPr>
              <w:spacing w:after="20" w:line="252" w:lineRule="auto"/>
              <w:jc w:val="both"/>
            </w:pPr>
            <w:r>
              <w:rPr>
                <w:rFonts w:eastAsia="Calibri"/>
                <w:sz w:val="19"/>
                <w:szCs w:val="19"/>
              </w:rPr>
              <w:t>pressure and viscosity slow the flow</w:t>
            </w:r>
          </w:p>
        </w:tc>
      </w:tr>
      <w:tr w:rsidR="00D67394" w14:paraId="5D12F733" w14:textId="77777777" w:rsidTr="00D83F86">
        <w:trPr>
          <w:jc w:val="center"/>
        </w:trPr>
        <w:tc>
          <w:tcPr>
            <w:tcW w:w="1500" w:type="dxa"/>
            <w:shd w:val="clear" w:color="auto" w:fill="FFFFFF"/>
            <w:tcMar>
              <w:top w:w="60" w:type="dxa"/>
              <w:left w:w="90" w:type="dxa"/>
              <w:bottom w:w="60" w:type="dxa"/>
              <w:right w:w="90" w:type="dxa"/>
            </w:tcMar>
          </w:tcPr>
          <w:p w14:paraId="5C748A2B" w14:textId="77777777" w:rsidR="00D67394" w:rsidRDefault="00000000" w:rsidP="00143A38">
            <w:pPr>
              <w:spacing w:after="20" w:line="252" w:lineRule="auto"/>
              <w:jc w:val="both"/>
            </w:pPr>
            <w:r>
              <w:rPr>
                <w:rFonts w:eastAsia="Calibri"/>
                <w:sz w:val="19"/>
                <w:szCs w:val="19"/>
              </w:rPr>
              <w:t>T (temperature)</w:t>
            </w:r>
          </w:p>
        </w:tc>
        <w:tc>
          <w:tcPr>
            <w:tcW w:w="2500" w:type="dxa"/>
            <w:shd w:val="clear" w:color="auto" w:fill="FFFFFF"/>
            <w:tcMar>
              <w:top w:w="60" w:type="dxa"/>
              <w:left w:w="90" w:type="dxa"/>
              <w:bottom w:w="60" w:type="dxa"/>
              <w:right w:w="90" w:type="dxa"/>
            </w:tcMar>
          </w:tcPr>
          <w:p w14:paraId="7DE57C71" w14:textId="77777777" w:rsidR="00D67394" w:rsidRDefault="00000000" w:rsidP="00143A38">
            <w:pPr>
              <w:spacing w:after="20" w:line="252" w:lineRule="auto"/>
              <w:jc w:val="both"/>
            </w:pPr>
            <w:r>
              <w:rPr>
                <w:rFonts w:eastAsia="Calibri"/>
                <w:sz w:val="19"/>
                <w:szCs w:val="19"/>
              </w:rPr>
              <w:t>Energy balance</w:t>
            </w:r>
          </w:p>
        </w:tc>
        <w:tc>
          <w:tcPr>
            <w:tcW w:w="3300" w:type="dxa"/>
            <w:shd w:val="clear" w:color="auto" w:fill="FFFFFF"/>
            <w:tcMar>
              <w:top w:w="60" w:type="dxa"/>
              <w:left w:w="90" w:type="dxa"/>
              <w:bottom w:w="60" w:type="dxa"/>
              <w:right w:w="90" w:type="dxa"/>
            </w:tcMar>
          </w:tcPr>
          <w:p w14:paraId="67E3FFAC" w14:textId="77777777" w:rsidR="00D67394" w:rsidRDefault="00000000" w:rsidP="00143A38">
            <w:pPr>
              <w:spacing w:after="20" w:line="252" w:lineRule="auto"/>
              <w:jc w:val="both"/>
            </w:pPr>
            <w:r>
              <w:rPr>
                <w:rFonts w:eastAsia="Calibri"/>
                <w:sz w:val="19"/>
                <w:szCs w:val="19"/>
              </w:rPr>
              <w:t>∂T/∂t + u·∂T/∂x = −(γ−1)·T·∂u/∂x + (κ/ρ)·∂²T/∂x²</w:t>
            </w:r>
          </w:p>
        </w:tc>
        <w:tc>
          <w:tcPr>
            <w:tcW w:w="1500" w:type="dxa"/>
            <w:shd w:val="clear" w:color="auto" w:fill="FFFFFF"/>
            <w:tcMar>
              <w:top w:w="60" w:type="dxa"/>
              <w:left w:w="90" w:type="dxa"/>
              <w:bottom w:w="60" w:type="dxa"/>
              <w:right w:w="90" w:type="dxa"/>
            </w:tcMar>
          </w:tcPr>
          <w:p w14:paraId="30D456CE" w14:textId="77777777" w:rsidR="00D67394" w:rsidRDefault="00000000" w:rsidP="00143A38">
            <w:pPr>
              <w:spacing w:after="20" w:line="252" w:lineRule="auto"/>
              <w:jc w:val="both"/>
            </w:pPr>
            <w:r>
              <w:rPr>
                <w:rFonts w:eastAsia="Calibri"/>
                <w:sz w:val="19"/>
                <w:szCs w:val="19"/>
              </w:rPr>
              <w:t>compression work heats the gas</w:t>
            </w:r>
          </w:p>
        </w:tc>
      </w:tr>
    </w:tbl>
    <w:p w14:paraId="3BA23B9D" w14:textId="77777777" w:rsidR="00D67394" w:rsidRDefault="00D67394" w:rsidP="00143A38">
      <w:pPr>
        <w:spacing w:after="80"/>
        <w:jc w:val="both"/>
      </w:pPr>
    </w:p>
    <w:p w14:paraId="59D5D8F0" w14:textId="77777777" w:rsidR="00D67394" w:rsidRDefault="00000000" w:rsidP="00DE7614">
      <w:pPr>
        <w:spacing w:after="60" w:line="276" w:lineRule="auto"/>
        <w:jc w:val="both"/>
      </w:pPr>
      <w:r>
        <w:rPr>
          <w:rFonts w:eastAsia="Calibri"/>
        </w:rPr>
        <w:t>The system is closed by the ideal-gas law p = ρT, with κ = ν/Pr linking momentum and thermal diffusion (Pr = 0.72). The three equations are genuinely coupled: pressure ties density and temperature into the momentum balance, the mass flux ρu ties velocity into continuity, and the compression term −(γ−1)T·∂u/∂x converts flow work into heat.</w:t>
      </w:r>
    </w:p>
    <w:p w14:paraId="50953085" w14:textId="547EC29A" w:rsidR="00D67394" w:rsidRPr="00DE7614" w:rsidRDefault="00000000" w:rsidP="00DE7614">
      <w:pPr>
        <w:spacing w:after="120" w:line="276" w:lineRule="auto"/>
        <w:jc w:val="both"/>
      </w:pPr>
      <w:r>
        <w:rPr>
          <w:rFonts w:eastAsia="Calibri"/>
          <w:b/>
          <w:bCs/>
        </w:rPr>
        <w:t xml:space="preserve">Relation to the classical benchmark PDEs. </w:t>
      </w:r>
      <w:r>
        <w:rPr>
          <w:rFonts w:eastAsia="Calibri"/>
        </w:rPr>
        <w:t>The momentum equation reduces to Burgers' equation (∂u/∂t + u·∂u/∂x = ν·∂²u/∂x²) when the pressure gradient is neglected — Burgers is exactly its constant-density, pressure-free limit. The energy equation is an advection–compression equation whose source drives the temperature jump across the shock. The Navier–Stokes shock tube model therefore contains both the nonlinear-advection physics of Burgers' equation and the advection–diffusion physics of the heat equation, now unified and augmented by the mass-conservation law and a pressure coupling that generates discontinuous wave structures.</w:t>
      </w:r>
    </w:p>
    <w:p w14:paraId="1664B56C" w14:textId="1ED2814F" w:rsidR="000F7CDF" w:rsidRDefault="000F7CDF" w:rsidP="00024EF8">
      <w:pPr>
        <w:pStyle w:val="Heading2"/>
        <w:spacing w:before="220" w:after="120"/>
        <w:rPr>
          <w:rFonts w:eastAsia="Calibri"/>
          <w:b/>
          <w:bCs/>
          <w:color w:val="2E5496"/>
          <w:sz w:val="25"/>
          <w:szCs w:val="25"/>
        </w:rPr>
      </w:pPr>
      <w:r>
        <w:rPr>
          <w:rFonts w:eastAsia="Calibri"/>
          <w:b/>
          <w:bCs/>
          <w:color w:val="2E5496"/>
          <w:sz w:val="25"/>
          <w:szCs w:val="25"/>
        </w:rPr>
        <w:t>2.4 Classical Simulation Model Setup</w:t>
      </w:r>
    </w:p>
    <w:p w14:paraId="09FB0736" w14:textId="014D5222" w:rsidR="000F7CDF" w:rsidRDefault="000F7CDF" w:rsidP="00143A38">
      <w:pPr>
        <w:spacing w:before="60" w:after="120" w:line="276" w:lineRule="auto"/>
        <w:jc w:val="both"/>
        <w:rPr>
          <w:rFonts w:eastAsia="Calibri"/>
        </w:rPr>
      </w:pPr>
      <w:r>
        <w:rPr>
          <w:rFonts w:eastAsia="Calibri"/>
        </w:rPr>
        <w:t xml:space="preserve">Our ground-truth simulator (Step1_simulation_1D_navier_stokes_shock_tube.py) solves the full one-dimensional compressible Navier–Stokes equations including dynamic viscosity </w:t>
      </w:r>
      <m:oMath>
        <m:r>
          <w:rPr>
            <w:rFonts w:ascii="Cambria Math" w:eastAsia="Calibri" w:hAnsi="Cambria Math"/>
          </w:rPr>
          <m:t>μ</m:t>
        </m:r>
      </m:oMath>
      <w:r>
        <w:rPr>
          <w:rFonts w:eastAsia="Calibri"/>
        </w:rPr>
        <w:t xml:space="preserve"> and Fourier heat conduction </w:t>
      </w:r>
      <m:oMath>
        <m:r>
          <w:rPr>
            <w:rFonts w:ascii="Cambria Math" w:eastAsia="Calibri" w:hAnsi="Cambria Math"/>
          </w:rPr>
          <m:t>κ=μ</m:t>
        </m:r>
        <m:sSub>
          <m:sSubPr>
            <m:ctrlPr>
              <w:rPr>
                <w:rFonts w:ascii="Cambria Math" w:eastAsia="Calibri" w:hAnsi="Cambria Math"/>
              </w:rPr>
            </m:ctrlPr>
          </m:sSubPr>
          <m:e>
            <m:r>
              <w:rPr>
                <w:rFonts w:ascii="Cambria Math" w:eastAsia="Calibri" w:hAnsi="Cambria Math"/>
              </w:rPr>
              <m:t>C</m:t>
            </m:r>
          </m:e>
          <m:sub>
            <m:r>
              <w:rPr>
                <w:rFonts w:ascii="Cambria Math" w:eastAsia="Calibri" w:hAnsi="Cambria Math"/>
              </w:rPr>
              <m:t>p</m:t>
            </m:r>
          </m:sub>
        </m:sSub>
        <m:r>
          <m:rPr>
            <m:sty m:val="p"/>
          </m:rPr>
          <w:rPr>
            <w:rFonts w:ascii="Cambria Math" w:eastAsia="Calibri" w:hAnsi="Cambria Math"/>
          </w:rPr>
          <m:t>/Pr</m:t>
        </m:r>
      </m:oMath>
      <w:r>
        <w:rPr>
          <w:rFonts w:eastAsia="Calibri"/>
        </w:rPr>
        <w:t xml:space="preserve"> on a </w:t>
      </w:r>
      <w:r>
        <w:rPr>
          <w:rFonts w:eastAsia="Calibri"/>
        </w:rPr>
        <w:lastRenderedPageBreak/>
        <w:t xml:space="preserve">uniform 256-point finite-volume grid. It uses an operator-split scheme: an explicit Lax–Friedrichs step for the inviscid fluxes (CFL </w:t>
      </w:r>
      <m:oMath>
        <m:r>
          <w:rPr>
            <w:rFonts w:ascii="Cambria Math" w:eastAsia="Calibri" w:hAnsi="Cambria Math"/>
          </w:rPr>
          <m:t>=0.45</m:t>
        </m:r>
      </m:oMath>
      <w:r>
        <w:rPr>
          <w:rFonts w:eastAsia="Calibri"/>
        </w:rPr>
        <w:t xml:space="preserve">) followed by an unconditionally stable backward-Euler implicit solve for the viscous and thermal diffusion terms. The dataset is generated by a Latin Hypercube Sampling (LHS) sweep [McKay, Beckman &amp; Conover, </w:t>
      </w:r>
      <w:r>
        <w:t>1979] [5]</w:t>
      </w:r>
      <w:r>
        <w:t xml:space="preserve"> over five independent physics parameters simultaneously: pressure ratio </w:t>
      </w:r>
      <m:oMath>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L</m:t>
            </m:r>
          </m:sub>
        </m:sSub>
        <m:r>
          <m:rPr>
            <m:sty m:val="p"/>
          </m:rPr>
          <w:rPr>
            <w:rFonts w:ascii="Cambria Math" w:eastAsia="Calibri" w:hAnsi="Cambria Math"/>
          </w:rPr>
          <m:t>/</m:t>
        </m:r>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R</m:t>
            </m:r>
          </m:sub>
        </m:sSub>
        <m:r>
          <w:rPr>
            <w:rFonts w:ascii="Cambria Math" w:eastAsia="Calibri" w:hAnsi="Cambria Math"/>
          </w:rPr>
          <m:t>∈[2,20]</m:t>
        </m:r>
      </m:oMath>
      <w:r>
        <w:rPr>
          <w:rFonts w:eastAsia="Calibri"/>
        </w:rPr>
        <w:t xml:space="preserve"> (log-uniform), dynamic viscosity </w:t>
      </w:r>
      <m:oMath>
        <m:r>
          <w:rPr>
            <w:rFonts w:ascii="Cambria Math" w:eastAsia="Calibri" w:hAnsi="Cambria Math"/>
          </w:rPr>
          <m:t>μ∈[0,0.02]</m:t>
        </m:r>
      </m:oMath>
      <w:r>
        <w:rPr>
          <w:rFonts w:eastAsia="Calibri"/>
        </w:rPr>
        <w:t xml:space="preserve">, left density </w:t>
      </w:r>
      <m:oMath>
        <m:sSub>
          <m:sSubPr>
            <m:ctrlPr>
              <w:rPr>
                <w:rFonts w:ascii="Cambria Math" w:eastAsia="Calibri" w:hAnsi="Cambria Math"/>
              </w:rPr>
            </m:ctrlPr>
          </m:sSubPr>
          <m:e>
            <m:r>
              <w:rPr>
                <w:rFonts w:ascii="Cambria Math" w:eastAsia="Calibri" w:hAnsi="Cambria Math"/>
              </w:rPr>
              <m:t>ρ</m:t>
            </m:r>
          </m:e>
          <m:sub>
            <m:r>
              <w:rPr>
                <w:rFonts w:ascii="Cambria Math" w:eastAsia="Calibri" w:hAnsi="Cambria Math"/>
              </w:rPr>
              <m:t>L</m:t>
            </m:r>
          </m:sub>
        </m:sSub>
        <m:r>
          <w:rPr>
            <w:rFonts w:ascii="Cambria Math" w:eastAsia="Calibri" w:hAnsi="Cambria Math"/>
          </w:rPr>
          <m:t>∈[0.5,2.0]</m:t>
        </m:r>
      </m:oMath>
      <w:r>
        <w:rPr>
          <w:rFonts w:eastAsia="Calibri"/>
        </w:rPr>
        <w:t xml:space="preserve">, right density </w:t>
      </w:r>
      <m:oMath>
        <m:sSub>
          <m:sSubPr>
            <m:ctrlPr>
              <w:rPr>
                <w:rFonts w:ascii="Cambria Math" w:eastAsia="Calibri" w:hAnsi="Cambria Math"/>
              </w:rPr>
            </m:ctrlPr>
          </m:sSubPr>
          <m:e>
            <m:r>
              <w:rPr>
                <w:rFonts w:ascii="Cambria Math" w:eastAsia="Calibri" w:hAnsi="Cambria Math"/>
              </w:rPr>
              <m:t>ρ</m:t>
            </m:r>
          </m:e>
          <m:sub>
            <m:r>
              <w:rPr>
                <w:rFonts w:ascii="Cambria Math" w:eastAsia="Calibri" w:hAnsi="Cambria Math"/>
              </w:rPr>
              <m:t>R</m:t>
            </m:r>
          </m:sub>
        </m:sSub>
        <m:r>
          <w:rPr>
            <w:rFonts w:ascii="Cambria Math" w:eastAsia="Calibri" w:hAnsi="Cambria Math"/>
          </w:rPr>
          <m:t>∈[0.05,0.5]</m:t>
        </m:r>
      </m:oMath>
      <w:r>
        <w:rPr>
          <w:rFonts w:eastAsia="Calibri"/>
        </w:rPr>
        <w:t xml:space="preserve">, and right pressure </w:t>
      </w:r>
      <m:oMath>
        <m:sSub>
          <m:sSubPr>
            <m:ctrlPr>
              <w:rPr>
                <w:rFonts w:ascii="Cambria Math" w:eastAsia="Calibri" w:hAnsi="Cambria Math"/>
              </w:rPr>
            </m:ctrlPr>
          </m:sSubPr>
          <m:e>
            <m:r>
              <w:rPr>
                <w:rFonts w:ascii="Cambria Math" w:eastAsia="Calibri" w:hAnsi="Cambria Math"/>
              </w:rPr>
              <m:t>p</m:t>
            </m:r>
          </m:e>
          <m:sub>
            <m:r>
              <w:rPr>
                <w:rFonts w:ascii="Cambria Math" w:eastAsia="Calibri" w:hAnsi="Cambria Math"/>
              </w:rPr>
              <m:t>R</m:t>
            </m:r>
          </m:sub>
        </m:sSub>
        <m:r>
          <w:rPr>
            <w:rFonts w:ascii="Cambria Math" w:eastAsia="Calibri" w:hAnsi="Cambria Math"/>
          </w:rPr>
          <m:t>∈[0.05,0.3]</m:t>
        </m:r>
      </m:oMath>
      <w:r>
        <w:rPr>
          <w:rFonts w:eastAsia="Calibri"/>
        </w:rPr>
        <w:t xml:space="preserve">. </w:t>
      </w:r>
      <w:r>
        <w:t>Each of the 500 scenarios records</w:t>
      </w:r>
      <w:r w:rsidR="003A5B14">
        <w:t xml:space="preserve"> </w:t>
      </w:r>
      <w:r>
        <w:t xml:space="preserve">41 </w:t>
      </w:r>
      <w:proofErr w:type="gramStart"/>
      <w:r>
        <w:t>evenly-spaced</w:t>
      </w:r>
      <w:proofErr w:type="gramEnd"/>
      <w:r>
        <w:t xml:space="preserve"> time snapshots across </w:t>
      </w:r>
      <m:oMath>
        <m:r>
          <w:rPr>
            <w:rFonts w:ascii="Cambria Math" w:eastAsia="Calibri" w:hAnsi="Cambria Math"/>
          </w:rPr>
          <m:t>t∈[0,0.2]</m:t>
        </m:r>
      </m:oMath>
      <w:r>
        <w:rPr>
          <w:rFonts w:eastAsia="Calibri"/>
        </w:rPr>
        <w:t xml:space="preserve">, yielding </w:t>
      </w:r>
      <w:r>
        <w:t>500 × 41 × 256 = 5,248,000</w:t>
      </w:r>
      <w:r>
        <w:rPr>
          <w:rFonts w:eastAsia="Calibri"/>
        </w:rPr>
        <w:t xml:space="preserve"> labelled rows of </w:t>
      </w:r>
      <m:oMath>
        <m:d>
          <m:dPr>
            <m:sepChr m:val=","/>
            <m:ctrlPr>
              <w:rPr>
                <w:rFonts w:ascii="Cambria Math" w:eastAsia="Calibri" w:hAnsi="Cambria Math"/>
              </w:rPr>
            </m:ctrlPr>
          </m:dPr>
          <m:e>
            <m:r>
              <w:rPr>
                <w:rFonts w:ascii="Cambria Math" w:eastAsia="Calibri" w:hAnsi="Cambria Math"/>
              </w:rPr>
              <m:t>ρ</m:t>
            </m:r>
          </m:e>
          <m:e>
            <m:r>
              <w:rPr>
                <w:rFonts w:ascii="Cambria Math" w:eastAsia="Calibri" w:hAnsi="Cambria Math"/>
              </w:rPr>
              <m:t>u</m:t>
            </m:r>
          </m:e>
          <m:e>
            <m:r>
              <w:rPr>
                <w:rFonts w:ascii="Cambria Math" w:eastAsia="Calibri" w:hAnsi="Cambria Math"/>
              </w:rPr>
              <m:t>p</m:t>
            </m:r>
          </m:e>
          <m:e>
            <m:r>
              <w:rPr>
                <w:rFonts w:ascii="Cambria Math" w:eastAsia="Calibri" w:hAnsi="Cambria Math"/>
              </w:rPr>
              <m:t>T</m:t>
            </m:r>
          </m:e>
        </m:d>
      </m:oMath>
      <w:r>
        <w:rPr>
          <w:rFonts w:eastAsia="Calibri"/>
        </w:rPr>
        <w:t xml:space="preserve"> at every </w:t>
      </w:r>
      <m:oMath>
        <m:d>
          <m:dPr>
            <m:sepChr m:val=","/>
            <m:ctrlPr>
              <w:rPr>
                <w:rFonts w:ascii="Cambria Math" w:eastAsia="Calibri" w:hAnsi="Cambria Math"/>
              </w:rPr>
            </m:ctrlPr>
          </m:dPr>
          <m:e>
            <m:r>
              <w:rPr>
                <w:rFonts w:ascii="Cambria Math" w:eastAsia="Calibri" w:hAnsi="Cambria Math"/>
              </w:rPr>
              <m:t>x</m:t>
            </m:r>
          </m:e>
          <m:e>
            <m:r>
              <w:rPr>
                <w:rFonts w:ascii="Cambria Math" w:eastAsia="Calibri" w:hAnsi="Cambria Math"/>
              </w:rPr>
              <m:t>t</m:t>
            </m:r>
          </m:e>
        </m:d>
      </m:oMath>
      <w:r>
        <w:rPr>
          <w:rFonts w:eastAsia="Calibri"/>
        </w:rPr>
        <w:t xml:space="preserve">point. Every scenario passes an integral mass-conservation check (mean density drift </w:t>
      </w:r>
      <m:oMath>
        <m:d>
          <m:dPr>
            <m:begChr m:val="&lt;"/>
            <m:endChr m:val=""/>
            <m:ctrlPr>
              <w:rPr>
                <w:rFonts w:ascii="Cambria Math" w:eastAsia="Calibri" w:hAnsi="Cambria Math"/>
              </w:rPr>
            </m:ctrlPr>
          </m:dPr>
          <m:e>
            <m:r>
              <w:rPr>
                <w:rFonts w:ascii="Cambria Math" w:eastAsia="Calibri" w:hAnsi="Cambria Math"/>
              </w:rPr>
              <m:t>2</m:t>
            </m:r>
            <m:r>
              <m:rPr>
                <m:sty m:val="p"/>
              </m:rPr>
              <w:rPr>
                <w:rFonts w:ascii="Cambria Math" w:eastAsia="Calibri" w:hAnsi="Cambria Math"/>
              </w:rPr>
              <m:t>%</m:t>
            </m:r>
          </m:e>
        </m:d>
      </m:oMath>
      <w:r>
        <w:rPr>
          <w:rFonts w:eastAsia="Calibri"/>
        </w:rPr>
        <w:t>) before its snapshots are admitted to the training dataset; scenarios failing this criterion are logged separately and excluded.</w:t>
      </w:r>
    </w:p>
    <w:p w14:paraId="1438856A" w14:textId="1D9B65D6" w:rsidR="00923C63" w:rsidRDefault="00825754" w:rsidP="00143A38">
      <w:pPr>
        <w:spacing w:before="60" w:after="120" w:line="276" w:lineRule="auto"/>
        <w:jc w:val="both"/>
        <w:rPr>
          <w:rFonts w:eastAsia="Calibri"/>
        </w:rPr>
      </w:pPr>
      <w:r>
        <w:rPr>
          <w:rFonts w:eastAsia="Calibri"/>
          <w:noProof/>
        </w:rPr>
        <w:drawing>
          <wp:inline distT="0" distB="0" distL="0" distR="0" wp14:anchorId="4D792F78" wp14:editId="6D9E8820">
            <wp:extent cx="6257925" cy="6324600"/>
            <wp:effectExtent l="0" t="0" r="9525" b="0"/>
            <wp:docPr id="1332552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57925" cy="6324600"/>
                    </a:xfrm>
                    <a:prstGeom prst="rect">
                      <a:avLst/>
                    </a:prstGeom>
                    <a:noFill/>
                    <a:ln>
                      <a:noFill/>
                    </a:ln>
                  </pic:spPr>
                </pic:pic>
              </a:graphicData>
            </a:graphic>
          </wp:inline>
        </w:drawing>
      </w:r>
    </w:p>
    <w:p w14:paraId="08BC8576" w14:textId="161B6AEA" w:rsidR="005D09E0" w:rsidRPr="001E0358" w:rsidRDefault="005D09E0" w:rsidP="00143A38">
      <w:pPr>
        <w:spacing w:before="60" w:after="120" w:line="276" w:lineRule="auto"/>
        <w:jc w:val="both"/>
        <w:rPr>
          <w:rFonts w:eastAsia="Calibri"/>
        </w:rPr>
      </w:pPr>
      <w:r>
        <w:rPr>
          <w:rFonts w:eastAsia="Calibri"/>
        </w:rPr>
        <w:t xml:space="preserve">Figure 1: </w:t>
      </w:r>
      <w:r w:rsidR="00EE217A">
        <w:rPr>
          <w:rFonts w:eastAsia="Calibri"/>
        </w:rPr>
        <w:t>A scenario</w:t>
      </w:r>
      <w:r>
        <w:rPr>
          <w:rFonts w:eastAsia="Calibri"/>
        </w:rPr>
        <w:t xml:space="preserve"> </w:t>
      </w:r>
      <w:proofErr w:type="gramStart"/>
      <w:r>
        <w:rPr>
          <w:rFonts w:eastAsia="Calibri"/>
        </w:rPr>
        <w:t xml:space="preserve">of  </w:t>
      </w:r>
      <w:r w:rsidRPr="005D09E0">
        <w:rPr>
          <w:rFonts w:eastAsia="Calibri"/>
        </w:rPr>
        <w:t>Viscous</w:t>
      </w:r>
      <w:proofErr w:type="gramEnd"/>
      <w:r w:rsidRPr="005D09E0">
        <w:rPr>
          <w:rFonts w:eastAsia="Calibri"/>
        </w:rPr>
        <w:t xml:space="preserve"> shock tube fields: ρ, u, p, T over space and time</w:t>
      </w:r>
    </w:p>
    <w:p w14:paraId="067333AA" w14:textId="363589A3" w:rsidR="00D67394" w:rsidRDefault="00000000">
      <w:pPr>
        <w:pStyle w:val="Heading1"/>
        <w:spacing w:before="320" w:after="160"/>
      </w:pPr>
      <w:r>
        <w:rPr>
          <w:rFonts w:eastAsia="Calibri"/>
          <w:b/>
          <w:bCs/>
          <w:color w:val="1F3864"/>
          <w:sz w:val="30"/>
          <w:szCs w:val="30"/>
        </w:rPr>
        <w:lastRenderedPageBreak/>
        <w:t>3. Machine Learning Model Configurations and Physics Loss</w:t>
      </w:r>
    </w:p>
    <w:p w14:paraId="0C91AFF7" w14:textId="589B9749" w:rsidR="00D67394" w:rsidRDefault="00000000">
      <w:pPr>
        <w:pStyle w:val="Heading2"/>
        <w:spacing w:before="220" w:after="120"/>
      </w:pPr>
      <w:r>
        <w:rPr>
          <w:rFonts w:eastAsia="Calibri"/>
          <w:b/>
          <w:bCs/>
          <w:color w:val="2E5496"/>
          <w:sz w:val="25"/>
          <w:szCs w:val="25"/>
        </w:rPr>
        <w:t xml:space="preserve">3.1 ML Inputs and Outputs </w:t>
      </w:r>
    </w:p>
    <w:p w14:paraId="4C185AD7" w14:textId="77777777" w:rsidR="00D67394" w:rsidRDefault="00000000">
      <w:pPr>
        <w:spacing w:after="120" w:line="276" w:lineRule="auto"/>
      </w:pPr>
      <w:r>
        <w:rPr>
          <w:rFonts w:eastAsia="Calibri"/>
        </w:rPr>
        <w:t>We train a field-level model where each sample is a single point in space and time at a given physical parameter. This allows the model to compute PDE residuals via automatic differentiation through the network.</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300"/>
        <w:gridCol w:w="4400"/>
      </w:tblGrid>
      <w:tr w:rsidR="00C96672" w14:paraId="4E2D1D5F" w14:textId="77777777" w:rsidTr="009253AF">
        <w:trPr>
          <w:tblHeader/>
          <w:jc w:val="center"/>
        </w:trPr>
        <w:tc>
          <w:tcPr>
            <w:tcW w:w="2100" w:type="dxa"/>
            <w:shd w:val="clear" w:color="auto" w:fill="1F3864"/>
            <w:tcMar>
              <w:top w:w="60" w:type="dxa"/>
              <w:left w:w="90" w:type="dxa"/>
              <w:bottom w:w="60" w:type="dxa"/>
              <w:right w:w="90" w:type="dxa"/>
            </w:tcMar>
          </w:tcPr>
          <w:p w14:paraId="399D8C19" w14:textId="77777777" w:rsidR="00C96672" w:rsidRDefault="00C96672" w:rsidP="009253AF">
            <w:pPr>
              <w:spacing w:after="20" w:line="252" w:lineRule="auto"/>
            </w:pPr>
            <w:r>
              <w:rPr>
                <w:rFonts w:eastAsia="Calibri"/>
                <w:b/>
                <w:bCs/>
                <w:color w:val="FFFFFF"/>
                <w:sz w:val="19"/>
                <w:szCs w:val="19"/>
              </w:rPr>
              <w:t>Component</w:t>
            </w:r>
          </w:p>
        </w:tc>
        <w:tc>
          <w:tcPr>
            <w:tcW w:w="2300" w:type="dxa"/>
            <w:shd w:val="clear" w:color="auto" w:fill="1F3864"/>
            <w:tcMar>
              <w:top w:w="60" w:type="dxa"/>
              <w:left w:w="90" w:type="dxa"/>
              <w:bottom w:w="60" w:type="dxa"/>
              <w:right w:w="90" w:type="dxa"/>
            </w:tcMar>
          </w:tcPr>
          <w:p w14:paraId="6C145FA4" w14:textId="77777777" w:rsidR="00C96672" w:rsidRDefault="00C96672" w:rsidP="009253AF">
            <w:pPr>
              <w:spacing w:after="20" w:line="252" w:lineRule="auto"/>
            </w:pPr>
            <w:r>
              <w:rPr>
                <w:rFonts w:eastAsia="Calibri"/>
                <w:b/>
                <w:bCs/>
                <w:color w:val="FFFFFF"/>
                <w:sz w:val="19"/>
                <w:szCs w:val="19"/>
              </w:rPr>
              <w:t>Value</w:t>
            </w:r>
          </w:p>
        </w:tc>
        <w:tc>
          <w:tcPr>
            <w:tcW w:w="4400" w:type="dxa"/>
            <w:shd w:val="clear" w:color="auto" w:fill="1F3864"/>
            <w:tcMar>
              <w:top w:w="60" w:type="dxa"/>
              <w:left w:w="90" w:type="dxa"/>
              <w:bottom w:w="60" w:type="dxa"/>
              <w:right w:w="90" w:type="dxa"/>
            </w:tcMar>
          </w:tcPr>
          <w:p w14:paraId="64A5F822" w14:textId="77777777" w:rsidR="00C96672" w:rsidRDefault="00C96672" w:rsidP="009253AF">
            <w:pPr>
              <w:spacing w:after="20" w:line="252" w:lineRule="auto"/>
            </w:pPr>
            <w:r>
              <w:rPr>
                <w:rFonts w:eastAsia="Calibri"/>
                <w:b/>
                <w:bCs/>
                <w:color w:val="FFFFFF"/>
                <w:sz w:val="19"/>
                <w:szCs w:val="19"/>
              </w:rPr>
              <w:t>Why it matters for PINN</w:t>
            </w:r>
          </w:p>
        </w:tc>
      </w:tr>
      <w:tr w:rsidR="00C96672" w14:paraId="29AAB62B" w14:textId="77777777" w:rsidTr="009253AF">
        <w:trPr>
          <w:jc w:val="center"/>
        </w:trPr>
        <w:tc>
          <w:tcPr>
            <w:tcW w:w="2100" w:type="dxa"/>
            <w:shd w:val="clear" w:color="auto" w:fill="FFFFFF"/>
            <w:tcMar>
              <w:top w:w="60" w:type="dxa"/>
              <w:left w:w="90" w:type="dxa"/>
              <w:bottom w:w="60" w:type="dxa"/>
              <w:right w:w="90" w:type="dxa"/>
            </w:tcMar>
          </w:tcPr>
          <w:p w14:paraId="33CCAA5E" w14:textId="77777777" w:rsidR="00C96672" w:rsidRDefault="00C96672" w:rsidP="009253AF">
            <w:pPr>
              <w:spacing w:after="20" w:line="252" w:lineRule="auto"/>
            </w:pPr>
            <w:r>
              <w:rPr>
                <w:rFonts w:eastAsia="Calibri"/>
                <w:sz w:val="19"/>
                <w:szCs w:val="19"/>
              </w:rPr>
              <w:t>Model input</w:t>
            </w:r>
          </w:p>
        </w:tc>
        <w:tc>
          <w:tcPr>
            <w:tcW w:w="2300" w:type="dxa"/>
            <w:shd w:val="clear" w:color="auto" w:fill="FFFFFF"/>
            <w:tcMar>
              <w:top w:w="60" w:type="dxa"/>
              <w:left w:w="90" w:type="dxa"/>
              <w:bottom w:w="60" w:type="dxa"/>
              <w:right w:w="90" w:type="dxa"/>
            </w:tcMar>
          </w:tcPr>
          <w:p w14:paraId="4DB09E5B" w14:textId="77777777" w:rsidR="00C96672" w:rsidRDefault="00C96672" w:rsidP="009253AF">
            <w:pPr>
              <w:spacing w:after="20" w:line="252" w:lineRule="auto"/>
            </w:pPr>
            <w:r>
              <w:rPr>
                <w:rFonts w:eastAsia="Calibri"/>
                <w:sz w:val="19"/>
                <w:szCs w:val="19"/>
              </w:rPr>
              <w:t>[x, t, p_ratio, μ, ρ_L, ρ_R, p_R] — 7 scalars</w:t>
            </w:r>
          </w:p>
        </w:tc>
        <w:tc>
          <w:tcPr>
            <w:tcW w:w="4400" w:type="dxa"/>
            <w:shd w:val="clear" w:color="auto" w:fill="FFFFFF"/>
            <w:tcMar>
              <w:top w:w="60" w:type="dxa"/>
              <w:left w:w="90" w:type="dxa"/>
              <w:bottom w:w="60" w:type="dxa"/>
              <w:right w:w="90" w:type="dxa"/>
            </w:tcMar>
          </w:tcPr>
          <w:p w14:paraId="0BB7EA78" w14:textId="77777777" w:rsidR="00C96672" w:rsidRDefault="00C96672" w:rsidP="009253AF">
            <w:pPr>
              <w:spacing w:after="20" w:line="252" w:lineRule="auto"/>
            </w:pPr>
            <w:r>
              <w:rPr>
                <w:rFonts w:eastAsia="Calibri"/>
                <w:sz w:val="19"/>
                <w:szCs w:val="19"/>
              </w:rPr>
              <w:t>x and t enable ∂/∂t and ∂²/∂x² via autograd; the 5 physics parameters condition the network on the specific scenario</w:t>
            </w:r>
          </w:p>
        </w:tc>
      </w:tr>
      <w:tr w:rsidR="00C96672" w14:paraId="6FE6517B" w14:textId="77777777" w:rsidTr="009253AF">
        <w:trPr>
          <w:jc w:val="center"/>
        </w:trPr>
        <w:tc>
          <w:tcPr>
            <w:tcW w:w="2100" w:type="dxa"/>
            <w:shd w:val="clear" w:color="auto" w:fill="F2F5FA"/>
            <w:tcMar>
              <w:top w:w="60" w:type="dxa"/>
              <w:left w:w="90" w:type="dxa"/>
              <w:bottom w:w="60" w:type="dxa"/>
              <w:right w:w="90" w:type="dxa"/>
            </w:tcMar>
          </w:tcPr>
          <w:p w14:paraId="151B486B" w14:textId="77777777" w:rsidR="00C96672" w:rsidRDefault="00C96672" w:rsidP="009253AF">
            <w:pPr>
              <w:spacing w:after="20" w:line="252" w:lineRule="auto"/>
            </w:pPr>
            <w:r>
              <w:rPr>
                <w:rFonts w:eastAsia="Calibri"/>
                <w:sz w:val="19"/>
                <w:szCs w:val="19"/>
              </w:rPr>
              <w:t>Model output</w:t>
            </w:r>
          </w:p>
        </w:tc>
        <w:tc>
          <w:tcPr>
            <w:tcW w:w="2300" w:type="dxa"/>
            <w:shd w:val="clear" w:color="auto" w:fill="F2F5FA"/>
            <w:tcMar>
              <w:top w:w="60" w:type="dxa"/>
              <w:left w:w="90" w:type="dxa"/>
              <w:bottom w:w="60" w:type="dxa"/>
              <w:right w:w="90" w:type="dxa"/>
            </w:tcMar>
          </w:tcPr>
          <w:p w14:paraId="52B5FE92" w14:textId="77777777" w:rsidR="00C96672" w:rsidRDefault="00C96672" w:rsidP="009253AF">
            <w:pPr>
              <w:spacing w:after="20" w:line="252" w:lineRule="auto"/>
            </w:pPr>
            <w:r>
              <w:rPr>
                <w:rFonts w:eastAsia="Calibri"/>
                <w:sz w:val="19"/>
                <w:szCs w:val="19"/>
              </w:rPr>
              <w:t>field value — 1 scalar</w:t>
            </w:r>
          </w:p>
        </w:tc>
        <w:tc>
          <w:tcPr>
            <w:tcW w:w="4400" w:type="dxa"/>
            <w:shd w:val="clear" w:color="auto" w:fill="F2F5FA"/>
            <w:tcMar>
              <w:top w:w="60" w:type="dxa"/>
              <w:left w:w="90" w:type="dxa"/>
              <w:bottom w:w="60" w:type="dxa"/>
              <w:right w:w="90" w:type="dxa"/>
            </w:tcMar>
          </w:tcPr>
          <w:p w14:paraId="2AF40EBE" w14:textId="77777777" w:rsidR="00C96672" w:rsidRDefault="00C96672" w:rsidP="009253AF">
            <w:pPr>
              <w:spacing w:after="20" w:line="252" w:lineRule="auto"/>
            </w:pPr>
            <w:r>
              <w:rPr>
                <w:rFonts w:eastAsia="Calibri"/>
                <w:sz w:val="19"/>
                <w:szCs w:val="19"/>
              </w:rPr>
              <w:t>one model per field: ρ(x,t), u(x,t), p(x,t), or T(x,t)</w:t>
            </w:r>
          </w:p>
        </w:tc>
      </w:tr>
      <w:tr w:rsidR="00C96672" w14:paraId="3A4A0EB9" w14:textId="77777777" w:rsidTr="009253AF">
        <w:trPr>
          <w:jc w:val="center"/>
        </w:trPr>
        <w:tc>
          <w:tcPr>
            <w:tcW w:w="2100" w:type="dxa"/>
            <w:shd w:val="clear" w:color="auto" w:fill="FFFFFF"/>
            <w:tcMar>
              <w:top w:w="60" w:type="dxa"/>
              <w:left w:w="90" w:type="dxa"/>
              <w:bottom w:w="60" w:type="dxa"/>
              <w:right w:w="90" w:type="dxa"/>
            </w:tcMar>
          </w:tcPr>
          <w:p w14:paraId="71D0E04E" w14:textId="77777777" w:rsidR="00C96672" w:rsidRDefault="00C96672" w:rsidP="009253AF">
            <w:pPr>
              <w:spacing w:after="20" w:line="252" w:lineRule="auto"/>
            </w:pPr>
            <w:r>
              <w:rPr>
                <w:rFonts w:eastAsia="Calibri"/>
                <w:sz w:val="19"/>
                <w:szCs w:val="19"/>
              </w:rPr>
              <w:t>Scenario parameterisation</w:t>
            </w:r>
          </w:p>
        </w:tc>
        <w:tc>
          <w:tcPr>
            <w:tcW w:w="2300" w:type="dxa"/>
            <w:shd w:val="clear" w:color="auto" w:fill="FFFFFF"/>
            <w:tcMar>
              <w:top w:w="60" w:type="dxa"/>
              <w:left w:w="90" w:type="dxa"/>
              <w:bottom w:w="60" w:type="dxa"/>
              <w:right w:w="90" w:type="dxa"/>
            </w:tcMar>
          </w:tcPr>
          <w:p w14:paraId="7539FDA7" w14:textId="77777777" w:rsidR="00C96672" w:rsidRDefault="00C96672" w:rsidP="009253AF">
            <w:pPr>
              <w:spacing w:after="20" w:line="252" w:lineRule="auto"/>
            </w:pPr>
            <w:r>
              <w:rPr>
                <w:rFonts w:eastAsia="Calibri"/>
                <w:sz w:val="19"/>
                <w:szCs w:val="19"/>
              </w:rPr>
              <w:t xml:space="preserve">LHS over 5 parameters: p_ratio </w:t>
            </w:r>
            <w:r>
              <w:rPr>
                <w:rFonts w:ascii="Cambria Math" w:eastAsia="Calibri" w:hAnsi="Cambria Math" w:cs="Cambria Math"/>
                <w:sz w:val="19"/>
                <w:szCs w:val="19"/>
              </w:rPr>
              <w:t>∈</w:t>
            </w:r>
            <w:r>
              <w:rPr>
                <w:rFonts w:eastAsia="Calibri"/>
                <w:sz w:val="19"/>
                <w:szCs w:val="19"/>
              </w:rPr>
              <w:t xml:space="preserve"> [2,20], μ </w:t>
            </w:r>
            <w:r>
              <w:rPr>
                <w:rFonts w:ascii="Cambria Math" w:eastAsia="Calibri" w:hAnsi="Cambria Math" w:cs="Cambria Math"/>
                <w:sz w:val="19"/>
                <w:szCs w:val="19"/>
              </w:rPr>
              <w:t>∈</w:t>
            </w:r>
            <w:r>
              <w:rPr>
                <w:rFonts w:eastAsia="Calibri"/>
                <w:sz w:val="19"/>
                <w:szCs w:val="19"/>
              </w:rPr>
              <w:t xml:space="preserve"> [0,0.02], ρ_L </w:t>
            </w:r>
            <w:r>
              <w:rPr>
                <w:rFonts w:ascii="Cambria Math" w:eastAsia="Calibri" w:hAnsi="Cambria Math" w:cs="Cambria Math"/>
                <w:sz w:val="19"/>
                <w:szCs w:val="19"/>
              </w:rPr>
              <w:t>∈</w:t>
            </w:r>
            <w:r>
              <w:rPr>
                <w:rFonts w:eastAsia="Calibri"/>
                <w:sz w:val="19"/>
                <w:szCs w:val="19"/>
              </w:rPr>
              <w:t xml:space="preserve"> [0.5,2.0], ρ_R </w:t>
            </w:r>
            <w:r>
              <w:rPr>
                <w:rFonts w:ascii="Cambria Math" w:eastAsia="Calibri" w:hAnsi="Cambria Math" w:cs="Cambria Math"/>
                <w:sz w:val="19"/>
                <w:szCs w:val="19"/>
              </w:rPr>
              <w:t>∈</w:t>
            </w:r>
            <w:r>
              <w:rPr>
                <w:rFonts w:eastAsia="Calibri"/>
                <w:sz w:val="19"/>
                <w:szCs w:val="19"/>
              </w:rPr>
              <w:t xml:space="preserve"> [0.05,0.5], p_R </w:t>
            </w:r>
            <w:r>
              <w:rPr>
                <w:rFonts w:ascii="Cambria Math" w:eastAsia="Calibri" w:hAnsi="Cambria Math" w:cs="Cambria Math"/>
                <w:sz w:val="19"/>
                <w:szCs w:val="19"/>
              </w:rPr>
              <w:t>∈</w:t>
            </w:r>
            <w:r>
              <w:rPr>
                <w:rFonts w:eastAsia="Calibri"/>
                <w:sz w:val="19"/>
                <w:szCs w:val="19"/>
              </w:rPr>
              <w:t xml:space="preserve"> [0.05,0.3]</w:t>
            </w:r>
          </w:p>
        </w:tc>
        <w:tc>
          <w:tcPr>
            <w:tcW w:w="4400" w:type="dxa"/>
            <w:shd w:val="clear" w:color="auto" w:fill="FFFFFF"/>
            <w:tcMar>
              <w:top w:w="60" w:type="dxa"/>
              <w:left w:w="90" w:type="dxa"/>
              <w:bottom w:w="60" w:type="dxa"/>
              <w:right w:w="90" w:type="dxa"/>
            </w:tcMar>
          </w:tcPr>
          <w:p w14:paraId="4CC4F078" w14:textId="24ABDD78" w:rsidR="00C96672" w:rsidRDefault="00C96672" w:rsidP="009253AF">
            <w:pPr>
              <w:spacing w:after="20" w:line="252" w:lineRule="auto"/>
            </w:pPr>
            <w:r>
              <w:rPr>
                <w:rFonts w:eastAsia="Calibri"/>
                <w:sz w:val="19"/>
                <w:szCs w:val="19"/>
              </w:rPr>
              <w:t xml:space="preserve">LHS guarantees uniform c-D parameter space with the minimum number of simulations </w:t>
            </w:r>
            <w:r>
              <w:t>[5]</w:t>
            </w:r>
          </w:p>
        </w:tc>
      </w:tr>
      <w:tr w:rsidR="00C96672" w14:paraId="023AB914" w14:textId="77777777" w:rsidTr="009253AF">
        <w:trPr>
          <w:jc w:val="center"/>
        </w:trPr>
        <w:tc>
          <w:tcPr>
            <w:tcW w:w="2100" w:type="dxa"/>
            <w:shd w:val="clear" w:color="auto" w:fill="F2F5FA"/>
            <w:tcMar>
              <w:top w:w="60" w:type="dxa"/>
              <w:left w:w="90" w:type="dxa"/>
              <w:bottom w:w="60" w:type="dxa"/>
              <w:right w:w="90" w:type="dxa"/>
            </w:tcMar>
          </w:tcPr>
          <w:p w14:paraId="4623B4F6" w14:textId="77777777" w:rsidR="00C96672" w:rsidRDefault="00C96672" w:rsidP="009253AF">
            <w:pPr>
              <w:spacing w:after="20" w:line="252" w:lineRule="auto"/>
            </w:pPr>
            <w:r>
              <w:rPr>
                <w:rFonts w:eastAsia="Calibri"/>
                <w:sz w:val="19"/>
                <w:szCs w:val="19"/>
              </w:rPr>
              <w:t>Training data</w:t>
            </w:r>
          </w:p>
        </w:tc>
        <w:tc>
          <w:tcPr>
            <w:tcW w:w="2300" w:type="dxa"/>
            <w:shd w:val="clear" w:color="auto" w:fill="F2F5FA"/>
            <w:tcMar>
              <w:top w:w="60" w:type="dxa"/>
              <w:left w:w="90" w:type="dxa"/>
              <w:bottom w:w="60" w:type="dxa"/>
              <w:right w:w="90" w:type="dxa"/>
            </w:tcMar>
          </w:tcPr>
          <w:p w14:paraId="62E20E77" w14:textId="77777777" w:rsidR="00C96672" w:rsidRDefault="00C96672" w:rsidP="009253AF">
            <w:pPr>
              <w:spacing w:after="20" w:line="252" w:lineRule="auto"/>
            </w:pPr>
            <w:r>
              <w:rPr>
                <w:rFonts w:eastAsia="Calibri"/>
                <w:sz w:val="19"/>
                <w:szCs w:val="19"/>
              </w:rPr>
              <w:t>10,496,000 rows per field</w:t>
            </w:r>
          </w:p>
        </w:tc>
        <w:tc>
          <w:tcPr>
            <w:tcW w:w="4400" w:type="dxa"/>
            <w:shd w:val="clear" w:color="auto" w:fill="F2F5FA"/>
            <w:tcMar>
              <w:top w:w="60" w:type="dxa"/>
              <w:left w:w="90" w:type="dxa"/>
              <w:bottom w:w="60" w:type="dxa"/>
              <w:right w:w="90" w:type="dxa"/>
            </w:tcMar>
          </w:tcPr>
          <w:p w14:paraId="1551E7EA" w14:textId="77777777" w:rsidR="00C96672" w:rsidRDefault="00C96672" w:rsidP="009253AF">
            <w:pPr>
              <w:spacing w:after="20" w:line="252" w:lineRule="auto"/>
            </w:pPr>
            <w:r>
              <w:rPr>
                <w:rFonts w:eastAsia="Calibri"/>
                <w:sz w:val="19"/>
                <w:szCs w:val="19"/>
              </w:rPr>
              <w:t>1,000 scenarios × 256 spatial pts × 41 snapshots</w:t>
            </w:r>
          </w:p>
        </w:tc>
      </w:tr>
      <w:tr w:rsidR="00C96672" w14:paraId="30369E76" w14:textId="77777777" w:rsidTr="009253AF">
        <w:trPr>
          <w:jc w:val="center"/>
        </w:trPr>
        <w:tc>
          <w:tcPr>
            <w:tcW w:w="2100" w:type="dxa"/>
            <w:shd w:val="clear" w:color="auto" w:fill="FFFFFF"/>
            <w:tcMar>
              <w:top w:w="60" w:type="dxa"/>
              <w:left w:w="90" w:type="dxa"/>
              <w:bottom w:w="60" w:type="dxa"/>
              <w:right w:w="90" w:type="dxa"/>
            </w:tcMar>
          </w:tcPr>
          <w:p w14:paraId="21DAE92B" w14:textId="77777777" w:rsidR="00C96672" w:rsidRDefault="00C96672" w:rsidP="009253AF">
            <w:pPr>
              <w:spacing w:after="20" w:line="252" w:lineRule="auto"/>
            </w:pPr>
            <w:r>
              <w:rPr>
                <w:rFonts w:eastAsia="Calibri"/>
                <w:sz w:val="19"/>
                <w:szCs w:val="19"/>
              </w:rPr>
              <w:t>Split</w:t>
            </w:r>
          </w:p>
        </w:tc>
        <w:tc>
          <w:tcPr>
            <w:tcW w:w="2300" w:type="dxa"/>
            <w:shd w:val="clear" w:color="auto" w:fill="FFFFFF"/>
            <w:tcMar>
              <w:top w:w="60" w:type="dxa"/>
              <w:left w:w="90" w:type="dxa"/>
              <w:bottom w:w="60" w:type="dxa"/>
              <w:right w:w="90" w:type="dxa"/>
            </w:tcMar>
          </w:tcPr>
          <w:p w14:paraId="662FD33D" w14:textId="77777777" w:rsidR="00C96672" w:rsidRDefault="00C96672" w:rsidP="009253AF">
            <w:pPr>
              <w:spacing w:after="20" w:line="252" w:lineRule="auto"/>
            </w:pPr>
            <w:r>
              <w:rPr>
                <w:rFonts w:eastAsia="Calibri"/>
                <w:sz w:val="19"/>
                <w:szCs w:val="19"/>
              </w:rPr>
              <w:t>80% train / 20% test</w:t>
            </w:r>
          </w:p>
        </w:tc>
        <w:tc>
          <w:tcPr>
            <w:tcW w:w="4400" w:type="dxa"/>
            <w:shd w:val="clear" w:color="auto" w:fill="FFFFFF"/>
            <w:tcMar>
              <w:top w:w="60" w:type="dxa"/>
              <w:left w:w="90" w:type="dxa"/>
              <w:bottom w:w="60" w:type="dxa"/>
              <w:right w:w="90" w:type="dxa"/>
            </w:tcMar>
          </w:tcPr>
          <w:p w14:paraId="53C7B9FA" w14:textId="77777777" w:rsidR="00C96672" w:rsidRDefault="00C96672" w:rsidP="009253AF">
            <w:pPr>
              <w:spacing w:after="20" w:line="252" w:lineRule="auto"/>
            </w:pPr>
            <w:r>
              <w:rPr>
                <w:rFonts w:eastAsia="Calibri"/>
                <w:sz w:val="19"/>
                <w:szCs w:val="19"/>
              </w:rPr>
              <w:t>8,396,800 train rows / 2,099,200 held-out test rows per field</w:t>
            </w:r>
          </w:p>
        </w:tc>
      </w:tr>
    </w:tbl>
    <w:p w14:paraId="2CE6C646" w14:textId="77777777" w:rsidR="00D67394" w:rsidRPr="00C96672" w:rsidRDefault="00D67394">
      <w:pPr>
        <w:spacing w:after="80"/>
      </w:pPr>
    </w:p>
    <w:p w14:paraId="28E37C71" w14:textId="096F06FD" w:rsidR="00CE3EA1" w:rsidRDefault="00CE3EA1" w:rsidP="00CE3EA1">
      <w:pPr>
        <w:pStyle w:val="Heading2"/>
        <w:spacing w:before="220" w:after="120"/>
      </w:pPr>
      <w:r>
        <w:rPr>
          <w:rFonts w:eastAsia="Calibri"/>
          <w:b/>
          <w:bCs/>
          <w:color w:val="2E5496"/>
          <w:sz w:val="25"/>
          <w:szCs w:val="25"/>
        </w:rPr>
        <w:t>3.2 Model Architectures</w:t>
      </w:r>
    </w:p>
    <w:p w14:paraId="3A29C621" w14:textId="23AD2006" w:rsidR="00CE3EA1" w:rsidRDefault="00CE3EA1" w:rsidP="00CE3EA1">
      <w:pPr>
        <w:spacing w:after="120" w:line="276" w:lineRule="auto"/>
      </w:pPr>
      <w:r>
        <w:rPr>
          <w:rFonts w:eastAsia="Calibri"/>
        </w:rPr>
        <w:t xml:space="preserve">All four models share the field-level </w:t>
      </w:r>
      <w:r>
        <w:rPr>
          <w:rFonts w:eastAsia="Calibri"/>
          <w:sz w:val="19"/>
          <w:szCs w:val="19"/>
        </w:rPr>
        <w:t>[x, t, p_ratio, μ, ρ_L, ρ_R, p_R</w:t>
      </w:r>
      <w:r>
        <w:rPr>
          <w:rFonts w:eastAsia="Calibri"/>
        </w:rPr>
        <w:t>] → field-value interface (one model per tube field). Parameter counts differ by three orders of magnitude, isolating the effect of the quantum layer.</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900"/>
        <w:gridCol w:w="1300"/>
        <w:gridCol w:w="4900"/>
      </w:tblGrid>
      <w:tr w:rsidR="00CE3EA1" w14:paraId="4EB3FF83" w14:textId="77777777" w:rsidTr="009253AF">
        <w:trPr>
          <w:tblHeader/>
          <w:jc w:val="center"/>
        </w:trPr>
        <w:tc>
          <w:tcPr>
            <w:tcW w:w="1700" w:type="dxa"/>
            <w:shd w:val="clear" w:color="auto" w:fill="1F3864"/>
            <w:tcMar>
              <w:top w:w="60" w:type="dxa"/>
              <w:left w:w="90" w:type="dxa"/>
              <w:bottom w:w="60" w:type="dxa"/>
              <w:right w:w="90" w:type="dxa"/>
            </w:tcMar>
          </w:tcPr>
          <w:p w14:paraId="6FA2B9F9" w14:textId="77777777" w:rsidR="00CE3EA1" w:rsidRDefault="00CE3EA1" w:rsidP="009253AF">
            <w:pPr>
              <w:spacing w:after="20" w:line="252" w:lineRule="auto"/>
            </w:pPr>
            <w:r>
              <w:rPr>
                <w:rFonts w:eastAsia="Calibri"/>
                <w:b/>
                <w:bCs/>
                <w:color w:val="FFFFFF"/>
                <w:sz w:val="19"/>
                <w:szCs w:val="19"/>
              </w:rPr>
              <w:t>Model</w:t>
            </w:r>
          </w:p>
        </w:tc>
        <w:tc>
          <w:tcPr>
            <w:tcW w:w="900" w:type="dxa"/>
            <w:shd w:val="clear" w:color="auto" w:fill="1F3864"/>
            <w:tcMar>
              <w:top w:w="60" w:type="dxa"/>
              <w:left w:w="90" w:type="dxa"/>
              <w:bottom w:w="60" w:type="dxa"/>
              <w:right w:w="90" w:type="dxa"/>
            </w:tcMar>
          </w:tcPr>
          <w:p w14:paraId="50C58B6E" w14:textId="77777777" w:rsidR="00CE3EA1" w:rsidRDefault="00CE3EA1" w:rsidP="009253AF">
            <w:pPr>
              <w:spacing w:after="20" w:line="252" w:lineRule="auto"/>
            </w:pPr>
            <w:r>
              <w:rPr>
                <w:rFonts w:eastAsia="Calibri"/>
                <w:b/>
                <w:bCs/>
                <w:color w:val="FFFFFF"/>
                <w:sz w:val="19"/>
                <w:szCs w:val="19"/>
              </w:rPr>
              <w:t>Params</w:t>
            </w:r>
          </w:p>
        </w:tc>
        <w:tc>
          <w:tcPr>
            <w:tcW w:w="1300" w:type="dxa"/>
            <w:shd w:val="clear" w:color="auto" w:fill="1F3864"/>
            <w:tcMar>
              <w:top w:w="60" w:type="dxa"/>
              <w:left w:w="90" w:type="dxa"/>
              <w:bottom w:w="60" w:type="dxa"/>
              <w:right w:w="90" w:type="dxa"/>
            </w:tcMar>
          </w:tcPr>
          <w:p w14:paraId="4582CC1C" w14:textId="77777777" w:rsidR="00CE3EA1" w:rsidRDefault="00CE3EA1" w:rsidP="009253AF">
            <w:pPr>
              <w:spacing w:after="20" w:line="252" w:lineRule="auto"/>
            </w:pPr>
            <w:r>
              <w:rPr>
                <w:rFonts w:eastAsia="Calibri"/>
                <w:b/>
                <w:bCs/>
                <w:color w:val="FFFFFF"/>
                <w:sz w:val="19"/>
                <w:szCs w:val="19"/>
              </w:rPr>
              <w:t>Type</w:t>
            </w:r>
          </w:p>
        </w:tc>
        <w:tc>
          <w:tcPr>
            <w:tcW w:w="4900" w:type="dxa"/>
            <w:shd w:val="clear" w:color="auto" w:fill="1F3864"/>
            <w:tcMar>
              <w:top w:w="60" w:type="dxa"/>
              <w:left w:w="90" w:type="dxa"/>
              <w:bottom w:w="60" w:type="dxa"/>
              <w:right w:w="90" w:type="dxa"/>
            </w:tcMar>
          </w:tcPr>
          <w:p w14:paraId="45DD1D25" w14:textId="77777777" w:rsidR="00CE3EA1" w:rsidRDefault="00CE3EA1" w:rsidP="009253AF">
            <w:pPr>
              <w:spacing w:after="20" w:line="252" w:lineRule="auto"/>
            </w:pPr>
            <w:r>
              <w:rPr>
                <w:rFonts w:eastAsia="Calibri"/>
                <w:b/>
                <w:bCs/>
                <w:color w:val="FFFFFF"/>
                <w:sz w:val="19"/>
                <w:szCs w:val="19"/>
              </w:rPr>
              <w:t>Architecture</w:t>
            </w:r>
          </w:p>
        </w:tc>
      </w:tr>
      <w:tr w:rsidR="00CE3EA1" w14:paraId="25BC8A25" w14:textId="77777777" w:rsidTr="009253AF">
        <w:trPr>
          <w:jc w:val="center"/>
        </w:trPr>
        <w:tc>
          <w:tcPr>
            <w:tcW w:w="1700" w:type="dxa"/>
            <w:shd w:val="clear" w:color="auto" w:fill="FFFFFF"/>
            <w:tcMar>
              <w:top w:w="60" w:type="dxa"/>
              <w:left w:w="90" w:type="dxa"/>
              <w:bottom w:w="60" w:type="dxa"/>
              <w:right w:w="90" w:type="dxa"/>
            </w:tcMar>
          </w:tcPr>
          <w:p w14:paraId="6A5E3415" w14:textId="77777777" w:rsidR="00CE3EA1" w:rsidRDefault="00CE3EA1" w:rsidP="009253AF">
            <w:pPr>
              <w:spacing w:after="20" w:line="252" w:lineRule="auto"/>
            </w:pPr>
            <w:r>
              <w:rPr>
                <w:rFonts w:eastAsia="Calibri"/>
                <w:sz w:val="19"/>
                <w:szCs w:val="19"/>
              </w:rPr>
              <w:t>MLP / PINN</w:t>
            </w:r>
          </w:p>
        </w:tc>
        <w:tc>
          <w:tcPr>
            <w:tcW w:w="900" w:type="dxa"/>
            <w:shd w:val="clear" w:color="auto" w:fill="FFFFFF"/>
            <w:tcMar>
              <w:top w:w="60" w:type="dxa"/>
              <w:left w:w="90" w:type="dxa"/>
              <w:bottom w:w="60" w:type="dxa"/>
              <w:right w:w="90" w:type="dxa"/>
            </w:tcMar>
          </w:tcPr>
          <w:p w14:paraId="3B00EE42" w14:textId="7164B643" w:rsidR="00CE3EA1" w:rsidRDefault="00922C41" w:rsidP="009253AF">
            <w:pPr>
              <w:spacing w:after="20" w:line="252" w:lineRule="auto"/>
            </w:pPr>
            <w:r>
              <w:rPr>
                <w:rFonts w:eastAsia="Calibri"/>
                <w:sz w:val="19"/>
                <w:szCs w:val="19"/>
              </w:rPr>
              <w:t>750</w:t>
            </w:r>
          </w:p>
        </w:tc>
        <w:tc>
          <w:tcPr>
            <w:tcW w:w="1300" w:type="dxa"/>
            <w:shd w:val="clear" w:color="auto" w:fill="FFFFFF"/>
            <w:tcMar>
              <w:top w:w="60" w:type="dxa"/>
              <w:left w:w="90" w:type="dxa"/>
              <w:bottom w:w="60" w:type="dxa"/>
              <w:right w:w="90" w:type="dxa"/>
            </w:tcMar>
          </w:tcPr>
          <w:p w14:paraId="2DC131A5" w14:textId="77777777" w:rsidR="00CE3EA1" w:rsidRDefault="00CE3EA1" w:rsidP="009253AF">
            <w:pPr>
              <w:spacing w:after="20" w:line="252" w:lineRule="auto"/>
            </w:pPr>
            <w:r>
              <w:rPr>
                <w:rFonts w:eastAsia="Calibri"/>
                <w:sz w:val="19"/>
                <w:szCs w:val="19"/>
              </w:rPr>
              <w:t>classical</w:t>
            </w:r>
          </w:p>
        </w:tc>
        <w:tc>
          <w:tcPr>
            <w:tcW w:w="4900" w:type="dxa"/>
            <w:shd w:val="clear" w:color="auto" w:fill="FFFFFF"/>
            <w:tcMar>
              <w:top w:w="60" w:type="dxa"/>
              <w:left w:w="90" w:type="dxa"/>
              <w:bottom w:w="60" w:type="dxa"/>
              <w:right w:w="90" w:type="dxa"/>
            </w:tcMar>
          </w:tcPr>
          <w:p w14:paraId="679A4E59" w14:textId="76CBF88D" w:rsidR="00CE3EA1" w:rsidRDefault="00CE3EA1" w:rsidP="009253AF">
            <w:pPr>
              <w:spacing w:after="20" w:line="252" w:lineRule="auto"/>
            </w:pPr>
            <w:r>
              <w:t xml:space="preserve">7 → </w:t>
            </w:r>
            <w:r w:rsidR="00490209">
              <w:t>16</w:t>
            </w:r>
            <w:r>
              <w:t xml:space="preserve"> → </w:t>
            </w:r>
            <w:r w:rsidR="00490209">
              <w:t>16</w:t>
            </w:r>
            <w:r>
              <w:t xml:space="preserve"> → </w:t>
            </w:r>
            <w:r w:rsidR="00922C41">
              <w:t>5</w:t>
            </w:r>
            <w:r>
              <w:t>, Tanh (~</w:t>
            </w:r>
            <w:r w:rsidR="00922C41">
              <w:t>750</w:t>
            </w:r>
            <w:r>
              <w:t xml:space="preserve"> params); PINN adds the physics loss</w:t>
            </w:r>
          </w:p>
        </w:tc>
      </w:tr>
      <w:tr w:rsidR="00CE3EA1" w14:paraId="1A8335A7" w14:textId="77777777" w:rsidTr="009253AF">
        <w:trPr>
          <w:jc w:val="center"/>
        </w:trPr>
        <w:tc>
          <w:tcPr>
            <w:tcW w:w="1700" w:type="dxa"/>
            <w:shd w:val="clear" w:color="auto" w:fill="F2F5FA"/>
            <w:tcMar>
              <w:top w:w="60" w:type="dxa"/>
              <w:left w:w="90" w:type="dxa"/>
              <w:bottom w:w="60" w:type="dxa"/>
              <w:right w:w="90" w:type="dxa"/>
            </w:tcMar>
          </w:tcPr>
          <w:p w14:paraId="4D0C70CD" w14:textId="77777777" w:rsidR="00CE3EA1" w:rsidRDefault="00CE3EA1" w:rsidP="009253AF">
            <w:pPr>
              <w:spacing w:after="20" w:line="252" w:lineRule="auto"/>
            </w:pPr>
            <w:r>
              <w:rPr>
                <w:rFonts w:eastAsia="Calibri"/>
                <w:sz w:val="19"/>
                <w:szCs w:val="19"/>
              </w:rPr>
              <w:t>QAPINN / Hybrid</w:t>
            </w:r>
          </w:p>
        </w:tc>
        <w:tc>
          <w:tcPr>
            <w:tcW w:w="900" w:type="dxa"/>
            <w:shd w:val="clear" w:color="auto" w:fill="F2F5FA"/>
            <w:tcMar>
              <w:top w:w="60" w:type="dxa"/>
              <w:left w:w="90" w:type="dxa"/>
              <w:bottom w:w="60" w:type="dxa"/>
              <w:right w:w="90" w:type="dxa"/>
            </w:tcMar>
          </w:tcPr>
          <w:p w14:paraId="71504DA0" w14:textId="49567B34" w:rsidR="00CE3EA1" w:rsidRDefault="004B2109" w:rsidP="009253AF">
            <w:pPr>
              <w:spacing w:after="20" w:line="252" w:lineRule="auto"/>
            </w:pPr>
            <w:r>
              <w:rPr>
                <w:rFonts w:eastAsia="Calibri"/>
                <w:sz w:val="19"/>
                <w:szCs w:val="19"/>
              </w:rPr>
              <w:t>7</w:t>
            </w:r>
            <w:r w:rsidR="000B2AD1">
              <w:rPr>
                <w:rFonts w:eastAsia="Calibri"/>
                <w:sz w:val="19"/>
                <w:szCs w:val="19"/>
              </w:rPr>
              <w:t>00</w:t>
            </w:r>
          </w:p>
        </w:tc>
        <w:tc>
          <w:tcPr>
            <w:tcW w:w="1300" w:type="dxa"/>
            <w:shd w:val="clear" w:color="auto" w:fill="F2F5FA"/>
            <w:tcMar>
              <w:top w:w="60" w:type="dxa"/>
              <w:left w:w="90" w:type="dxa"/>
              <w:bottom w:w="60" w:type="dxa"/>
              <w:right w:w="90" w:type="dxa"/>
            </w:tcMar>
          </w:tcPr>
          <w:p w14:paraId="30BED535" w14:textId="77777777" w:rsidR="00CE3EA1" w:rsidRDefault="00CE3EA1" w:rsidP="009253AF">
            <w:pPr>
              <w:spacing w:after="20" w:line="252" w:lineRule="auto"/>
            </w:pPr>
            <w:r>
              <w:rPr>
                <w:rFonts w:eastAsia="Calibri"/>
                <w:sz w:val="19"/>
                <w:szCs w:val="19"/>
              </w:rPr>
              <w:t>hybrid</w:t>
            </w:r>
          </w:p>
        </w:tc>
        <w:tc>
          <w:tcPr>
            <w:tcW w:w="4900" w:type="dxa"/>
            <w:shd w:val="clear" w:color="auto" w:fill="F2F5FA"/>
            <w:tcMar>
              <w:top w:w="60" w:type="dxa"/>
              <w:left w:w="90" w:type="dxa"/>
              <w:bottom w:w="60" w:type="dxa"/>
              <w:right w:w="90" w:type="dxa"/>
            </w:tcMar>
          </w:tcPr>
          <w:p w14:paraId="24062341" w14:textId="77777777" w:rsidR="00CE3EA1" w:rsidRDefault="00CE3EA1" w:rsidP="009253AF">
            <w:pPr>
              <w:spacing w:after="20" w:line="252" w:lineRule="auto"/>
            </w:pPr>
            <w:r>
              <w:rPr>
                <w:rFonts w:eastAsia="Calibri"/>
                <w:sz w:val="19"/>
                <w:szCs w:val="19"/>
              </w:rPr>
              <w:t>VQC (3 qubits, 3 layers, angle encoding, ring CNOT) → classical tail; Hybrid adds the physics loss</w:t>
            </w:r>
          </w:p>
        </w:tc>
      </w:tr>
      <w:tr w:rsidR="00CE3EA1" w14:paraId="0128445E" w14:textId="77777777" w:rsidTr="009253AF">
        <w:trPr>
          <w:jc w:val="center"/>
        </w:trPr>
        <w:tc>
          <w:tcPr>
            <w:tcW w:w="1700" w:type="dxa"/>
            <w:shd w:val="clear" w:color="auto" w:fill="FFFFFF"/>
            <w:tcMar>
              <w:top w:w="60" w:type="dxa"/>
              <w:left w:w="90" w:type="dxa"/>
              <w:bottom w:w="60" w:type="dxa"/>
              <w:right w:w="90" w:type="dxa"/>
            </w:tcMar>
          </w:tcPr>
          <w:p w14:paraId="36AE149F" w14:textId="05074D9C" w:rsidR="00CE3EA1" w:rsidRDefault="00CE3EA1" w:rsidP="009253AF">
            <w:pPr>
              <w:spacing w:after="20" w:line="252" w:lineRule="auto"/>
            </w:pPr>
            <w:r>
              <w:rPr>
                <w:rFonts w:eastAsia="Calibri"/>
                <w:sz w:val="19"/>
                <w:szCs w:val="19"/>
              </w:rPr>
              <w:t xml:space="preserve">QPINN </w:t>
            </w:r>
          </w:p>
        </w:tc>
        <w:tc>
          <w:tcPr>
            <w:tcW w:w="900" w:type="dxa"/>
            <w:shd w:val="clear" w:color="auto" w:fill="FFFFFF"/>
            <w:tcMar>
              <w:top w:w="60" w:type="dxa"/>
              <w:left w:w="90" w:type="dxa"/>
              <w:bottom w:w="60" w:type="dxa"/>
              <w:right w:w="90" w:type="dxa"/>
            </w:tcMar>
          </w:tcPr>
          <w:p w14:paraId="4F59E024" w14:textId="24FBAD62" w:rsidR="00CE3EA1" w:rsidRDefault="000B2AD1" w:rsidP="009253AF">
            <w:pPr>
              <w:spacing w:after="20" w:line="252" w:lineRule="auto"/>
            </w:pPr>
            <w:r>
              <w:rPr>
                <w:rFonts w:eastAsia="Calibri"/>
                <w:sz w:val="19"/>
                <w:szCs w:val="19"/>
              </w:rPr>
              <w:t>100</w:t>
            </w:r>
          </w:p>
        </w:tc>
        <w:tc>
          <w:tcPr>
            <w:tcW w:w="1300" w:type="dxa"/>
            <w:shd w:val="clear" w:color="auto" w:fill="FFFFFF"/>
            <w:tcMar>
              <w:top w:w="60" w:type="dxa"/>
              <w:left w:w="90" w:type="dxa"/>
              <w:bottom w:w="60" w:type="dxa"/>
              <w:right w:w="90" w:type="dxa"/>
            </w:tcMar>
          </w:tcPr>
          <w:p w14:paraId="45F8B0C0" w14:textId="77777777" w:rsidR="00CE3EA1" w:rsidRDefault="00CE3EA1" w:rsidP="009253AF">
            <w:pPr>
              <w:spacing w:after="20" w:line="252" w:lineRule="auto"/>
            </w:pPr>
            <w:r>
              <w:rPr>
                <w:rFonts w:eastAsia="Calibri"/>
                <w:sz w:val="19"/>
                <w:szCs w:val="19"/>
              </w:rPr>
              <w:t>full quantum</w:t>
            </w:r>
          </w:p>
        </w:tc>
        <w:tc>
          <w:tcPr>
            <w:tcW w:w="4900" w:type="dxa"/>
            <w:shd w:val="clear" w:color="auto" w:fill="FFFFFF"/>
            <w:tcMar>
              <w:top w:w="60" w:type="dxa"/>
              <w:left w:w="90" w:type="dxa"/>
              <w:bottom w:w="60" w:type="dxa"/>
              <w:right w:w="90" w:type="dxa"/>
            </w:tcMar>
          </w:tcPr>
          <w:p w14:paraId="70A19043" w14:textId="6266A880" w:rsidR="00CE3EA1" w:rsidRDefault="00CE3EA1" w:rsidP="009253AF">
            <w:pPr>
              <w:spacing w:after="20" w:line="252" w:lineRule="auto"/>
            </w:pPr>
            <w:r>
              <w:t>6 qubits (3 data + 3 ancilla for LCU loss), 3–4 layers</w:t>
            </w:r>
            <w:r>
              <w:t xml:space="preserve">, re-upload encoding, ring CNOT, </w:t>
            </w:r>
            <w:r>
              <w:rPr>
                <w:rFonts w:ascii="Cambria Math" w:eastAsia="Calibri" w:hAnsi="Cambria Math" w:cs="Cambria Math"/>
                <w:sz w:val="19"/>
                <w:szCs w:val="19"/>
              </w:rPr>
              <w:t>⟨</w:t>
            </w:r>
            <w:r>
              <w:rPr>
                <w:rFonts w:eastAsia="Calibri"/>
                <w:sz w:val="19"/>
                <w:szCs w:val="19"/>
              </w:rPr>
              <w:t>Z₀</w:t>
            </w:r>
            <w:r>
              <w:rPr>
                <w:rFonts w:ascii="Cambria Math" w:eastAsia="Calibri" w:hAnsi="Cambria Math" w:cs="Cambria Math"/>
                <w:sz w:val="19"/>
                <w:szCs w:val="19"/>
              </w:rPr>
              <w:t>⟩</w:t>
            </w:r>
            <w:r>
              <w:rPr>
                <w:rFonts w:eastAsia="Calibri"/>
                <w:sz w:val="19"/>
                <w:szCs w:val="19"/>
              </w:rPr>
              <w:t xml:space="preserve"> output; no classical layers</w:t>
            </w:r>
          </w:p>
        </w:tc>
      </w:tr>
    </w:tbl>
    <w:p w14:paraId="00D37E87" w14:textId="77777777" w:rsidR="00CE3EA1" w:rsidRDefault="00CE3EA1" w:rsidP="00CE3EA1">
      <w:pPr>
        <w:spacing w:after="60"/>
      </w:pPr>
    </w:p>
    <w:p w14:paraId="4CA9B33F" w14:textId="42B4C0B5" w:rsidR="00CE3EA1" w:rsidRDefault="00CE3EA1" w:rsidP="00CE3EA1">
      <w:pPr>
        <w:spacing w:after="60" w:line="276" w:lineRule="auto"/>
      </w:pPr>
      <w:r>
        <w:t xml:space="preserve">The fully quantum QPINN uses different </w:t>
      </w:r>
      <w:proofErr w:type="gramStart"/>
      <w:r>
        <w:t>encoding</w:t>
      </w:r>
      <w:proofErr w:type="gramEnd"/>
      <w:r>
        <w:t>, and prediction would include both prediction and loss with LCU decomposition.</w:t>
      </w:r>
    </w:p>
    <w:p w14:paraId="49B7BD3C" w14:textId="699CD6A1" w:rsidR="00CE3EA1" w:rsidRPr="00CE3EA1" w:rsidRDefault="00CE3EA1" w:rsidP="00CE3EA1">
      <w:pPr>
        <w:spacing w:after="120" w:line="276" w:lineRule="auto"/>
      </w:pPr>
      <w:r>
        <w:rPr>
          <w:rFonts w:eastAsia="Calibri"/>
          <w:b/>
          <w:bCs/>
        </w:rPr>
        <w:t xml:space="preserve">Quantum-layer position (QAPINN). </w:t>
      </w:r>
      <w:r>
        <w:rPr>
          <w:rFonts w:eastAsia="Calibri"/>
        </w:rPr>
        <w:t xml:space="preserve">The VQC can replace the i-th hidden layer. </w:t>
      </w:r>
      <w:r>
        <w:t>Results will show where to place it as a bottleneck between a classical encoder and decoder is better.</w:t>
      </w:r>
    </w:p>
    <w:p w14:paraId="40F006E0" w14:textId="4F46F9FE" w:rsidR="00D67394" w:rsidRDefault="00000000">
      <w:pPr>
        <w:pStyle w:val="Heading2"/>
        <w:spacing w:before="220" w:after="120"/>
      </w:pPr>
      <w:r>
        <w:rPr>
          <w:rFonts w:eastAsia="Calibri"/>
          <w:b/>
          <w:bCs/>
          <w:color w:val="2E5496"/>
          <w:sz w:val="25"/>
          <w:szCs w:val="25"/>
        </w:rPr>
        <w:t>3.3 Physics Loss — a Complete Set of Physical Constraints</w:t>
      </w:r>
    </w:p>
    <w:p w14:paraId="53448535" w14:textId="7058F30C" w:rsidR="00D67394" w:rsidRDefault="00000000" w:rsidP="00107E52">
      <w:pPr>
        <w:spacing w:after="120" w:line="276" w:lineRule="auto"/>
        <w:jc w:val="both"/>
      </w:pPr>
      <w:r>
        <w:rPr>
          <w:rFonts w:eastAsia="Calibri"/>
        </w:rPr>
        <w:t>The physics loss is not merely the interior PDE residual. It is redesigned as the complete set of physical constraints of the coupled simulation. Each term enforces a real balance law or physical admissibility condition, and all derivatives are dimensionally consistent.</w:t>
      </w:r>
    </w:p>
    <w:p w14:paraId="06B72730" w14:textId="77777777" w:rsidR="00D67394" w:rsidRDefault="00000000">
      <w:pPr>
        <w:spacing w:after="140" w:line="276" w:lineRule="auto"/>
        <w:jc w:val="center"/>
      </w:pPr>
      <w:r>
        <w:rPr>
          <w:rFonts w:eastAsia="Calibri"/>
          <w:b/>
          <w:bCs/>
          <w:color w:val="1F3864"/>
          <w:sz w:val="22"/>
          <w:szCs w:val="22"/>
        </w:rPr>
        <w:t>L_physics = w_pde·L_pde + w_ic·L_ic + w_bc·L_bc + w_bound·L_bound + w_cons·L_cons</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3900"/>
      </w:tblGrid>
      <w:tr w:rsidR="00D67394" w14:paraId="6C1C68E7" w14:textId="77777777" w:rsidTr="000A3F9D">
        <w:trPr>
          <w:tblHeader/>
          <w:jc w:val="center"/>
        </w:trPr>
        <w:tc>
          <w:tcPr>
            <w:tcW w:w="1500" w:type="dxa"/>
            <w:shd w:val="clear" w:color="auto" w:fill="1F3864"/>
            <w:tcMar>
              <w:top w:w="60" w:type="dxa"/>
              <w:left w:w="90" w:type="dxa"/>
              <w:bottom w:w="60" w:type="dxa"/>
              <w:right w:w="90" w:type="dxa"/>
            </w:tcMar>
          </w:tcPr>
          <w:p w14:paraId="3B670340" w14:textId="77777777" w:rsidR="00D67394" w:rsidRDefault="00000000">
            <w:pPr>
              <w:spacing w:after="20" w:line="252" w:lineRule="auto"/>
            </w:pPr>
            <w:r>
              <w:rPr>
                <w:rFonts w:eastAsia="Calibri"/>
                <w:b/>
                <w:bCs/>
                <w:color w:val="FFFFFF"/>
                <w:sz w:val="19"/>
                <w:szCs w:val="19"/>
              </w:rPr>
              <w:lastRenderedPageBreak/>
              <w:t>Constraint</w:t>
            </w:r>
          </w:p>
        </w:tc>
        <w:tc>
          <w:tcPr>
            <w:tcW w:w="3400" w:type="dxa"/>
            <w:shd w:val="clear" w:color="auto" w:fill="1F3864"/>
            <w:tcMar>
              <w:top w:w="60" w:type="dxa"/>
              <w:left w:w="90" w:type="dxa"/>
              <w:bottom w:w="60" w:type="dxa"/>
              <w:right w:w="90" w:type="dxa"/>
            </w:tcMar>
          </w:tcPr>
          <w:p w14:paraId="79F48B88" w14:textId="77777777" w:rsidR="00D67394" w:rsidRDefault="00000000">
            <w:pPr>
              <w:spacing w:after="20" w:line="252" w:lineRule="auto"/>
            </w:pPr>
            <w:r>
              <w:rPr>
                <w:rFonts w:eastAsia="Calibri"/>
                <w:b/>
                <w:bCs/>
                <w:color w:val="FFFFFF"/>
                <w:sz w:val="19"/>
                <w:szCs w:val="19"/>
              </w:rPr>
              <w:t>Physical meaning</w:t>
            </w:r>
          </w:p>
        </w:tc>
        <w:tc>
          <w:tcPr>
            <w:tcW w:w="3900" w:type="dxa"/>
            <w:shd w:val="clear" w:color="auto" w:fill="1F3864"/>
            <w:tcMar>
              <w:top w:w="60" w:type="dxa"/>
              <w:left w:w="90" w:type="dxa"/>
              <w:bottom w:w="60" w:type="dxa"/>
              <w:right w:w="90" w:type="dxa"/>
            </w:tcMar>
          </w:tcPr>
          <w:p w14:paraId="3599E614" w14:textId="77777777" w:rsidR="00D67394" w:rsidRDefault="00000000">
            <w:pPr>
              <w:spacing w:after="20" w:line="252" w:lineRule="auto"/>
            </w:pPr>
            <w:r>
              <w:rPr>
                <w:rFonts w:eastAsia="Calibri"/>
                <w:b/>
                <w:bCs/>
                <w:color w:val="FFFFFF"/>
                <w:sz w:val="19"/>
                <w:szCs w:val="19"/>
              </w:rPr>
              <w:t>What it enforces</w:t>
            </w:r>
          </w:p>
        </w:tc>
      </w:tr>
      <w:tr w:rsidR="00D67394" w14:paraId="45815D87" w14:textId="77777777" w:rsidTr="000A3F9D">
        <w:trPr>
          <w:jc w:val="center"/>
        </w:trPr>
        <w:tc>
          <w:tcPr>
            <w:tcW w:w="1500" w:type="dxa"/>
            <w:shd w:val="clear" w:color="auto" w:fill="FFFFFF"/>
            <w:tcMar>
              <w:top w:w="60" w:type="dxa"/>
              <w:left w:w="90" w:type="dxa"/>
              <w:bottom w:w="60" w:type="dxa"/>
              <w:right w:w="90" w:type="dxa"/>
            </w:tcMar>
          </w:tcPr>
          <w:p w14:paraId="18F14561" w14:textId="77777777" w:rsidR="00D67394" w:rsidRDefault="00000000">
            <w:pPr>
              <w:spacing w:after="20" w:line="252" w:lineRule="auto"/>
            </w:pPr>
            <w:r>
              <w:rPr>
                <w:rFonts w:eastAsia="Calibri"/>
                <w:b/>
                <w:bCs/>
                <w:sz w:val="19"/>
                <w:szCs w:val="19"/>
              </w:rPr>
              <w:t>L_pde</w:t>
            </w:r>
          </w:p>
        </w:tc>
        <w:tc>
          <w:tcPr>
            <w:tcW w:w="3400" w:type="dxa"/>
            <w:shd w:val="clear" w:color="auto" w:fill="FFFFFF"/>
            <w:tcMar>
              <w:top w:w="60" w:type="dxa"/>
              <w:left w:w="90" w:type="dxa"/>
              <w:bottom w:w="60" w:type="dxa"/>
              <w:right w:w="90" w:type="dxa"/>
            </w:tcMar>
          </w:tcPr>
          <w:p w14:paraId="7AFF5D98" w14:textId="77777777" w:rsidR="00D67394" w:rsidRDefault="00000000">
            <w:pPr>
              <w:spacing w:after="20" w:line="252" w:lineRule="auto"/>
            </w:pPr>
            <w:r>
              <w:rPr>
                <w:rFonts w:eastAsia="Calibri"/>
                <w:sz w:val="19"/>
                <w:szCs w:val="19"/>
              </w:rPr>
              <w:t>Conservation law (interior)</w:t>
            </w:r>
          </w:p>
        </w:tc>
        <w:tc>
          <w:tcPr>
            <w:tcW w:w="3900" w:type="dxa"/>
            <w:shd w:val="clear" w:color="auto" w:fill="FFFFFF"/>
            <w:tcMar>
              <w:top w:w="60" w:type="dxa"/>
              <w:left w:w="90" w:type="dxa"/>
              <w:bottom w:w="60" w:type="dxa"/>
              <w:right w:w="90" w:type="dxa"/>
            </w:tcMar>
          </w:tcPr>
          <w:p w14:paraId="31B69BBD" w14:textId="77777777" w:rsidR="00D67394" w:rsidRDefault="00000000">
            <w:pPr>
              <w:spacing w:after="20" w:line="252" w:lineRule="auto"/>
            </w:pPr>
            <w:r>
              <w:rPr>
                <w:rFonts w:eastAsia="Calibri"/>
                <w:sz w:val="19"/>
                <w:szCs w:val="19"/>
              </w:rPr>
              <w:t>Mass continuity, momentum, and energy residuals for the Navier–Stokes shock tube at random interior collocation points</w:t>
            </w:r>
          </w:p>
        </w:tc>
      </w:tr>
      <w:tr w:rsidR="00D67394" w14:paraId="4C6A1E99" w14:textId="77777777" w:rsidTr="000A3F9D">
        <w:trPr>
          <w:jc w:val="center"/>
        </w:trPr>
        <w:tc>
          <w:tcPr>
            <w:tcW w:w="1500" w:type="dxa"/>
            <w:shd w:val="clear" w:color="auto" w:fill="F2F5FA"/>
            <w:tcMar>
              <w:top w:w="60" w:type="dxa"/>
              <w:left w:w="90" w:type="dxa"/>
              <w:bottom w:w="60" w:type="dxa"/>
              <w:right w:w="90" w:type="dxa"/>
            </w:tcMar>
          </w:tcPr>
          <w:p w14:paraId="0EEDE2E8" w14:textId="77777777" w:rsidR="00D67394" w:rsidRDefault="00000000">
            <w:pPr>
              <w:spacing w:after="20" w:line="252" w:lineRule="auto"/>
            </w:pPr>
            <w:r>
              <w:rPr>
                <w:rFonts w:eastAsia="Calibri"/>
                <w:b/>
                <w:bCs/>
                <w:sz w:val="19"/>
                <w:szCs w:val="19"/>
              </w:rPr>
              <w:t>L_ic</w:t>
            </w:r>
          </w:p>
        </w:tc>
        <w:tc>
          <w:tcPr>
            <w:tcW w:w="3400" w:type="dxa"/>
            <w:shd w:val="clear" w:color="auto" w:fill="F2F5FA"/>
            <w:tcMar>
              <w:top w:w="60" w:type="dxa"/>
              <w:left w:w="90" w:type="dxa"/>
              <w:bottom w:w="60" w:type="dxa"/>
              <w:right w:w="90" w:type="dxa"/>
            </w:tcMar>
          </w:tcPr>
          <w:p w14:paraId="5726901C" w14:textId="77777777" w:rsidR="00D67394" w:rsidRDefault="00000000">
            <w:pPr>
              <w:spacing w:after="20" w:line="252" w:lineRule="auto"/>
            </w:pPr>
            <w:r>
              <w:rPr>
                <w:rFonts w:eastAsia="Calibri"/>
                <w:sz w:val="19"/>
                <w:szCs w:val="19"/>
              </w:rPr>
              <w:t>Initial condition</w:t>
            </w:r>
          </w:p>
        </w:tc>
        <w:tc>
          <w:tcPr>
            <w:tcW w:w="3900" w:type="dxa"/>
            <w:shd w:val="clear" w:color="auto" w:fill="F2F5FA"/>
            <w:tcMar>
              <w:top w:w="60" w:type="dxa"/>
              <w:left w:w="90" w:type="dxa"/>
              <w:bottom w:w="60" w:type="dxa"/>
              <w:right w:w="90" w:type="dxa"/>
            </w:tcMar>
          </w:tcPr>
          <w:p w14:paraId="7D7353FD" w14:textId="77777777" w:rsidR="00D67394" w:rsidRDefault="00000000">
            <w:pPr>
              <w:spacing w:after="20" w:line="252" w:lineRule="auto"/>
            </w:pPr>
            <w:r>
              <w:rPr>
                <w:rFonts w:eastAsia="Calibri"/>
                <w:sz w:val="19"/>
                <w:szCs w:val="19"/>
              </w:rPr>
              <w:t>The physical starting state of the gas column (quiescent cooler gas)</w:t>
            </w:r>
          </w:p>
        </w:tc>
      </w:tr>
      <w:tr w:rsidR="00D67394" w14:paraId="4652B0FF" w14:textId="77777777" w:rsidTr="000A3F9D">
        <w:trPr>
          <w:jc w:val="center"/>
        </w:trPr>
        <w:tc>
          <w:tcPr>
            <w:tcW w:w="1500" w:type="dxa"/>
            <w:shd w:val="clear" w:color="auto" w:fill="FFFFFF"/>
            <w:tcMar>
              <w:top w:w="60" w:type="dxa"/>
              <w:left w:w="90" w:type="dxa"/>
              <w:bottom w:w="60" w:type="dxa"/>
              <w:right w:w="90" w:type="dxa"/>
            </w:tcMar>
          </w:tcPr>
          <w:p w14:paraId="1E24C001" w14:textId="77777777" w:rsidR="00D67394" w:rsidRDefault="00000000">
            <w:pPr>
              <w:spacing w:after="20" w:line="252" w:lineRule="auto"/>
            </w:pPr>
            <w:r>
              <w:rPr>
                <w:rFonts w:eastAsia="Calibri"/>
                <w:b/>
                <w:bCs/>
                <w:sz w:val="19"/>
                <w:szCs w:val="19"/>
              </w:rPr>
              <w:t>L_bc</w:t>
            </w:r>
          </w:p>
        </w:tc>
        <w:tc>
          <w:tcPr>
            <w:tcW w:w="3400" w:type="dxa"/>
            <w:shd w:val="clear" w:color="auto" w:fill="FFFFFF"/>
            <w:tcMar>
              <w:top w:w="60" w:type="dxa"/>
              <w:left w:w="90" w:type="dxa"/>
              <w:bottom w:w="60" w:type="dxa"/>
              <w:right w:w="90" w:type="dxa"/>
            </w:tcMar>
          </w:tcPr>
          <w:p w14:paraId="02E6B9D6" w14:textId="77777777" w:rsidR="00D67394" w:rsidRDefault="00000000">
            <w:pPr>
              <w:spacing w:after="20" w:line="252" w:lineRule="auto"/>
            </w:pPr>
            <w:r>
              <w:rPr>
                <w:rFonts w:eastAsia="Calibri"/>
                <w:sz w:val="19"/>
                <w:szCs w:val="19"/>
              </w:rPr>
              <w:t>Boundary conditions</w:t>
            </w:r>
          </w:p>
        </w:tc>
        <w:tc>
          <w:tcPr>
            <w:tcW w:w="3900" w:type="dxa"/>
            <w:shd w:val="clear" w:color="auto" w:fill="FFFFFF"/>
            <w:tcMar>
              <w:top w:w="60" w:type="dxa"/>
              <w:left w:w="90" w:type="dxa"/>
              <w:bottom w:w="60" w:type="dxa"/>
              <w:right w:w="90" w:type="dxa"/>
            </w:tcMar>
          </w:tcPr>
          <w:p w14:paraId="6874078E" w14:textId="77777777" w:rsidR="00D67394" w:rsidRDefault="00000000">
            <w:pPr>
              <w:spacing w:after="20" w:line="252" w:lineRule="auto"/>
            </w:pPr>
            <w:r>
              <w:rPr>
                <w:rFonts w:eastAsia="Calibri"/>
                <w:sz w:val="19"/>
                <w:szCs w:val="19"/>
              </w:rPr>
              <w:t>Fixed hot-fast inflow at x=0; soft zero-gradient outflow at x=1</w:t>
            </w:r>
          </w:p>
        </w:tc>
      </w:tr>
      <w:tr w:rsidR="00D67394" w14:paraId="522D4E50" w14:textId="77777777" w:rsidTr="000A3F9D">
        <w:trPr>
          <w:jc w:val="center"/>
        </w:trPr>
        <w:tc>
          <w:tcPr>
            <w:tcW w:w="1500" w:type="dxa"/>
            <w:shd w:val="clear" w:color="auto" w:fill="F2F5FA"/>
            <w:tcMar>
              <w:top w:w="60" w:type="dxa"/>
              <w:left w:w="90" w:type="dxa"/>
              <w:bottom w:w="60" w:type="dxa"/>
              <w:right w:w="90" w:type="dxa"/>
            </w:tcMar>
          </w:tcPr>
          <w:p w14:paraId="6D5D1262" w14:textId="77777777" w:rsidR="00D67394" w:rsidRDefault="00000000">
            <w:pPr>
              <w:spacing w:after="20" w:line="252" w:lineRule="auto"/>
            </w:pPr>
            <w:r>
              <w:rPr>
                <w:rFonts w:eastAsia="Calibri"/>
                <w:b/>
                <w:bCs/>
                <w:sz w:val="19"/>
                <w:szCs w:val="19"/>
              </w:rPr>
              <w:t>L_bound</w:t>
            </w:r>
          </w:p>
        </w:tc>
        <w:tc>
          <w:tcPr>
            <w:tcW w:w="3400" w:type="dxa"/>
            <w:shd w:val="clear" w:color="auto" w:fill="F2F5FA"/>
            <w:tcMar>
              <w:top w:w="60" w:type="dxa"/>
              <w:left w:w="90" w:type="dxa"/>
              <w:bottom w:w="60" w:type="dxa"/>
              <w:right w:w="90" w:type="dxa"/>
            </w:tcMar>
          </w:tcPr>
          <w:p w14:paraId="26971B16" w14:textId="77777777" w:rsidR="00D67394" w:rsidRDefault="00000000">
            <w:pPr>
              <w:spacing w:after="20" w:line="252" w:lineRule="auto"/>
            </w:pPr>
            <w:r>
              <w:rPr>
                <w:rFonts w:eastAsia="Calibri"/>
                <w:sz w:val="19"/>
                <w:szCs w:val="19"/>
              </w:rPr>
              <w:t>Physical admissibility</w:t>
            </w:r>
          </w:p>
        </w:tc>
        <w:tc>
          <w:tcPr>
            <w:tcW w:w="3900" w:type="dxa"/>
            <w:shd w:val="clear" w:color="auto" w:fill="F2F5FA"/>
            <w:tcMar>
              <w:top w:w="60" w:type="dxa"/>
              <w:left w:w="90" w:type="dxa"/>
              <w:bottom w:w="60" w:type="dxa"/>
              <w:right w:w="90" w:type="dxa"/>
            </w:tcMar>
          </w:tcPr>
          <w:p w14:paraId="0DF6DA9C" w14:textId="77777777" w:rsidR="00D67394" w:rsidRDefault="00000000">
            <w:pPr>
              <w:spacing w:after="20" w:line="252" w:lineRule="auto"/>
            </w:pPr>
            <w:r>
              <w:rPr>
                <w:rFonts w:eastAsia="Calibri"/>
                <w:sz w:val="19"/>
                <w:szCs w:val="19"/>
              </w:rPr>
              <w:t>Positivity of density and temperature (ρ &gt; 0, T &gt; 0) via ReLU penalties</w:t>
            </w:r>
          </w:p>
        </w:tc>
      </w:tr>
      <w:tr w:rsidR="00D67394" w14:paraId="28BF90F2" w14:textId="77777777" w:rsidTr="000A3F9D">
        <w:trPr>
          <w:jc w:val="center"/>
        </w:trPr>
        <w:tc>
          <w:tcPr>
            <w:tcW w:w="1500" w:type="dxa"/>
            <w:shd w:val="clear" w:color="auto" w:fill="FFFFFF"/>
            <w:tcMar>
              <w:top w:w="60" w:type="dxa"/>
              <w:left w:w="90" w:type="dxa"/>
              <w:bottom w:w="60" w:type="dxa"/>
              <w:right w:w="90" w:type="dxa"/>
            </w:tcMar>
          </w:tcPr>
          <w:p w14:paraId="2F224362" w14:textId="77777777" w:rsidR="00D67394" w:rsidRDefault="00000000">
            <w:pPr>
              <w:spacing w:after="20" w:line="252" w:lineRule="auto"/>
            </w:pPr>
            <w:r>
              <w:rPr>
                <w:rFonts w:eastAsia="Calibri"/>
                <w:b/>
                <w:bCs/>
                <w:sz w:val="19"/>
                <w:szCs w:val="19"/>
              </w:rPr>
              <w:t>L_cons</w:t>
            </w:r>
          </w:p>
        </w:tc>
        <w:tc>
          <w:tcPr>
            <w:tcW w:w="3400" w:type="dxa"/>
            <w:shd w:val="clear" w:color="auto" w:fill="FFFFFF"/>
            <w:tcMar>
              <w:top w:w="60" w:type="dxa"/>
              <w:left w:w="90" w:type="dxa"/>
              <w:bottom w:w="60" w:type="dxa"/>
              <w:right w:w="90" w:type="dxa"/>
            </w:tcMar>
          </w:tcPr>
          <w:p w14:paraId="507FC4CB" w14:textId="77777777" w:rsidR="00D67394" w:rsidRDefault="00000000">
            <w:pPr>
              <w:spacing w:after="20" w:line="252" w:lineRule="auto"/>
            </w:pPr>
            <w:r>
              <w:rPr>
                <w:rFonts w:eastAsia="Calibri"/>
                <w:sz w:val="19"/>
                <w:szCs w:val="19"/>
              </w:rPr>
              <w:t>Global conservation (integral form)</w:t>
            </w:r>
          </w:p>
        </w:tc>
        <w:tc>
          <w:tcPr>
            <w:tcW w:w="3900" w:type="dxa"/>
            <w:shd w:val="clear" w:color="auto" w:fill="FFFFFF"/>
            <w:tcMar>
              <w:top w:w="60" w:type="dxa"/>
              <w:left w:w="90" w:type="dxa"/>
              <w:bottom w:w="60" w:type="dxa"/>
              <w:right w:w="90" w:type="dxa"/>
            </w:tcMar>
          </w:tcPr>
          <w:p w14:paraId="50AD7071" w14:textId="77777777" w:rsidR="00D67394" w:rsidRDefault="00000000">
            <w:pPr>
              <w:spacing w:after="20" w:line="252" w:lineRule="auto"/>
            </w:pPr>
            <w:r>
              <w:rPr>
                <w:rFonts w:eastAsia="Calibri"/>
                <w:sz w:val="19"/>
                <w:szCs w:val="19"/>
              </w:rPr>
              <w:t>d/dt ∫ρ dx = net mass flux (ρu at inflow − outflow) — the continuity balance imposed on the network via quadrature</w:t>
            </w:r>
          </w:p>
        </w:tc>
      </w:tr>
    </w:tbl>
    <w:p w14:paraId="58284AFC" w14:textId="77777777" w:rsidR="00D67394" w:rsidRDefault="00D67394">
      <w:pPr>
        <w:spacing w:after="80"/>
      </w:pPr>
    </w:p>
    <w:p w14:paraId="1CD192CB" w14:textId="3110D73F" w:rsidR="00D67394" w:rsidRDefault="00107E52">
      <w:pPr>
        <w:spacing w:after="120" w:line="276" w:lineRule="auto"/>
      </w:pPr>
      <w:r>
        <w:rPr>
          <w:rFonts w:eastAsia="Calibri"/>
        </w:rPr>
        <w:t>The physics loss trains the fully quantum QPINN on all constraints, not just the data. The continuity balance is verified directly in the simulator, where the mass stored equals net inflow minus outflow to within 1%.</w:t>
      </w:r>
    </w:p>
    <w:p w14:paraId="11A33278" w14:textId="64341746" w:rsidR="00D67394" w:rsidRDefault="00000000">
      <w:pPr>
        <w:pStyle w:val="Heading1"/>
        <w:spacing w:before="320" w:after="160"/>
      </w:pPr>
      <w:r>
        <w:rPr>
          <w:rFonts w:eastAsia="Calibri"/>
          <w:b/>
          <w:bCs/>
          <w:color w:val="1F3864"/>
          <w:sz w:val="30"/>
          <w:szCs w:val="30"/>
        </w:rPr>
        <w:t>4. Design of Experiments</w:t>
      </w:r>
    </w:p>
    <w:p w14:paraId="3CD3E522" w14:textId="77777777" w:rsidR="00D67394" w:rsidRDefault="00000000" w:rsidP="00611747">
      <w:pPr>
        <w:spacing w:after="40" w:line="276" w:lineRule="auto"/>
        <w:jc w:val="both"/>
      </w:pPr>
      <w:r>
        <w:rPr>
          <w:rFonts w:eastAsia="Calibri"/>
          <w:b/>
          <w:bCs/>
          <w:color w:val="2E5496"/>
        </w:rPr>
        <w:t>Step 1 — Gas-flow ground-truth generation</w:t>
      </w:r>
    </w:p>
    <w:p w14:paraId="280A2464" w14:textId="501147F8" w:rsidR="00D67394" w:rsidRPr="00AA113A" w:rsidRDefault="00000000" w:rsidP="00611747">
      <w:pPr>
        <w:spacing w:after="120" w:line="276" w:lineRule="auto"/>
        <w:jc w:val="both"/>
        <w:rPr>
          <w:rFonts w:eastAsia="Calibri"/>
        </w:rPr>
      </w:pPr>
      <w:r>
        <w:rPr>
          <w:rFonts w:eastAsia="Calibri"/>
        </w:rPr>
        <w:t xml:space="preserve">Run the 1-D Navier–Stokes shock tube solver (mass + momentum + energy) </w:t>
      </w:r>
      <w:r>
        <w:t>across 500 initial scenarios</w:t>
      </w:r>
      <w:r>
        <w:t xml:space="preserve">, verifying the mass-continuity balance each run. </w:t>
      </w:r>
      <w:r>
        <w:t xml:space="preserve">Export all four fields </w:t>
      </w:r>
      <w:proofErr w:type="gramStart"/>
      <w:r w:rsidR="00101082">
        <w:t>(</w:t>
      </w:r>
      <w:r>
        <w:t xml:space="preserve"> ρ</w:t>
      </w:r>
      <w:proofErr w:type="gramEnd"/>
      <w:r>
        <w:t>(</w:t>
      </w:r>
      <w:proofErr w:type="gramStart"/>
      <w:r>
        <w:t>x,t</w:t>
      </w:r>
      <w:proofErr w:type="gramEnd"/>
      <w:r>
        <w:t>), u(</w:t>
      </w:r>
      <w:proofErr w:type="spellStart"/>
      <w:proofErr w:type="gramStart"/>
      <w:r>
        <w:t>x,t</w:t>
      </w:r>
      <w:proofErr w:type="spellEnd"/>
      <w:proofErr w:type="gramEnd"/>
      <w:r>
        <w:t>), p(</w:t>
      </w:r>
      <w:proofErr w:type="spellStart"/>
      <w:proofErr w:type="gramStart"/>
      <w:r>
        <w:t>x,t</w:t>
      </w:r>
      <w:proofErr w:type="spellEnd"/>
      <w:proofErr w:type="gramEnd"/>
      <w:r>
        <w:t>), T(</w:t>
      </w:r>
      <w:proofErr w:type="spellStart"/>
      <w:proofErr w:type="gramStart"/>
      <w:r>
        <w:t>x,t</w:t>
      </w:r>
      <w:proofErr w:type="spellEnd"/>
      <w:proofErr w:type="gramEnd"/>
      <w:r>
        <w:t>)</w:t>
      </w:r>
      <w:r w:rsidR="00101082">
        <w:t>)</w:t>
      </w:r>
      <w:r>
        <w:t xml:space="preserve"> together with the scenario parameters [p_ratio, μ, ρ_L, ρ_R, p_R] and diagnostics (shock position, contact-discontinuity position, post-shock density ratio)</w:t>
      </w:r>
    </w:p>
    <w:p w14:paraId="2822DE68" w14:textId="77777777" w:rsidR="00D67394" w:rsidRDefault="00000000" w:rsidP="00611747">
      <w:pPr>
        <w:spacing w:after="40" w:line="276" w:lineRule="auto"/>
        <w:jc w:val="both"/>
      </w:pPr>
      <w:r>
        <w:rPr>
          <w:rFonts w:eastAsia="Calibri"/>
          <w:b/>
          <w:bCs/>
          <w:color w:val="2E5496"/>
        </w:rPr>
        <w:t>Step 2 — Classical baselines (MLP, PINN)</w:t>
      </w:r>
    </w:p>
    <w:p w14:paraId="5CBAF998" w14:textId="145834FE" w:rsidR="00D67394" w:rsidRDefault="00000000" w:rsidP="00611747">
      <w:pPr>
        <w:spacing w:after="120" w:line="276" w:lineRule="auto"/>
        <w:jc w:val="both"/>
      </w:pPr>
      <w:r>
        <w:rPr>
          <w:rFonts w:eastAsia="Calibri"/>
        </w:rPr>
        <w:t>Train both classical models for 200 epochs. MLP uses data loss only; PINN adds the five-constraint physics loss. Tests whether enforcing the physics improves generalization to unseen parameters.</w:t>
      </w:r>
    </w:p>
    <w:p w14:paraId="0C0636CE" w14:textId="77777777" w:rsidR="00D67394" w:rsidRDefault="00000000" w:rsidP="00611747">
      <w:pPr>
        <w:spacing w:after="40" w:line="276" w:lineRule="auto"/>
        <w:jc w:val="both"/>
      </w:pPr>
      <w:r>
        <w:rPr>
          <w:rFonts w:eastAsia="Calibri"/>
          <w:b/>
          <w:bCs/>
          <w:color w:val="2E5496"/>
        </w:rPr>
        <w:t>Step 3 — Hybrid models (QAPINN, Hybrid)</w:t>
      </w:r>
    </w:p>
    <w:p w14:paraId="6571369B" w14:textId="010B0EB5" w:rsidR="00D67394" w:rsidRDefault="00AF0453" w:rsidP="00611747">
      <w:pPr>
        <w:spacing w:after="120" w:line="276" w:lineRule="auto"/>
        <w:jc w:val="both"/>
      </w:pPr>
      <w:r>
        <w:t xml:space="preserve">Replace one hidden layer of the classical PINN with a variational quantum circuit (VQC) and retrain with the five-constraint physics loss, using </w:t>
      </w:r>
      <w:proofErr w:type="spellStart"/>
      <w:r w:rsidR="009F043D">
        <w:t>qiskit</w:t>
      </w:r>
      <w:proofErr w:type="spellEnd"/>
      <w:r>
        <w:t>.</w:t>
      </w:r>
    </w:p>
    <w:p w14:paraId="4348B3DF" w14:textId="77777777" w:rsidR="00D67394" w:rsidRDefault="00000000" w:rsidP="00611747">
      <w:pPr>
        <w:spacing w:after="40" w:line="276" w:lineRule="auto"/>
        <w:jc w:val="both"/>
      </w:pPr>
      <w:r>
        <w:rPr>
          <w:rFonts w:eastAsia="Calibri"/>
          <w:b/>
          <w:bCs/>
          <w:color w:val="2E5496"/>
        </w:rPr>
        <w:t>Step 4 — VQC layer-depth study</w:t>
      </w:r>
    </w:p>
    <w:p w14:paraId="57294A80" w14:textId="0D2F3CEA" w:rsidR="00D67394" w:rsidRDefault="00000000" w:rsidP="00611747">
      <w:pPr>
        <w:spacing w:after="120" w:line="276" w:lineRule="auto"/>
        <w:jc w:val="both"/>
      </w:pPr>
      <w:r>
        <w:rPr>
          <w:rFonts w:eastAsia="Calibri"/>
        </w:rPr>
        <w:t>QAPINN with L = 1–4 variational layers; also the full QPINN with L = 1–4. Compares how depth affects learning dynamics for hybrid vs pure-quantum models and classical models.</w:t>
      </w:r>
    </w:p>
    <w:p w14:paraId="661BFE31" w14:textId="77777777" w:rsidR="00D67394" w:rsidRDefault="00000000" w:rsidP="00611747">
      <w:pPr>
        <w:spacing w:after="40" w:line="276" w:lineRule="auto"/>
        <w:jc w:val="both"/>
      </w:pPr>
      <w:r>
        <w:rPr>
          <w:rFonts w:eastAsia="Calibri"/>
          <w:b/>
          <w:bCs/>
          <w:color w:val="2E5496"/>
        </w:rPr>
        <w:t>Step 5 — Encoding-scheme comparison</w:t>
      </w:r>
    </w:p>
    <w:p w14:paraId="5AF39B01" w14:textId="2B5450CD" w:rsidR="00D67394" w:rsidRDefault="00000000" w:rsidP="00611747">
      <w:pPr>
        <w:spacing w:after="120" w:line="276" w:lineRule="auto"/>
        <w:jc w:val="both"/>
      </w:pPr>
      <w:r>
        <w:rPr>
          <w:rFonts w:eastAsia="Calibri"/>
        </w:rPr>
        <w:t xml:space="preserve">At L = 3, compare angle, amplitude, IQP, and re-upload encodings on </w:t>
      </w:r>
      <w:r>
        <w:t>accuracy, convergence speed, and XAI feature attribution</w:t>
      </w:r>
      <w:r>
        <w:t>.</w:t>
      </w:r>
    </w:p>
    <w:p w14:paraId="4E8E6335" w14:textId="77777777" w:rsidR="00D67394" w:rsidRDefault="00000000" w:rsidP="00611747">
      <w:pPr>
        <w:spacing w:after="40" w:line="276" w:lineRule="auto"/>
        <w:jc w:val="both"/>
      </w:pPr>
      <w:r>
        <w:rPr>
          <w:rFonts w:eastAsia="Calibri"/>
          <w:b/>
          <w:bCs/>
          <w:color w:val="2E5496"/>
        </w:rPr>
        <w:t>Step 6 — Ancilla-qubit study</w:t>
      </w:r>
    </w:p>
    <w:p w14:paraId="4780CD08" w14:textId="7FF72C3E" w:rsidR="00D67394" w:rsidRDefault="00000000" w:rsidP="00611747">
      <w:pPr>
        <w:spacing w:after="120" w:line="276" w:lineRule="auto"/>
        <w:jc w:val="both"/>
      </w:pPr>
      <w:r>
        <w:rPr>
          <w:rFonts w:eastAsia="Calibri"/>
        </w:rPr>
        <w:t>NA = 0, 1, 2 ancilla qubits × physics on/off (3×2 factorial); link the ancilla benefit to each PDE's physical coupling structure or loss structure.</w:t>
      </w:r>
    </w:p>
    <w:p w14:paraId="33469183" w14:textId="77777777" w:rsidR="00D67394" w:rsidRDefault="00000000" w:rsidP="00611747">
      <w:pPr>
        <w:spacing w:after="40" w:line="276" w:lineRule="auto"/>
        <w:jc w:val="both"/>
      </w:pPr>
      <w:r>
        <w:rPr>
          <w:rFonts w:eastAsia="Calibri"/>
          <w:b/>
          <w:bCs/>
          <w:color w:val="2E5496"/>
        </w:rPr>
        <w:t>Step 7 — Quantum-layer-position study</w:t>
      </w:r>
    </w:p>
    <w:p w14:paraId="35490DC1" w14:textId="77777777" w:rsidR="00D67394" w:rsidRDefault="00000000" w:rsidP="00611747">
      <w:pPr>
        <w:spacing w:after="120" w:line="276" w:lineRule="auto"/>
        <w:jc w:val="both"/>
      </w:pPr>
      <w:r>
        <w:rPr>
          <w:rFonts w:eastAsia="Calibri"/>
        </w:rPr>
        <w:t>VQC at hidden layer 1, 2, or 3, and a position × parameter-budget matched study isolating the position effect from parameter count.</w:t>
      </w:r>
    </w:p>
    <w:p w14:paraId="4EA183AC" w14:textId="77777777" w:rsidR="00D67394" w:rsidRDefault="00000000">
      <w:pPr>
        <w:spacing w:after="40" w:line="276" w:lineRule="auto"/>
      </w:pPr>
      <w:r>
        <w:rPr>
          <w:rFonts w:eastAsia="Calibri"/>
          <w:b/>
          <w:bCs/>
          <w:color w:val="2E5496"/>
        </w:rPr>
        <w:lastRenderedPageBreak/>
        <w:t>Step 8 — Full-QPINN depth and quantum-loss study</w:t>
      </w:r>
    </w:p>
    <w:p w14:paraId="2545402B" w14:textId="698D9A0E" w:rsidR="00D67394" w:rsidRDefault="00000000" w:rsidP="00DA3712">
      <w:pPr>
        <w:spacing w:after="120" w:line="276" w:lineRule="auto"/>
        <w:jc w:val="both"/>
      </w:pPr>
      <w:r>
        <w:rPr>
          <w:rFonts w:eastAsia="Calibri"/>
        </w:rPr>
        <w:t>Full quantum QPINN depth L = 1–4 with zero classical tail, showing how a pure quantum model's expressivity depends entirely on circuit depth. This step also introduces a two-branch fully quantum model in which the circuit exposes two measurement channels from the same wavefunction: branch A (a data-register observable, ⟨Z₀⟩) is the field prediction, and branch B (an ancilla-register observable) is a quantum-native loss channel. Rather than computing the physics residual classically after measurement, branch B block-encodes the differential operator (a linear combination of shift unitaries) so the PDE residual norm is read directly as an ancilla expectation value. Prediction and loss are therefore both quantum measurements of the circuit; the two branches co-train, and on real hardware the residual derivatives would be obtained by the parameter-shift rule on the encoding gates. This connects directly to BQP's own quantum-loss research direction.</w:t>
      </w:r>
    </w:p>
    <w:p w14:paraId="6CBB6D90" w14:textId="77777777" w:rsidR="00D67394" w:rsidRDefault="00000000">
      <w:pPr>
        <w:spacing w:after="40" w:line="276" w:lineRule="auto"/>
      </w:pPr>
      <w:r>
        <w:rPr>
          <w:rFonts w:eastAsia="Calibri"/>
          <w:b/>
          <w:bCs/>
          <w:color w:val="2E5496"/>
        </w:rPr>
        <w:t>Step 9 — XAI analysis</w:t>
      </w:r>
    </w:p>
    <w:p w14:paraId="6D671323" w14:textId="5CAC91D3" w:rsidR="00D67394" w:rsidRDefault="00000000" w:rsidP="000C5C02">
      <w:pPr>
        <w:spacing w:after="120" w:line="276" w:lineRule="auto"/>
        <w:jc w:val="both"/>
      </w:pPr>
      <w:r>
        <w:rPr>
          <w:rFonts w:eastAsia="Calibri"/>
        </w:rPr>
        <w:t xml:space="preserve">Captum Integrated Gradients on all models; </w:t>
      </w:r>
      <w:r>
        <w:t>per-feature attribution over [x, t, p_ratio, μ, ρ_L, ρ_R, p_R] linked to each PDE</w:t>
      </w:r>
      <w:r>
        <w:t>'s physical character.</w:t>
      </w:r>
    </w:p>
    <w:p w14:paraId="26562039" w14:textId="77777777" w:rsidR="00D67394" w:rsidRDefault="00000000">
      <w:pPr>
        <w:spacing w:after="40" w:line="276" w:lineRule="auto"/>
      </w:pPr>
      <w:r>
        <w:rPr>
          <w:rFonts w:eastAsia="Calibri"/>
          <w:b/>
          <w:bCs/>
          <w:color w:val="2E5496"/>
        </w:rPr>
        <w:t>Step 10 — Controlled matched comparison</w:t>
      </w:r>
    </w:p>
    <w:p w14:paraId="2DE74191" w14:textId="5BEDDD77" w:rsidR="00D67394" w:rsidRDefault="00000000" w:rsidP="0001579B">
      <w:pPr>
        <w:spacing w:after="120" w:line="276" w:lineRule="auto"/>
        <w:jc w:val="both"/>
      </w:pPr>
      <w:r>
        <w:rPr>
          <w:rFonts w:eastAsia="Calibri"/>
        </w:rPr>
        <w:t xml:space="preserve">The decisive fairness test: shrink PINN, QAPINN, and the full QPINN to the SAME parameter count (~100) and train for the SAME number of epochs (100) on the same data and split. Because the full quantum circuit has a natural parameter ceiling (18L+2), all three are matched near that ceiling. Report accuracy (MSE), R², and a full metric panel (MAE, RMSE, max error) on both the benchmark heat equation and the Navier–Stokes shock tube density field. </w:t>
      </w:r>
    </w:p>
    <w:p w14:paraId="4A926007" w14:textId="6363452F" w:rsidR="00D67394" w:rsidRDefault="00000000" w:rsidP="00396AB6">
      <w:pPr>
        <w:pStyle w:val="Heading1"/>
        <w:spacing w:before="320" w:after="160"/>
      </w:pPr>
      <w:r>
        <w:t>5. Timeline</w:t>
      </w:r>
    </w:p>
    <w:tbl>
      <w:tblPr>
        <w:tblW w:w="9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6000"/>
      </w:tblGrid>
      <w:tr w:rsidR="00D67394" w14:paraId="606B0901" w14:textId="77777777" w:rsidTr="00396AB6">
        <w:trPr>
          <w:tblHeader/>
          <w:jc w:val="center"/>
        </w:trPr>
        <w:tc>
          <w:tcPr>
            <w:tcW w:w="1400" w:type="dxa"/>
            <w:shd w:val="clear" w:color="auto" w:fill="1F3864"/>
            <w:tcMar>
              <w:top w:w="60" w:type="dxa"/>
              <w:left w:w="90" w:type="dxa"/>
              <w:bottom w:w="60" w:type="dxa"/>
              <w:right w:w="90" w:type="dxa"/>
            </w:tcMar>
          </w:tcPr>
          <w:p w14:paraId="6C7AD73D" w14:textId="77777777" w:rsidR="00D67394" w:rsidRDefault="00000000">
            <w:pPr>
              <w:spacing w:after="20" w:line="252" w:lineRule="auto"/>
            </w:pPr>
            <w:r>
              <w:rPr>
                <w:rFonts w:eastAsia="Calibri"/>
                <w:b/>
                <w:bCs/>
                <w:color w:val="FFFFFF"/>
                <w:sz w:val="19"/>
                <w:szCs w:val="19"/>
              </w:rPr>
              <w:t>Week</w:t>
            </w:r>
          </w:p>
        </w:tc>
        <w:tc>
          <w:tcPr>
            <w:tcW w:w="2000" w:type="dxa"/>
            <w:shd w:val="clear" w:color="auto" w:fill="1F3864"/>
            <w:tcMar>
              <w:top w:w="60" w:type="dxa"/>
              <w:left w:w="90" w:type="dxa"/>
              <w:bottom w:w="60" w:type="dxa"/>
              <w:right w:w="90" w:type="dxa"/>
            </w:tcMar>
          </w:tcPr>
          <w:p w14:paraId="3FA0322D" w14:textId="77777777" w:rsidR="00D67394" w:rsidRDefault="00000000">
            <w:pPr>
              <w:spacing w:after="20" w:line="252" w:lineRule="auto"/>
            </w:pPr>
            <w:r>
              <w:rPr>
                <w:rFonts w:eastAsia="Calibri"/>
                <w:b/>
                <w:bCs/>
                <w:color w:val="FFFFFF"/>
                <w:sz w:val="19"/>
                <w:szCs w:val="19"/>
              </w:rPr>
              <w:t>Dates</w:t>
            </w:r>
          </w:p>
        </w:tc>
        <w:tc>
          <w:tcPr>
            <w:tcW w:w="6000" w:type="dxa"/>
            <w:shd w:val="clear" w:color="auto" w:fill="1F3864"/>
            <w:tcMar>
              <w:top w:w="60" w:type="dxa"/>
              <w:left w:w="90" w:type="dxa"/>
              <w:bottom w:w="60" w:type="dxa"/>
              <w:right w:w="90" w:type="dxa"/>
            </w:tcMar>
          </w:tcPr>
          <w:p w14:paraId="7FB1BB4A" w14:textId="77777777" w:rsidR="00D67394" w:rsidRDefault="00000000">
            <w:pPr>
              <w:spacing w:after="20" w:line="252" w:lineRule="auto"/>
            </w:pPr>
            <w:r>
              <w:rPr>
                <w:rFonts w:eastAsia="Calibri"/>
                <w:b/>
                <w:bCs/>
                <w:color w:val="FFFFFF"/>
                <w:sz w:val="19"/>
                <w:szCs w:val="19"/>
              </w:rPr>
              <w:t>Deliverable</w:t>
            </w:r>
          </w:p>
        </w:tc>
      </w:tr>
      <w:tr w:rsidR="00D67394" w14:paraId="4E009074" w14:textId="77777777" w:rsidTr="00396AB6">
        <w:trPr>
          <w:jc w:val="center"/>
        </w:trPr>
        <w:tc>
          <w:tcPr>
            <w:tcW w:w="1400" w:type="dxa"/>
            <w:shd w:val="clear" w:color="auto" w:fill="FFFFFF"/>
            <w:tcMar>
              <w:top w:w="60" w:type="dxa"/>
              <w:left w:w="90" w:type="dxa"/>
              <w:bottom w:w="60" w:type="dxa"/>
              <w:right w:w="90" w:type="dxa"/>
            </w:tcMar>
          </w:tcPr>
          <w:p w14:paraId="054566C6" w14:textId="77777777" w:rsidR="00D67394" w:rsidRDefault="00000000">
            <w:pPr>
              <w:spacing w:after="20" w:line="252" w:lineRule="auto"/>
            </w:pPr>
            <w:r>
              <w:rPr>
                <w:rFonts w:eastAsia="Calibri"/>
                <w:sz w:val="19"/>
                <w:szCs w:val="19"/>
              </w:rPr>
              <w:t>Week 1</w:t>
            </w:r>
          </w:p>
        </w:tc>
        <w:tc>
          <w:tcPr>
            <w:tcW w:w="2000" w:type="dxa"/>
            <w:shd w:val="clear" w:color="auto" w:fill="FFFFFF"/>
            <w:tcMar>
              <w:top w:w="60" w:type="dxa"/>
              <w:left w:w="90" w:type="dxa"/>
              <w:bottom w:w="60" w:type="dxa"/>
              <w:right w:w="90" w:type="dxa"/>
            </w:tcMar>
          </w:tcPr>
          <w:p w14:paraId="528473A0" w14:textId="77777777" w:rsidR="00D67394" w:rsidRDefault="00000000">
            <w:pPr>
              <w:spacing w:after="20" w:line="252" w:lineRule="auto"/>
            </w:pPr>
            <w:r>
              <w:rPr>
                <w:rFonts w:eastAsia="Calibri"/>
                <w:sz w:val="19"/>
                <w:szCs w:val="19"/>
              </w:rPr>
              <w:t>8–14 July</w:t>
            </w:r>
          </w:p>
        </w:tc>
        <w:tc>
          <w:tcPr>
            <w:tcW w:w="6000" w:type="dxa"/>
            <w:shd w:val="clear" w:color="auto" w:fill="FFFFFF"/>
            <w:tcMar>
              <w:top w:w="60" w:type="dxa"/>
              <w:left w:w="90" w:type="dxa"/>
              <w:bottom w:w="60" w:type="dxa"/>
              <w:right w:w="90" w:type="dxa"/>
            </w:tcMar>
          </w:tcPr>
          <w:p w14:paraId="3E5495B8" w14:textId="0646671A" w:rsidR="00D67394" w:rsidRDefault="00BC3F6F">
            <w:pPr>
              <w:spacing w:after="20" w:line="252" w:lineRule="auto"/>
            </w:pPr>
            <w:r>
              <w:rPr>
                <w:rFonts w:eastAsia="Calibri"/>
                <w:sz w:val="19"/>
                <w:szCs w:val="19"/>
              </w:rPr>
              <w:t>Finalize the use case classical simulation. Compressible gas-flow data with verified mass-continuity balance; classical baselines (MLP R² &gt; 0.99, PINN with decaying constraints)</w:t>
            </w:r>
          </w:p>
        </w:tc>
      </w:tr>
      <w:tr w:rsidR="00D67394" w14:paraId="72688438" w14:textId="77777777" w:rsidTr="00396AB6">
        <w:trPr>
          <w:jc w:val="center"/>
        </w:trPr>
        <w:tc>
          <w:tcPr>
            <w:tcW w:w="1400" w:type="dxa"/>
            <w:shd w:val="clear" w:color="auto" w:fill="F2F5FA"/>
            <w:tcMar>
              <w:top w:w="60" w:type="dxa"/>
              <w:left w:w="90" w:type="dxa"/>
              <w:bottom w:w="60" w:type="dxa"/>
              <w:right w:w="90" w:type="dxa"/>
            </w:tcMar>
          </w:tcPr>
          <w:p w14:paraId="06B29F77" w14:textId="77777777" w:rsidR="00D67394" w:rsidRDefault="00000000">
            <w:pPr>
              <w:spacing w:after="20" w:line="252" w:lineRule="auto"/>
            </w:pPr>
            <w:r>
              <w:rPr>
                <w:rFonts w:eastAsia="Calibri"/>
                <w:sz w:val="19"/>
                <w:szCs w:val="19"/>
              </w:rPr>
              <w:t>Week 2</w:t>
            </w:r>
          </w:p>
        </w:tc>
        <w:tc>
          <w:tcPr>
            <w:tcW w:w="2000" w:type="dxa"/>
            <w:shd w:val="clear" w:color="auto" w:fill="F2F5FA"/>
            <w:tcMar>
              <w:top w:w="60" w:type="dxa"/>
              <w:left w:w="90" w:type="dxa"/>
              <w:bottom w:w="60" w:type="dxa"/>
              <w:right w:w="90" w:type="dxa"/>
            </w:tcMar>
          </w:tcPr>
          <w:p w14:paraId="0D9C4C3C" w14:textId="77777777" w:rsidR="00D67394" w:rsidRDefault="00000000">
            <w:pPr>
              <w:spacing w:after="20" w:line="252" w:lineRule="auto"/>
            </w:pPr>
            <w:r>
              <w:rPr>
                <w:rFonts w:eastAsia="Calibri"/>
                <w:sz w:val="19"/>
                <w:szCs w:val="19"/>
              </w:rPr>
              <w:t>15–21 July</w:t>
            </w:r>
          </w:p>
        </w:tc>
        <w:tc>
          <w:tcPr>
            <w:tcW w:w="6000" w:type="dxa"/>
            <w:shd w:val="clear" w:color="auto" w:fill="F2F5FA"/>
            <w:tcMar>
              <w:top w:w="60" w:type="dxa"/>
              <w:left w:w="90" w:type="dxa"/>
              <w:bottom w:w="60" w:type="dxa"/>
              <w:right w:w="90" w:type="dxa"/>
            </w:tcMar>
          </w:tcPr>
          <w:p w14:paraId="40254F85" w14:textId="3E7E98AF" w:rsidR="00D67394" w:rsidRDefault="00000000">
            <w:pPr>
              <w:spacing w:after="20" w:line="252" w:lineRule="auto"/>
            </w:pPr>
            <w:r>
              <w:rPr>
                <w:rFonts w:eastAsia="Calibri"/>
                <w:sz w:val="19"/>
                <w:szCs w:val="19"/>
              </w:rPr>
              <w:t>Hybrid QAPINN + full QPINN training; depth studies L=1–4 for both</w:t>
            </w:r>
          </w:p>
        </w:tc>
      </w:tr>
      <w:tr w:rsidR="00D67394" w14:paraId="5A7A27E4" w14:textId="77777777" w:rsidTr="00396AB6">
        <w:trPr>
          <w:jc w:val="center"/>
        </w:trPr>
        <w:tc>
          <w:tcPr>
            <w:tcW w:w="1400" w:type="dxa"/>
            <w:shd w:val="clear" w:color="auto" w:fill="FFFFFF"/>
            <w:tcMar>
              <w:top w:w="60" w:type="dxa"/>
              <w:left w:w="90" w:type="dxa"/>
              <w:bottom w:w="60" w:type="dxa"/>
              <w:right w:w="90" w:type="dxa"/>
            </w:tcMar>
          </w:tcPr>
          <w:p w14:paraId="2EA54F8E" w14:textId="77777777" w:rsidR="00D67394" w:rsidRDefault="00000000">
            <w:pPr>
              <w:spacing w:after="20" w:line="252" w:lineRule="auto"/>
            </w:pPr>
            <w:r>
              <w:rPr>
                <w:rFonts w:eastAsia="Calibri"/>
                <w:sz w:val="19"/>
                <w:szCs w:val="19"/>
              </w:rPr>
              <w:t>Week 3</w:t>
            </w:r>
          </w:p>
        </w:tc>
        <w:tc>
          <w:tcPr>
            <w:tcW w:w="2000" w:type="dxa"/>
            <w:shd w:val="clear" w:color="auto" w:fill="FFFFFF"/>
            <w:tcMar>
              <w:top w:w="60" w:type="dxa"/>
              <w:left w:w="90" w:type="dxa"/>
              <w:bottom w:w="60" w:type="dxa"/>
              <w:right w:w="90" w:type="dxa"/>
            </w:tcMar>
          </w:tcPr>
          <w:p w14:paraId="16E9D421" w14:textId="77777777" w:rsidR="00D67394" w:rsidRDefault="00000000">
            <w:pPr>
              <w:spacing w:after="20" w:line="252" w:lineRule="auto"/>
            </w:pPr>
            <w:r>
              <w:rPr>
                <w:rFonts w:eastAsia="Calibri"/>
                <w:sz w:val="19"/>
                <w:szCs w:val="19"/>
              </w:rPr>
              <w:t>22–28 July</w:t>
            </w:r>
          </w:p>
        </w:tc>
        <w:tc>
          <w:tcPr>
            <w:tcW w:w="6000" w:type="dxa"/>
            <w:shd w:val="clear" w:color="auto" w:fill="FFFFFF"/>
            <w:tcMar>
              <w:top w:w="60" w:type="dxa"/>
              <w:left w:w="90" w:type="dxa"/>
              <w:bottom w:w="60" w:type="dxa"/>
              <w:right w:w="90" w:type="dxa"/>
            </w:tcMar>
          </w:tcPr>
          <w:p w14:paraId="237BABCA" w14:textId="3D561A86" w:rsidR="00D67394" w:rsidRDefault="00000000">
            <w:pPr>
              <w:spacing w:after="20" w:line="252" w:lineRule="auto"/>
            </w:pPr>
            <w:r>
              <w:rPr>
                <w:rFonts w:eastAsia="Calibri"/>
                <w:sz w:val="19"/>
                <w:szCs w:val="19"/>
              </w:rPr>
              <w:t>Encoding, ancilla for loss, and quantum-layer-position studies</w:t>
            </w:r>
          </w:p>
        </w:tc>
      </w:tr>
      <w:tr w:rsidR="00D67394" w14:paraId="318F5646" w14:textId="77777777" w:rsidTr="00396AB6">
        <w:trPr>
          <w:jc w:val="center"/>
        </w:trPr>
        <w:tc>
          <w:tcPr>
            <w:tcW w:w="1400" w:type="dxa"/>
            <w:shd w:val="clear" w:color="auto" w:fill="F2F5FA"/>
            <w:tcMar>
              <w:top w:w="60" w:type="dxa"/>
              <w:left w:w="90" w:type="dxa"/>
              <w:bottom w:w="60" w:type="dxa"/>
              <w:right w:w="90" w:type="dxa"/>
            </w:tcMar>
          </w:tcPr>
          <w:p w14:paraId="1B5948EC" w14:textId="77777777" w:rsidR="00D67394" w:rsidRDefault="00000000">
            <w:pPr>
              <w:spacing w:after="20" w:line="252" w:lineRule="auto"/>
            </w:pPr>
            <w:r>
              <w:rPr>
                <w:rFonts w:eastAsia="Calibri"/>
                <w:sz w:val="19"/>
                <w:szCs w:val="19"/>
              </w:rPr>
              <w:t>Week 4</w:t>
            </w:r>
          </w:p>
        </w:tc>
        <w:tc>
          <w:tcPr>
            <w:tcW w:w="2000" w:type="dxa"/>
            <w:shd w:val="clear" w:color="auto" w:fill="F2F5FA"/>
            <w:tcMar>
              <w:top w:w="60" w:type="dxa"/>
              <w:left w:w="90" w:type="dxa"/>
              <w:bottom w:w="60" w:type="dxa"/>
              <w:right w:w="90" w:type="dxa"/>
            </w:tcMar>
          </w:tcPr>
          <w:p w14:paraId="4B4F3936" w14:textId="77777777" w:rsidR="00D67394" w:rsidRDefault="00000000">
            <w:pPr>
              <w:spacing w:after="20" w:line="252" w:lineRule="auto"/>
            </w:pPr>
            <w:r>
              <w:rPr>
                <w:rFonts w:eastAsia="Calibri"/>
                <w:sz w:val="19"/>
                <w:szCs w:val="19"/>
              </w:rPr>
              <w:t>29 Jul–4 Aug</w:t>
            </w:r>
          </w:p>
        </w:tc>
        <w:tc>
          <w:tcPr>
            <w:tcW w:w="6000" w:type="dxa"/>
            <w:shd w:val="clear" w:color="auto" w:fill="F2F5FA"/>
            <w:tcMar>
              <w:top w:w="60" w:type="dxa"/>
              <w:left w:w="90" w:type="dxa"/>
              <w:bottom w:w="60" w:type="dxa"/>
              <w:right w:w="90" w:type="dxa"/>
            </w:tcMar>
          </w:tcPr>
          <w:p w14:paraId="39529E4A" w14:textId="77777777" w:rsidR="00D67394" w:rsidRDefault="00000000">
            <w:pPr>
              <w:spacing w:after="20" w:line="252" w:lineRule="auto"/>
            </w:pPr>
            <w:r>
              <w:rPr>
                <w:rFonts w:eastAsia="Calibri"/>
                <w:sz w:val="19"/>
                <w:szCs w:val="19"/>
              </w:rPr>
              <w:t>XAI analysis and physical interpretation across all models</w:t>
            </w:r>
          </w:p>
        </w:tc>
      </w:tr>
      <w:tr w:rsidR="00D67394" w14:paraId="26197E85" w14:textId="77777777" w:rsidTr="00396AB6">
        <w:trPr>
          <w:jc w:val="center"/>
        </w:trPr>
        <w:tc>
          <w:tcPr>
            <w:tcW w:w="1400" w:type="dxa"/>
            <w:shd w:val="clear" w:color="auto" w:fill="FFFFFF"/>
            <w:tcMar>
              <w:top w:w="60" w:type="dxa"/>
              <w:left w:w="90" w:type="dxa"/>
              <w:bottom w:w="60" w:type="dxa"/>
              <w:right w:w="90" w:type="dxa"/>
            </w:tcMar>
          </w:tcPr>
          <w:p w14:paraId="62ED89A7" w14:textId="77777777" w:rsidR="00D67394" w:rsidRDefault="00000000">
            <w:pPr>
              <w:spacing w:after="20" w:line="252" w:lineRule="auto"/>
            </w:pPr>
            <w:r>
              <w:rPr>
                <w:rFonts w:eastAsia="Calibri"/>
                <w:sz w:val="19"/>
                <w:szCs w:val="19"/>
              </w:rPr>
              <w:t>Week 5</w:t>
            </w:r>
          </w:p>
        </w:tc>
        <w:tc>
          <w:tcPr>
            <w:tcW w:w="2000" w:type="dxa"/>
            <w:shd w:val="clear" w:color="auto" w:fill="FFFFFF"/>
            <w:tcMar>
              <w:top w:w="60" w:type="dxa"/>
              <w:left w:w="90" w:type="dxa"/>
              <w:bottom w:w="60" w:type="dxa"/>
              <w:right w:w="90" w:type="dxa"/>
            </w:tcMar>
          </w:tcPr>
          <w:p w14:paraId="4DC6BDC9" w14:textId="77777777" w:rsidR="00D67394" w:rsidRDefault="00000000">
            <w:pPr>
              <w:spacing w:after="20" w:line="252" w:lineRule="auto"/>
            </w:pPr>
            <w:r>
              <w:rPr>
                <w:rFonts w:eastAsia="Calibri"/>
                <w:sz w:val="19"/>
                <w:szCs w:val="19"/>
              </w:rPr>
              <w:t>5–7 Aug</w:t>
            </w:r>
          </w:p>
        </w:tc>
        <w:tc>
          <w:tcPr>
            <w:tcW w:w="6000" w:type="dxa"/>
            <w:shd w:val="clear" w:color="auto" w:fill="FFFFFF"/>
            <w:tcMar>
              <w:top w:w="60" w:type="dxa"/>
              <w:left w:w="90" w:type="dxa"/>
              <w:bottom w:w="60" w:type="dxa"/>
              <w:right w:w="90" w:type="dxa"/>
            </w:tcMar>
          </w:tcPr>
          <w:p w14:paraId="5C6B93FF" w14:textId="77777777" w:rsidR="00D67394" w:rsidRDefault="00000000">
            <w:pPr>
              <w:spacing w:after="20" w:line="252" w:lineRule="auto"/>
            </w:pPr>
            <w:r>
              <w:rPr>
                <w:rFonts w:eastAsia="Calibri"/>
                <w:sz w:val="19"/>
                <w:szCs w:val="19"/>
              </w:rPr>
              <w:t>Final report (10–15 pages), slides, reproducible code (Step 1/2/3 + experiments)</w:t>
            </w:r>
          </w:p>
        </w:tc>
      </w:tr>
    </w:tbl>
    <w:p w14:paraId="3B1788D6" w14:textId="72620DBD" w:rsidR="00D67394" w:rsidRDefault="00000000">
      <w:pPr>
        <w:pStyle w:val="Heading1"/>
        <w:spacing w:before="320" w:after="160"/>
      </w:pPr>
      <w:r>
        <w:t>6. References</w:t>
      </w:r>
    </w:p>
    <w:p w14:paraId="1B25BA28" w14:textId="5AD29898" w:rsidR="00D67394" w:rsidRPr="008318C4" w:rsidRDefault="00000000" w:rsidP="00ED6A82">
      <w:pPr>
        <w:spacing w:after="80" w:line="264" w:lineRule="auto"/>
        <w:rPr>
          <w:rFonts w:eastAsia="Calibri"/>
        </w:rPr>
      </w:pPr>
      <w:r>
        <w:rPr>
          <w:rFonts w:eastAsia="Calibri"/>
        </w:rPr>
        <w:t>[1] Raissi, M., Perdikaris, P., Karniadakis, G. (2017). Physics-Informed Deep Learning (Part I). arXiv:1711.10561.</w:t>
      </w:r>
    </w:p>
    <w:p w14:paraId="61F513CB" w14:textId="0D8D39C8" w:rsidR="008318C4" w:rsidRDefault="008318C4" w:rsidP="00ED6A82">
      <w:pPr>
        <w:spacing w:after="80" w:line="264" w:lineRule="auto"/>
        <w:rPr>
          <w:rFonts w:eastAsia="Calibri"/>
        </w:rPr>
      </w:pPr>
      <w:r>
        <w:rPr>
          <w:rFonts w:eastAsia="Calibri"/>
        </w:rPr>
        <w:t>[2] Pérez-Salinas, Cervera-Lierta, Gil-Fuster, Latorre (2020). Data re-uploading for a universal quantum classifier. Quantum, 4, 226 .</w:t>
      </w:r>
    </w:p>
    <w:p w14:paraId="2CA71F30" w14:textId="3CBDCAC6" w:rsidR="00D67394" w:rsidRPr="008318C4" w:rsidRDefault="00000000" w:rsidP="00ED6A82">
      <w:pPr>
        <w:spacing w:after="80" w:line="264" w:lineRule="auto"/>
        <w:rPr>
          <w:rFonts w:eastAsia="Calibri"/>
        </w:rPr>
      </w:pPr>
      <w:r>
        <w:rPr>
          <w:rFonts w:eastAsia="Calibri"/>
        </w:rPr>
        <w:t>[3] Shah, Lineswala, Chopra (2024). Benchmarking QA-PINN for Computational Fluid Dynamics. IEEE QCE 2024, vol. 01, pp. 1707–1712.</w:t>
      </w:r>
    </w:p>
    <w:p w14:paraId="79F12FEE" w14:textId="57DC4218" w:rsidR="00D67394" w:rsidRPr="008318C4" w:rsidRDefault="00000000" w:rsidP="003652B8">
      <w:pPr>
        <w:spacing w:after="80" w:line="264" w:lineRule="auto"/>
        <w:rPr>
          <w:rFonts w:eastAsia="Calibri"/>
        </w:rPr>
      </w:pPr>
      <w:r>
        <w:rPr>
          <w:rFonts w:eastAsia="Calibri"/>
        </w:rPr>
        <w:t>[4] Sod, G.A. (1978). A survey of several finite difference methods for systems of nonlinear hyperbolic conservation laws. Journal of Computational Physics, 27(1), 1–31.</w:t>
      </w:r>
    </w:p>
    <w:p w14:paraId="1247F56B" w14:textId="4A235729" w:rsidR="00001113" w:rsidRPr="008318C4" w:rsidRDefault="00001113" w:rsidP="00ED6A82">
      <w:pPr>
        <w:spacing w:after="80" w:line="264" w:lineRule="auto"/>
        <w:rPr>
          <w:rFonts w:eastAsia="Calibri"/>
        </w:rPr>
      </w:pPr>
      <w:r>
        <w:rPr>
          <w:rFonts w:eastAsia="Calibri"/>
        </w:rPr>
        <w:t>[5] McKay, M. D., Beckman, R. J., &amp; Conover, W. J. (1979). A comparison of three methods for selecting values of input variables in the analysis of output from a computer code. Technometrics, 21(2), 239–245.</w:t>
      </w:r>
    </w:p>
    <w:sectPr w:rsidR="00001113" w:rsidRPr="008318C4">
      <w:pgSz w:w="12240" w:h="15840"/>
      <w:pgMar w:top="1080" w:right="1180" w:bottom="1080" w:left="11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91747"/>
    <w:multiLevelType w:val="hybridMultilevel"/>
    <w:tmpl w:val="8D569D56"/>
    <w:lvl w:ilvl="0" w:tplc="65D2908E">
      <w:start w:val="1"/>
      <w:numFmt w:val="bullet"/>
      <w:lvlText w:val="●"/>
      <w:lvlJc w:val="left"/>
      <w:pPr>
        <w:ind w:left="720" w:hanging="360"/>
      </w:pPr>
    </w:lvl>
    <w:lvl w:ilvl="1" w:tplc="FA96D250">
      <w:start w:val="1"/>
      <w:numFmt w:val="bullet"/>
      <w:lvlText w:val="○"/>
      <w:lvlJc w:val="left"/>
      <w:pPr>
        <w:ind w:left="1440" w:hanging="360"/>
      </w:pPr>
    </w:lvl>
    <w:lvl w:ilvl="2" w:tplc="054A3A54">
      <w:start w:val="1"/>
      <w:numFmt w:val="bullet"/>
      <w:lvlText w:val="■"/>
      <w:lvlJc w:val="left"/>
      <w:pPr>
        <w:ind w:left="2160" w:hanging="360"/>
      </w:pPr>
    </w:lvl>
    <w:lvl w:ilvl="3" w:tplc="F078F562">
      <w:start w:val="1"/>
      <w:numFmt w:val="bullet"/>
      <w:lvlText w:val="●"/>
      <w:lvlJc w:val="left"/>
      <w:pPr>
        <w:ind w:left="2880" w:hanging="360"/>
      </w:pPr>
    </w:lvl>
    <w:lvl w:ilvl="4" w:tplc="45260DDC">
      <w:start w:val="1"/>
      <w:numFmt w:val="bullet"/>
      <w:lvlText w:val="○"/>
      <w:lvlJc w:val="left"/>
      <w:pPr>
        <w:ind w:left="3600" w:hanging="360"/>
      </w:pPr>
    </w:lvl>
    <w:lvl w:ilvl="5" w:tplc="ED7E9846">
      <w:start w:val="1"/>
      <w:numFmt w:val="bullet"/>
      <w:lvlText w:val="■"/>
      <w:lvlJc w:val="left"/>
      <w:pPr>
        <w:ind w:left="4320" w:hanging="360"/>
      </w:pPr>
    </w:lvl>
    <w:lvl w:ilvl="6" w:tplc="27F6616E">
      <w:start w:val="1"/>
      <w:numFmt w:val="bullet"/>
      <w:lvlText w:val="●"/>
      <w:lvlJc w:val="left"/>
      <w:pPr>
        <w:ind w:left="5040" w:hanging="360"/>
      </w:pPr>
    </w:lvl>
    <w:lvl w:ilvl="7" w:tplc="159EC136">
      <w:start w:val="1"/>
      <w:numFmt w:val="bullet"/>
      <w:lvlText w:val="●"/>
      <w:lvlJc w:val="left"/>
      <w:pPr>
        <w:ind w:left="5760" w:hanging="360"/>
      </w:pPr>
    </w:lvl>
    <w:lvl w:ilvl="8" w:tplc="DABCE1C0">
      <w:start w:val="1"/>
      <w:numFmt w:val="bullet"/>
      <w:lvlText w:val="●"/>
      <w:lvlJc w:val="left"/>
      <w:pPr>
        <w:ind w:left="6480" w:hanging="360"/>
      </w:pPr>
    </w:lvl>
  </w:abstractNum>
  <w:num w:numId="1" w16cid:durableId="1053846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394"/>
    <w:rsid w:val="00001113"/>
    <w:rsid w:val="0001579B"/>
    <w:rsid w:val="00024EF8"/>
    <w:rsid w:val="00095A64"/>
    <w:rsid w:val="000A3F9D"/>
    <w:rsid w:val="000A58CF"/>
    <w:rsid w:val="000B2AD1"/>
    <w:rsid w:val="000C37B8"/>
    <w:rsid w:val="000C5C02"/>
    <w:rsid w:val="000D4072"/>
    <w:rsid w:val="000D71F0"/>
    <w:rsid w:val="000F7CDF"/>
    <w:rsid w:val="00101082"/>
    <w:rsid w:val="00107E52"/>
    <w:rsid w:val="00143A38"/>
    <w:rsid w:val="001E0358"/>
    <w:rsid w:val="00213A4A"/>
    <w:rsid w:val="0021752F"/>
    <w:rsid w:val="00343517"/>
    <w:rsid w:val="003652B8"/>
    <w:rsid w:val="00385DEB"/>
    <w:rsid w:val="003912AD"/>
    <w:rsid w:val="00396AB6"/>
    <w:rsid w:val="003A5B14"/>
    <w:rsid w:val="003D3E71"/>
    <w:rsid w:val="004513E7"/>
    <w:rsid w:val="004562FD"/>
    <w:rsid w:val="00490209"/>
    <w:rsid w:val="004B2109"/>
    <w:rsid w:val="004D510C"/>
    <w:rsid w:val="004F459E"/>
    <w:rsid w:val="0055249B"/>
    <w:rsid w:val="005D09E0"/>
    <w:rsid w:val="005F23B7"/>
    <w:rsid w:val="005F5C27"/>
    <w:rsid w:val="00611747"/>
    <w:rsid w:val="00661CB4"/>
    <w:rsid w:val="00661DA1"/>
    <w:rsid w:val="00681B3E"/>
    <w:rsid w:val="006B6FDE"/>
    <w:rsid w:val="006E5B76"/>
    <w:rsid w:val="006F50BF"/>
    <w:rsid w:val="007233CE"/>
    <w:rsid w:val="007377E4"/>
    <w:rsid w:val="007C5DC4"/>
    <w:rsid w:val="00825754"/>
    <w:rsid w:val="008318C4"/>
    <w:rsid w:val="00832C2B"/>
    <w:rsid w:val="00892742"/>
    <w:rsid w:val="00922C41"/>
    <w:rsid w:val="00923C63"/>
    <w:rsid w:val="00927375"/>
    <w:rsid w:val="00976C3A"/>
    <w:rsid w:val="009A66CB"/>
    <w:rsid w:val="009D4D04"/>
    <w:rsid w:val="009F043D"/>
    <w:rsid w:val="009F1F46"/>
    <w:rsid w:val="00A26EEE"/>
    <w:rsid w:val="00AA113A"/>
    <w:rsid w:val="00AA1D68"/>
    <w:rsid w:val="00AB1A25"/>
    <w:rsid w:val="00AF0453"/>
    <w:rsid w:val="00AF1361"/>
    <w:rsid w:val="00B14DE7"/>
    <w:rsid w:val="00B14FA2"/>
    <w:rsid w:val="00B328BB"/>
    <w:rsid w:val="00BC3F6F"/>
    <w:rsid w:val="00C05BD2"/>
    <w:rsid w:val="00C96672"/>
    <w:rsid w:val="00CB1997"/>
    <w:rsid w:val="00CE3EA1"/>
    <w:rsid w:val="00D67394"/>
    <w:rsid w:val="00D714FE"/>
    <w:rsid w:val="00D83F86"/>
    <w:rsid w:val="00D85EA7"/>
    <w:rsid w:val="00DA3712"/>
    <w:rsid w:val="00DE7614"/>
    <w:rsid w:val="00E1497C"/>
    <w:rsid w:val="00E40692"/>
    <w:rsid w:val="00E572D9"/>
    <w:rsid w:val="00E835C1"/>
    <w:rsid w:val="00ED6A82"/>
    <w:rsid w:val="00ED6ED4"/>
    <w:rsid w:val="00EE217A"/>
    <w:rsid w:val="00F02BC3"/>
    <w:rsid w:val="00F03335"/>
    <w:rsid w:val="00F25D8A"/>
    <w:rsid w:val="00F41C88"/>
    <w:rsid w:val="00F53A8B"/>
    <w:rsid w:val="00FE5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74702"/>
  <w15:docId w15:val="{AE51865B-95DE-4467-8037-D4B03A201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01113"/>
    <w:rPr>
      <w:color w:val="605E5C"/>
      <w:shd w:val="clear" w:color="auto" w:fill="E1DFDD"/>
    </w:rPr>
  </w:style>
  <w:style w:type="character" w:customStyle="1" w:styleId="Heading2Char">
    <w:name w:val="Heading 2 Char"/>
    <w:basedOn w:val="DefaultParagraphFont"/>
    <w:link w:val="Heading2"/>
    <w:uiPriority w:val="9"/>
    <w:rsid w:val="00CE3EA1"/>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2363</Words>
  <Characters>13472</Characters>
  <Application>Microsoft Office Word</Application>
  <DocSecurity>0</DocSecurity>
  <Lines>112</Lines>
  <Paragraphs>31</Paragraphs>
  <ScaleCrop>false</ScaleCrop>
  <Company/>
  <LinksUpToDate>false</LinksUpToDate>
  <CharactersWithSpaces>15804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 ZENG</cp:lastModifiedBy>
  <cp:revision>31</cp:revision>
  <dcterms:created xsi:type="dcterms:W3CDTF">2026-07-10T12:41:00Z</dcterms:created>
  <dcterms:modified xsi:type="dcterms:W3CDTF">2026-07-10T13:04:00Z</dcterms:modified>
</cp:coreProperties>
</file>