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61AAC">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61AAC">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261AAC">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61AAC">
      <w:pPr>
        <w:ind w:right="270"/>
        <w:jc w:val="center"/>
      </w:pPr>
      <w:r w:rsidRPr="00D417D1">
        <w:t>University of California, Davis</w:t>
      </w:r>
    </w:p>
    <w:p w14:paraId="37DEEC3B" w14:textId="77777777" w:rsidR="006F47E9" w:rsidRPr="00D417D1" w:rsidRDefault="006F47E9" w:rsidP="00261AAC">
      <w:pPr>
        <w:ind w:right="270"/>
        <w:jc w:val="both"/>
      </w:pPr>
      <w:r w:rsidRPr="00D417D1">
        <w:t xml:space="preserve"> </w:t>
      </w:r>
    </w:p>
    <w:p w14:paraId="7E1977AF" w14:textId="77777777" w:rsidR="006F47E9" w:rsidRPr="00D417D1" w:rsidRDefault="006F47E9" w:rsidP="00261AAC">
      <w:pPr>
        <w:ind w:right="270"/>
        <w:jc w:val="both"/>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261AAC">
      <w:pPr>
        <w:jc w:val="both"/>
        <w:rPr>
          <w:rFonts w:ascii="Times" w:hAnsi="Times"/>
          <w:b/>
          <w:bCs/>
          <w:u w:val="single"/>
        </w:rPr>
      </w:pPr>
    </w:p>
    <w:p w14:paraId="62ED85B6" w14:textId="77777777" w:rsidR="006F47E9" w:rsidRDefault="006F47E9" w:rsidP="00261AAC">
      <w:pPr>
        <w:jc w:val="both"/>
        <w:rPr>
          <w:rFonts w:ascii="Times" w:hAnsi="Times"/>
          <w:b/>
          <w:bCs/>
          <w:u w:val="single"/>
        </w:rPr>
      </w:pPr>
    </w:p>
    <w:p w14:paraId="4D2F7A06" w14:textId="24E28B5E" w:rsidR="006F47E9" w:rsidRPr="00ED2C76" w:rsidRDefault="00ED2C76" w:rsidP="00261AAC">
      <w:pPr>
        <w:pStyle w:val="Heading1"/>
        <w:jc w:val="both"/>
      </w:pPr>
      <w:r w:rsidRPr="00ED2C76">
        <w:t xml:space="preserve">Project </w:t>
      </w:r>
      <w:r w:rsidR="006F47E9" w:rsidRPr="00ED2C76">
        <w:t>Background</w:t>
      </w:r>
    </w:p>
    <w:p w14:paraId="31690907" w14:textId="77777777" w:rsidR="006F47E9" w:rsidRDefault="006F47E9" w:rsidP="00261AAC">
      <w:pPr>
        <w:ind w:right="270"/>
        <w:jc w:val="both"/>
        <w:rPr>
          <w:u w:val="single"/>
        </w:rPr>
      </w:pPr>
    </w:p>
    <w:p w14:paraId="258C2B02" w14:textId="62A19D85" w:rsidR="006F47E9" w:rsidRDefault="006F47E9" w:rsidP="00261AAC">
      <w:pPr>
        <w:ind w:right="270"/>
        <w:jc w:val="both"/>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261AAC">
      <w:pPr>
        <w:ind w:right="270"/>
        <w:jc w:val="both"/>
        <w:rPr>
          <w:u w:val="single"/>
        </w:rPr>
      </w:pPr>
    </w:p>
    <w:p w14:paraId="6DA7E55D" w14:textId="73E94728" w:rsidR="006F47E9" w:rsidRPr="006E1A97" w:rsidRDefault="006F47E9" w:rsidP="00261AAC">
      <w:pPr>
        <w:ind w:right="270"/>
        <w:jc w:val="both"/>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261AAC">
      <w:pPr>
        <w:ind w:right="270" w:firstLine="720"/>
        <w:jc w:val="both"/>
      </w:pPr>
    </w:p>
    <w:p w14:paraId="744BFBD5" w14:textId="77777777" w:rsidR="00261AAC" w:rsidRDefault="006F47E9" w:rsidP="00261AAC">
      <w:pPr>
        <w:ind w:right="270"/>
        <w:jc w:val="both"/>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 xml:space="preserve">reference </w:t>
      </w:r>
      <w:r w:rsidRPr="000C7089">
        <w:rPr>
          <w:color w:val="00000A"/>
        </w:rPr>
        <w:lastRenderedPageBreak/>
        <w:t>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261AAC">
      <w:pPr>
        <w:ind w:right="270"/>
        <w:jc w:val="both"/>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7F304E09" w:rsidR="000B0F0D" w:rsidRDefault="000B0F0D" w:rsidP="00261AAC">
      <w:pPr>
        <w:ind w:right="270"/>
        <w:jc w:val="both"/>
        <w:rPr>
          <w:color w:val="00000A"/>
        </w:rPr>
      </w:pPr>
    </w:p>
    <w:p w14:paraId="1F72D21A" w14:textId="7E46C586"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p>
    <w:p w14:paraId="37172382" w14:textId="2505B963"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261AAC">
      <w:pPr>
        <w:ind w:right="270"/>
        <w:jc w:val="both"/>
        <w:rPr>
          <w:color w:val="00000A"/>
        </w:rPr>
      </w:pPr>
    </w:p>
    <w:p w14:paraId="39921F42" w14:textId="1C7C7023"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261AAC">
      <w:pPr>
        <w:ind w:right="270"/>
        <w:jc w:val="both"/>
        <w:rPr>
          <w:color w:val="00000A"/>
        </w:rPr>
      </w:pPr>
    </w:p>
    <w:p w14:paraId="630CB558" w14:textId="77777777" w:rsidR="00E37454" w:rsidRDefault="00E37454" w:rsidP="00261AAC">
      <w:pPr>
        <w:ind w:right="270"/>
        <w:jc w:val="both"/>
        <w:rPr>
          <w:color w:val="00000A"/>
        </w:rPr>
      </w:pPr>
    </w:p>
    <w:p w14:paraId="28EF7F71" w14:textId="1FC11ECB" w:rsidR="00E37454"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261AAC">
      <w:pPr>
        <w:jc w:val="both"/>
        <w:rPr>
          <w:rFonts w:ascii="Times" w:hAnsi="Times"/>
          <w:b/>
          <w:bCs/>
          <w:u w:val="single"/>
        </w:rPr>
      </w:pPr>
    </w:p>
    <w:p w14:paraId="746011D8" w14:textId="20105411" w:rsidR="006F47E9" w:rsidRDefault="006F47E9" w:rsidP="00261AAC">
      <w:pPr>
        <w:jc w:val="both"/>
        <w:rPr>
          <w:rFonts w:ascii="Times" w:hAnsi="Times"/>
          <w:b/>
          <w:bCs/>
          <w:u w:val="single"/>
        </w:rPr>
      </w:pPr>
    </w:p>
    <w:p w14:paraId="0D2A8AA3" w14:textId="500DB8B8" w:rsidR="000B0F0D" w:rsidRPr="000B0F0D" w:rsidRDefault="000B0F0D" w:rsidP="00261AAC">
      <w:pPr>
        <w:jc w:val="both"/>
      </w:pPr>
    </w:p>
    <w:p w14:paraId="20B7B80A" w14:textId="77777777" w:rsidR="00372DDA" w:rsidRDefault="00372DDA" w:rsidP="00261AAC">
      <w:pPr>
        <w:jc w:val="both"/>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261AAC">
      <w:pPr>
        <w:pStyle w:val="Heading1"/>
        <w:jc w:val="both"/>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261AAC">
      <w:pPr>
        <w:ind w:right="270"/>
        <w:jc w:val="both"/>
        <w:rPr>
          <w:b/>
          <w:i/>
        </w:rPr>
      </w:pPr>
    </w:p>
    <w:p w14:paraId="3BEA2E0B" w14:textId="77777777" w:rsidR="006F47E9" w:rsidRPr="00D96AC9" w:rsidRDefault="006F47E9" w:rsidP="00261AAC">
      <w:pPr>
        <w:pStyle w:val="Heading2"/>
        <w:jc w:val="both"/>
        <w:rPr>
          <w:b w:val="0"/>
          <w:i w:val="0"/>
        </w:rPr>
      </w:pPr>
      <w:r w:rsidRPr="00490077">
        <w:t>Sample collection</w:t>
      </w:r>
      <w:r>
        <w:t xml:space="preserve"> (Figure 1A)</w:t>
      </w:r>
    </w:p>
    <w:p w14:paraId="21F524D4" w14:textId="77777777" w:rsidR="006F47E9" w:rsidRPr="000D71F5" w:rsidRDefault="006F47E9" w:rsidP="00261AAC">
      <w:pPr>
        <w:ind w:right="270"/>
        <w:jc w:val="both"/>
        <w:rPr>
          <w:i/>
        </w:rPr>
      </w:pPr>
      <w:r w:rsidRPr="000D71F5">
        <w:rPr>
          <w:i/>
        </w:rPr>
        <w:t>Methods</w:t>
      </w:r>
    </w:p>
    <w:p w14:paraId="68F6B5EB" w14:textId="77777777" w:rsidR="007B4DA2" w:rsidRDefault="006F47E9" w:rsidP="00261AAC">
      <w:pPr>
        <w:ind w:right="270"/>
        <w:jc w:val="both"/>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261AAC">
      <w:pPr>
        <w:ind w:right="270"/>
        <w:jc w:val="both"/>
      </w:pPr>
    </w:p>
    <w:p w14:paraId="5492A1C5" w14:textId="3C173A81" w:rsidR="006F47E9" w:rsidRDefault="006F47E9" w:rsidP="00261AAC">
      <w:pPr>
        <w:ind w:right="270"/>
        <w:jc w:val="both"/>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261AAC">
      <w:pPr>
        <w:ind w:right="270"/>
        <w:jc w:val="both"/>
        <w:rPr>
          <w:i/>
        </w:rPr>
      </w:pPr>
    </w:p>
    <w:p w14:paraId="0CBD5AC1" w14:textId="310D132D" w:rsidR="006F47E9" w:rsidRDefault="006F47E9" w:rsidP="00261AAC">
      <w:pPr>
        <w:ind w:right="270"/>
        <w:jc w:val="both"/>
        <w:rPr>
          <w:i/>
        </w:rPr>
      </w:pPr>
      <w:r>
        <w:rPr>
          <w:i/>
        </w:rPr>
        <w:t>Results</w:t>
      </w:r>
    </w:p>
    <w:p w14:paraId="574F63A5" w14:textId="7F32EA3E" w:rsidR="006F47E9" w:rsidRPr="00C30DD1" w:rsidRDefault="006F47E9" w:rsidP="00261AAC">
      <w:pPr>
        <w:ind w:right="270"/>
        <w:jc w:val="both"/>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261AAC">
      <w:pPr>
        <w:ind w:right="270"/>
        <w:jc w:val="both"/>
        <w:rPr>
          <w:ins w:id="5" w:author="Microsoft Office User" w:date="2021-04-07T13:51:00Z"/>
        </w:rPr>
      </w:pPr>
    </w:p>
    <w:p w14:paraId="35B46BE7" w14:textId="77777777" w:rsidR="006F47E9" w:rsidRDefault="006F47E9" w:rsidP="00261AAC">
      <w:pPr>
        <w:ind w:right="270"/>
        <w:jc w:val="both"/>
        <w:rPr>
          <w:b/>
          <w:i/>
        </w:rPr>
      </w:pPr>
    </w:p>
    <w:p w14:paraId="659C5E3F" w14:textId="77777777" w:rsidR="006F47E9" w:rsidRDefault="006F47E9" w:rsidP="00261AAC">
      <w:pPr>
        <w:pStyle w:val="Heading2"/>
        <w:jc w:val="both"/>
      </w:pPr>
      <w:r w:rsidRPr="00490077">
        <w:lastRenderedPageBreak/>
        <w:t>Isolation of high molecular weight genomic DNA</w:t>
      </w:r>
      <w:r>
        <w:t xml:space="preserve"> (Figure 1B)</w:t>
      </w:r>
    </w:p>
    <w:p w14:paraId="3AD89537" w14:textId="77777777" w:rsidR="006F47E9" w:rsidRDefault="006F47E9" w:rsidP="00261AAC">
      <w:pPr>
        <w:ind w:right="270"/>
        <w:jc w:val="both"/>
        <w:rPr>
          <w:i/>
        </w:rPr>
      </w:pPr>
      <w:r>
        <w:rPr>
          <w:i/>
        </w:rPr>
        <w:t>Methods</w:t>
      </w:r>
    </w:p>
    <w:p w14:paraId="21E14243" w14:textId="3A74F11C" w:rsidR="006F47E9" w:rsidRPr="00AB5D48" w:rsidRDefault="00081E62" w:rsidP="00261AAC">
      <w:pPr>
        <w:ind w:right="270"/>
        <w:jc w:val="both"/>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261AAC">
      <w:pPr>
        <w:ind w:right="270"/>
        <w:jc w:val="both"/>
      </w:pPr>
    </w:p>
    <w:p w14:paraId="7BF351FA" w14:textId="2B497178" w:rsidR="006F47E9" w:rsidRDefault="006C520D" w:rsidP="00261AAC">
      <w:pPr>
        <w:ind w:right="270"/>
        <w:jc w:val="both"/>
        <w:rPr>
          <w:i/>
        </w:rPr>
      </w:pPr>
      <w:r>
        <w:rPr>
          <w:i/>
        </w:rPr>
        <w:t>R</w:t>
      </w:r>
      <w:r w:rsidR="006F47E9">
        <w:rPr>
          <w:i/>
        </w:rPr>
        <w:t>esults</w:t>
      </w:r>
    </w:p>
    <w:p w14:paraId="409CE140" w14:textId="3D00382B" w:rsidR="006F47E9" w:rsidRPr="006E1A97" w:rsidRDefault="006F47E9" w:rsidP="00261AAC">
      <w:pPr>
        <w:ind w:right="270"/>
        <w:jc w:val="both"/>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261AAC">
      <w:pPr>
        <w:ind w:right="270" w:firstLine="720"/>
        <w:jc w:val="both"/>
      </w:pPr>
    </w:p>
    <w:p w14:paraId="33AE755F" w14:textId="25D9891C" w:rsidR="006F47E9" w:rsidRDefault="006F47E9" w:rsidP="00261AAC">
      <w:pPr>
        <w:ind w:right="270"/>
        <w:jc w:val="both"/>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261AAC">
      <w:pPr>
        <w:ind w:right="270"/>
        <w:jc w:val="both"/>
      </w:pPr>
    </w:p>
    <w:p w14:paraId="44F233EF" w14:textId="52010C59" w:rsidR="006C520D" w:rsidRDefault="006F47E9" w:rsidP="00261AAC">
      <w:pPr>
        <w:ind w:right="270"/>
        <w:jc w:val="both"/>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261AAC">
      <w:pPr>
        <w:ind w:right="270"/>
        <w:jc w:val="both"/>
      </w:pPr>
    </w:p>
    <w:p w14:paraId="07A0D19B" w14:textId="6E12D7B7" w:rsidR="00621B1C" w:rsidRPr="00C30DD1" w:rsidRDefault="00621B1C" w:rsidP="00261AAC">
      <w:pPr>
        <w:ind w:right="270"/>
        <w:jc w:val="both"/>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261AAC">
      <w:pPr>
        <w:ind w:right="270"/>
        <w:jc w:val="both"/>
      </w:pPr>
    </w:p>
    <w:p w14:paraId="7C2F39F0" w14:textId="77777777" w:rsidR="006F47E9" w:rsidRPr="00D417D1" w:rsidRDefault="006F47E9" w:rsidP="00261AAC">
      <w:pPr>
        <w:ind w:right="270"/>
        <w:jc w:val="both"/>
        <w:rPr>
          <w:color w:val="FF0000"/>
        </w:rPr>
      </w:pPr>
    </w:p>
    <w:p w14:paraId="3ACEB2C2" w14:textId="77777777" w:rsidR="006F47E9" w:rsidRPr="00E05524" w:rsidRDefault="006F47E9" w:rsidP="00261AAC">
      <w:pPr>
        <w:pStyle w:val="Heading2"/>
        <w:jc w:val="both"/>
      </w:pPr>
      <w:r w:rsidRPr="00E05524">
        <w:t>Long-read library prep &amp; sequencing</w:t>
      </w:r>
      <w:r>
        <w:t xml:space="preserve"> (Figure 1C)</w:t>
      </w:r>
    </w:p>
    <w:p w14:paraId="26AC9F02" w14:textId="77777777" w:rsidR="006F47E9" w:rsidRDefault="006F47E9" w:rsidP="00261AAC">
      <w:pPr>
        <w:ind w:right="270"/>
        <w:jc w:val="both"/>
        <w:rPr>
          <w:i/>
        </w:rPr>
      </w:pPr>
      <w:r>
        <w:rPr>
          <w:i/>
        </w:rPr>
        <w:t>Methods</w:t>
      </w:r>
    </w:p>
    <w:p w14:paraId="475CE418" w14:textId="08959946" w:rsidR="006F47E9" w:rsidRDefault="006F47E9" w:rsidP="00261AAC">
      <w:pPr>
        <w:ind w:right="270"/>
        <w:jc w:val="both"/>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261AAC">
      <w:pPr>
        <w:ind w:right="270"/>
        <w:jc w:val="both"/>
      </w:pPr>
    </w:p>
    <w:p w14:paraId="4F4FFCF6" w14:textId="0B4829DA" w:rsidR="00F750C6" w:rsidRDefault="006C520D" w:rsidP="00261AAC">
      <w:pPr>
        <w:jc w:val="both"/>
      </w:pPr>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261AAC">
      <w:pPr>
        <w:ind w:right="270"/>
        <w:jc w:val="both"/>
      </w:pPr>
    </w:p>
    <w:p w14:paraId="54CEE120" w14:textId="77777777" w:rsidR="00553E10" w:rsidRDefault="00553E10" w:rsidP="00261AAC">
      <w:pPr>
        <w:ind w:right="270"/>
        <w:jc w:val="both"/>
      </w:pPr>
      <w:r w:rsidRPr="00CA16F0">
        <w:rPr>
          <w:i/>
        </w:rPr>
        <w:t>Results</w:t>
      </w:r>
    </w:p>
    <w:p w14:paraId="1DA818DF" w14:textId="08F572F8" w:rsidR="00553E10" w:rsidRDefault="00F750C6" w:rsidP="00261AAC">
      <w:pPr>
        <w:ind w:right="270"/>
        <w:jc w:val="both"/>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261AAC">
      <w:pPr>
        <w:ind w:right="270"/>
        <w:jc w:val="both"/>
      </w:pPr>
    </w:p>
    <w:p w14:paraId="211C76D7" w14:textId="77777777" w:rsidR="007809DC" w:rsidRDefault="007809DC" w:rsidP="00261AAC">
      <w:pPr>
        <w:ind w:right="270"/>
        <w:jc w:val="both"/>
      </w:pPr>
    </w:p>
    <w:p w14:paraId="5553AD60" w14:textId="77777777" w:rsidR="00ED075F" w:rsidRDefault="00ED075F" w:rsidP="00261AAC">
      <w:pPr>
        <w:pStyle w:val="Heading2"/>
        <w:jc w:val="both"/>
      </w:pPr>
      <w:r>
        <w:t>Linked-read</w:t>
      </w:r>
      <w:r w:rsidRPr="00490077">
        <w:t xml:space="preserve"> library prep &amp; sequencing</w:t>
      </w:r>
      <w:r>
        <w:t xml:space="preserve"> (Figure 1C)</w:t>
      </w:r>
    </w:p>
    <w:p w14:paraId="062F315E" w14:textId="77777777" w:rsidR="00ED075F" w:rsidRDefault="00ED075F" w:rsidP="00261AAC">
      <w:pPr>
        <w:ind w:right="270"/>
        <w:jc w:val="both"/>
        <w:rPr>
          <w:i/>
        </w:rPr>
      </w:pPr>
      <w:r>
        <w:rPr>
          <w:i/>
        </w:rPr>
        <w:t>Methods</w:t>
      </w:r>
    </w:p>
    <w:p w14:paraId="5B858F6E" w14:textId="77777777" w:rsidR="00ED075F" w:rsidRPr="006C520D" w:rsidRDefault="00ED075F" w:rsidP="00261AAC">
      <w:pPr>
        <w:ind w:right="270"/>
        <w:jc w:val="both"/>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261AAC">
      <w:pPr>
        <w:ind w:right="270"/>
        <w:jc w:val="both"/>
      </w:pPr>
    </w:p>
    <w:p w14:paraId="78E43AFE" w14:textId="77777777" w:rsidR="00ED075F" w:rsidRPr="003F70AA" w:rsidRDefault="00ED075F" w:rsidP="00261AAC">
      <w:pPr>
        <w:ind w:right="270"/>
        <w:jc w:val="both"/>
        <w:rPr>
          <w:i/>
        </w:rPr>
      </w:pPr>
      <w:r>
        <w:rPr>
          <w:i/>
        </w:rPr>
        <w:t>R</w:t>
      </w:r>
      <w:r w:rsidRPr="00CB5BF7">
        <w:rPr>
          <w:i/>
        </w:rPr>
        <w:t>esults</w:t>
      </w:r>
    </w:p>
    <w:p w14:paraId="66B81942" w14:textId="77777777" w:rsidR="00ED075F" w:rsidRPr="0092079B" w:rsidRDefault="00ED075F" w:rsidP="00261AAC">
      <w:pPr>
        <w:ind w:right="270"/>
        <w:jc w:val="both"/>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261AAC">
      <w:pPr>
        <w:ind w:right="270"/>
        <w:jc w:val="both"/>
      </w:pPr>
    </w:p>
    <w:p w14:paraId="658B3FA7" w14:textId="77777777" w:rsidR="007809DC" w:rsidRDefault="007809DC" w:rsidP="00261AAC">
      <w:pPr>
        <w:ind w:right="270"/>
        <w:jc w:val="both"/>
      </w:pPr>
    </w:p>
    <w:p w14:paraId="085016C4" w14:textId="4A4EA24B" w:rsidR="00ED075F" w:rsidRDefault="00ED075F" w:rsidP="00261AAC">
      <w:pPr>
        <w:pStyle w:val="Heading2"/>
        <w:jc w:val="both"/>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261AAC">
      <w:pPr>
        <w:ind w:right="270"/>
        <w:jc w:val="both"/>
        <w:rPr>
          <w:i/>
        </w:rPr>
      </w:pPr>
      <w:r>
        <w:rPr>
          <w:i/>
        </w:rPr>
        <w:t>Methods</w:t>
      </w:r>
    </w:p>
    <w:p w14:paraId="32F971F2" w14:textId="3BD3A08D" w:rsidR="00744B37" w:rsidRDefault="003E196B" w:rsidP="00261AAC">
      <w:pPr>
        <w:ind w:right="270"/>
        <w:jc w:val="both"/>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w:t>
      </w:r>
      <w:r w:rsidR="00744B37">
        <w:lastRenderedPageBreak/>
        <w:t xml:space="preserve">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261AAC">
      <w:pPr>
        <w:ind w:right="270"/>
        <w:jc w:val="both"/>
      </w:pPr>
    </w:p>
    <w:p w14:paraId="65298862" w14:textId="65AF53B2" w:rsidR="00ED075F" w:rsidRDefault="00ED075F" w:rsidP="00261AAC">
      <w:pPr>
        <w:ind w:right="270"/>
        <w:jc w:val="both"/>
        <w:rPr>
          <w:i/>
        </w:rPr>
      </w:pPr>
      <w:r>
        <w:rPr>
          <w:i/>
        </w:rPr>
        <w:t>Results</w:t>
      </w:r>
    </w:p>
    <w:p w14:paraId="7ECEF8BE" w14:textId="40C3167E" w:rsidR="00ED075F" w:rsidRDefault="00ED075F" w:rsidP="00261AAC">
      <w:pPr>
        <w:ind w:right="270"/>
        <w:jc w:val="both"/>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261AAC">
      <w:pPr>
        <w:ind w:right="270"/>
        <w:jc w:val="both"/>
      </w:pPr>
    </w:p>
    <w:p w14:paraId="12E31764" w14:textId="77777777" w:rsidR="007809DC" w:rsidRDefault="007809DC" w:rsidP="00261AAC">
      <w:pPr>
        <w:ind w:right="270"/>
        <w:jc w:val="both"/>
      </w:pPr>
    </w:p>
    <w:p w14:paraId="6EB95429" w14:textId="710EC926" w:rsidR="002C4E60" w:rsidRDefault="002C4E60"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261AAC">
      <w:pPr>
        <w:ind w:right="270"/>
        <w:jc w:val="both"/>
        <w:rPr>
          <w:b/>
          <w:i/>
        </w:rPr>
      </w:pPr>
    </w:p>
    <w:p w14:paraId="3299419F" w14:textId="77777777" w:rsidR="007809DC" w:rsidRDefault="007809DC" w:rsidP="00261AAC">
      <w:pPr>
        <w:ind w:right="270"/>
        <w:jc w:val="both"/>
        <w:rPr>
          <w:b/>
          <w:i/>
        </w:rPr>
      </w:pPr>
    </w:p>
    <w:p w14:paraId="6D15DC34" w14:textId="703D4C70" w:rsidR="006F47E9" w:rsidRDefault="006F47E9" w:rsidP="00261AAC">
      <w:pPr>
        <w:pStyle w:val="Heading2"/>
        <w:jc w:val="both"/>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261AAC">
      <w:pPr>
        <w:ind w:right="270"/>
        <w:jc w:val="both"/>
        <w:rPr>
          <w:i/>
        </w:rPr>
      </w:pPr>
      <w:r w:rsidRPr="00E05524">
        <w:rPr>
          <w:i/>
        </w:rPr>
        <w:t>Methods</w:t>
      </w:r>
    </w:p>
    <w:p w14:paraId="72BDE343" w14:textId="2D05026A" w:rsidR="006F47E9" w:rsidRDefault="006F47E9" w:rsidP="00261AAC">
      <w:pPr>
        <w:jc w:val="both"/>
      </w:pPr>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261AAC">
      <w:pPr>
        <w:jc w:val="both"/>
      </w:pPr>
    </w:p>
    <w:p w14:paraId="0B9B1AA6" w14:textId="2EE1CD5A" w:rsidR="00EC7D9F" w:rsidRDefault="00EC7D9F" w:rsidP="00261AAC">
      <w:pPr>
        <w:ind w:right="270"/>
        <w:jc w:val="both"/>
        <w:rPr>
          <w:i/>
        </w:rPr>
      </w:pPr>
      <w:r>
        <w:rPr>
          <w:i/>
        </w:rPr>
        <w:t>Results</w:t>
      </w:r>
    </w:p>
    <w:p w14:paraId="33F1E8BA" w14:textId="6AB62537" w:rsidR="00EC7D9F" w:rsidRPr="0092079B" w:rsidRDefault="000176C2" w:rsidP="00261AAC">
      <w:pPr>
        <w:ind w:right="270"/>
        <w:jc w:val="both"/>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261AAC">
      <w:pPr>
        <w:jc w:val="both"/>
      </w:pPr>
    </w:p>
    <w:p w14:paraId="03051395" w14:textId="77777777" w:rsidR="00457C75" w:rsidRPr="00D417D1" w:rsidRDefault="00457C75" w:rsidP="00261AAC">
      <w:pPr>
        <w:ind w:right="270"/>
        <w:jc w:val="both"/>
      </w:pPr>
    </w:p>
    <w:p w14:paraId="74CCFB44" w14:textId="3C7D5DC5" w:rsidR="00457C75" w:rsidRPr="00ED5520" w:rsidRDefault="00457C75" w:rsidP="00261AAC">
      <w:pPr>
        <w:pStyle w:val="Heading2"/>
        <w:jc w:val="both"/>
      </w:pPr>
      <w:r w:rsidRPr="00ED5520">
        <w:t>Linked-read post-sequencing quality control</w:t>
      </w:r>
      <w:r>
        <w:t xml:space="preserve"> (Figure 1</w:t>
      </w:r>
      <w:r w:rsidR="00D875FB">
        <w:t>C</w:t>
      </w:r>
      <w:r>
        <w:t>)</w:t>
      </w:r>
    </w:p>
    <w:p w14:paraId="76D059C7" w14:textId="77777777" w:rsidR="00457C75" w:rsidRPr="00ED5520" w:rsidRDefault="00457C75" w:rsidP="00261AAC">
      <w:pPr>
        <w:ind w:right="270"/>
        <w:jc w:val="both"/>
        <w:rPr>
          <w:i/>
        </w:rPr>
      </w:pPr>
      <w:r>
        <w:rPr>
          <w:i/>
        </w:rPr>
        <w:t>Methods</w:t>
      </w:r>
    </w:p>
    <w:p w14:paraId="32111BA8" w14:textId="72892593" w:rsidR="00457C75" w:rsidRDefault="00457C75" w:rsidP="00261AAC">
      <w:pPr>
        <w:ind w:right="270"/>
        <w:jc w:val="both"/>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261AAC">
      <w:pPr>
        <w:ind w:right="270" w:firstLine="720"/>
        <w:jc w:val="both"/>
      </w:pPr>
    </w:p>
    <w:p w14:paraId="7E70A220" w14:textId="423DFA18" w:rsidR="00457C75" w:rsidRPr="0014278B" w:rsidRDefault="003F70AA" w:rsidP="00261AAC">
      <w:pPr>
        <w:ind w:right="270"/>
        <w:jc w:val="both"/>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Uncontaminated samples are expected to have a single peak with a surplus of k-mers at a very low frequency </w:t>
      </w:r>
      <w:r w:rsidR="007521D6">
        <w:lastRenderedPageBreak/>
        <w:t>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261AAC">
      <w:pPr>
        <w:ind w:right="270"/>
        <w:jc w:val="both"/>
      </w:pPr>
    </w:p>
    <w:p w14:paraId="24B2C36C" w14:textId="648181BE" w:rsidR="005738DD" w:rsidRPr="00D96AC9" w:rsidRDefault="005738DD" w:rsidP="00261AAC">
      <w:pPr>
        <w:ind w:right="270"/>
        <w:jc w:val="both"/>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261AAC">
      <w:pPr>
        <w:ind w:right="270"/>
        <w:jc w:val="both"/>
        <w:rPr>
          <w:i/>
        </w:rPr>
      </w:pPr>
    </w:p>
    <w:p w14:paraId="71EDBEE3" w14:textId="2B23550C" w:rsidR="003F70AA" w:rsidRDefault="003F70AA" w:rsidP="00261AAC">
      <w:pPr>
        <w:ind w:right="270"/>
        <w:jc w:val="both"/>
        <w:rPr>
          <w:i/>
        </w:rPr>
      </w:pPr>
      <w:r>
        <w:rPr>
          <w:i/>
        </w:rPr>
        <w:t>Results</w:t>
      </w:r>
    </w:p>
    <w:p w14:paraId="580FA42B" w14:textId="2ADEBE87" w:rsidR="003F70AA" w:rsidRPr="00D96AC9" w:rsidRDefault="003F70AA" w:rsidP="00261AAC">
      <w:pPr>
        <w:ind w:right="270"/>
        <w:jc w:val="both"/>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261AAC">
      <w:pPr>
        <w:ind w:right="270"/>
        <w:jc w:val="both"/>
      </w:pPr>
    </w:p>
    <w:p w14:paraId="035F8A7D" w14:textId="77777777" w:rsidR="00457C75" w:rsidRDefault="00457C75" w:rsidP="00261AAC">
      <w:pPr>
        <w:jc w:val="both"/>
      </w:pPr>
    </w:p>
    <w:p w14:paraId="230E25BB" w14:textId="3C0374A8" w:rsidR="00457C75" w:rsidRPr="00E05524" w:rsidRDefault="00457C75" w:rsidP="00261AAC">
      <w:pPr>
        <w:pStyle w:val="Heading2"/>
        <w:jc w:val="both"/>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261AAC">
      <w:pPr>
        <w:ind w:right="270"/>
        <w:jc w:val="both"/>
        <w:rPr>
          <w:i/>
        </w:rPr>
      </w:pPr>
      <w:r w:rsidRPr="00E05524">
        <w:rPr>
          <w:i/>
        </w:rPr>
        <w:t>Methods</w:t>
      </w:r>
    </w:p>
    <w:p w14:paraId="7E57F4FF" w14:textId="33694909" w:rsidR="004E0DAE" w:rsidRDefault="004E0DAE" w:rsidP="00261AAC">
      <w:pPr>
        <w:ind w:right="270"/>
        <w:jc w:val="both"/>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261AAC">
      <w:pPr>
        <w:ind w:right="270"/>
        <w:jc w:val="both"/>
      </w:pPr>
      <w:r>
        <w:t xml:space="preserve"> </w:t>
      </w:r>
    </w:p>
    <w:p w14:paraId="263F83B5" w14:textId="67A466E0" w:rsidR="00457C75" w:rsidRPr="00E05524" w:rsidRDefault="00867C19" w:rsidP="00261AAC">
      <w:pPr>
        <w:ind w:right="270"/>
        <w:jc w:val="both"/>
        <w:rPr>
          <w:i/>
        </w:rPr>
      </w:pPr>
      <w:r>
        <w:rPr>
          <w:i/>
        </w:rPr>
        <w:t>Results</w:t>
      </w:r>
    </w:p>
    <w:p w14:paraId="6DAC8799" w14:textId="3FC71822" w:rsidR="00457C75" w:rsidRDefault="00867C19" w:rsidP="00261AAC">
      <w:pPr>
        <w:ind w:right="270"/>
        <w:jc w:val="both"/>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261AAC">
      <w:pPr>
        <w:jc w:val="both"/>
      </w:pPr>
    </w:p>
    <w:p w14:paraId="4B7AE63E" w14:textId="77777777" w:rsidR="00457C75" w:rsidRPr="00D417D1" w:rsidRDefault="00457C75" w:rsidP="00261AAC">
      <w:pPr>
        <w:ind w:right="270"/>
        <w:jc w:val="both"/>
      </w:pPr>
    </w:p>
    <w:p w14:paraId="018B102E" w14:textId="02C91B92" w:rsidR="006F47E9" w:rsidRPr="00E05524" w:rsidRDefault="00867C19" w:rsidP="00261AAC">
      <w:pPr>
        <w:pStyle w:val="Heading2"/>
        <w:jc w:val="both"/>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261AAC">
      <w:pPr>
        <w:ind w:right="270"/>
        <w:jc w:val="both"/>
        <w:rPr>
          <w:i/>
        </w:rPr>
      </w:pPr>
      <w:r>
        <w:rPr>
          <w:i/>
        </w:rPr>
        <w:t xml:space="preserve">Methods </w:t>
      </w:r>
    </w:p>
    <w:p w14:paraId="4429CB29" w14:textId="7A74DE0B" w:rsidR="0070701F" w:rsidRDefault="0070701F" w:rsidP="00261AAC">
      <w:pPr>
        <w:ind w:right="270"/>
        <w:jc w:val="both"/>
      </w:pPr>
      <w:r>
        <w:t>Step 1: Use long-read sequencing data to create Draft Assembly A</w:t>
      </w:r>
    </w:p>
    <w:p w14:paraId="7D25CCEB" w14:textId="31DDD751" w:rsidR="0070701F" w:rsidRDefault="00237860" w:rsidP="00261AAC">
      <w:pPr>
        <w:ind w:right="270"/>
        <w:jc w:val="both"/>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xml:space="preserve">, and phased into primary and alternative </w:t>
      </w:r>
      <w:r w:rsidR="00927DF1">
        <w:lastRenderedPageBreak/>
        <w:t>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261AAC">
      <w:pPr>
        <w:ind w:right="270"/>
        <w:jc w:val="both"/>
      </w:pPr>
    </w:p>
    <w:p w14:paraId="7F87BDD6" w14:textId="42A0E77F" w:rsidR="0070701F" w:rsidRDefault="0070701F" w:rsidP="00261AAC">
      <w:pPr>
        <w:ind w:right="270"/>
        <w:jc w:val="both"/>
      </w:pPr>
      <w:r>
        <w:t>Step 2: Incorporate linked-reads into Draft Assembly A to produce Draft Assembly B</w:t>
      </w:r>
    </w:p>
    <w:p w14:paraId="08D6C878" w14:textId="0A071F36" w:rsidR="0070701F" w:rsidRDefault="00927DF1" w:rsidP="00261AAC">
      <w:pPr>
        <w:ind w:right="270"/>
        <w:jc w:val="both"/>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261AAC">
      <w:pPr>
        <w:ind w:right="270"/>
        <w:jc w:val="both"/>
      </w:pPr>
    </w:p>
    <w:p w14:paraId="676EFBB5" w14:textId="0DFEFB8A" w:rsidR="0070701F" w:rsidRDefault="0070701F" w:rsidP="00261AAC">
      <w:pPr>
        <w:ind w:right="270"/>
        <w:jc w:val="both"/>
      </w:pPr>
      <w:r>
        <w:t>Step 3: Incorporate hi-c data into Draft Assembly B to produce Draft Assembly C</w:t>
      </w:r>
    </w:p>
    <w:p w14:paraId="3360C633" w14:textId="6642389F" w:rsidR="001846C6" w:rsidRDefault="00A20406" w:rsidP="00261AAC">
      <w:pPr>
        <w:ind w:right="270"/>
        <w:jc w:val="both"/>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261AAC">
      <w:pPr>
        <w:ind w:right="270"/>
        <w:jc w:val="both"/>
      </w:pPr>
    </w:p>
    <w:p w14:paraId="0EE4B812" w14:textId="1B5B53F0" w:rsidR="0070701F" w:rsidRDefault="0070701F" w:rsidP="00261AAC">
      <w:pPr>
        <w:ind w:right="270"/>
        <w:jc w:val="both"/>
      </w:pPr>
      <w:r>
        <w:t>Step 4: Use linkage map with Draft Assembly C to produce Final Assembly</w:t>
      </w:r>
    </w:p>
    <w:p w14:paraId="3BE1766A" w14:textId="105DF43C" w:rsidR="008E544E" w:rsidRDefault="00A20406" w:rsidP="00261AAC">
      <w:pPr>
        <w:ind w:right="270"/>
        <w:jc w:val="both"/>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261AAC">
      <w:pPr>
        <w:ind w:right="270"/>
        <w:jc w:val="both"/>
      </w:pPr>
    </w:p>
    <w:p w14:paraId="154F37AD" w14:textId="7555560E" w:rsidR="009D62D5" w:rsidRDefault="009D62D5" w:rsidP="00261AAC">
      <w:pPr>
        <w:ind w:right="270"/>
        <w:jc w:val="both"/>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261AAC">
      <w:pPr>
        <w:ind w:right="270"/>
        <w:jc w:val="both"/>
        <w:rPr>
          <w:color w:val="FF0000"/>
        </w:rPr>
      </w:pPr>
    </w:p>
    <w:p w14:paraId="1249177A" w14:textId="53D962F5" w:rsidR="00867C19" w:rsidRDefault="00867C19" w:rsidP="00261AAC">
      <w:pPr>
        <w:ind w:right="270"/>
        <w:jc w:val="both"/>
        <w:rPr>
          <w:i/>
        </w:rPr>
      </w:pPr>
      <w:r>
        <w:rPr>
          <w:i/>
        </w:rPr>
        <w:t>Results</w:t>
      </w:r>
    </w:p>
    <w:p w14:paraId="48A46166" w14:textId="343A60FE" w:rsidR="00AB4990" w:rsidRDefault="008673C5" w:rsidP="00261AAC">
      <w:pPr>
        <w:ind w:right="270"/>
        <w:jc w:val="both"/>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261AAC">
      <w:pPr>
        <w:ind w:right="270"/>
        <w:jc w:val="both"/>
      </w:pPr>
    </w:p>
    <w:p w14:paraId="75757E52" w14:textId="729F32F9" w:rsidR="00D46F6C" w:rsidRDefault="00D46F6C" w:rsidP="00261AAC">
      <w:pPr>
        <w:ind w:right="270"/>
        <w:jc w:val="both"/>
      </w:pPr>
    </w:p>
    <w:p w14:paraId="60736A9F" w14:textId="77777777" w:rsidR="00261AAC" w:rsidRDefault="00261AAC" w:rsidP="00261AAC">
      <w:pPr>
        <w:ind w:right="270"/>
        <w:jc w:val="both"/>
      </w:pPr>
    </w:p>
    <w:p w14:paraId="5FCB745E" w14:textId="77777777"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85974">
        <w:rPr>
          <w:b/>
          <w:bCs/>
          <w:u w:val="single"/>
        </w:rPr>
        <w:lastRenderedPageBreak/>
        <w:t>BOX 4</w:t>
      </w:r>
      <w:r>
        <w:t>: Assembly statistics</w:t>
      </w:r>
    </w:p>
    <w:p w14:paraId="1D893BF0" w14:textId="3C36D5C0"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sz w:val="10"/>
          <w:szCs w:val="10"/>
        </w:rPr>
      </w:pPr>
      <w:r w:rsidRPr="00D46F6C">
        <w:rPr>
          <w:sz w:val="10"/>
          <w:szCs w:val="10"/>
        </w:rPr>
        <w:t>Figure taken from: https://www.molecularecologist.com/2017/03/29/whats-n50/</w:t>
      </w:r>
    </w:p>
    <w:p w14:paraId="13476037" w14:textId="3442E936" w:rsidR="003A7140" w:rsidRDefault="003A7140" w:rsidP="00261AAC">
      <w:pPr>
        <w:ind w:right="270"/>
        <w:jc w:val="both"/>
      </w:pPr>
    </w:p>
    <w:p w14:paraId="434450C9" w14:textId="7C947755" w:rsidR="003A7140" w:rsidRPr="003A7140" w:rsidRDefault="00A11F46" w:rsidP="00261AAC">
      <w:pPr>
        <w:pStyle w:val="Heading2"/>
        <w:jc w:val="both"/>
      </w:pPr>
      <w:r w:rsidRPr="003A7140">
        <w:t>Cytogenic</w:t>
      </w:r>
      <w:r w:rsidR="003A7140">
        <w:t xml:space="preserve"> (Karyotype)</w:t>
      </w:r>
      <w:r w:rsidR="003A7140" w:rsidRPr="003A7140">
        <w:t xml:space="preserve"> Chromosome Validation</w:t>
      </w:r>
    </w:p>
    <w:p w14:paraId="2EDC15F9" w14:textId="3A860F4C" w:rsidR="003A7140" w:rsidRDefault="003A7140" w:rsidP="00261AAC">
      <w:pPr>
        <w:jc w:val="both"/>
      </w:pPr>
      <w:r>
        <w:rPr>
          <w:i/>
          <w:iCs/>
        </w:rPr>
        <w:t>Methods</w:t>
      </w:r>
    </w:p>
    <w:p w14:paraId="59AF609A" w14:textId="674E660A" w:rsidR="003A7140" w:rsidRDefault="00A11F46" w:rsidP="00261AAC">
      <w:pPr>
        <w:jc w:val="both"/>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261AAC">
      <w:pPr>
        <w:jc w:val="both"/>
        <w:rPr>
          <w:rFonts w:ascii="Times" w:hAnsi="Times"/>
        </w:rPr>
      </w:pPr>
    </w:p>
    <w:p w14:paraId="4C43BAF6" w14:textId="3C8F625F" w:rsidR="003A7140" w:rsidRDefault="003A7140" w:rsidP="00261AAC">
      <w:pPr>
        <w:jc w:val="both"/>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261AAC">
      <w:pPr>
        <w:ind w:right="270"/>
        <w:jc w:val="both"/>
      </w:pPr>
    </w:p>
    <w:p w14:paraId="3A78772E" w14:textId="77777777" w:rsidR="0015704C" w:rsidRDefault="00A11F46" w:rsidP="00261AAC">
      <w:pPr>
        <w:jc w:val="both"/>
      </w:pPr>
      <w:r>
        <w:rPr>
          <w:i/>
          <w:iCs/>
        </w:rPr>
        <w:t>Results</w:t>
      </w:r>
    </w:p>
    <w:p w14:paraId="1BE23904" w14:textId="474AB536" w:rsidR="00A11F46" w:rsidRDefault="00A11F46" w:rsidP="00261AAC">
      <w:pPr>
        <w:jc w:val="both"/>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261AAC">
      <w:pPr>
        <w:ind w:right="270"/>
        <w:jc w:val="both"/>
      </w:pPr>
    </w:p>
    <w:p w14:paraId="278328C0" w14:textId="3C97D572" w:rsidR="001B4B9F" w:rsidRPr="00D96AC9" w:rsidRDefault="00106145" w:rsidP="00261AAC">
      <w:pPr>
        <w:pStyle w:val="Heading1"/>
        <w:jc w:val="both"/>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261AAC">
      <w:pPr>
        <w:ind w:right="270"/>
        <w:jc w:val="both"/>
        <w:rPr>
          <w:b/>
        </w:rPr>
      </w:pPr>
    </w:p>
    <w:p w14:paraId="582DEB3C" w14:textId="52086DA3" w:rsidR="001B4B9F" w:rsidRDefault="00A85974" w:rsidP="00261AAC">
      <w:pPr>
        <w:pStyle w:val="Heading2"/>
        <w:jc w:val="both"/>
      </w:pPr>
      <w:r>
        <w:t>Background</w:t>
      </w:r>
    </w:p>
    <w:p w14:paraId="7C1008FB" w14:textId="4169B345" w:rsidR="001B4B9F" w:rsidRDefault="001B4B9F" w:rsidP="00261AAC">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presents more power to make precise estimates by increasing the number of putatively neutral markers.</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261AAC">
      <w:pPr>
        <w:ind w:right="270"/>
        <w:jc w:val="both"/>
        <w:rPr>
          <w:bCs/>
          <w:iCs/>
        </w:rPr>
      </w:pPr>
    </w:p>
    <w:p w14:paraId="45F0E79F" w14:textId="17E39EFD" w:rsidR="000532D5" w:rsidRDefault="006A7615" w:rsidP="00261AAC">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in monitoring endangered populations as it can inform how likely alleles are 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 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1B4B9F" w:rsidRPr="001B4B9F">
        <w:rPr>
          <w:bCs/>
          <w:iCs/>
          <w:lang w:val="en"/>
        </w:rPr>
        <w:t xml:space="preserve"> </w:t>
      </w:r>
      <w:r w:rsidR="000532D5">
        <w:rPr>
          <w:bCs/>
          <w:iCs/>
          <w:lang w:val="en"/>
        </w:rPr>
        <w:t xml:space="preserve">That is, an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532D5">
        <w:rPr>
          <w:bCs/>
          <w:iCs/>
          <w:lang w:val="en"/>
        </w:rPr>
        <w:t>is a single amount tied to the observation of many frequencies within a population based on the probability of called genotypes</w:t>
      </w:r>
      <w:r w:rsidR="00D17773">
        <w:rPr>
          <w:bCs/>
          <w:iCs/>
          <w:lang w:val="en"/>
        </w:rPr>
        <w:t xml:space="preserve"> at each of those locations</w:t>
      </w:r>
      <w:r w:rsidR="000532D5">
        <w:rPr>
          <w:bCs/>
          <w:iCs/>
          <w:lang w:val="en"/>
        </w:rPr>
        <w:t>. Estimations can be highly variable depending on statistical priors and may not be useful as an absolute value taken alone and without further modeling. Therefore, the purpose of this study is to observe trends in the delta smelt population</w:t>
      </w:r>
      <w:r w:rsidR="00D17773">
        <w:rPr>
          <w:bCs/>
          <w:iCs/>
          <w:lang w:val="en"/>
        </w:rPr>
        <w:t xml:space="preserve"> through time</w:t>
      </w:r>
      <w:r w:rsidR="000532D5">
        <w:rPr>
          <w:bCs/>
          <w:iCs/>
          <w:lang w:val="en"/>
        </w:rPr>
        <w:t>.</w:t>
      </w:r>
    </w:p>
    <w:p w14:paraId="7885BF33" w14:textId="77777777" w:rsidR="000532D5" w:rsidRDefault="000532D5" w:rsidP="00261AAC">
      <w:pPr>
        <w:ind w:right="270"/>
        <w:jc w:val="both"/>
        <w:rPr>
          <w:bCs/>
          <w:iCs/>
          <w:lang w:val="en"/>
        </w:rPr>
      </w:pPr>
    </w:p>
    <w:p w14:paraId="0FF9D580" w14:textId="3F952747" w:rsidR="001B4B9F" w:rsidRPr="001B4B9F" w:rsidRDefault="001B4B9F" w:rsidP="00261AAC">
      <w:pPr>
        <w:ind w:right="270"/>
        <w:jc w:val="both"/>
        <w:rPr>
          <w:bCs/>
          <w:iCs/>
          <w:lang w:val="en"/>
        </w:rPr>
      </w:pPr>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Contemporary methods </w:t>
      </w:r>
      <w:r w:rsidR="00D17773">
        <w:rPr>
          <w:bCs/>
          <w:iCs/>
          <w:lang w:val="en"/>
        </w:rPr>
        <w:t xml:space="preserve">can </w:t>
      </w:r>
      <w:r w:rsidRPr="001B4B9F">
        <w:rPr>
          <w:bCs/>
          <w:iCs/>
          <w:lang w:val="en"/>
        </w:rPr>
        <w:t xml:space="preserve">use different genetic parameters </w:t>
      </w:r>
      <w:r w:rsidR="00D17773">
        <w:rPr>
          <w:bCs/>
          <w:iCs/>
          <w:lang w:val="en"/>
        </w:rPr>
        <w:t>with</w:t>
      </w:r>
      <w:r w:rsidR="006A7615">
        <w:rPr>
          <w:bCs/>
          <w:iCs/>
          <w:lang w:val="en"/>
        </w:rPr>
        <w:t xml:space="preserve"> temporal </w:t>
      </w:r>
      <w:r w:rsidRPr="001B4B9F">
        <w:rPr>
          <w:bCs/>
          <w:iCs/>
          <w:lang w:val="en"/>
        </w:rPr>
        <w:t>allele frequency variance between generations (genetic drift)</w:t>
      </w:r>
      <w:r w:rsidR="00D17773">
        <w:rPr>
          <w:bCs/>
          <w:iCs/>
          <w:lang w:val="en"/>
        </w:rPr>
        <w:t xml:space="preserve"> being a widely used and reliable for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17773">
        <w:rPr>
          <w:bCs/>
          <w:iCs/>
          <w:lang w:val="en"/>
        </w:rPr>
        <w:t xml:space="preserve"> estimation</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important when protecting endangered species </w:t>
      </w:r>
      <w:r w:rsidR="006A7615">
        <w:rPr>
          <w:bCs/>
          <w:iCs/>
          <w:lang w:val="en"/>
        </w:rPr>
        <w:t>to</w:t>
      </w:r>
      <w:r w:rsidRPr="001B4B9F">
        <w:rPr>
          <w:bCs/>
          <w:iCs/>
          <w:lang w:val="en"/>
        </w:rPr>
        <w:t xml:space="preserve"> seek to increase or maintain genetic diversity, as it is the raw component for natural selection to act on</w:t>
      </w:r>
      <w:r w:rsidR="006A7615">
        <w:rPr>
          <w:bCs/>
          <w:iCs/>
          <w:lang w:val="en"/>
        </w:rPr>
        <w:t xml:space="preserve">, and better </w:t>
      </w:r>
      <w:r w:rsidR="00D17773">
        <w:rPr>
          <w:bCs/>
          <w:iCs/>
          <w:lang w:val="en"/>
        </w:rPr>
        <w:t>understand</w:t>
      </w:r>
      <w:r w:rsidR="006A7615">
        <w:rPr>
          <w:bCs/>
          <w:iCs/>
          <w:lang w:val="en"/>
        </w:rPr>
        <w:t xml:space="preserve"> how management practices may be effecting the genetic diversity of </w:t>
      </w:r>
      <w:r w:rsidR="00D17773">
        <w:rPr>
          <w:bCs/>
          <w:iCs/>
          <w:lang w:val="en"/>
        </w:rPr>
        <w:t>populations</w:t>
      </w:r>
      <w:r w:rsidRPr="001B4B9F">
        <w:rPr>
          <w:bCs/>
          <w:iCs/>
          <w:lang w:val="en"/>
        </w:rPr>
        <w:t xml:space="preserve">. </w:t>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261AAC">
      <w:pPr>
        <w:ind w:right="270"/>
        <w:jc w:val="both"/>
        <w:rPr>
          <w:bCs/>
          <w:iCs/>
          <w:lang w:val="en"/>
        </w:rPr>
      </w:pPr>
      <w:r w:rsidRPr="001B4B9F">
        <w:rPr>
          <w:bCs/>
          <w:iCs/>
          <w:lang w:val="en"/>
        </w:rPr>
        <w:t xml:space="preserve"> </w:t>
      </w:r>
    </w:p>
    <w:p w14:paraId="1D143A46" w14:textId="3620B088" w:rsidR="001B4B9F" w:rsidRPr="001B4B9F" w:rsidRDefault="001B4B9F" w:rsidP="00261AAC">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from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r w:rsidR="00D17773">
        <w:rPr>
          <w:bCs/>
          <w:iCs/>
          <w:lang w:val="en"/>
        </w:rPr>
        <w:t>––and using more markers</w:t>
      </w:r>
      <w:r w:rsidR="006A7615">
        <w:rPr>
          <w:bCs/>
          <w:iCs/>
          <w:lang w:val="en"/>
        </w:rPr>
        <w:t>.</w:t>
      </w:r>
    </w:p>
    <w:p w14:paraId="77D8C357" w14:textId="6C429A2F" w:rsidR="001B4B9F" w:rsidRDefault="001B4B9F" w:rsidP="00261AAC">
      <w:pPr>
        <w:ind w:right="270"/>
        <w:jc w:val="both"/>
        <w:rPr>
          <w:bCs/>
          <w:iCs/>
        </w:rPr>
      </w:pPr>
    </w:p>
    <w:p w14:paraId="026803A4" w14:textId="1521FD10" w:rsidR="00984AE7" w:rsidRPr="00D96AC9" w:rsidRDefault="00984AE7" w:rsidP="00261AAC">
      <w:pPr>
        <w:ind w:right="270"/>
        <w:jc w:val="both"/>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261AAC">
      <w:pPr>
        <w:ind w:right="270"/>
        <w:jc w:val="both"/>
        <w:rPr>
          <w:i/>
        </w:rPr>
      </w:pPr>
      <w:r w:rsidRPr="000D71F5">
        <w:rPr>
          <w:i/>
        </w:rPr>
        <w:t>Methods</w:t>
      </w:r>
    </w:p>
    <w:p w14:paraId="2802C450" w14:textId="491321DC" w:rsidR="001B4B9F" w:rsidRPr="001B4B9F" w:rsidRDefault="001B4B9F" w:rsidP="00261AAC">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w:t>
      </w:r>
      <w:r w:rsidRPr="001B4B9F">
        <w:rPr>
          <w:bCs/>
          <w:iCs/>
          <w:lang w:val="en"/>
        </w:rPr>
        <w:lastRenderedPageBreak/>
        <w:t xml:space="preserve">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261AAC">
      <w:pPr>
        <w:ind w:right="270"/>
        <w:jc w:val="both"/>
        <w:rPr>
          <w:bCs/>
          <w:iCs/>
          <w:lang w:val="en"/>
        </w:rPr>
      </w:pPr>
      <w:r w:rsidRPr="001B4B9F">
        <w:rPr>
          <w:bCs/>
          <w:iCs/>
          <w:lang w:val="en"/>
        </w:rPr>
        <w:t xml:space="preserve"> </w:t>
      </w:r>
    </w:p>
    <w:p w14:paraId="1BD1876E" w14:textId="109CF804" w:rsidR="00A85974" w:rsidRPr="00DA18B8" w:rsidRDefault="00A85974" w:rsidP="00261AAC">
      <w:pPr>
        <w:ind w:right="270"/>
        <w:jc w:val="both"/>
        <w:rPr>
          <w:bCs/>
          <w:i/>
          <w:lang w:val="en"/>
        </w:rPr>
      </w:pPr>
      <w:r w:rsidRPr="00DA18B8">
        <w:rPr>
          <w:bCs/>
          <w:i/>
          <w:lang w:val="en"/>
        </w:rPr>
        <w:t>Results</w:t>
      </w:r>
    </w:p>
    <w:p w14:paraId="70E36573" w14:textId="008A3A47" w:rsidR="00A85974" w:rsidRDefault="00A85974" w:rsidP="00261AAC">
      <w:pPr>
        <w:ind w:right="270"/>
        <w:jc w:val="both"/>
        <w:rPr>
          <w:bCs/>
          <w:iCs/>
          <w:lang w:val="en"/>
        </w:rPr>
      </w:pPr>
      <w:r>
        <w:rPr>
          <w:bCs/>
          <w:iCs/>
          <w:lang w:val="en"/>
        </w:rPr>
        <w:t xml:space="preserve">A total of 2,976 samples from 24 years spanning 27 generations were sequenced. </w:t>
      </w:r>
    </w:p>
    <w:p w14:paraId="51EA74BB" w14:textId="26D0ED35" w:rsidR="00DA18B8" w:rsidRDefault="00DA18B8" w:rsidP="00261AAC">
      <w:pPr>
        <w:ind w:right="270"/>
        <w:jc w:val="both"/>
        <w:rPr>
          <w:bCs/>
          <w:iCs/>
          <w:lang w:val="en"/>
        </w:rPr>
      </w:pPr>
    </w:p>
    <w:p w14:paraId="3828D9E7" w14:textId="77777777" w:rsidR="00BD396E" w:rsidRDefault="00BD396E" w:rsidP="00261AAC">
      <w:pPr>
        <w:ind w:right="270"/>
        <w:jc w:val="both"/>
        <w:rPr>
          <w:bCs/>
          <w:iCs/>
          <w:lang w:val="en"/>
        </w:rPr>
      </w:pPr>
    </w:p>
    <w:p w14:paraId="022979CA" w14:textId="14C115FB" w:rsidR="00DA18B8" w:rsidRDefault="00DA18B8" w:rsidP="00261AAC">
      <w:pPr>
        <w:pStyle w:val="Heading2"/>
        <w:jc w:val="both"/>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261AAC">
      <w:pPr>
        <w:ind w:right="270"/>
        <w:jc w:val="both"/>
        <w:rPr>
          <w:bCs/>
          <w:i/>
          <w:lang w:val="en"/>
        </w:rPr>
      </w:pPr>
      <w:r w:rsidRPr="00DA18B8">
        <w:rPr>
          <w:bCs/>
          <w:i/>
          <w:lang w:val="en"/>
        </w:rPr>
        <w:t>Methods</w:t>
      </w:r>
    </w:p>
    <w:p w14:paraId="0E010D19" w14:textId="4AF671D8" w:rsidR="003273B3" w:rsidRDefault="00DA18B8" w:rsidP="00261AAC">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files</w:t>
      </w:r>
      <w:r w:rsidR="00E458FD">
        <w:rPr>
          <w:bCs/>
          <w:iCs/>
          <w:lang w:val="en"/>
        </w:rPr>
        <w:t xml:space="preserve"> corresponding to single individuals</w:t>
      </w:r>
      <w:r w:rsidR="003273B3">
        <w:rPr>
          <w:bCs/>
          <w:iCs/>
          <w:lang w:val="en"/>
        </w:rPr>
        <w:t>,</w:t>
      </w:r>
      <w:r>
        <w:rPr>
          <w:bCs/>
          <w:iCs/>
          <w:lang w:val="en"/>
        </w:rPr>
        <w:t xml:space="preserve"> </w:t>
      </w:r>
      <w:r w:rsidR="00E458FD">
        <w:rPr>
          <w:bCs/>
          <w:iCs/>
          <w:lang w:val="en"/>
        </w:rPr>
        <w:t xml:space="preserve">each individual sequencing file must be </w:t>
      </w:r>
      <w:r>
        <w:rPr>
          <w:bCs/>
          <w:iCs/>
          <w:lang w:val="en"/>
        </w:rPr>
        <w:t xml:space="preserve">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w:t>
      </w:r>
      <w:r w:rsidR="00E458FD">
        <w:rPr>
          <w:bCs/>
          <w:iCs/>
          <w:lang w:val="en"/>
        </w:rPr>
        <w:t xml:space="preserve"> for all individuals</w:t>
      </w:r>
      <w:r>
        <w:rPr>
          <w:bCs/>
          <w:iCs/>
          <w:lang w:val="en"/>
        </w:rPr>
        <w:t>.</w:t>
      </w:r>
    </w:p>
    <w:p w14:paraId="5B3A0A30" w14:textId="77777777" w:rsidR="003273B3" w:rsidRDefault="003273B3" w:rsidP="00261AAC">
      <w:pPr>
        <w:ind w:right="270"/>
        <w:jc w:val="both"/>
        <w:rPr>
          <w:bCs/>
          <w:iCs/>
          <w:lang w:val="en"/>
        </w:rPr>
      </w:pPr>
    </w:p>
    <w:p w14:paraId="4579C3DF" w14:textId="7CE89D13" w:rsidR="00626F2D" w:rsidRDefault="00DA18B8" w:rsidP="00261AAC">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w:t>
      </w:r>
      <w:r w:rsidR="00E458FD">
        <w:rPr>
          <w:bCs/>
          <w:iCs/>
          <w:lang w:val="en"/>
        </w:rPr>
        <w:t xml:space="preserve"> according to read name </w:t>
      </w:r>
      <w:r w:rsidR="00E458FD">
        <w:rPr>
          <w:bCs/>
          <w:iCs/>
          <w:lang w:val="en"/>
        </w:rPr>
        <w:t>(</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sort)</w:t>
      </w:r>
      <w:r w:rsidR="00626F2D">
        <w:rPr>
          <w:bCs/>
          <w:iCs/>
          <w:lang w:val="en"/>
        </w:rPr>
        <w:t>,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and indexing the resulting files for create binary alignment map (BAM) files</w:t>
      </w:r>
      <w:r w:rsidR="00E458FD">
        <w:rPr>
          <w:bCs/>
          <w:iCs/>
          <w:lang w:val="en"/>
        </w:rPr>
        <w:t xml:space="preserve"> </w:t>
      </w:r>
      <w:r w:rsidR="00E458FD">
        <w:rPr>
          <w:bCs/>
          <w:iCs/>
          <w:lang w:val="en"/>
        </w:rPr>
        <w:t>(</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index</w:t>
      </w:r>
      <w:r w:rsidR="00E458FD">
        <w:rPr>
          <w:bCs/>
          <w:iCs/>
          <w:lang w:val="en"/>
        </w:rPr>
        <w:t>)</w:t>
      </w:r>
      <w:r w:rsidR="00626F2D">
        <w:rPr>
          <w:bCs/>
          <w:iCs/>
          <w:lang w:val="en"/>
        </w:rPr>
        <w:t>.</w:t>
      </w:r>
    </w:p>
    <w:p w14:paraId="49883624" w14:textId="4E204A27" w:rsidR="00626F2D" w:rsidRDefault="00626F2D" w:rsidP="00261AAC">
      <w:pPr>
        <w:ind w:right="270"/>
        <w:jc w:val="both"/>
        <w:rPr>
          <w:bCs/>
          <w:iCs/>
          <w:lang w:val="en"/>
        </w:rPr>
      </w:pPr>
    </w:p>
    <w:p w14:paraId="47C9931C" w14:textId="77777777" w:rsidR="00BD396E" w:rsidRDefault="00BD396E" w:rsidP="00261AAC">
      <w:pPr>
        <w:ind w:right="270"/>
        <w:jc w:val="both"/>
        <w:rPr>
          <w:bCs/>
          <w:iCs/>
          <w:lang w:val="en"/>
        </w:rPr>
      </w:pPr>
    </w:p>
    <w:p w14:paraId="3F2CBD2F" w14:textId="07596E9E" w:rsidR="00626F2D" w:rsidRDefault="00626F2D" w:rsidP="00261AAC">
      <w:pPr>
        <w:pStyle w:val="Heading2"/>
        <w:jc w:val="both"/>
        <w:rPr>
          <w:lang w:val="en"/>
        </w:rPr>
      </w:pPr>
      <w:r>
        <w:rPr>
          <w:lang w:val="en"/>
        </w:rPr>
        <w:t>Principle component analysis for hybrid detection</w:t>
      </w:r>
    </w:p>
    <w:p w14:paraId="326286DF" w14:textId="77777777" w:rsidR="00626F2D" w:rsidRPr="00DA18B8" w:rsidRDefault="00626F2D" w:rsidP="00261AAC">
      <w:pPr>
        <w:ind w:right="270"/>
        <w:jc w:val="both"/>
        <w:rPr>
          <w:bCs/>
          <w:i/>
          <w:lang w:val="en"/>
        </w:rPr>
      </w:pPr>
      <w:r w:rsidRPr="00DA18B8">
        <w:rPr>
          <w:bCs/>
          <w:i/>
          <w:lang w:val="en"/>
        </w:rPr>
        <w:t>Methods</w:t>
      </w:r>
    </w:p>
    <w:p w14:paraId="209C8273" w14:textId="1B549935" w:rsidR="00080EDD" w:rsidRDefault="00F948DB" w:rsidP="00261AAC">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261AAC">
      <w:pPr>
        <w:ind w:right="270"/>
        <w:jc w:val="both"/>
        <w:rPr>
          <w:bCs/>
          <w:iCs/>
          <w:lang w:val="en"/>
        </w:rPr>
      </w:pPr>
    </w:p>
    <w:p w14:paraId="58B72624" w14:textId="7F0913B4" w:rsidR="00DA18B8" w:rsidRDefault="00080EDD" w:rsidP="00261AAC">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Pr>
          <w:bCs/>
          <w:iCs/>
          <w:lang w:val="en"/>
        </w:rPr>
        <w:t>(</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1 -minMapQ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we removed outlier individuals.</w:t>
      </w:r>
    </w:p>
    <w:p w14:paraId="7272B109" w14:textId="34FE8B93" w:rsidR="00DE54E4" w:rsidRDefault="00DE54E4" w:rsidP="00261AAC">
      <w:pPr>
        <w:ind w:right="270"/>
        <w:jc w:val="both"/>
        <w:rPr>
          <w:bCs/>
          <w:iCs/>
          <w:lang w:val="en"/>
        </w:rPr>
      </w:pPr>
    </w:p>
    <w:p w14:paraId="243D500F" w14:textId="6E510749" w:rsidR="00DE54E4" w:rsidRPr="00DE54E4" w:rsidRDefault="00DE54E4" w:rsidP="00261AAC">
      <w:pPr>
        <w:ind w:right="270"/>
        <w:jc w:val="both"/>
        <w:rPr>
          <w:bCs/>
          <w:i/>
          <w:lang w:val="en"/>
        </w:rPr>
      </w:pPr>
      <w:r w:rsidRPr="00DE54E4">
        <w:rPr>
          <w:bCs/>
          <w:i/>
          <w:lang w:val="en"/>
        </w:rPr>
        <w:t>Results</w:t>
      </w:r>
    </w:p>
    <w:p w14:paraId="359173A1" w14:textId="05363F70" w:rsidR="00DE54E4" w:rsidRDefault="008D0E60" w:rsidP="00261AAC">
      <w:pPr>
        <w:ind w:right="270"/>
        <w:jc w:val="both"/>
        <w:rPr>
          <w:bCs/>
          <w:iCs/>
          <w:lang w:val="en"/>
        </w:rPr>
      </w:pPr>
      <w:r>
        <w:rPr>
          <w:bCs/>
          <w:iCs/>
          <w:lang w:val="en"/>
        </w:rPr>
        <w:t>We identified and removed individuals with a PC1</w:t>
      </w:r>
      <w:r w:rsidR="009C5BB2">
        <w:rPr>
          <w:bCs/>
          <w:iCs/>
          <w:lang w:val="en"/>
        </w:rPr>
        <w:t xml:space="preserve"> </w:t>
      </w:r>
      <w:r>
        <w:rPr>
          <w:bCs/>
          <w:iCs/>
          <w:lang w:val="en"/>
        </w:rPr>
        <w:t xml:space="preserve">&lt; 0.01 </w:t>
      </w:r>
      <w:r>
        <w:rPr>
          <w:bCs/>
          <w:iCs/>
          <w:lang w:val="en"/>
        </w:rPr>
        <w:t>and/or</w:t>
      </w:r>
      <w:r>
        <w:rPr>
          <w:bCs/>
          <w:iCs/>
          <w:lang w:val="en"/>
        </w:rPr>
        <w:t xml:space="preserve"> PC2 &gt; -0.01 from downstream analyses.</w:t>
      </w:r>
      <w:r>
        <w:rPr>
          <w:bCs/>
          <w:iCs/>
          <w:lang w:val="en"/>
        </w:rPr>
        <w:t xml:space="preserve"> </w:t>
      </w:r>
      <w:r w:rsidR="00DE7590">
        <w:rPr>
          <w:bCs/>
          <w:iCs/>
          <w:lang w:val="en"/>
        </w:rPr>
        <w:t xml:space="preserve">A total of 19 individuals that were identified as hybrids or the result of a technical artifact (Figure 7). </w:t>
      </w:r>
    </w:p>
    <w:p w14:paraId="1516FD44" w14:textId="1FB86225" w:rsidR="00DA18B8" w:rsidRDefault="00DA18B8" w:rsidP="00261AAC">
      <w:pPr>
        <w:ind w:right="270"/>
        <w:jc w:val="both"/>
        <w:rPr>
          <w:bCs/>
          <w:iCs/>
          <w:lang w:val="en"/>
        </w:rPr>
      </w:pPr>
    </w:p>
    <w:p w14:paraId="7F99E62D" w14:textId="77777777" w:rsidR="00BD396E" w:rsidRDefault="00BD396E" w:rsidP="00261AAC">
      <w:pPr>
        <w:ind w:right="270"/>
        <w:jc w:val="both"/>
        <w:rPr>
          <w:bCs/>
          <w:iCs/>
          <w:lang w:val="en"/>
        </w:rPr>
      </w:pPr>
    </w:p>
    <w:p w14:paraId="019FEA2A" w14:textId="05E42B5C" w:rsidR="00DE54E4" w:rsidRDefault="00DE54E4" w:rsidP="00261AAC">
      <w:pPr>
        <w:pStyle w:val="Heading2"/>
        <w:jc w:val="both"/>
        <w:rPr>
          <w:lang w:val="en"/>
        </w:rPr>
      </w:pPr>
      <w:r>
        <w:rPr>
          <w:lang w:val="en"/>
        </w:rPr>
        <w:lastRenderedPageBreak/>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261AAC">
      <w:pPr>
        <w:ind w:right="270"/>
        <w:jc w:val="both"/>
        <w:rPr>
          <w:bCs/>
          <w:i/>
          <w:lang w:val="en"/>
        </w:rPr>
      </w:pPr>
      <w:r w:rsidRPr="00DA18B8">
        <w:rPr>
          <w:bCs/>
          <w:i/>
          <w:lang w:val="en"/>
        </w:rPr>
        <w:t>Methods</w:t>
      </w:r>
    </w:p>
    <w:p w14:paraId="47162635" w14:textId="0F9038B4" w:rsidR="00275051" w:rsidRDefault="00275051" w:rsidP="00261AAC">
      <w:pPr>
        <w:ind w:right="270"/>
        <w:jc w:val="both"/>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w:t>
      </w:r>
      <w:r w:rsidR="00A12A7D" w:rsidRPr="008D0E60">
        <w:rPr>
          <w:rFonts w:ascii="Courier" w:hAnsi="Courier"/>
          <w:bCs/>
          <w:iCs/>
          <w:lang w:val="en"/>
        </w:rPr>
        <w:t>minInd</w:t>
      </w:r>
      <w:r w:rsidR="00A12A7D" w:rsidRPr="008D0E60">
        <w:rPr>
          <w:rFonts w:ascii="Courier" w:hAnsi="Courier"/>
          <w:bCs/>
          <w:iCs/>
          <w:lang w:val="en"/>
        </w:rPr>
        <w:t xml:space="preserve">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261AAC">
      <w:pPr>
        <w:ind w:right="270"/>
        <w:jc w:val="both"/>
        <w:rPr>
          <w:bCs/>
          <w:iCs/>
          <w:lang w:val="en"/>
        </w:rPr>
      </w:pPr>
    </w:p>
    <w:p w14:paraId="6126A677" w14:textId="165E3504" w:rsidR="008737E2" w:rsidRPr="003C0946" w:rsidRDefault="008737E2" w:rsidP="00261AAC">
      <w:pPr>
        <w:ind w:right="270"/>
        <w:jc w:val="both"/>
        <w:rPr>
          <w:bCs/>
          <w:iCs/>
        </w:rPr>
      </w:pPr>
      <w:r>
        <w:rPr>
          <w:bCs/>
          <w:iCs/>
          <w:lang w:val="en"/>
        </w:rPr>
        <w:t xml:space="preserve">We made one generation and all-by-all 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 </w:t>
      </w:r>
      <w:r w:rsidR="00386E1B">
        <w:rPr>
          <w:bCs/>
          <w:iCs/>
          <w:lang w:val="en"/>
        </w:rPr>
        <w:t>generation</w:t>
      </w:r>
      <w:r>
        <w:rPr>
          <w:bCs/>
          <w:iCs/>
          <w:lang w:val="en"/>
        </w:rPr>
        <w:t xml:space="preserve">. </w:t>
      </w:r>
      <w:r w:rsidR="00D86096">
        <w:rPr>
          <w:bCs/>
          <w:iCs/>
          <w:lang w:val="en"/>
        </w:rPr>
        <w:t>Thus, one</w:t>
      </w:r>
      <w:r>
        <w:rPr>
          <w:bCs/>
          <w:iCs/>
          <w:lang w:val="en"/>
        </w:rPr>
        <w:t xml:space="preserve"> 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m:t>
        </m:r>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m:t>
        </m:r>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m:t>
        </m:r>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261AAC">
      <w:pPr>
        <w:ind w:right="270"/>
        <w:jc w:val="both"/>
        <w:rPr>
          <w:bCs/>
          <w:i/>
          <w:lang w:val="en"/>
        </w:rPr>
      </w:pPr>
    </w:p>
    <w:p w14:paraId="17D80631" w14:textId="4030B2ED" w:rsidR="00DE54E4" w:rsidRDefault="00DE54E4" w:rsidP="00261AAC">
      <w:pPr>
        <w:ind w:right="270"/>
        <w:jc w:val="both"/>
        <w:rPr>
          <w:bCs/>
          <w:i/>
          <w:lang w:val="en"/>
        </w:rPr>
      </w:pPr>
      <w:r w:rsidRPr="00DE54E4">
        <w:rPr>
          <w:bCs/>
          <w:i/>
          <w:lang w:val="en"/>
        </w:rPr>
        <w:t>Results</w:t>
      </w:r>
    </w:p>
    <w:p w14:paraId="4A70853F" w14:textId="1E954CC2" w:rsidR="00DE54E4" w:rsidRDefault="00F34CF3" w:rsidP="00261AAC">
      <w:pPr>
        <w:ind w:right="270"/>
        <w:jc w:val="both"/>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individuals (Table 6). A total of 27,809 loci were read into R for snpR filtration. After Hardy-Weinberg and minimum yearly individual purging a total of 911 loci remained. One</w:t>
      </w:r>
      <w:r w:rsidR="00D86096">
        <w:rPr>
          <w:bCs/>
          <w:iCs/>
          <w:lang w:val="en"/>
        </w:rPr>
        <w:t>-</w:t>
      </w:r>
      <w:r>
        <w:rPr>
          <w:bCs/>
          <w:iCs/>
          <w:lang w:val="en"/>
        </w:rPr>
        <w:t>generation yearly estimates were made from 1995 to 1999 and from 2008</w:t>
      </w:r>
      <w:r w:rsidR="00D33F00">
        <w:rPr>
          <w:bCs/>
          <w:iCs/>
          <w:lang w:val="en"/>
        </w:rPr>
        <w:t xml:space="preserve"> to 2019 due to the availability of samples (Figure 8)</w:t>
      </w:r>
      <w:r w:rsidR="003C0946">
        <w:rPr>
          <w:bCs/>
          <w:iCs/>
          <w:lang w:val="en"/>
        </w:rPr>
        <w:t xml:space="preserve">. All-by-all </w:t>
      </w:r>
      <w:r w:rsidR="00D86096">
        <w:rPr>
          <w:bCs/>
          <w:iCs/>
          <w:lang w:val="en"/>
        </w:rPr>
        <w:t xml:space="preserve">generation </w:t>
      </w:r>
      <w:r w:rsidR="003C0946">
        <w:rPr>
          <w:bCs/>
          <w:iCs/>
          <w:lang w:val="en"/>
        </w:rPr>
        <w:t xml:space="preserve">estimates were made, and </w:t>
      </w:r>
      <w:r w:rsidR="00D86096">
        <w:rPr>
          <w:bCs/>
          <w:iCs/>
          <w:lang w:val="en"/>
        </w:rPr>
        <w:t xml:space="preserve">Ne </w:t>
      </w:r>
      <w:r w:rsidR="003C0946">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C0946">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C0946">
        <w:rPr>
          <w:bCs/>
          <w:iCs/>
          <w:lang w:val="en"/>
        </w:rPr>
        <w:t xml:space="preserve"> (Figure 9).</w:t>
      </w:r>
    </w:p>
    <w:p w14:paraId="010BFD24" w14:textId="7824018A" w:rsidR="00DE54E4" w:rsidRDefault="00DE54E4" w:rsidP="00261AAC">
      <w:pPr>
        <w:ind w:right="270"/>
        <w:jc w:val="both"/>
        <w:rPr>
          <w:bCs/>
          <w:iCs/>
          <w:lang w:val="en"/>
        </w:rPr>
      </w:pPr>
    </w:p>
    <w:p w14:paraId="185C15AE" w14:textId="77777777" w:rsidR="00BD396E" w:rsidRDefault="00BD396E" w:rsidP="00261AAC">
      <w:pPr>
        <w:ind w:right="270"/>
        <w:jc w:val="both"/>
        <w:rPr>
          <w:bCs/>
          <w:iCs/>
          <w:lang w:val="en"/>
        </w:rPr>
      </w:pPr>
    </w:p>
    <w:p w14:paraId="7026F7E7" w14:textId="109FA168" w:rsidR="00DE54E4" w:rsidRDefault="00275051" w:rsidP="00261AAC">
      <w:pPr>
        <w:pStyle w:val="Heading2"/>
        <w:jc w:val="both"/>
        <w:rPr>
          <w:lang w:val="en"/>
        </w:rPr>
      </w:pPr>
      <w:r>
        <w:rPr>
          <w:lang w:val="en"/>
        </w:rPr>
        <w:t>L</w:t>
      </w:r>
      <w:r w:rsidR="00DE54E4">
        <w:rPr>
          <w:lang w:val="en"/>
        </w:rPr>
        <w:t>ong-term</w:t>
      </w:r>
      <w:r w:rsidR="00DE54E4">
        <w:rPr>
          <w:lang w:val="en"/>
        </w:rPr>
        <w:t xml:space="preserve"> </w:t>
      </w:r>
      <w:r w:rsidR="00DE54E4">
        <w:rPr>
          <w:lang w:val="en"/>
        </w:rPr>
        <w:t>genetic diversity</w:t>
      </w:r>
      <w:r>
        <w:rPr>
          <w:lang w:val="en"/>
        </w:rPr>
        <w:t xml:space="preserve"> calculation</w:t>
      </w:r>
    </w:p>
    <w:p w14:paraId="220143D8" w14:textId="77777777" w:rsidR="00DE54E4" w:rsidRPr="00DA18B8" w:rsidRDefault="00DE54E4" w:rsidP="00261AAC">
      <w:pPr>
        <w:ind w:right="270"/>
        <w:jc w:val="both"/>
        <w:rPr>
          <w:bCs/>
          <w:i/>
          <w:lang w:val="en"/>
        </w:rPr>
      </w:pPr>
      <w:r w:rsidRPr="00DA18B8">
        <w:rPr>
          <w:bCs/>
          <w:i/>
          <w:lang w:val="en"/>
        </w:rPr>
        <w:t>Methods</w:t>
      </w:r>
    </w:p>
    <w:p w14:paraId="722E1BF4" w14:textId="581DA3F8" w:rsidR="00D50E41" w:rsidRDefault="00FC1607" w:rsidP="00261AAC">
      <w:pPr>
        <w:ind w:right="270"/>
        <w:jc w:val="both"/>
        <w:rPr>
          <w:bCs/>
          <w:iCs/>
          <w:lang w:val="en"/>
        </w:rPr>
      </w:pPr>
      <w:r>
        <w:rPr>
          <w:bCs/>
          <w:iCs/>
          <w:lang w:val="en"/>
        </w:rPr>
        <w:t>Since the value of effective population size 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To quantify genetic diversity in the through time we used two different estimates of the</w:t>
      </w:r>
      <w:r w:rsidR="00E76AA5">
        <w:rPr>
          <w:bCs/>
          <w:iCs/>
          <w:lang w:val="en"/>
        </w:rPr>
        <w:t>ta––</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w:t>
      </w:r>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261AAC">
      <w:pPr>
        <w:ind w:right="270"/>
        <w:jc w:val="both"/>
        <w:rPr>
          <w:bCs/>
          <w:iCs/>
          <w:lang w:val="en"/>
        </w:rPr>
      </w:pPr>
    </w:p>
    <w:p w14:paraId="3172B73F" w14:textId="0F7514EB" w:rsidR="007B22E7" w:rsidRDefault="00D86096" w:rsidP="00261AAC">
      <w:pPr>
        <w:jc w:val="both"/>
        <w:rPr>
          <w:bCs/>
          <w:iCs/>
          <w:lang w:val="en"/>
        </w:rPr>
      </w:pPr>
      <w:r>
        <w:rPr>
          <w:bCs/>
          <w:iCs/>
          <w:lang w:val="en"/>
        </w:rPr>
        <w:lastRenderedPageBreak/>
        <w:t>To make estimates of genetic diversity (theta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proofErr w:type="gramStart"/>
      <w:r>
        <w:rPr>
          <w:bCs/>
          <w:iCs/>
          <w:lang w:val="en"/>
        </w:rPr>
        <w:t>First</w:t>
      </w:r>
      <w:proofErr w:type="gramEnd"/>
      <w:r>
        <w:rPr>
          <w:bCs/>
          <w:iCs/>
          <w:lang w:val="en"/>
        </w:rPr>
        <w:t xml:space="preserve"> </w:t>
      </w:r>
      <w:proofErr w:type="spellStart"/>
      <w:r>
        <w:rPr>
          <w:bCs/>
          <w:iCs/>
          <w:lang w:val="en"/>
        </w:rPr>
        <w:t>we</w:t>
      </w:r>
      <w:proofErr w:type="spellEnd"/>
      <w:r>
        <w:rPr>
          <w:bCs/>
          <w:iCs/>
          <w:lang w:val="en"/>
        </w:rPr>
        <w:t xml:space="preserve"> acquired</w:t>
      </w:r>
      <w:r w:rsidR="007B22E7">
        <w:rPr>
          <w:bCs/>
          <w:iCs/>
          <w:lang w:val="en"/>
        </w:rPr>
        <w:t xml:space="preserve"> </w:t>
      </w:r>
      <w:r w:rsidR="007B22E7">
        <w:rPr>
          <w:bCs/>
          <w:iCs/>
          <w:lang w:val="en"/>
        </w:rPr>
        <w:t>site allele frequency likelihood</w:t>
      </w:r>
      <w:r w:rsidR="007B22E7">
        <w:rPr>
          <w:bCs/>
          <w:iCs/>
          <w:lang w:val="en"/>
        </w:rPr>
        <w:t xml:space="preserve">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w:t>
      </w:r>
      <w:r w:rsidR="00AE7EDA" w:rsidRPr="00AE7EDA">
        <w:rPr>
          <w:rFonts w:ascii="Courier" w:hAnsi="Courier"/>
          <w:bCs/>
          <w:iCs/>
          <w:lang w:val="en"/>
        </w:rPr>
        <w:t xml:space="preserve"> </w:t>
      </w:r>
      <w:r w:rsidR="00AE7EDA" w:rsidRPr="00AE7EDA">
        <w:rPr>
          <w:rFonts w:ascii="Courier" w:hAnsi="Courier"/>
          <w:bCs/>
          <w:iCs/>
          <w:lang w:val="en"/>
        </w:rPr>
        <w:t>-maxIter 100 -fold 1</w:t>
      </w:r>
      <w:r w:rsidR="007B22E7">
        <w:rPr>
          <w:bCs/>
          <w:iCs/>
          <w:lang w:val="en"/>
        </w:rPr>
        <w:t xml:space="preserve">). </w:t>
      </w:r>
      <w:r>
        <w:rPr>
          <w:bCs/>
          <w:iCs/>
          <w:lang w:val="en"/>
        </w:rPr>
        <w:t>Finally</w:t>
      </w:r>
      <w:r w:rsidR="007B22E7">
        <w:rPr>
          <w:bCs/>
          <w:iCs/>
          <w:lang w:val="en"/>
        </w:rPr>
        <w:t xml:space="preserve">, we calculated theta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site theta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261AAC">
      <w:pPr>
        <w:ind w:right="270"/>
        <w:jc w:val="both"/>
        <w:rPr>
          <w:bCs/>
          <w:i/>
          <w:lang w:val="en"/>
        </w:rPr>
      </w:pPr>
    </w:p>
    <w:p w14:paraId="3BFEA183" w14:textId="77777777" w:rsidR="00DE54E4" w:rsidRPr="00DE54E4" w:rsidRDefault="00DE54E4" w:rsidP="00261AAC">
      <w:pPr>
        <w:ind w:right="270"/>
        <w:jc w:val="both"/>
        <w:rPr>
          <w:bCs/>
          <w:i/>
          <w:lang w:val="en"/>
        </w:rPr>
      </w:pPr>
      <w:r w:rsidRPr="00DE54E4">
        <w:rPr>
          <w:bCs/>
          <w:i/>
          <w:lang w:val="en"/>
        </w:rPr>
        <w:t>Results</w:t>
      </w:r>
    </w:p>
    <w:p w14:paraId="02BBF2E3" w14:textId="37A8A310" w:rsidR="00D53365" w:rsidRPr="00BD396E" w:rsidRDefault="00E217A2" w:rsidP="00261AAC">
      <w:pPr>
        <w:ind w:right="270"/>
        <w:jc w:val="both"/>
        <w:rPr>
          <w:bCs/>
          <w:iCs/>
          <w:lang w:val="en"/>
        </w:rPr>
      </w:pPr>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0.0002183485</w:t>
      </w:r>
      <w:r w:rsidR="00001B0B">
        <w:rPr>
          <w:bCs/>
          <w:iCs/>
          <w:lang w:val="en"/>
        </w:rPr>
        <w:t xml:space="preserve"> (Figure 10)</w:t>
      </w:r>
      <w:r>
        <w:rPr>
          <w:bCs/>
          <w:iCs/>
          <w:lang w:val="en"/>
        </w:rPr>
        <w:t xml:space="preserve">. </w:t>
      </w:r>
    </w:p>
    <w:p w14:paraId="6CFA63AE" w14:textId="74A64505" w:rsidR="001B4B9F" w:rsidRDefault="001B4B9F" w:rsidP="00261AAC">
      <w:pPr>
        <w:jc w:val="both"/>
      </w:pPr>
      <w:r>
        <w:br w:type="page"/>
      </w:r>
    </w:p>
    <w:p w14:paraId="5E9F7CCA" w14:textId="77777777" w:rsidR="00106145" w:rsidRDefault="00106145" w:rsidP="00261AAC">
      <w:pPr>
        <w:jc w:val="both"/>
      </w:pPr>
    </w:p>
    <w:p w14:paraId="4FABE29E" w14:textId="7042A995" w:rsidR="00106145" w:rsidRPr="007E1B09" w:rsidRDefault="00106145" w:rsidP="00261AAC">
      <w:pPr>
        <w:pStyle w:val="Heading1"/>
        <w:jc w:val="both"/>
      </w:pPr>
      <w:r w:rsidRPr="00D96AC9">
        <w:t>Task 4: Sex Marker</w:t>
      </w:r>
    </w:p>
    <w:p w14:paraId="10219999" w14:textId="77777777" w:rsidR="00106145" w:rsidRDefault="00106145" w:rsidP="00261AAC">
      <w:pPr>
        <w:pStyle w:val="Heading2"/>
        <w:jc w:val="both"/>
      </w:pPr>
      <w:r>
        <w:t>Background</w:t>
      </w:r>
    </w:p>
    <w:p w14:paraId="740E4005" w14:textId="77777777" w:rsidR="00106145" w:rsidRDefault="00106145" w:rsidP="00261AAC">
      <w:pPr>
        <w:ind w:right="270"/>
        <w:jc w:val="both"/>
        <w:rPr>
          <w:bCs/>
          <w:iCs/>
        </w:rPr>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261AAC">
      <w:pPr>
        <w:ind w:right="270"/>
        <w:jc w:val="both"/>
        <w:rPr>
          <w:bCs/>
          <w:iCs/>
        </w:rPr>
      </w:pPr>
    </w:p>
    <w:p w14:paraId="5DAC152F" w14:textId="77777777" w:rsidR="00106145" w:rsidRDefault="00106145" w:rsidP="00261AAC">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261AAC">
      <w:pPr>
        <w:ind w:right="270"/>
        <w:jc w:val="both"/>
        <w:rPr>
          <w:bCs/>
          <w:iCs/>
        </w:rPr>
      </w:pPr>
    </w:p>
    <w:p w14:paraId="28E4C7EA" w14:textId="77777777" w:rsidR="00106145" w:rsidRPr="00AD4FB8" w:rsidRDefault="00106145" w:rsidP="00261AAC">
      <w:pPr>
        <w:ind w:right="270"/>
        <w:jc w:val="both"/>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261AAC">
      <w:pPr>
        <w:ind w:right="270"/>
        <w:jc w:val="both"/>
        <w:rPr>
          <w:b/>
          <w:i/>
        </w:rPr>
      </w:pPr>
    </w:p>
    <w:p w14:paraId="276AB127" w14:textId="77777777" w:rsidR="00BD396E" w:rsidRDefault="00BD396E" w:rsidP="00261AAC">
      <w:pPr>
        <w:ind w:right="270"/>
        <w:jc w:val="both"/>
        <w:rPr>
          <w:b/>
          <w:i/>
        </w:rPr>
      </w:pPr>
    </w:p>
    <w:p w14:paraId="0F562BA0" w14:textId="77777777" w:rsidR="00106145" w:rsidRPr="00836372" w:rsidRDefault="00106145" w:rsidP="00261AAC">
      <w:pPr>
        <w:ind w:right="270"/>
        <w:jc w:val="both"/>
        <w:rPr>
          <w:b/>
          <w:i/>
        </w:rPr>
      </w:pPr>
      <w:r w:rsidRPr="00836372">
        <w:rPr>
          <w:b/>
          <w:i/>
        </w:rPr>
        <w:t>DNA sampling &amp; sequencing</w:t>
      </w:r>
    </w:p>
    <w:p w14:paraId="77D45763" w14:textId="77777777" w:rsidR="00106145" w:rsidRDefault="00106145" w:rsidP="00261AAC">
      <w:pPr>
        <w:ind w:right="270"/>
        <w:jc w:val="both"/>
        <w:rPr>
          <w:i/>
        </w:rPr>
      </w:pPr>
      <w:r>
        <w:rPr>
          <w:i/>
        </w:rPr>
        <w:t>Methods</w:t>
      </w:r>
    </w:p>
    <w:p w14:paraId="28296EFF" w14:textId="77777777" w:rsidR="00106145" w:rsidRDefault="00106145" w:rsidP="00261AAC">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261AAC">
      <w:pPr>
        <w:jc w:val="both"/>
      </w:pPr>
    </w:p>
    <w:p w14:paraId="3F0BE78C" w14:textId="77777777" w:rsidR="00106145" w:rsidRDefault="00106145" w:rsidP="00261AAC">
      <w:pPr>
        <w:jc w:val="both"/>
      </w:pPr>
      <w:r>
        <w:lastRenderedPageBreak/>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261AAC">
      <w:pPr>
        <w:jc w:val="both"/>
      </w:pPr>
    </w:p>
    <w:p w14:paraId="1FF23A83" w14:textId="77777777" w:rsidR="00106145" w:rsidRPr="00D417D1" w:rsidRDefault="00106145" w:rsidP="00261AAC">
      <w:pPr>
        <w:jc w:val="both"/>
        <w:rPr>
          <w:i/>
        </w:rPr>
      </w:pPr>
    </w:p>
    <w:p w14:paraId="2ABB6844" w14:textId="77777777" w:rsidR="00106145" w:rsidRPr="00836372" w:rsidRDefault="00106145" w:rsidP="00261AAC">
      <w:pPr>
        <w:pStyle w:val="Heading2"/>
        <w:jc w:val="both"/>
      </w:pPr>
      <w:r w:rsidRPr="00836372">
        <w:t>Genome wide association study</w:t>
      </w:r>
    </w:p>
    <w:p w14:paraId="729BC6C7" w14:textId="77777777" w:rsidR="00106145" w:rsidRDefault="00106145" w:rsidP="00261AAC">
      <w:pPr>
        <w:jc w:val="both"/>
        <w:rPr>
          <w:i/>
        </w:rPr>
      </w:pPr>
      <w:r w:rsidRPr="00836372">
        <w:rPr>
          <w:i/>
        </w:rPr>
        <w:t>Methods</w:t>
      </w:r>
    </w:p>
    <w:p w14:paraId="5D25A478" w14:textId="77777777" w:rsidR="00106145" w:rsidRPr="0058255B" w:rsidRDefault="00106145" w:rsidP="00261AAC">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261AAC">
      <w:pPr>
        <w:jc w:val="both"/>
      </w:pPr>
    </w:p>
    <w:p w14:paraId="567BA05A" w14:textId="77777777" w:rsidR="00106145" w:rsidRDefault="00106145" w:rsidP="00261AAC">
      <w:pPr>
        <w:jc w:val="both"/>
        <w:rPr>
          <w:i/>
        </w:rPr>
      </w:pPr>
      <w:r>
        <w:rPr>
          <w:i/>
        </w:rPr>
        <w:t>Results</w:t>
      </w:r>
    </w:p>
    <w:p w14:paraId="5FC37423" w14:textId="4E1E2BC0" w:rsidR="00106145" w:rsidRPr="00F01A65" w:rsidRDefault="00106145" w:rsidP="00261AAC">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261AAC">
      <w:pPr>
        <w:jc w:val="both"/>
      </w:pPr>
    </w:p>
    <w:p w14:paraId="0D1E47BE" w14:textId="77777777" w:rsidR="00106145" w:rsidRPr="00D417D1" w:rsidRDefault="00106145" w:rsidP="00261AAC">
      <w:pPr>
        <w:jc w:val="both"/>
      </w:pPr>
    </w:p>
    <w:p w14:paraId="5DB2F0D4" w14:textId="77777777" w:rsidR="00106145" w:rsidRPr="00A85974" w:rsidRDefault="00106145" w:rsidP="00261AAC">
      <w:pPr>
        <w:pStyle w:val="Heading2"/>
        <w:jc w:val="both"/>
      </w:pPr>
      <w:r w:rsidRPr="00A85974">
        <w:t>Depth analysis</w:t>
      </w:r>
    </w:p>
    <w:p w14:paraId="34CDE6AF" w14:textId="77777777" w:rsidR="00106145" w:rsidRDefault="00106145" w:rsidP="00261AAC">
      <w:pPr>
        <w:jc w:val="both"/>
        <w:rPr>
          <w:i/>
        </w:rPr>
      </w:pPr>
      <w:r>
        <w:rPr>
          <w:i/>
        </w:rPr>
        <w:t>Methods</w:t>
      </w:r>
    </w:p>
    <w:p w14:paraId="5A17901B" w14:textId="77777777" w:rsidR="00106145" w:rsidRDefault="00106145" w:rsidP="00261AAC">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261AAC">
      <w:pPr>
        <w:jc w:val="both"/>
        <w:rPr>
          <w:i/>
        </w:rPr>
      </w:pPr>
    </w:p>
    <w:p w14:paraId="0319FE5C" w14:textId="77777777" w:rsidR="00106145" w:rsidRDefault="00106145" w:rsidP="00261AAC">
      <w:pPr>
        <w:jc w:val="both"/>
        <w:rPr>
          <w:i/>
        </w:rPr>
      </w:pPr>
      <w:r>
        <w:rPr>
          <w:i/>
        </w:rPr>
        <w:t>Results</w:t>
      </w:r>
    </w:p>
    <w:p w14:paraId="173FD3D6" w14:textId="77777777" w:rsidR="00106145" w:rsidRPr="00C30DD1" w:rsidRDefault="00106145" w:rsidP="00261AAC">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261AAC">
      <w:pPr>
        <w:jc w:val="both"/>
      </w:pPr>
    </w:p>
    <w:p w14:paraId="6B8BF3C0" w14:textId="77777777" w:rsidR="00106145" w:rsidRDefault="00106145" w:rsidP="00261AAC">
      <w:pPr>
        <w:jc w:val="both"/>
      </w:pPr>
    </w:p>
    <w:p w14:paraId="73130036" w14:textId="77777777" w:rsidR="00106145" w:rsidRDefault="00106145" w:rsidP="00261AAC">
      <w:pPr>
        <w:pStyle w:val="Heading2"/>
        <w:jc w:val="both"/>
      </w:pPr>
      <w:r>
        <w:t>K-mer</w:t>
      </w:r>
      <w:r w:rsidRPr="00836372">
        <w:t xml:space="preserve"> analysis</w:t>
      </w:r>
    </w:p>
    <w:p w14:paraId="3AFC1460" w14:textId="77777777" w:rsidR="00106145" w:rsidRDefault="00106145" w:rsidP="00261AAC">
      <w:pPr>
        <w:jc w:val="both"/>
        <w:rPr>
          <w:i/>
        </w:rPr>
      </w:pPr>
      <w:r>
        <w:rPr>
          <w:i/>
        </w:rPr>
        <w:t>Methods</w:t>
      </w:r>
    </w:p>
    <w:p w14:paraId="73A66AFB" w14:textId="77777777" w:rsidR="00106145" w:rsidRDefault="00106145" w:rsidP="00261AAC">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261AAC">
      <w:pPr>
        <w:jc w:val="both"/>
      </w:pPr>
    </w:p>
    <w:p w14:paraId="405BC344" w14:textId="77777777" w:rsidR="00106145" w:rsidRDefault="00106145" w:rsidP="00261AAC">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261AAC">
      <w:pPr>
        <w:jc w:val="both"/>
      </w:pPr>
    </w:p>
    <w:p w14:paraId="21390C18" w14:textId="77777777" w:rsidR="00106145" w:rsidRDefault="00106145" w:rsidP="00261AAC">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261AAC">
      <w:pPr>
        <w:jc w:val="both"/>
      </w:pPr>
      <w:r>
        <w:t xml:space="preserve"> </w:t>
      </w:r>
    </w:p>
    <w:p w14:paraId="053B9D54" w14:textId="77777777" w:rsidR="00106145" w:rsidRDefault="00106145" w:rsidP="00261AAC">
      <w:pPr>
        <w:jc w:val="both"/>
        <w:rPr>
          <w:i/>
        </w:rPr>
      </w:pPr>
      <w:r>
        <w:rPr>
          <w:i/>
        </w:rPr>
        <w:t>Results</w:t>
      </w:r>
    </w:p>
    <w:p w14:paraId="5B0F51B7" w14:textId="47201A6E" w:rsidR="00106145" w:rsidRDefault="00106145" w:rsidP="00261AAC">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t>
      </w:r>
      <w:commentRangeStart w:id="6"/>
      <w:commentRangeStart w:id="7"/>
      <w:r>
        <w:t>This is consistent with the male sequencing data potentially having heterogametic regions in its genome.</w:t>
      </w:r>
      <w:commentRangeEnd w:id="6"/>
      <w:r>
        <w:rPr>
          <w:rStyle w:val="CommentReference"/>
        </w:rPr>
        <w:commentReference w:id="6"/>
      </w:r>
      <w:commentRangeEnd w:id="7"/>
      <w:r>
        <w:rPr>
          <w:rStyle w:val="CommentReference"/>
        </w:rPr>
        <w:commentReference w:id="7"/>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261AAC">
      <w:pPr>
        <w:jc w:val="both"/>
      </w:pPr>
    </w:p>
    <w:p w14:paraId="2D98F71E" w14:textId="654961D8" w:rsidR="00106145" w:rsidRDefault="00106145" w:rsidP="00261AAC">
      <w:pPr>
        <w:jc w:val="both"/>
      </w:pPr>
      <w:r>
        <w:t xml:space="preserve">We mapped the putative Y data back to the male reference genome and found the reads mapped to multiple regions within the genome (Table </w:t>
      </w:r>
      <w:r w:rsidR="00D17773">
        <w:t>7</w:t>
      </w:r>
      <w:r>
        <w:t>). We did not find a significant difference in male versus female read depth at locations across the putative Y regions.</w:t>
      </w:r>
    </w:p>
    <w:p w14:paraId="0DBAF849" w14:textId="77777777" w:rsidR="00DE273D" w:rsidRDefault="00DE273D" w:rsidP="00261AAC">
      <w:pPr>
        <w:ind w:right="270"/>
        <w:jc w:val="both"/>
      </w:pPr>
    </w:p>
    <w:p w14:paraId="3F5E4941" w14:textId="42015367" w:rsidR="00B65A33" w:rsidRDefault="00B65A33" w:rsidP="00261AAC">
      <w:pPr>
        <w:jc w:val="both"/>
        <w:rPr>
          <w:rFonts w:ascii="Times" w:hAnsi="Times"/>
        </w:rPr>
      </w:pPr>
      <w:r>
        <w:rPr>
          <w:rFonts w:ascii="Times" w:hAnsi="Times"/>
        </w:rPr>
        <w:br w:type="page"/>
      </w:r>
    </w:p>
    <w:p w14:paraId="47E9659E" w14:textId="5F9B811C" w:rsidR="00BD396E" w:rsidRDefault="00BD396E" w:rsidP="00261AAC">
      <w:pPr>
        <w:pStyle w:val="Heading1"/>
        <w:jc w:val="both"/>
      </w:pPr>
      <w:r w:rsidRPr="00BD396E">
        <w:lastRenderedPageBreak/>
        <w:t>Discussion</w:t>
      </w:r>
    </w:p>
    <w:p w14:paraId="6BB4E63C" w14:textId="3BAE0863" w:rsidR="00BD396E" w:rsidRPr="00BD396E" w:rsidRDefault="00BD396E" w:rsidP="00261AAC">
      <w:pPr>
        <w:jc w:val="both"/>
      </w:pPr>
      <w:proofErr w:type="spellStart"/>
      <w:r>
        <w:t>tktk</w:t>
      </w:r>
      <w:proofErr w:type="spellEnd"/>
    </w:p>
    <w:p w14:paraId="63A3E3F2" w14:textId="21B598AB" w:rsidR="006F47E9" w:rsidRDefault="00B65A33" w:rsidP="00261AAC">
      <w:pPr>
        <w:pStyle w:val="Heading1"/>
        <w:jc w:val="both"/>
      </w:pPr>
      <w:r w:rsidRPr="00B65A33">
        <w:t>Glossary</w:t>
      </w:r>
    </w:p>
    <w:p w14:paraId="533049C1" w14:textId="7E8A4A59" w:rsidR="00A07BB9" w:rsidRDefault="00B65A33" w:rsidP="00261AAC">
      <w:pPr>
        <w:ind w:left="720" w:hanging="720"/>
        <w:jc w:val="both"/>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261AAC">
      <w:pPr>
        <w:ind w:left="720" w:hanging="720"/>
        <w:jc w:val="both"/>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261AAC">
      <w:pPr>
        <w:ind w:left="720" w:hanging="720"/>
        <w:jc w:val="both"/>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261AAC">
      <w:pPr>
        <w:ind w:left="720" w:hanging="720"/>
        <w:jc w:val="both"/>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261AAC">
      <w:pPr>
        <w:ind w:left="720" w:hanging="720"/>
        <w:jc w:val="both"/>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261AAC">
      <w:pPr>
        <w:ind w:left="720" w:hanging="720"/>
        <w:jc w:val="both"/>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261AAC">
      <w:pPr>
        <w:ind w:left="720" w:hanging="720"/>
        <w:jc w:val="both"/>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261AAC">
      <w:pPr>
        <w:ind w:left="720" w:hanging="720"/>
        <w:jc w:val="both"/>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261AAC">
      <w:pPr>
        <w:ind w:left="720" w:hanging="720"/>
        <w:jc w:val="both"/>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261AAC">
      <w:pPr>
        <w:ind w:left="720" w:hanging="720"/>
        <w:jc w:val="both"/>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261AAC">
      <w:pPr>
        <w:ind w:left="720" w:hanging="720"/>
        <w:jc w:val="both"/>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261AAC">
      <w:pPr>
        <w:ind w:left="720" w:hanging="720"/>
        <w:jc w:val="both"/>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261AAC">
      <w:pPr>
        <w:ind w:left="720" w:hanging="720"/>
        <w:jc w:val="both"/>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261AAC">
      <w:pPr>
        <w:jc w:val="both"/>
        <w:rPr>
          <w:rFonts w:ascii="Times" w:hAnsi="Times"/>
          <w:bCs/>
        </w:rPr>
      </w:pPr>
    </w:p>
    <w:p w14:paraId="1D98B3A1" w14:textId="7347428F" w:rsidR="00B65A33" w:rsidRPr="008413EC" w:rsidRDefault="00B65A33" w:rsidP="00261AAC">
      <w:pPr>
        <w:pStyle w:val="Heading1"/>
        <w:jc w:val="both"/>
      </w:pPr>
      <w:r w:rsidRPr="008413EC">
        <w:t>Software Versions</w:t>
      </w:r>
    </w:p>
    <w:p w14:paraId="0FD154E6" w14:textId="13BEE252" w:rsidR="00B65A33" w:rsidRDefault="00B65A33" w:rsidP="00261AAC">
      <w:pPr>
        <w:jc w:val="both"/>
        <w:rPr>
          <w:rFonts w:ascii="Times" w:hAnsi="Times"/>
          <w:bCs/>
        </w:rPr>
      </w:pPr>
      <w:r>
        <w:rPr>
          <w:rFonts w:ascii="Times" w:hAnsi="Times"/>
          <w:bCs/>
        </w:rPr>
        <w:t>BUSCO</w:t>
      </w:r>
    </w:p>
    <w:p w14:paraId="1CFD2B33" w14:textId="0AD92676" w:rsidR="00B65A33" w:rsidRDefault="00B65A33" w:rsidP="00261AAC">
      <w:pPr>
        <w:jc w:val="both"/>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261AAC">
      <w:pPr>
        <w:jc w:val="both"/>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261AAC">
      <w:pPr>
        <w:jc w:val="both"/>
        <w:rPr>
          <w:rFonts w:ascii="Times" w:hAnsi="Times"/>
          <w:bCs/>
        </w:rPr>
      </w:pPr>
      <w:proofErr w:type="spellStart"/>
      <w:r>
        <w:rPr>
          <w:rFonts w:ascii="Times" w:hAnsi="Times"/>
          <w:bCs/>
        </w:rPr>
        <w:t>bedtools</w:t>
      </w:r>
      <w:proofErr w:type="spellEnd"/>
    </w:p>
    <w:p w14:paraId="57155436" w14:textId="47A53BF5" w:rsidR="00B65A33" w:rsidRDefault="00B65A33" w:rsidP="00261AAC">
      <w:pPr>
        <w:jc w:val="both"/>
        <w:rPr>
          <w:rFonts w:ascii="Times" w:hAnsi="Times"/>
          <w:bCs/>
        </w:rPr>
      </w:pPr>
      <w:proofErr w:type="spellStart"/>
      <w:r>
        <w:rPr>
          <w:rFonts w:ascii="Times" w:hAnsi="Times"/>
          <w:bCs/>
        </w:rPr>
        <w:t>chromonomer</w:t>
      </w:r>
      <w:proofErr w:type="spellEnd"/>
    </w:p>
    <w:p w14:paraId="28F9FD99" w14:textId="0A877BCA" w:rsidR="00626F2D" w:rsidRDefault="00626F2D" w:rsidP="00261AAC">
      <w:pPr>
        <w:jc w:val="both"/>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261AAC">
      <w:pPr>
        <w:jc w:val="both"/>
        <w:rPr>
          <w:rFonts w:ascii="Times" w:hAnsi="Times"/>
          <w:bCs/>
        </w:rPr>
      </w:pPr>
      <w:r>
        <w:rPr>
          <w:rFonts w:ascii="Times" w:hAnsi="Times"/>
          <w:bCs/>
        </w:rPr>
        <w:t>SALSA2</w:t>
      </w:r>
    </w:p>
    <w:p w14:paraId="41DFC67E" w14:textId="28E6DA06" w:rsidR="00B65A33" w:rsidRDefault="00B65A33" w:rsidP="00261AAC">
      <w:pPr>
        <w:jc w:val="both"/>
        <w:rPr>
          <w:rFonts w:ascii="Times" w:hAnsi="Times"/>
          <w:bCs/>
        </w:rPr>
      </w:pPr>
      <w:r>
        <w:rPr>
          <w:rFonts w:ascii="Times" w:hAnsi="Times"/>
          <w:bCs/>
        </w:rPr>
        <w:t>scaff10x</w:t>
      </w:r>
    </w:p>
    <w:p w14:paraId="0DBE5827" w14:textId="6203B2B1" w:rsidR="00B65A33" w:rsidRDefault="00B65A33" w:rsidP="00261AAC">
      <w:pPr>
        <w:jc w:val="both"/>
        <w:rPr>
          <w:rFonts w:ascii="Times" w:hAnsi="Times"/>
          <w:bCs/>
        </w:rPr>
      </w:pPr>
      <w:r>
        <w:rPr>
          <w:rFonts w:ascii="Times" w:hAnsi="Times"/>
          <w:bCs/>
        </w:rPr>
        <w:t>kat</w:t>
      </w:r>
    </w:p>
    <w:p w14:paraId="42EB1767" w14:textId="1F00FA67" w:rsidR="00B65A33" w:rsidRDefault="00B65A33" w:rsidP="00261AAC">
      <w:pPr>
        <w:jc w:val="both"/>
        <w:rPr>
          <w:rFonts w:ascii="Times" w:hAnsi="Times"/>
          <w:bCs/>
        </w:rPr>
      </w:pPr>
      <w:r>
        <w:rPr>
          <w:rFonts w:ascii="Times" w:hAnsi="Times"/>
          <w:bCs/>
        </w:rPr>
        <w:t>ccs</w:t>
      </w:r>
    </w:p>
    <w:p w14:paraId="03930AC7" w14:textId="1F05A9DF" w:rsidR="00B65A33" w:rsidRDefault="00B65A33" w:rsidP="00261AAC">
      <w:pPr>
        <w:jc w:val="both"/>
        <w:rPr>
          <w:rFonts w:ascii="Times" w:hAnsi="Times"/>
          <w:bCs/>
        </w:rPr>
      </w:pPr>
      <w:proofErr w:type="spellStart"/>
      <w:r>
        <w:rPr>
          <w:rFonts w:ascii="Times" w:hAnsi="Times"/>
          <w:bCs/>
        </w:rPr>
        <w:t>picard</w:t>
      </w:r>
      <w:proofErr w:type="spellEnd"/>
    </w:p>
    <w:p w14:paraId="37529300" w14:textId="0007D862" w:rsidR="00B65A33" w:rsidRDefault="00B65A33" w:rsidP="00261AAC">
      <w:pPr>
        <w:jc w:val="both"/>
        <w:rPr>
          <w:rFonts w:ascii="Times" w:hAnsi="Times"/>
          <w:bCs/>
        </w:rPr>
      </w:pPr>
      <w:r>
        <w:rPr>
          <w:rFonts w:ascii="Times" w:hAnsi="Times"/>
          <w:bCs/>
        </w:rPr>
        <w:t>IPA</w:t>
      </w:r>
    </w:p>
    <w:p w14:paraId="4804CC17" w14:textId="6181AC95" w:rsidR="00724753" w:rsidRDefault="00724753" w:rsidP="00261AAC">
      <w:pPr>
        <w:jc w:val="both"/>
        <w:rPr>
          <w:rFonts w:ascii="Times" w:hAnsi="Times"/>
          <w:bCs/>
        </w:rPr>
      </w:pPr>
      <w:proofErr w:type="spellStart"/>
      <w:r>
        <w:rPr>
          <w:rFonts w:ascii="Times" w:hAnsi="Times"/>
          <w:bCs/>
        </w:rPr>
        <w:t>Genomescope</w:t>
      </w:r>
      <w:proofErr w:type="spellEnd"/>
    </w:p>
    <w:p w14:paraId="46C6C8D7" w14:textId="77777777" w:rsidR="00626F2D" w:rsidRDefault="00626F2D" w:rsidP="00261AAC">
      <w:pPr>
        <w:jc w:val="both"/>
        <w:rPr>
          <w:rFonts w:ascii="Times" w:hAnsi="Times"/>
          <w:bCs/>
        </w:rPr>
      </w:pPr>
    </w:p>
    <w:p w14:paraId="28B42637" w14:textId="222AC800" w:rsidR="00055A61" w:rsidRDefault="00055A61" w:rsidP="00261AAC">
      <w:pPr>
        <w:jc w:val="both"/>
        <w:rPr>
          <w:rFonts w:ascii="Times" w:hAnsi="Times"/>
          <w:bCs/>
        </w:rPr>
      </w:pPr>
    </w:p>
    <w:p w14:paraId="5E476E6E" w14:textId="75646845" w:rsidR="00055A61" w:rsidRDefault="00055A61" w:rsidP="00261AAC">
      <w:pPr>
        <w:jc w:val="both"/>
        <w:rPr>
          <w:rFonts w:ascii="Times" w:hAnsi="Times"/>
          <w:bCs/>
        </w:rPr>
      </w:pPr>
      <w:r>
        <w:rPr>
          <w:rFonts w:ascii="Times" w:hAnsi="Times"/>
          <w:bCs/>
        </w:rPr>
        <w:br w:type="page"/>
      </w:r>
    </w:p>
    <w:p w14:paraId="28011801" w14:textId="32A99533" w:rsidR="00055A61" w:rsidRPr="00055A61" w:rsidRDefault="00055A61" w:rsidP="00261AAC">
      <w:pPr>
        <w:jc w:val="both"/>
        <w:rPr>
          <w:rFonts w:ascii="Times" w:hAnsi="Times"/>
          <w:b/>
          <w:u w:val="single"/>
        </w:rPr>
      </w:pPr>
      <w:r w:rsidRPr="00055A61">
        <w:rPr>
          <w:rFonts w:ascii="Times" w:hAnsi="Times"/>
          <w:b/>
          <w:u w:val="single"/>
        </w:rPr>
        <w:lastRenderedPageBreak/>
        <w:t>Works Cited</w:t>
      </w:r>
    </w:p>
    <w:p w14:paraId="2ECDA058" w14:textId="218D0924" w:rsidR="00055A61" w:rsidRDefault="00055A61" w:rsidP="00261AAC">
      <w:pPr>
        <w:jc w:val="both"/>
        <w:rPr>
          <w:rFonts w:ascii="Times" w:hAnsi="Times"/>
          <w:bCs/>
        </w:rPr>
      </w:pPr>
    </w:p>
    <w:p w14:paraId="3AA47442" w14:textId="037BF275" w:rsidR="00055A61" w:rsidRDefault="00055A61" w:rsidP="00261AAC">
      <w:pPr>
        <w:jc w:val="both"/>
        <w:rPr>
          <w:rFonts w:ascii="Times" w:hAnsi="Times"/>
          <w:bCs/>
        </w:rPr>
      </w:pPr>
    </w:p>
    <w:p w14:paraId="45111845" w14:textId="3BDCD786" w:rsidR="00BD396E" w:rsidRDefault="00BD396E" w:rsidP="00261AAC">
      <w:pPr>
        <w:jc w:val="both"/>
        <w:rPr>
          <w:rFonts w:ascii="Times" w:hAnsi="Times"/>
          <w:bCs/>
        </w:rPr>
      </w:pPr>
    </w:p>
    <w:p w14:paraId="2244FBF5" w14:textId="3FF278D0" w:rsidR="00BD396E" w:rsidRPr="00B65A33" w:rsidRDefault="00BD396E" w:rsidP="00261AAC">
      <w:pPr>
        <w:jc w:val="both"/>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6"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7"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63451" w14:textId="77777777" w:rsidR="00FA57A1" w:rsidRDefault="00FA57A1" w:rsidP="00372DDA">
      <w:r>
        <w:separator/>
      </w:r>
    </w:p>
  </w:endnote>
  <w:endnote w:type="continuationSeparator" w:id="0">
    <w:p w14:paraId="7357B0D5" w14:textId="77777777" w:rsidR="00FA57A1" w:rsidRDefault="00FA57A1"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7442C" w14:textId="77777777" w:rsidR="00FA57A1" w:rsidRDefault="00FA57A1" w:rsidP="00372DDA">
      <w:r>
        <w:separator/>
      </w:r>
    </w:p>
  </w:footnote>
  <w:footnote w:type="continuationSeparator" w:id="0">
    <w:p w14:paraId="08F55DA6" w14:textId="77777777" w:rsidR="00FA57A1" w:rsidRDefault="00FA57A1"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80EDD"/>
    <w:rsid w:val="00081E62"/>
    <w:rsid w:val="000B0F0D"/>
    <w:rsid w:val="000F0F82"/>
    <w:rsid w:val="000F1FC5"/>
    <w:rsid w:val="00106145"/>
    <w:rsid w:val="0014278B"/>
    <w:rsid w:val="0015704C"/>
    <w:rsid w:val="001846C6"/>
    <w:rsid w:val="00186B91"/>
    <w:rsid w:val="001A304A"/>
    <w:rsid w:val="001B4B9F"/>
    <w:rsid w:val="00237860"/>
    <w:rsid w:val="00261AAC"/>
    <w:rsid w:val="00275051"/>
    <w:rsid w:val="002B44FA"/>
    <w:rsid w:val="002C4E60"/>
    <w:rsid w:val="00321F2A"/>
    <w:rsid w:val="003273B3"/>
    <w:rsid w:val="00337FAD"/>
    <w:rsid w:val="00372DDA"/>
    <w:rsid w:val="00381212"/>
    <w:rsid w:val="00386E1B"/>
    <w:rsid w:val="003976C8"/>
    <w:rsid w:val="003A7140"/>
    <w:rsid w:val="003C0946"/>
    <w:rsid w:val="003E196B"/>
    <w:rsid w:val="003F5C9B"/>
    <w:rsid w:val="003F70AA"/>
    <w:rsid w:val="00457C75"/>
    <w:rsid w:val="004D5944"/>
    <w:rsid w:val="004E0DAE"/>
    <w:rsid w:val="0053152E"/>
    <w:rsid w:val="005333C0"/>
    <w:rsid w:val="00553E10"/>
    <w:rsid w:val="005738DD"/>
    <w:rsid w:val="00581917"/>
    <w:rsid w:val="0059546B"/>
    <w:rsid w:val="0059667C"/>
    <w:rsid w:val="005A63B7"/>
    <w:rsid w:val="005A6A32"/>
    <w:rsid w:val="005D61BE"/>
    <w:rsid w:val="006202C1"/>
    <w:rsid w:val="006216B1"/>
    <w:rsid w:val="00621B1C"/>
    <w:rsid w:val="00626F2D"/>
    <w:rsid w:val="006A3C5E"/>
    <w:rsid w:val="006A7615"/>
    <w:rsid w:val="006C4E78"/>
    <w:rsid w:val="006C520D"/>
    <w:rsid w:val="006D3EAD"/>
    <w:rsid w:val="006D5D27"/>
    <w:rsid w:val="006F47E9"/>
    <w:rsid w:val="0070701F"/>
    <w:rsid w:val="00716E7C"/>
    <w:rsid w:val="007178A1"/>
    <w:rsid w:val="00724753"/>
    <w:rsid w:val="00737C2F"/>
    <w:rsid w:val="00741136"/>
    <w:rsid w:val="00744B37"/>
    <w:rsid w:val="007521D6"/>
    <w:rsid w:val="00762092"/>
    <w:rsid w:val="007809DC"/>
    <w:rsid w:val="007B22E7"/>
    <w:rsid w:val="007B4DA2"/>
    <w:rsid w:val="007E1B09"/>
    <w:rsid w:val="00827ACB"/>
    <w:rsid w:val="008413EC"/>
    <w:rsid w:val="008673C5"/>
    <w:rsid w:val="00867C19"/>
    <w:rsid w:val="008737E2"/>
    <w:rsid w:val="008D0E60"/>
    <w:rsid w:val="008E544E"/>
    <w:rsid w:val="008F2E25"/>
    <w:rsid w:val="0092079B"/>
    <w:rsid w:val="00927DF1"/>
    <w:rsid w:val="009659A7"/>
    <w:rsid w:val="009809EF"/>
    <w:rsid w:val="00984AE7"/>
    <w:rsid w:val="009916B4"/>
    <w:rsid w:val="009B437B"/>
    <w:rsid w:val="009B52DF"/>
    <w:rsid w:val="009C5BB2"/>
    <w:rsid w:val="009D3BBF"/>
    <w:rsid w:val="009D62D5"/>
    <w:rsid w:val="00A001C6"/>
    <w:rsid w:val="00A07BB9"/>
    <w:rsid w:val="00A11F46"/>
    <w:rsid w:val="00A12A7D"/>
    <w:rsid w:val="00A20406"/>
    <w:rsid w:val="00A579CB"/>
    <w:rsid w:val="00A850BB"/>
    <w:rsid w:val="00A85974"/>
    <w:rsid w:val="00A95B39"/>
    <w:rsid w:val="00A97ADC"/>
    <w:rsid w:val="00AB1FB6"/>
    <w:rsid w:val="00AB4990"/>
    <w:rsid w:val="00AB5D48"/>
    <w:rsid w:val="00AC07B7"/>
    <w:rsid w:val="00AD49E9"/>
    <w:rsid w:val="00AE7EDA"/>
    <w:rsid w:val="00AF1705"/>
    <w:rsid w:val="00B17865"/>
    <w:rsid w:val="00B65A33"/>
    <w:rsid w:val="00B96B7C"/>
    <w:rsid w:val="00BA7437"/>
    <w:rsid w:val="00BD396E"/>
    <w:rsid w:val="00BF7CCD"/>
    <w:rsid w:val="00C23189"/>
    <w:rsid w:val="00C36CA7"/>
    <w:rsid w:val="00C66CDA"/>
    <w:rsid w:val="00C76238"/>
    <w:rsid w:val="00CC0A40"/>
    <w:rsid w:val="00D06CD4"/>
    <w:rsid w:val="00D17773"/>
    <w:rsid w:val="00D20B38"/>
    <w:rsid w:val="00D33F00"/>
    <w:rsid w:val="00D4439A"/>
    <w:rsid w:val="00D46F6C"/>
    <w:rsid w:val="00D50E41"/>
    <w:rsid w:val="00D53365"/>
    <w:rsid w:val="00D86096"/>
    <w:rsid w:val="00D875FB"/>
    <w:rsid w:val="00DA18B8"/>
    <w:rsid w:val="00DB42D9"/>
    <w:rsid w:val="00DE273D"/>
    <w:rsid w:val="00DE54E4"/>
    <w:rsid w:val="00DE7590"/>
    <w:rsid w:val="00DF4329"/>
    <w:rsid w:val="00E217A2"/>
    <w:rsid w:val="00E37454"/>
    <w:rsid w:val="00E458FD"/>
    <w:rsid w:val="00E76AA5"/>
    <w:rsid w:val="00E853B9"/>
    <w:rsid w:val="00EC7D9F"/>
    <w:rsid w:val="00ED075F"/>
    <w:rsid w:val="00ED0CBB"/>
    <w:rsid w:val="00ED2C76"/>
    <w:rsid w:val="00EE1601"/>
    <w:rsid w:val="00EE1C5D"/>
    <w:rsid w:val="00EE3EC3"/>
    <w:rsid w:val="00F2470E"/>
    <w:rsid w:val="00F34CF3"/>
    <w:rsid w:val="00F6668B"/>
    <w:rsid w:val="00F750C6"/>
    <w:rsid w:val="00F77965"/>
    <w:rsid w:val="00F948DB"/>
    <w:rsid w:val="00FA57A1"/>
    <w:rsid w:val="00FC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20</Pages>
  <Words>23007</Words>
  <Characters>131145</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41</cp:revision>
  <cp:lastPrinted>2021-06-01T13:43:00Z</cp:lastPrinted>
  <dcterms:created xsi:type="dcterms:W3CDTF">2021-04-07T21:21:00Z</dcterms:created>
  <dcterms:modified xsi:type="dcterms:W3CDTF">2021-06-02T04:20:00Z</dcterms:modified>
</cp:coreProperties>
</file>