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C486A" w14:textId="77777777" w:rsidR="006F47E9" w:rsidRPr="00D417D1" w:rsidRDefault="006F47E9" w:rsidP="00261AAC">
      <w:pPr>
        <w:ind w:right="270"/>
        <w:jc w:val="center"/>
        <w:rPr>
          <w:b/>
        </w:rPr>
      </w:pPr>
      <w:r w:rsidRPr="00D417D1">
        <w:rPr>
          <w:b/>
        </w:rPr>
        <w:t xml:space="preserve">Sequencing the </w:t>
      </w:r>
      <w:r>
        <w:rPr>
          <w:b/>
        </w:rPr>
        <w:t>d</w:t>
      </w:r>
      <w:r w:rsidRPr="00D417D1">
        <w:rPr>
          <w:b/>
        </w:rPr>
        <w:t xml:space="preserve">elta </w:t>
      </w:r>
      <w:r>
        <w:rPr>
          <w:b/>
        </w:rPr>
        <w:t>s</w:t>
      </w:r>
      <w:r w:rsidRPr="00D417D1">
        <w:rPr>
          <w:b/>
        </w:rPr>
        <w:t xml:space="preserve">melt genome: improved annual monitoring of Ne and further understanding of the wild and hatchery </w:t>
      </w:r>
      <w:r>
        <w:rPr>
          <w:b/>
        </w:rPr>
        <w:t>d</w:t>
      </w:r>
      <w:r w:rsidRPr="00D417D1">
        <w:rPr>
          <w:b/>
        </w:rPr>
        <w:t xml:space="preserve">elta </w:t>
      </w:r>
      <w:r>
        <w:rPr>
          <w:b/>
        </w:rPr>
        <w:t>s</w:t>
      </w:r>
      <w:r w:rsidRPr="00D417D1">
        <w:rPr>
          <w:b/>
        </w:rPr>
        <w:t>melt populations</w:t>
      </w:r>
    </w:p>
    <w:p w14:paraId="5692B61D" w14:textId="77777777" w:rsidR="006F47E9" w:rsidRPr="00D417D1" w:rsidRDefault="006F47E9" w:rsidP="00261AAC">
      <w:pPr>
        <w:ind w:right="270"/>
        <w:jc w:val="center"/>
      </w:pPr>
      <w:r w:rsidRPr="00D417D1">
        <w:t>June 30, 202</w:t>
      </w:r>
      <w:r>
        <w:t>1</w:t>
      </w:r>
      <w:r w:rsidRPr="00D417D1">
        <w:t xml:space="preserve"> </w:t>
      </w:r>
      <w:r>
        <w:t>Final</w:t>
      </w:r>
      <w:r w:rsidRPr="00D417D1">
        <w:t xml:space="preserve"> Report</w:t>
      </w:r>
    </w:p>
    <w:p w14:paraId="55616BCC" w14:textId="40E2A94E" w:rsidR="006F47E9" w:rsidRPr="00D417D1" w:rsidRDefault="006F47E9" w:rsidP="00261AAC">
      <w:pPr>
        <w:ind w:right="270"/>
        <w:jc w:val="center"/>
      </w:pPr>
      <w:r w:rsidRPr="00D417D1">
        <w:t xml:space="preserve">Shannon E.K. Joslin, </w:t>
      </w:r>
      <w:proofErr w:type="spellStart"/>
      <w:r w:rsidRPr="00D417D1">
        <w:t>Ensieh</w:t>
      </w:r>
      <w:proofErr w:type="spellEnd"/>
      <w:r w:rsidRPr="00D417D1">
        <w:t xml:space="preserve"> Habibi,</w:t>
      </w:r>
      <w:r>
        <w:t xml:space="preserve"> </w:t>
      </w:r>
      <w:r w:rsidR="009809EF">
        <w:t xml:space="preserve">Alisha </w:t>
      </w:r>
      <w:proofErr w:type="spellStart"/>
      <w:r w:rsidR="009809EF">
        <w:t>Goodbla</w:t>
      </w:r>
      <w:proofErr w:type="spellEnd"/>
      <w:r w:rsidR="009809EF">
        <w:t xml:space="preserve">, </w:t>
      </w:r>
      <w:r>
        <w:t>Mary Delaney, Justin Smith, Michael R. Miller</w:t>
      </w:r>
      <w:r w:rsidRPr="00D417D1">
        <w:t xml:space="preserve"> and Amanda J. Finger</w:t>
      </w:r>
    </w:p>
    <w:p w14:paraId="15715537" w14:textId="77777777" w:rsidR="006F47E9" w:rsidRPr="00D417D1" w:rsidRDefault="006F47E9" w:rsidP="00261AAC">
      <w:pPr>
        <w:ind w:right="270"/>
        <w:jc w:val="center"/>
      </w:pPr>
      <w:r w:rsidRPr="00D417D1">
        <w:t>University of California, Davis</w:t>
      </w:r>
    </w:p>
    <w:p w14:paraId="37DEEC3B" w14:textId="77777777" w:rsidR="006F47E9" w:rsidRPr="00D417D1" w:rsidRDefault="006F47E9" w:rsidP="00261AAC">
      <w:pPr>
        <w:ind w:right="270"/>
        <w:jc w:val="both"/>
      </w:pPr>
      <w:r w:rsidRPr="00D417D1">
        <w:t xml:space="preserve"> </w:t>
      </w:r>
    </w:p>
    <w:p w14:paraId="7E1977AF" w14:textId="77777777" w:rsidR="006F47E9" w:rsidRPr="00D417D1" w:rsidRDefault="006F47E9" w:rsidP="00261AAC">
      <w:pPr>
        <w:ind w:right="270"/>
        <w:jc w:val="both"/>
      </w:pPr>
      <w:r w:rsidRPr="00D417D1">
        <w:t xml:space="preserve">This document will serve as the </w:t>
      </w:r>
      <w:r>
        <w:t>final</w:t>
      </w:r>
      <w:r w:rsidRPr="00D417D1">
        <w:t xml:space="preserve"> report for A19-1844 contract between State Water Contractors and the Regents of the University of California. </w:t>
      </w:r>
    </w:p>
    <w:p w14:paraId="32117620" w14:textId="77777777" w:rsidR="006F47E9" w:rsidRDefault="006F47E9" w:rsidP="00261AAC">
      <w:pPr>
        <w:jc w:val="both"/>
        <w:rPr>
          <w:rFonts w:ascii="Times" w:hAnsi="Times"/>
          <w:b/>
          <w:bCs/>
          <w:u w:val="single"/>
        </w:rPr>
      </w:pPr>
    </w:p>
    <w:p w14:paraId="62ED85B6" w14:textId="77777777" w:rsidR="006F47E9" w:rsidRDefault="006F47E9" w:rsidP="00261AAC">
      <w:pPr>
        <w:jc w:val="both"/>
        <w:rPr>
          <w:rFonts w:ascii="Times" w:hAnsi="Times"/>
          <w:b/>
          <w:bCs/>
          <w:u w:val="single"/>
        </w:rPr>
      </w:pPr>
    </w:p>
    <w:p w14:paraId="4D2F7A06" w14:textId="24E28B5E" w:rsidR="006F47E9" w:rsidRPr="00ED2C76" w:rsidRDefault="00ED2C76" w:rsidP="00261AAC">
      <w:pPr>
        <w:pStyle w:val="Heading1"/>
        <w:jc w:val="both"/>
      </w:pPr>
      <w:r w:rsidRPr="00ED2C76">
        <w:t xml:space="preserve">Project </w:t>
      </w:r>
      <w:r w:rsidR="006F47E9" w:rsidRPr="00ED2C76">
        <w:t>Background</w:t>
      </w:r>
    </w:p>
    <w:p w14:paraId="31690907" w14:textId="77777777" w:rsidR="006F47E9" w:rsidRDefault="006F47E9" w:rsidP="00261AAC">
      <w:pPr>
        <w:ind w:right="270"/>
        <w:jc w:val="both"/>
        <w:rPr>
          <w:u w:val="single"/>
        </w:rPr>
      </w:pPr>
    </w:p>
    <w:p w14:paraId="258C2B02" w14:textId="6904FF65" w:rsidR="006F47E9" w:rsidRDefault="006F47E9" w:rsidP="00261AAC">
      <w:pPr>
        <w:ind w:right="270"/>
        <w:jc w:val="both"/>
        <w:rPr>
          <w:u w:val="single"/>
        </w:rPr>
      </w:pPr>
      <w:r>
        <w:rPr>
          <w:color w:val="00000A"/>
        </w:rPr>
        <w:t xml:space="preserve">For this project we are assembling a reference genome for delta smelt in order to </w:t>
      </w:r>
      <w:r w:rsidRPr="000C7089">
        <w:t xml:space="preserve">1) </w:t>
      </w:r>
      <w:r>
        <w:t xml:space="preserve">calculate </w:t>
      </w:r>
      <w:r w:rsidRPr="000C7089">
        <w:t>estima</w:t>
      </w:r>
      <w:r w:rsidRPr="000C7089">
        <w:t>t</w:t>
      </w:r>
      <w:r w:rsidR="00A001C6">
        <w:t>e</w:t>
      </w:r>
      <w:r w:rsidR="00DE0AED">
        <w:t>s</w:t>
      </w:r>
      <w:r w:rsidR="00A001C6">
        <w:t xml:space="preserve"> </w:t>
      </w:r>
      <w:r w:rsidRPr="000C7089">
        <w:t>of contemporary effective population sizes (N</w:t>
      </w:r>
      <w:r w:rsidRPr="000C7089">
        <w:rPr>
          <w:vertAlign w:val="subscript"/>
        </w:rPr>
        <w:t>E</w:t>
      </w:r>
      <w:r w:rsidRPr="000C7089">
        <w:t xml:space="preserve">) for the 2017 to 2019 wild cohorts, 2) </w:t>
      </w:r>
      <w:r>
        <w:t>examine</w:t>
      </w:r>
      <w:r w:rsidRPr="000C7089">
        <w:t xml:space="preserve"> domestication selection at </w:t>
      </w:r>
      <w:commentRangeStart w:id="0"/>
      <w:commentRangeStart w:id="1"/>
      <w:r w:rsidRPr="000C7089">
        <w:t xml:space="preserve">discrete </w:t>
      </w:r>
      <w:commentRangeEnd w:id="0"/>
      <w:r w:rsidR="00A001C6">
        <w:rPr>
          <w:rStyle w:val="CommentReference"/>
        </w:rPr>
        <w:commentReference w:id="0"/>
      </w:r>
      <w:commentRangeEnd w:id="1"/>
      <w:r w:rsidR="00381212">
        <w:rPr>
          <w:rStyle w:val="CommentReference"/>
        </w:rPr>
        <w:commentReference w:id="1"/>
      </w:r>
      <w:r w:rsidRPr="000C7089">
        <w:t xml:space="preserve">locations in the genome, and 3) </w:t>
      </w:r>
      <w:r>
        <w:t>identify</w:t>
      </w:r>
      <w:r w:rsidRPr="000C7089">
        <w:t xml:space="preserve"> sex-specific markers and/or chromosomes in </w:t>
      </w:r>
      <w:r>
        <w:t>d</w:t>
      </w:r>
      <w:r w:rsidRPr="000C7089">
        <w:t xml:space="preserve">elta </w:t>
      </w:r>
      <w:r>
        <w:t>s</w:t>
      </w:r>
      <w:r w:rsidRPr="000C7089">
        <w:t>melt. The creation of a ref</w:t>
      </w:r>
      <w:r w:rsidRPr="000C7089">
        <w:rPr>
          <w:color w:val="00000A"/>
        </w:rPr>
        <w:t xml:space="preserve">erence genome for </w:t>
      </w:r>
      <w:r>
        <w:rPr>
          <w:color w:val="00000A"/>
        </w:rPr>
        <w:t>d</w:t>
      </w:r>
      <w:r w:rsidRPr="000C7089">
        <w:rPr>
          <w:color w:val="00000A"/>
        </w:rPr>
        <w:t xml:space="preserve">elta </w:t>
      </w:r>
      <w:r>
        <w:rPr>
          <w:color w:val="00000A"/>
        </w:rPr>
        <w:t>s</w:t>
      </w:r>
      <w:r w:rsidRPr="000C7089">
        <w:rPr>
          <w:color w:val="00000A"/>
        </w:rPr>
        <w:t xml:space="preserve">melt will enable scientists to more fully take advantage of the decreasing samples available and use archival samples more effectively. </w:t>
      </w:r>
      <w:r w:rsidR="00381212">
        <w:rPr>
          <w:color w:val="00000A"/>
        </w:rPr>
        <w:t>The status of each deliverable is listed in Table 1.</w:t>
      </w:r>
    </w:p>
    <w:p w14:paraId="0D5AC0EC" w14:textId="77777777" w:rsidR="006F47E9" w:rsidRDefault="006F47E9" w:rsidP="00261AAC">
      <w:pPr>
        <w:ind w:right="270"/>
        <w:jc w:val="both"/>
        <w:rPr>
          <w:u w:val="single"/>
        </w:rPr>
      </w:pPr>
    </w:p>
    <w:p w14:paraId="6DA7E55D" w14:textId="73E94728" w:rsidR="006F47E9" w:rsidRPr="006E1A97" w:rsidRDefault="006F47E9" w:rsidP="00261AAC">
      <w:pPr>
        <w:ind w:right="270"/>
        <w:jc w:val="both"/>
        <w:rPr>
          <w:u w:val="single"/>
        </w:rPr>
      </w:pPr>
      <w:r w:rsidRPr="000C7089">
        <w:rPr>
          <w:color w:val="00000A"/>
        </w:rPr>
        <w:t xml:space="preserve">The </w:t>
      </w:r>
      <w:r>
        <w:rPr>
          <w:color w:val="00000A"/>
        </w:rPr>
        <w:t xml:space="preserve">use of </w:t>
      </w:r>
      <w:r w:rsidRPr="000C7089">
        <w:rPr>
          <w:color w:val="00000A"/>
        </w:rPr>
        <w:t>next generation sequencing (NGS) technologies</w:t>
      </w:r>
      <w:r>
        <w:rPr>
          <w:color w:val="00000A"/>
        </w:rPr>
        <w:t xml:space="preserve"> in conjunction with a highly contiguous and accurate reference genome increases the power and precision of  inferences made in population genetic studies</w:t>
      </w:r>
      <w:r w:rsidR="00A001C6">
        <w:rPr>
          <w:color w:val="00000A"/>
        </w:rPr>
        <w:t xml:space="preserve"> including analyses of population structure, genetic diversity and local adaptation</w:t>
      </w:r>
      <w:r w:rsidRPr="000C7089">
        <w:rPr>
          <w:color w:val="00000A"/>
        </w:rPr>
        <w:t>.</w:t>
      </w:r>
      <w:r w:rsidRPr="000C7089">
        <w:rPr>
          <w:color w:val="00000A"/>
        </w:rPr>
        <w:fldChar w:fldCharType="begin" w:fldLock="1"/>
      </w:r>
      <w:r w:rsidRPr="000C7089">
        <w:rPr>
          <w:color w:val="00000A"/>
        </w:rPr>
        <w:instrText>ADDIN CSL_CITATION {"citationItems":[{"id":"ITEM-1","itemData":{"DOI":"10.1038/nrg2844","ISBN":"1471-0064 (Electronic)\\r1471-0056 (Linking)","ISSN":"1471-0056","PMID":"20847747","abstract":"We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Genetics","id":"ITEM-1","issued":{"date-parts":[["2010"]]},"title":"Genomics and the future of conservation genetics","type":"article-journal"},"uris":["http://www.mendeley.com/documents/?uuid=0d359980-c146-3b47-bbfc-fa6cdf5c9363"]}],"mendeley":{"formattedCitation":"&lt;sup&gt;1&lt;/sup&gt;","plainTextFormattedCitation":"1","previouslyFormattedCitation":"&lt;sup&gt;1&lt;/sup&gt;"},"properties":{"noteIndex":0},"schema":"https://github.com/citation-style-language/schema/raw/master/csl-citation.json"}</w:instrText>
      </w:r>
      <w:r w:rsidRPr="000C7089">
        <w:rPr>
          <w:color w:val="00000A"/>
        </w:rPr>
        <w:fldChar w:fldCharType="separate"/>
      </w:r>
      <w:r w:rsidRPr="000C7089">
        <w:rPr>
          <w:noProof/>
          <w:color w:val="00000A"/>
          <w:vertAlign w:val="superscript"/>
        </w:rPr>
        <w:t>1</w:t>
      </w:r>
      <w:r w:rsidRPr="000C7089">
        <w:rPr>
          <w:color w:val="00000A"/>
        </w:rPr>
        <w:fldChar w:fldCharType="end"/>
      </w:r>
      <w:r w:rsidRPr="000C7089">
        <w:rPr>
          <w:color w:val="00000A"/>
        </w:rPr>
        <w:t xml:space="preserve"> </w:t>
      </w:r>
      <w:r>
        <w:rPr>
          <w:color w:val="00000A"/>
        </w:rPr>
        <w:t xml:space="preserve">DNA sequences </w:t>
      </w:r>
      <w:r w:rsidR="00A001C6">
        <w:rPr>
          <w:color w:val="00000A"/>
        </w:rPr>
        <w:t xml:space="preserve">which are </w:t>
      </w:r>
      <w:r w:rsidR="00381212">
        <w:rPr>
          <w:color w:val="00000A"/>
        </w:rPr>
        <w:t>captured by the sequencer</w:t>
      </w:r>
      <w:r w:rsidR="00A001C6">
        <w:rPr>
          <w:color w:val="00000A"/>
        </w:rPr>
        <w:t xml:space="preserve"> but not </w:t>
      </w:r>
      <w:r>
        <w:rPr>
          <w:color w:val="00000A"/>
        </w:rPr>
        <w:t xml:space="preserve">aligned to a reference genome fail to account for how each piece of sequenced DNA interacts with all other sequences (i.e. linkage patterns). However, by aligning to a reference genome we </w:t>
      </w:r>
      <w:r w:rsidR="00A001C6">
        <w:rPr>
          <w:color w:val="00000A"/>
        </w:rPr>
        <w:t xml:space="preserve">gain the </w:t>
      </w:r>
      <w:r>
        <w:rPr>
          <w:color w:val="00000A"/>
        </w:rPr>
        <w:t xml:space="preserve">knowledge </w:t>
      </w:r>
      <w:r w:rsidRPr="000C7089">
        <w:rPr>
          <w:color w:val="00000A"/>
        </w:rPr>
        <w:t xml:space="preserve">of </w:t>
      </w:r>
      <w:r>
        <w:rPr>
          <w:color w:val="00000A"/>
        </w:rPr>
        <w:t xml:space="preserve">where each </w:t>
      </w:r>
      <w:r w:rsidR="00381212">
        <w:rPr>
          <w:color w:val="00000A"/>
        </w:rPr>
        <w:t>segment</w:t>
      </w:r>
      <w:r>
        <w:rPr>
          <w:color w:val="00000A"/>
        </w:rPr>
        <w:t xml:space="preserve"> of sequenced DNA lies within the genome and relative to other sequenced DNA. Additionally, by knowing each marker</w:t>
      </w:r>
      <w:r w:rsidR="00A001C6">
        <w:rPr>
          <w:color w:val="00000A"/>
        </w:rPr>
        <w:t>’</w:t>
      </w:r>
      <w:r>
        <w:rPr>
          <w:color w:val="00000A"/>
        </w:rPr>
        <w:t xml:space="preserve">s distance from </w:t>
      </w:r>
      <w:r w:rsidR="00A001C6">
        <w:rPr>
          <w:color w:val="00000A"/>
        </w:rPr>
        <w:t>every other marker</w:t>
      </w:r>
      <w:r>
        <w:rPr>
          <w:color w:val="00000A"/>
        </w:rPr>
        <w:t xml:space="preserve">, and how it is or is not inherited with </w:t>
      </w:r>
      <w:r w:rsidR="00A001C6">
        <w:rPr>
          <w:color w:val="00000A"/>
        </w:rPr>
        <w:t>those</w:t>
      </w:r>
      <w:r w:rsidR="00381212">
        <w:rPr>
          <w:color w:val="00000A"/>
        </w:rPr>
        <w:t xml:space="preserve"> other</w:t>
      </w:r>
      <w:r w:rsidR="00A001C6">
        <w:rPr>
          <w:color w:val="00000A"/>
        </w:rPr>
        <w:t xml:space="preserve"> </w:t>
      </w:r>
      <w:commentRangeStart w:id="2"/>
      <w:commentRangeStart w:id="3"/>
      <w:r>
        <w:rPr>
          <w:color w:val="00000A"/>
        </w:rPr>
        <w:t>markers</w:t>
      </w:r>
      <w:commentRangeEnd w:id="2"/>
      <w:r w:rsidR="00A001C6">
        <w:rPr>
          <w:rStyle w:val="CommentReference"/>
        </w:rPr>
        <w:commentReference w:id="2"/>
      </w:r>
      <w:commentRangeEnd w:id="3"/>
      <w:r w:rsidR="00D46F6C">
        <w:rPr>
          <w:rStyle w:val="CommentReference"/>
          <w:rFonts w:asciiTheme="minorHAnsi" w:eastAsiaTheme="minorHAnsi" w:hAnsiTheme="minorHAnsi" w:cstheme="minorBidi"/>
        </w:rPr>
        <w:commentReference w:id="3"/>
      </w:r>
      <w:r w:rsidR="00A001C6">
        <w:rPr>
          <w:color w:val="00000A"/>
        </w:rPr>
        <w:t>,</w:t>
      </w:r>
      <w:r>
        <w:rPr>
          <w:color w:val="00000A"/>
        </w:rPr>
        <w:t xml:space="preserve"> we can survey a greater number of informative markers spread throughout the genome. This </w:t>
      </w:r>
      <w:r w:rsidR="00A001C6">
        <w:rPr>
          <w:color w:val="00000A"/>
        </w:rPr>
        <w:t xml:space="preserve">gives us </w:t>
      </w:r>
      <w:r>
        <w:rPr>
          <w:color w:val="00000A"/>
        </w:rPr>
        <w:t xml:space="preserve">the ability to better answer questions </w:t>
      </w:r>
      <w:r w:rsidR="00A001C6">
        <w:rPr>
          <w:color w:val="00000A"/>
        </w:rPr>
        <w:t xml:space="preserve">concerning </w:t>
      </w:r>
      <w:r>
        <w:rPr>
          <w:color w:val="00000A"/>
        </w:rPr>
        <w:t>demography, adaptation, fitness, and disease susceptibility</w:t>
      </w:r>
      <w:r w:rsidRPr="000C7089">
        <w:rPr>
          <w:color w:val="00000A"/>
        </w:rPr>
        <w:t>.</w:t>
      </w:r>
      <w:r w:rsidRPr="000C7089">
        <w:rPr>
          <w:color w:val="00000A"/>
        </w:rPr>
        <w:fldChar w:fldCharType="begin" w:fldLock="1"/>
      </w:r>
      <w:r w:rsidRPr="000C7089">
        <w:rPr>
          <w:color w:val="00000A"/>
        </w:rPr>
        <w:instrText>ADDIN CSL_CITATION {"citationItems":[{"id":"ITEM-1","itemData":{"DOI":"10.1146/annurev-animal-031412-103636","ISSN":"2165-8102","abstract":"The genomics era has opened up exciting possibilities in the field of conservation biology by enabling genomic analyses of threatened species that previously were limited to model organisms. Next-generation sequencing (NGS) and the collection of genome-wide data allow for more robust studies of the demographic history of populations and adaptive variation associated with fitness and local adaptation. Genomic analyses can also advance management efforts for threatened wild and captive populations by identifying loci contributing to inbreeding depression and disease susceptibility, and predicting fitness consequences of introgression. However, the development of genomic tools in wild species still carries multiple challenges, particularly those associated with computational and sampling constraints. This review provides an overview of the most significant applications of NGS and the implications and limitations of genomic studies in conservation. © 2013 by Annual Reviews.","author":[{"dropping-particle":"","family":"Steiner","given":"Cynthia C.","non-dropping-particle":"","parse-names":false,"suffix":""},{"dropping-particle":"","family":"Putnam","given":"Andrea S.","non-dropping-particle":"","parse-names":false,"suffix":""},{"dropping-particle":"","family":"Hoeck","given":"Paquita E.A.","non-dropping-particle":"","parse-names":false,"suffix":""},{"dropping-particle":"","family":"Ryder","given":"Oliver A.","non-dropping-particle":"","parse-names":false,"suffix":""}],"container-title":"Annual Review of Animal Biosciences","id":"ITEM-1","issue":"1","issued":{"date-parts":[["2013"]]},"page":"261-281","title":"Conservation Genomics of Threatened Animal Species","type":"article-journal","volume":"1"},"uris":["http://www.mendeley.com/documents/?uuid=7d097e57-88a8-4b7e-80e2-9363996b7f04"]},{"id":"ITEM-2","itemData":{"DOI":"10.1111/mec.13814","ISBN":"1365-294X","ISSN":"1365294X","abstract":"The last decade has seen an explosion of interest in use of genetic markers to estimate effective population size, Ne. Effective population size is important both theoretically (Ne is a key parameter in almost every aspect of evolutionary biology) and for practical application (Ne determines rates of genetic drift and loss of genetic variability and modulates the effectiveness of selection, so it is crucial to consider in conservation). As documented by Palstra &amp; Fraser (2012), most of the recent growth in Ne estimation can be attributed to development or refinement of methods that can use a single sample of individuals (the older temporal method requires at least two samples separated in time). As with other population genetic methods, performance of new Ne estimators is typically evaluated with simulated data for a few scenarios selected by the author(s). Inevitably, these initial evaluations fail to fully consider the consequences of violating simplifying assumptions, such as discrete generations, closed populations of constant size and selective neutrality. Subsequently, many researchers studying natural or captive populations have reported estimates of Ne for multiple methods; often these estimates are congruent, but that is not always the case. Because true Ne is rarely known in these empirical studies, it is difficult to make sense of the results when estimates differ substantially among methods. What is needed is a rigorous, comparative analysis under realistic scenarios for which true Ne is known. Recently, Gilbert &amp; Whitlock (2015) did just that for both single-sample and temporal methods under a wide range of migration schemes. In the current issue of Molecular Ecology, Wang (2016) uses simulations to evaluate performance of four single-sample Ne estimators. In addition to assessing effects of true Ne, sample size, and number of loci, Wang also evaluated performance under changing abundance, physical linkage and genotyping errors, as well as for some alternative life histories (high rates of selfing; haplodiploids). Wang showed that the sibship frequency (SF) and linkage disequilibrium (LD) methods perform dramatically better than the heterozygote excess and molecular coancestry methods under most scenarios (see Fig. 1, modified from figure 2 in Wang 2016), and he also concluded that SF is generally more versatile than LD. This article represents a truly Herculean effort, and results should be of considerable value to researchers interested i…","author":[{"dropping-particle":"","family":"Waples","given":"Robin S.","non-dropping-particle":"","parse-names":false,"suffix":""}],"container-title":"Molecular Ecology","id":"ITEM-2","issue":"19","issued":{"date-parts":[["2016"]]},"page":"4689-4691","title":"Making sense of genetic estimates of effective population size","type":"article-journal","volume":"25"},"uris":["http://www.mendeley.com/documents/?uuid=66ff25a6-2c12-4c9c-b35c-19dddba8b7fa"]}],"mendeley":{"formattedCitation":"&lt;sup&gt;2,3&lt;/sup&gt;","plainTextFormattedCitation":"2,3","previouslyFormattedCitation":"&lt;sup&gt;2,3&lt;/sup&gt;"},"properties":{"noteIndex":0},"schema":"https://github.com/citation-style-language/schema/raw/master/csl-citation.json"}</w:instrText>
      </w:r>
      <w:r w:rsidRPr="000C7089">
        <w:rPr>
          <w:color w:val="00000A"/>
        </w:rPr>
        <w:fldChar w:fldCharType="separate"/>
      </w:r>
      <w:r w:rsidRPr="000C7089">
        <w:rPr>
          <w:noProof/>
          <w:color w:val="00000A"/>
          <w:vertAlign w:val="superscript"/>
        </w:rPr>
        <w:t>2,3</w:t>
      </w:r>
      <w:r w:rsidRPr="000C7089">
        <w:rPr>
          <w:color w:val="00000A"/>
        </w:rPr>
        <w:fldChar w:fldCharType="end"/>
      </w:r>
      <w:r w:rsidRPr="000C7089">
        <w:rPr>
          <w:color w:val="00000A"/>
        </w:rPr>
        <w:t xml:space="preserve"> </w:t>
      </w:r>
      <w:r>
        <w:rPr>
          <w:color w:val="00000A"/>
        </w:rPr>
        <w:t xml:space="preserve">For example, previous work in Chinook salmon using the closely related rainbow trout reference genome found </w:t>
      </w:r>
      <w:r w:rsidR="00A001C6">
        <w:rPr>
          <w:color w:val="00000A"/>
        </w:rPr>
        <w:t xml:space="preserve">a </w:t>
      </w:r>
      <w:r>
        <w:rPr>
          <w:color w:val="00000A"/>
        </w:rPr>
        <w:t xml:space="preserve">small </w:t>
      </w:r>
      <w:r w:rsidR="00A001C6">
        <w:rPr>
          <w:color w:val="00000A"/>
        </w:rPr>
        <w:t xml:space="preserve">number </w:t>
      </w:r>
      <w:r>
        <w:rPr>
          <w:color w:val="00000A"/>
        </w:rPr>
        <w:t>of markers that were associated with runtime.</w:t>
      </w:r>
      <w:r>
        <w:rPr>
          <w:color w:val="00000A"/>
        </w:rPr>
        <w:fldChar w:fldCharType="begin" w:fldLock="1"/>
      </w:r>
      <w:r>
        <w:rPr>
          <w:color w:val="00000A"/>
        </w:rPr>
        <w:instrText>ADDIN CSL_CITATION {"citationItems":[{"id":"ITEM-1","itemData":{"DOI":"10.1126/sciadv.1603198","abstract":"The delineation of conservation units (CUs) is a challenging issue that has profound implications for minimizing the loss of biodiversity and ecosystem services. CU delineation typically seeks to prioritize evolutionary significance, and genetic methods play a pivotal role in the delineation process by quantifying overall differentiation between populations. Although CUs that primarily reflect overall genetic differentiation do protect adaptive differences between distant populations, they do not necessarily protect adaptive variation within highly connected populations. Advances in genomic methodology facilitate the characterization of adaptive genetic variation, but the potential utility of this information for CU delineation is unclear. We use genomic methods to investigate the evolutionary basis of premature migration in Pacific salmon, a complex behavioral and physiological phenotype that exists within highly connected populations and has experienced severe declines. Strikingly, we find that premature migration is associated with the same single locus across multiple populations in each of two different species. Patterns of variation at this locus suggest that the premature migration alleles arose from a single evolutionary event within each species and were subsequently spread to distant populations through straying and positive selection. Our results reveal that complex adaptive variation can depend on rare mutational events at a single locus, demonstrate that CUs reflecting overall genetic differentiation can fail to protect evolutionarily significant variation that has substantial ecological and societal benefits, and suggest that a supplemental framework for protecting specific adaptive variation will sometimes be necessary to prevent the loss of significant biodiversity and ecosystem services.","author":[{"dropping-particle":"","family":"Prince","given":"Daniel J","non-dropping-particle":"","parse-names":false,"suffix":""},{"dropping-particle":"","family":"Rourke","given":"Sean M O","non-dropping-particle":"","parse-names":false,"suffix":""},{"dropping-particle":"","family":"Thompson","given":"Tasha Q","non-dropping-particle":"","parse-names":false,"suffix":""},{"dropping-particle":"","family":"Ali","given":"Omar A","non-dropping-particle":"","parse-names":false,"suffix":""},{"dropping-particle":"","family":"Lyman","given":"Hannah S","non-dropping-particle":"","parse-names":false,"suffix":""},{"dropping-particle":"","family":"Saglam","given":"Ismail K","non-dropping-particle":"","parse-names":false,"suffix":""},{"dropping-particle":"","family":"Hotaling","given":"Thomas J","non-dropping-particle":"","parse-names":false,"suffix":""},{"dropping-particle":"","family":"Spidle","given":"Adrian P","non-dropping-particle":"","parse-names":false,"suffix":""},{"dropping-particle":"","family":"Miller","given":"Michael R","non-dropping-particle":"","parse-names":false,"suffix":""}],"container-title":"Science Advances","id":"ITEM-1","issue":"August","issued":{"date-parts":[["2017"]]},"title":"The evolutionary basis of premature migration in Pacific salmon highlights the utility of genomics for informing conservation","type":"article-journal","volume":"3"},"uris":["http://www.mendeley.com/documents/?uuid=c6fd8232-bfc3-43ec-83ec-b1c559fc77f3"]}],"mendeley":{"formattedCitation":"&lt;sup&gt;4&lt;/sup&gt;","plainTextFormattedCitation":"4","previouslyFormattedCitation":"&lt;sup&gt;4&lt;/sup&gt;"},"properties":{"noteIndex":0},"schema":"https://github.com/citation-style-language/schema/raw/master/csl-citation.json"}</w:instrText>
      </w:r>
      <w:r>
        <w:rPr>
          <w:color w:val="00000A"/>
        </w:rPr>
        <w:fldChar w:fldCharType="separate"/>
      </w:r>
      <w:r w:rsidRPr="00F610EA">
        <w:rPr>
          <w:noProof/>
          <w:color w:val="00000A"/>
          <w:vertAlign w:val="superscript"/>
        </w:rPr>
        <w:t>4</w:t>
      </w:r>
      <w:r>
        <w:rPr>
          <w:color w:val="00000A"/>
        </w:rPr>
        <w:fldChar w:fldCharType="end"/>
      </w:r>
      <w:r>
        <w:rPr>
          <w:color w:val="00000A"/>
        </w:rPr>
        <w:t xml:space="preserve"> In 2014, these markers were located next to a gap in the rainbow trout reference assembly. Reanalysis using a highly contiguous 2018 Chinook salmon reference genome found diagnostic markers located within the gap in the 2014 reference genome (Prince </w:t>
      </w:r>
      <w:r>
        <w:rPr>
          <w:i/>
          <w:color w:val="00000A"/>
        </w:rPr>
        <w:t>et al.</w:t>
      </w:r>
      <w:r>
        <w:rPr>
          <w:color w:val="00000A"/>
        </w:rPr>
        <w:t xml:space="preserve"> unpublished).</w:t>
      </w:r>
      <w:r>
        <w:rPr>
          <w:color w:val="00000A"/>
        </w:rPr>
        <w:fldChar w:fldCharType="begin" w:fldLock="1"/>
      </w:r>
      <w:r>
        <w:rPr>
          <w:color w:val="00000A"/>
        </w:rPr>
        <w:instrText>ADDIN CSL_CITATION {"citationItems":[{"id":"ITEM-1","itemData":{"author":[{"dropping-particle":"","family":"Narum","given":"Shawn R","non-dropping-particle":"","parse-names":false,"suffix":""},{"dropping-particle":"Di","family":"Genova","given":"Alex","non-dropping-particle":"","parse-names":false,"suffix":""},{"dropping-particle":"","family":"Micheletti","given":"Steven J","non-dropping-particle":"","parse-names":false,"suffix":""},{"dropping-particle":"","family":"Maass","given":"Alejandro","non-dropping-particle":"","parse-names":false,"suffix":""}],"container-title":"Proceedings of the Royal Society B: Biological Sciences","id":"ITEM-1","issue":"1883","issued":{"date-parts":[["2018"]]},"title":"Genomic variation underlying complex life-history traits revealed by genome sequencing in Chinook salmon","type":"article-journal","volume":"285"},"uris":["http://www.mendeley.com/documents/?uuid=c026ef43-5f1b-462a-a6ef-84fbd9b6a818"]}],"mendeley":{"formattedCitation":"&lt;sup&gt;5&lt;/sup&gt;","plainTextFormattedCitation":"5","previouslyFormattedCitation":"&lt;sup&gt;5&lt;/sup&gt;"},"properties":{"noteIndex":0},"schema":"https://github.com/citation-style-language/schema/raw/master/csl-citation.json"}</w:instrText>
      </w:r>
      <w:r>
        <w:rPr>
          <w:color w:val="00000A"/>
        </w:rPr>
        <w:fldChar w:fldCharType="separate"/>
      </w:r>
      <w:r w:rsidRPr="00F610EA">
        <w:rPr>
          <w:noProof/>
          <w:color w:val="00000A"/>
          <w:vertAlign w:val="superscript"/>
        </w:rPr>
        <w:t>5</w:t>
      </w:r>
      <w:r>
        <w:rPr>
          <w:color w:val="00000A"/>
        </w:rPr>
        <w:fldChar w:fldCharType="end"/>
      </w:r>
      <w:r>
        <w:rPr>
          <w:color w:val="00000A"/>
        </w:rPr>
        <w:t xml:space="preserve"> This example underscores how reference genomes can propel conservation research forward.</w:t>
      </w:r>
    </w:p>
    <w:p w14:paraId="5D171380" w14:textId="77777777" w:rsidR="006F47E9" w:rsidRPr="00D417D1" w:rsidRDefault="006F47E9" w:rsidP="00261AAC">
      <w:pPr>
        <w:ind w:right="270" w:firstLine="720"/>
        <w:jc w:val="both"/>
      </w:pPr>
    </w:p>
    <w:p w14:paraId="744BFBD5" w14:textId="77777777" w:rsidR="00261AAC" w:rsidRDefault="006F47E9" w:rsidP="00261AAC">
      <w:pPr>
        <w:ind w:right="270"/>
        <w:jc w:val="both"/>
        <w:rPr>
          <w:color w:val="00000A"/>
        </w:rPr>
      </w:pPr>
      <w:r w:rsidRPr="000C7089">
        <w:rPr>
          <w:color w:val="00000A"/>
        </w:rPr>
        <w:t xml:space="preserve">Recently, genome sequencing technologies have become both more cost effective and efficient. </w:t>
      </w:r>
      <w:r w:rsidR="00A001C6">
        <w:rPr>
          <w:color w:val="00000A"/>
        </w:rPr>
        <w:t>“</w:t>
      </w:r>
      <w:r>
        <w:rPr>
          <w:color w:val="00000A"/>
        </w:rPr>
        <w:t>Hybrid assemblies</w:t>
      </w:r>
      <w:r w:rsidR="00A001C6">
        <w:rPr>
          <w:color w:val="00000A"/>
        </w:rPr>
        <w:t>” (</w:t>
      </w:r>
      <w:r>
        <w:rPr>
          <w:color w:val="00000A"/>
        </w:rPr>
        <w:t>assemblies that use multiple NGS technologies</w:t>
      </w:r>
      <w:r w:rsidR="00A001C6">
        <w:rPr>
          <w:color w:val="00000A"/>
        </w:rPr>
        <w:t>)</w:t>
      </w:r>
      <w:r>
        <w:rPr>
          <w:color w:val="00000A"/>
        </w:rPr>
        <w:t xml:space="preserve"> are the most reliable way to achieve a chromosome-scale hi</w:t>
      </w:r>
      <w:r w:rsidR="00A001C6">
        <w:rPr>
          <w:color w:val="00000A"/>
        </w:rPr>
        <w:t>gh</w:t>
      </w:r>
      <w:r>
        <w:rPr>
          <w:color w:val="00000A"/>
        </w:rPr>
        <w:t>-quality genome assembly. The Vertebrate Genomes Project, a consortium aimed towards developing an assembly pipeline and quality standards for genome assemblies of all vertebrates, established quality goal metrics for the continuity, completeness and accuracy of reference genomes</w:t>
      </w:r>
      <w:r w:rsidR="00A001C6">
        <w:rPr>
          <w:color w:val="00000A"/>
        </w:rPr>
        <w:t>.</w:t>
      </w:r>
      <w:r>
        <w:rPr>
          <w:color w:val="00000A"/>
        </w:rPr>
        <w:fldChar w:fldCharType="begin" w:fldLock="1"/>
      </w:r>
      <w:r>
        <w:rPr>
          <w:color w:val="00000A"/>
        </w:rPr>
        <w:instrText>ADDIN CSL_CITATION {"citationItems":[{"id":"ITEM-1","itemData":{"DOI":"10.1101/2020.05.22.110833","abstract":"High-quality and complete reference genome assemblies are fundamental for the application of genomics to biology, disease, and biodiversity conservation. However, such assemblies are only available for a few non-microbial species1–4. To address this issue, the international Genome 10K (G10K) consortium5,6 has worked over a five-year period to evaluate and develop cost-effective methods for assembling the most accurate and complete reference genomes to date. Here we summarize these developments, introduce a set of quality standards, and present lessons learned from sequencing and assembling 16 species representing major vertebrate lineages (mammals, birds, reptiles, amphibians, teleost fishes and cartilaginous fishes). We confirm that long-read sequencing technologies are essential for maximizing genome quality and that unresolved complex repeats and haplotype heterozygosity are major sources of error in assemblies. Our new assemblies identify and correct substantial errors in some of the best historical reference genomes. Adopting these lessons, we have embarked on the Vertebrate Genomes Project (VGP), an effort to generate high-quality, complete reference genomes for all ~70,000 extant vertebrate species and help enable a new era of discovery across the life sciences.Competing Interest StatementDuring the contributing period, B.T.H, M.Si., A.F. and M.Mo. were employees of DNAnexus Inc. S.B.K., R.H., Z.K., J.Ko., I.S. and C.D. are full-time employees at Pacific Biosciences, a company developing single-molecule sequencing technologies. R.D. is a scientific advisory board member of Dovetail Inc. P.Fl. is a member of the Scientific Advisory Boards of Fabric Genomics, Inc., and Eagle Genomics, Ltd. H.C. receives royalties from the sale of UCSC Genome Browser source code, LiftOver, GBiB, and GBiC licenses to commercial entities. S.K has received travel funds to speak at symposia organized by Oxford Nanopore. M.D. and L.N. receives royalties from licensing of UCSC Genome Browser. For W.E.J., the content here is not to be construed as the views of the DA or DOD.","author":[{"dropping-particle":"","family":"Rhie","given":"Arang","non-dropping-particle":"","parse-names":false,"suffix":""},{"dropping-particle":"","family":"McCarthy","given":"Shane A","non-dropping-particle":"","parse-names":false,"suffix":""},{"dropping-particle":"","family":"Fedrigo","given":"Olivier","non-dropping-particle":"","parse-names":false,"suffix":""},{"dropping-particle":"","family":"Damas","given":"Joana","non-dropping-particle":"","parse-names":false,"suffix":""},{"dropping-particle":"","family":"Formenti","given":"Giulio","non-dropping-particle":"","parse-names":false,"suffix":""},{"dropping-particle":"","family":"Koren","given":"Sergey","non-dropping-particle":"","parse-names":false,"suffix":""},{"dropping-particle":"","family":"Uliano-Silva","given":"Marcela","non-dropping-particle":"","parse-names":false,"suffix":""},{"dropping-particle":"","family":"Chow","given":"William","non-dropping-particle":"","parse-names":false,"suffix":""},{"dropping-particle":"","family":"Fungtammasan","given":"Arkarachai","non-dropping-particle":"","parse-names":false,"suffix":""},{"dropping-particle":"","family":"Gedman","given":"Gregory L","non-dropping-particle":"","parse-names":false,"suffix":""},{"dropping-particle":"","family":"Cantin","given":"Lindsey J","non-dropping-particle":"","parse-names":false,"suffix":""},{"dropping-particle":"","family":"Thibaud-Nissen","given":"Francoise","non-dropping-particle":"","parse-names":false,"suffix":""},{"dropping-particle":"","family":"Haggerty","given":"Leanne","non-dropping-particle":"","parse-names":false,"suffix":""},{"dropping-particle":"","family":"Lee","given":"Chul","non-dropping-particle":"","parse-names":false,"suffix":""},{"dropping-particle":"","family":"Ko","given":"Byung June","non-dropping-particle":"","parse-names":false,"suffix":""},{"dropping-particle":"","family":"Kim","given":"Juwan","non-dropping-particle":"","parse-names":false,"suffix":""},{"dropping-particle":"","family":"Bista","given":"Iliana","non-dropping-particle":"","parse-names":false,"suffix":""},{"dropping-particle":"","family":"Smith","given":"Michelle","non-dropping-particle":"","parse-names":false,"suffix":""},{"dropping-particle":"","family":"Haase","given":"Bettina","non-dropping-particle":"","parse-names":false,"suffix":""},{"dropping-particle":"","family":"Mountcastle","given":"Jacquelyn","non-dropping-particle":"","parse-names":false,"suffix":""},{"dropping-particle":"","family":"Winkler","given":"Sylke","non-dropping-particle":"","parse-names":false,"suffix":""},{"dropping-particle":"","family":"Paez","given":"Sadye","non-dropping-particle":"","parse-names":false,"suffix":""},{"dropping-particle":"","family":"Howard","given":"Jason","non-dropping-particle":"","parse-names":false,"suffix":""},{"dropping-particle":"","family":"Vernes","given":"Sonja C","non-dropping-particle":"","parse-names":false,"suffix":""},{"dropping-particle":"","family":"Lama","given":"Tanya M","non-dropping-particle":"","parse-names":false,"suffix":""},{"dropping-particle":"","family":"Grutzner","given":"Frank","non-dropping-particle":"","parse-names":false,"suffix":""},{"dropping-particle":"","family":"Warren","given":"Wesley C","non-dropping-particle":"","parse-names":false,"suffix":""},{"dropping-particle":"","family":"Balakrishnan","given":"Christopher","non-dropping-particle":"","parse-names":false,"suffix":""},{"dropping-particle":"","family":"Burt","given":"Dave","non-dropping-particle":"","parse-names":false,"suffix":""},{"dropping-particle":"","family":"George","given":"Julia M","non-dropping-particle":"","parse-names":false,"suffix":""},{"dropping-particle":"","family":"Biegler","given":"Mathew","non-dropping-particle":"","parse-names":false,"suffix":""},{"dropping-particle":"","family":"Iorns","given":"David","non-dropping-particle":"","parse-names":false,"suffix":""},{"dropping-particle":"","family":"Digby","given":"Andrew","non-dropping-particle":"","parse-names":false,"suffix":""},{"dropping-particle":"","family":"Eason","given":"Daryl","non-dropping-particle":"","parse-names":false,"suffix":""},{"dropping-particle":"","family":"Edwards","given":"Taylor","non-dropping-particle":"","parse-names":false,"suffix":""},{"dropping-particle":"","family":"Wilkinson","given":"Mark","non-dropping-particle":"","parse-names":false,"suffix":""},{"dropping-particle":"","family":"Turner","given":"George","non-dropping-particle":"","parse-names":false,"suffix":""},{"dropping-particle":"","family":"Meyer","given":"Axel","non-dropping-particle":"","parse-names":false,"suffix":""},{"dropping-particle":"","family":"Kautt","given":"Andreas F","non-dropping-particle":"","parse-names":false,"suffix":""},{"dropping-particle":"","family":"Franchini","given":"Paolo","non-dropping-particle":"","parse-names":false,"suffix":""},{"dropping-particle":"","family":"Detrich","given":"H William","non-dropping-particle":"","parse-names":false,"suffix":""},{"dropping-particle":"","family":"Svardal","given":"Hannes","non-dropping-particle":"","parse-names":false,"suffix":""},{"dropping-particle":"","family":"Wagner","given":"Maximilian","non-dropping-particle":"","parse-names":false,"suffix":""},{"dropping-particle":"","family":"Naylor","given":"Gavin J P","non-dropping-particle":"","parse-names":false,"suffix":""},{"dropping-particle":"","family":"Pippel","given":"Martin","non-dropping-particle":"","parse-names":false,"suffix":""},{"dropping-particle":"","family":"Malinsky","given":"Milan","non-dropping-particle":"","parse-names":false,"suffix":""},{"dropping-particle":"","family":"Mooney","given":"Mark","non-dropping-particle":"","parse-names":false,"suffix":""},{"dropping-particle":"","family":"Simbirsky","given":"Maria","non-dropping-particle":"","parse-names":false,"suffix":""},{"dropping-particle":"","family":"Hannigan","given":"Brett T","non-dropping-particle":"","parse-names":false,"suffix":""},{"dropping-particle":"","family":"Pesout","given":"Trevor","non-dropping-particle":"","parse-names":false,"suffix":""},{"dropping-particle":"","family":"Houck","given":"Marlys","non-dropping-particle":"","parse-names":false,"suffix":""},{"dropping-particle":"","family":"Misuraca","given":"Ann","non-dropping-particle":"","parse-names":false,"suffix":""},{"dropping-particle":"","family":"Kingan","given":"Sarah B","non-dropping-particle":"","parse-names":false,"suffix":""},{"dropping-particle":"","family":"Hall","given":"Richard","non-dropping-particle":"","parse-names":false,"suffix":""},{"dropping-particle":"","family":"Kronenberg","given":"Zev","non-dropping-particle":"","parse-names":false,"suffix":""},{"dropping-particle":"","family":"Korlach","given":"Jonas","non-dropping-particle":"","parse-names":false,"suffix":""},{"dropping-particle":"","family":"Sović","given":"Ivan","non-dropping-particle":"","parse-names":false,"suffix":""},{"dropping-particle":"","family":"Dunn","given":"Christopher","non-dropping-particle":"","parse-names":false,"suffix":""},{"dropping-particle":"","family":"Ning","given":"Zemin","non-dropping-particle":"","parse-names":false,"suffix":""},{"dropping-particle":"","family":"Hastie","given":"Alex","non-dropping-particle":"","parse-names":false,"suffix":""},{"dropping-particle":"","family":"Lee","given":"Joyce","non-dropping-particle":"","parse-names":false,"suffix":""},{"dropping-particle":"","family":"Selvaraj","given":"Siddarth","non-dropping-particle":"","parse-names":false,"suffix":""},{"dropping-particle":"","family":"Green","given":"Richard E","non-dropping-particle":"","parse-names":false,"suffix":""},{"dropping-particle":"","family":"Putnam","given":"Nicholas H","non-dropping-particle":"","parse-names":false,"suffix":""},{"dropping-particle":"","family":"Ghurye","given":"Jay","non-dropping-particle":"","parse-names":false,"suffix":""},{"dropping-particle":"","family":"Garrison","given":"Erik","non-dropping-particle":"","parse-names":false,"suffix":""},{"dropping-particle":"","family":"Sims","given":"Ying","non-dropping-particle":"","parse-names":false,"suffix":""},{"dropping-particle":"","family":"Collins","given":"Joanna","non-dropping-particle":"","parse-names":false,"suffix":""},{"dropping-particle":"","family":"Pelan","given":"Sarah","non-dropping-particle":"","parse-names":false,"suffix":""},{"dropping-particle":"","family":"Torrance","given":"James","non-dropping-particle":"","parse-names":false,"suffix":""},{"dropping-particle":"","family":"Tracey","given":"Alan","non-dropping-particle":"","parse-names":false,"suffix":""},{"dropping-particle":"","family":"Wood","given":"Jonathan","non-dropping-particle":"","parse-names":false,"suffix":""},{"dropping-particle":"","family":"Guan","given":"Dengfeng","non-dropping-particle":"","parse-names":false,"suffix":""},{"dropping-particle":"","family":"London","given":"Sarah E","non-dropping-particle":"","parse-names":false,"suffix":""},{"dropping-particle":"","family":"Clayton","given":"David F","non-dropping-particle":"","parse-names":false,"suffix":""},{"dropping-particle":"V","family":"Mello","given":"Claudio","non-dropping-particle":"","parse-names":false,"suffix":""},{"dropping-particle":"","family":"Friedrich","given":"Samantha R","non-dropping-particle":"","parse-names":false,"suffix":""},{"dropping-particle":"V","family":"Lovell","given":"Peter","non-dropping-particle":"","parse-names":false,"suffix":""},{"dropping-particle":"","family":"Osipova","given":"Ekaterina","non-dropping-particle":"","parse-names":false,"suffix":""},{"dropping-particle":"","family":"Al-Ajli","given":"Farooq O","non-dropping-particle":"","parse-names":false,"suffix":""},{"dropping-particle":"","family":"Secomandi","given":"Simona","non-dropping-particle":"","parse-names":false,"suffix":""},{"dropping-particle":"","family":"Kim","given":"Heebal","non-dropping-particle":"","parse-names":false,"suffix":""},{"dropping-particle":"","family":"Theofanopoulou","given":"Constantina","non-dropping-particle":"","parse-names":false,"suffix":""},{"dropping-particle":"","family":"Zhou","given":"Yang","non-dropping-particle":"","parse-names":false,"suffix":""},{"dropping-particle":"","family":"Harris","given":"Robert S","non-dropping-particle":"","parse-names":false,"suffix":""},{"dropping-particle":"","family":"Makova","given":"Kateryna D","non-dropping-particle":"","parse-names":false,"suffix":""},{"dropping-particle":"","family":"Medvedev","given":"Paul","non-dropping-particle":"","parse-names":false,"suffix":""},{"dropping-particle":"","family":"Hoffman","given":"Jinna","non-dropping-particle":"","parse-names":false,"suffix":""},{"dropping-particle":"","family":"Masterson","given":"Patrick","non-dropping-particle":"","parse-names":false,"suffix":""},{"dropping-particle":"","family":"Clark","given":"Karen","non-dropping-particle":"","parse-names":false,"suffix":""},{"dropping-particle":"","family":"Martin","given":"Fergal","non-dropping-particle":"","parse-names":false,"suffix":""},{"dropping-particle":"","family":"Howe","given":"Kevin","non-dropping-particle":"","parse-names":false,"suffix":""},{"dropping-particle":"","family":"Flicek","given":"Paul","non-dropping-particle":"","parse-names":false,"suffix":""},{"dropping-particle":"","family":"Walenz","given":"Brian P","non-dropping-particle":"","parse-names":false,"suffix":""},{"dropping-particle":"","family":"Kwak","given":"Woori","non-dropping-particle":"","parse-names":false,"suffix":""},{"dropping-particle":"","family":"Clawson","given":"Hiram","non-dropping-particle":"","parse-names":false,"suffix":""},{"dropping-particle":"","family":"Diekhans","given":"Mark","non-dropping-particle":"","parse-names":false,"suffix":""},{"dropping-particle":"","family":"Nassar","given":"Luis","non-dropping-particle":"","parse-names":false,"suffix":""},{"dropping-particle":"","family":"Paten","given":"Benedict","non-dropping-particle":"","parse-names":false,"suffix":""},{"dropping-particle":"","family":"Kraus","given":"Robert H S","non-dropping-particle":"","parse-names":false,"suffix":""},{"dropping-particle":"","family":"Lewin","given":"Harris","non-dropping-particle":"","parse-names":false,"suffix":""},{"dropping-particle":"","family":"Crawford","given":"Andrew J","non-dropping-particle":"","parse-names":false,"suffix":""},{"dropping-particle":"","family":"Gilbert","given":"M Thomas P","non-dropping-particle":"","parse-names":false,"suffix":""},{"dropping-particle":"","family":"Zhang","given":"Guojie","non-dropping-particle":"","parse-names":false,"suffix":""},{"dropping-particle":"","family":"Venkatesh","given":"Byrappa","non-dropping-particle":"","parse-names":false,"suffix":""},{"dropping-particle":"","family":"Murphy","given":"Robert W","non-dropping-particle":"","parse-names":false,"suffix":""},{"dropping-particle":"","family":"Koepfli","given":"Klaus-Peter","non-dropping-particle":"","parse-names":false,"suffix":""},{"dropping-particle":"","family":"Shapiro","given":"Beth","non-dropping-particle":"","parse-names":false,"suffix":""},{"dropping-particle":"","family":"Johnson","given":"Warren E","non-dropping-particle":"","parse-names":false,"suffix":""},{"dropping-particle":"","family":"Palma","given":"Federica","non-dropping-particle":"Di","parse-names":false,"suffix":""},{"dropping-particle":"","family":"Margues-Bonet","given":"Tomas","non-dropping-particle":"","parse-names":false,"suffix":""},{"dropping-particle":"","family":"Teeling","given":"Emma C","non-dropping-particle":"","parse-names":false,"suffix":""},{"dropping-particle":"","family":"Warnow","given":"Tandy","non-dropping-particle":"","parse-names":false,"suffix":""},{"dropping-particle":"","family":"Graves","given":"Jennifer Marshall","non-dropping-particle":"","parse-names":false,"suffix":""},{"dropping-particle":"","family":"Ryder","given":"Oliver A","non-dropping-particle":"","parse-names":false,"suffix":""},{"dropping-particle":"","family":"Hausler","given":"David","non-dropping-particle":"","parse-names":false,"suffix":""},{"dropping-particle":"","family":"O’Brien","given":"Stephen J","non-dropping-particle":"","parse-names":false,"suffix":""},{"dropping-particle":"","family":"Howe","given":"Kerstin","non-dropping-particle":"","parse-names":false,"suffix":""},{"dropping-particle":"","family":"Myers","given":"Eugene W","non-dropping-particle":"","parse-names":false,"suffix":""},{"dropping-particle":"","family":"Durbin","given":"Richard","non-dropping-particle":"","parse-names":false,"suffix":""},{"dropping-particle":"","family":"Phillippy","given":"Adam M","non-dropping-particle":"","parse-names":false,"suffix":""},{"dropping-particle":"","family":"Jarvis","given":"Erich D","non-dropping-particle":"","parse-names":false,"suffix":""}],"container-title":"bioRxiv","id":"ITEM-1","issued":{"date-parts":[["2020","1","1"]]},"page":"2020.05.22.110833","title":"Towards complete and error-free genome assemblies of all vertebrate species","type":"article-journal"},"uris":["http://www.mendeley.com/documents/?uuid=71c8d40a-6aa9-4367-99d2-61783a988979"]}],"mendeley":{"formattedCitation":"&lt;sup&gt;6&lt;/sup&gt;","plainTextFormattedCitation":"6","previouslyFormattedCitation":"&lt;sup&gt;6&lt;/sup&gt;"},"properties":{"noteIndex":0},"schema":"https://github.com/citation-style-language/schema/raw/master/csl-citation.json"}</w:instrText>
      </w:r>
      <w:r>
        <w:rPr>
          <w:color w:val="00000A"/>
        </w:rPr>
        <w:fldChar w:fldCharType="separate"/>
      </w:r>
      <w:r w:rsidRPr="008434CB">
        <w:rPr>
          <w:noProof/>
          <w:color w:val="00000A"/>
          <w:vertAlign w:val="superscript"/>
        </w:rPr>
        <w:t>6</w:t>
      </w:r>
      <w:r>
        <w:rPr>
          <w:color w:val="00000A"/>
        </w:rPr>
        <w:fldChar w:fldCharType="end"/>
      </w:r>
      <w:r>
        <w:rPr>
          <w:color w:val="00000A"/>
        </w:rPr>
        <w:t xml:space="preserve"> Therefore, a main goal of this project is to develop a highly accurate chromosome-scale</w:t>
      </w:r>
      <w:r w:rsidRPr="000C7089">
        <w:rPr>
          <w:color w:val="00000A"/>
        </w:rPr>
        <w:t xml:space="preserve"> reference genome, hereafter called </w:t>
      </w:r>
      <w:r>
        <w:rPr>
          <w:color w:val="00000A"/>
        </w:rPr>
        <w:t>“</w:t>
      </w:r>
      <w:r w:rsidRPr="000C7089">
        <w:rPr>
          <w:color w:val="00000A"/>
        </w:rPr>
        <w:t xml:space="preserve">reference </w:t>
      </w:r>
      <w:r w:rsidRPr="000C7089">
        <w:rPr>
          <w:color w:val="00000A"/>
        </w:rPr>
        <w:lastRenderedPageBreak/>
        <w:t>genome</w:t>
      </w:r>
      <w:r>
        <w:rPr>
          <w:color w:val="00000A"/>
        </w:rPr>
        <w:t>”, using linked-read</w:t>
      </w:r>
      <w:r w:rsidR="00372DDA">
        <w:rPr>
          <w:color w:val="00000A"/>
        </w:rPr>
        <w:t xml:space="preserve"> (Box 1)</w:t>
      </w:r>
      <w:r>
        <w:rPr>
          <w:color w:val="00000A"/>
        </w:rPr>
        <w:t>, long-rea</w:t>
      </w:r>
      <w:r w:rsidR="00372DDA">
        <w:rPr>
          <w:color w:val="00000A"/>
        </w:rPr>
        <w:t>d (Box 2),</w:t>
      </w:r>
      <w:r>
        <w:rPr>
          <w:color w:val="00000A"/>
        </w:rPr>
        <w:t xml:space="preserve"> hi-c </w:t>
      </w:r>
      <w:r w:rsidR="004D5944">
        <w:rPr>
          <w:color w:val="00000A"/>
        </w:rPr>
        <w:t>chromatin</w:t>
      </w:r>
      <w:r>
        <w:rPr>
          <w:color w:val="00000A"/>
        </w:rPr>
        <w:t xml:space="preserve"> conf</w:t>
      </w:r>
      <w:r w:rsidR="004D5944">
        <w:rPr>
          <w:color w:val="00000A"/>
        </w:rPr>
        <w:t>i</w:t>
      </w:r>
      <w:r>
        <w:rPr>
          <w:color w:val="00000A"/>
        </w:rPr>
        <w:t xml:space="preserve">rmation </w:t>
      </w:r>
      <w:r w:rsidR="004D5944">
        <w:rPr>
          <w:color w:val="00000A"/>
        </w:rPr>
        <w:t>captur</w:t>
      </w:r>
      <w:r w:rsidR="00372DDA">
        <w:rPr>
          <w:color w:val="00000A"/>
        </w:rPr>
        <w:t xml:space="preserve">e (Box 3), </w:t>
      </w:r>
      <w:r w:rsidR="008E544E">
        <w:rPr>
          <w:color w:val="00000A"/>
        </w:rPr>
        <w:t xml:space="preserve">and a genetic linkage map </w:t>
      </w:r>
      <w:r>
        <w:rPr>
          <w:color w:val="00000A"/>
        </w:rPr>
        <w:t>(Figure 1).</w:t>
      </w:r>
    </w:p>
    <w:p w14:paraId="7A846497" w14:textId="46CE52D1" w:rsidR="00372DDA" w:rsidRDefault="006F47E9" w:rsidP="00261AAC">
      <w:pPr>
        <w:ind w:right="270"/>
        <w:jc w:val="both"/>
        <w:rPr>
          <w:color w:val="00000A"/>
        </w:rPr>
        <w:sectPr w:rsidR="00372DDA">
          <w:pgSz w:w="12240" w:h="15840"/>
          <w:pgMar w:top="1440" w:right="1440" w:bottom="1440" w:left="1440" w:header="720" w:footer="720" w:gutter="0"/>
          <w:cols w:space="720"/>
          <w:docGrid w:linePitch="360"/>
        </w:sectPr>
      </w:pPr>
      <w:r>
        <w:rPr>
          <w:color w:val="00000A"/>
        </w:rPr>
        <w:t xml:space="preserve"> </w:t>
      </w:r>
    </w:p>
    <w:p w14:paraId="47FE3B28" w14:textId="7F304E09" w:rsidR="000B0F0D" w:rsidRDefault="000B0F0D" w:rsidP="00261AAC">
      <w:pPr>
        <w:ind w:right="270"/>
        <w:jc w:val="both"/>
        <w:rPr>
          <w:color w:val="00000A"/>
        </w:rPr>
      </w:pPr>
    </w:p>
    <w:p w14:paraId="1F72D21A" w14:textId="7E46C586" w:rsidR="000B0F0D" w:rsidRDefault="00372DDA" w:rsidP="00261AAC">
      <w:pPr>
        <w:pBdr>
          <w:top w:val="single" w:sz="4" w:space="1" w:color="auto" w:shadow="1"/>
          <w:left w:val="single" w:sz="4" w:space="4" w:color="auto" w:shadow="1"/>
          <w:bottom w:val="single" w:sz="4" w:space="1" w:color="auto" w:shadow="1"/>
          <w:right w:val="single" w:sz="4" w:space="4" w:color="auto" w:shadow="1"/>
        </w:pBdr>
        <w:ind w:right="270"/>
        <w:jc w:val="both"/>
        <w:rPr>
          <w:color w:val="00000A"/>
        </w:rPr>
      </w:pPr>
      <w:r w:rsidRPr="00372DDA">
        <w:rPr>
          <w:b/>
          <w:bCs/>
          <w:color w:val="00000A"/>
          <w:u w:val="single"/>
        </w:rPr>
        <w:t>BOX 1</w:t>
      </w:r>
      <w:r>
        <w:rPr>
          <w:b/>
          <w:bCs/>
          <w:color w:val="00000A"/>
          <w:u w:val="single"/>
        </w:rPr>
        <w:t>:</w:t>
      </w:r>
      <w:r>
        <w:rPr>
          <w:b/>
          <w:bCs/>
          <w:color w:val="00000A"/>
        </w:rPr>
        <w:t xml:space="preserve"> </w:t>
      </w:r>
      <w:r w:rsidR="000B0F0D" w:rsidRPr="00A97ADC">
        <w:rPr>
          <w:b/>
          <w:bCs/>
          <w:color w:val="00000A"/>
        </w:rPr>
        <w:t>Linked-read Sequencin</w:t>
      </w:r>
      <w:r w:rsidR="00A97ADC" w:rsidRPr="00A97ADC">
        <w:rPr>
          <w:b/>
          <w:bCs/>
          <w:color w:val="00000A"/>
        </w:rPr>
        <w:t>g</w:t>
      </w:r>
      <w:r w:rsidR="00ED0CBB" w:rsidRPr="00ED0CBB">
        <w:rPr>
          <w:color w:val="00000A"/>
        </w:rPr>
        <w:t>, such as 10X Genomics used in this study,</w:t>
      </w:r>
      <w:r w:rsidR="000B0F0D">
        <w:rPr>
          <w:color w:val="00000A"/>
        </w:rPr>
        <w:t xml:space="preserve"> takes large segments of</w:t>
      </w:r>
      <w:r w:rsidR="00A97ADC">
        <w:rPr>
          <w:color w:val="00000A"/>
        </w:rPr>
        <w:t xml:space="preserve"> extracted</w:t>
      </w:r>
      <w:r w:rsidR="000B0F0D">
        <w:rPr>
          <w:color w:val="00000A"/>
        </w:rPr>
        <w:t xml:space="preserve"> DNA (around 50kbp) found in an organism’s genome and </w:t>
      </w:r>
      <w:r w:rsidR="00A97ADC">
        <w:rPr>
          <w:color w:val="00000A"/>
        </w:rPr>
        <w:t>puts them into individual</w:t>
      </w:r>
      <w:r w:rsidR="000B0F0D">
        <w:rPr>
          <w:color w:val="00000A"/>
        </w:rPr>
        <w:t xml:space="preserve"> oil bead</w:t>
      </w:r>
      <w:r w:rsidR="00A97ADC">
        <w:rPr>
          <w:color w:val="00000A"/>
        </w:rPr>
        <w:t>s</w:t>
      </w:r>
      <w:r w:rsidR="000B0F0D">
        <w:rPr>
          <w:color w:val="00000A"/>
        </w:rPr>
        <w:t xml:space="preserve">. Within </w:t>
      </w:r>
      <w:r w:rsidR="00A97ADC">
        <w:rPr>
          <w:color w:val="00000A"/>
        </w:rPr>
        <w:t>each</w:t>
      </w:r>
      <w:r w:rsidR="000B0F0D">
        <w:rPr>
          <w:color w:val="00000A"/>
        </w:rPr>
        <w:t xml:space="preserve"> oil bead, the segment of DNA is sheared to a length that an Illumina sequencer can read (~300-500bp) and barcodes corresponding to the oil bead the fragments are found in are attached on either side. All of the oil beads </w:t>
      </w:r>
      <w:r w:rsidR="00A97ADC">
        <w:rPr>
          <w:color w:val="00000A"/>
        </w:rPr>
        <w:t>are then pooled together and sequenced to get highly accurate base calls with pseudo-long reads.</w:t>
      </w:r>
    </w:p>
    <w:p w14:paraId="3A4A916A" w14:textId="59B95C4F" w:rsidR="00A97ADC" w:rsidRDefault="00A97ADC" w:rsidP="00261AAC">
      <w:pPr>
        <w:pBdr>
          <w:top w:val="single" w:sz="4" w:space="1" w:color="auto" w:shadow="1"/>
          <w:left w:val="single" w:sz="4" w:space="4" w:color="auto" w:shadow="1"/>
          <w:bottom w:val="single" w:sz="4" w:space="1" w:color="auto" w:shadow="1"/>
          <w:right w:val="single" w:sz="4" w:space="4" w:color="auto" w:shadow="1"/>
        </w:pBdr>
        <w:ind w:right="270"/>
        <w:jc w:val="both"/>
        <w:rPr>
          <w:color w:val="00000A"/>
        </w:rPr>
      </w:pPr>
    </w:p>
    <w:p w14:paraId="37172382" w14:textId="2505B963" w:rsidR="00A97ADC" w:rsidRDefault="00A97ADC" w:rsidP="00261AAC">
      <w:pPr>
        <w:pBdr>
          <w:top w:val="single" w:sz="4" w:space="1" w:color="auto" w:shadow="1"/>
          <w:left w:val="single" w:sz="4" w:space="4" w:color="auto" w:shadow="1"/>
          <w:bottom w:val="single" w:sz="4" w:space="1" w:color="auto" w:shadow="1"/>
          <w:right w:val="single" w:sz="4" w:space="4" w:color="auto" w:shadow="1"/>
        </w:pBdr>
        <w:ind w:right="270"/>
        <w:jc w:val="both"/>
      </w:pPr>
      <w:r w:rsidRPr="00A97ADC">
        <w:fldChar w:fldCharType="begin"/>
      </w:r>
      <w:r w:rsidRPr="00A97ADC">
        <w:instrText xml:space="preserve"> INCLUDEPICTURE "https://genome.med.harvard.edu/images/technologies/singleCell/10xProcess.jpg" \* MERGEFORMATINET </w:instrText>
      </w:r>
      <w:r w:rsidRPr="00A97ADC">
        <w:fldChar w:fldCharType="separate"/>
      </w:r>
      <w:r w:rsidRPr="00A97ADC">
        <w:rPr>
          <w:noProof/>
        </w:rPr>
        <w:drawing>
          <wp:inline distT="0" distB="0" distL="0" distR="0" wp14:anchorId="2C54AD3F" wp14:editId="6B42D106">
            <wp:extent cx="5782733" cy="2217949"/>
            <wp:effectExtent l="0" t="0" r="0" b="5080"/>
            <wp:docPr id="6" name="Picture 6" descr="Biopolymers Fac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iopolymers Facilit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25721" cy="2234437"/>
                    </a:xfrm>
                    <a:prstGeom prst="rect">
                      <a:avLst/>
                    </a:prstGeom>
                    <a:noFill/>
                    <a:ln>
                      <a:noFill/>
                    </a:ln>
                  </pic:spPr>
                </pic:pic>
              </a:graphicData>
            </a:graphic>
          </wp:inline>
        </w:drawing>
      </w:r>
      <w:r w:rsidRPr="00A97ADC">
        <w:fldChar w:fldCharType="end"/>
      </w:r>
    </w:p>
    <w:p w14:paraId="67A5DA89" w14:textId="7B0BA877" w:rsidR="00D46F6C" w:rsidRDefault="00004F98" w:rsidP="00261AAC">
      <w:pPr>
        <w:pBdr>
          <w:top w:val="single" w:sz="4" w:space="1" w:color="auto" w:shadow="1"/>
          <w:left w:val="single" w:sz="4" w:space="4" w:color="auto" w:shadow="1"/>
          <w:bottom w:val="single" w:sz="4" w:space="1" w:color="auto" w:shadow="1"/>
          <w:right w:val="single" w:sz="4" w:space="4" w:color="auto" w:shadow="1"/>
        </w:pBdr>
        <w:ind w:right="270"/>
        <w:jc w:val="both"/>
        <w:rPr>
          <w:color w:val="00000A"/>
        </w:rPr>
      </w:pPr>
      <w:r>
        <w:rPr>
          <w:sz w:val="10"/>
          <w:szCs w:val="10"/>
        </w:rPr>
        <w:t>Image</w:t>
      </w:r>
      <w:r w:rsidR="00D46F6C" w:rsidRPr="00D46F6C">
        <w:rPr>
          <w:sz w:val="10"/>
          <w:szCs w:val="10"/>
        </w:rPr>
        <w:t xml:space="preserve"> taken from:</w:t>
      </w:r>
      <w:r w:rsidR="009659A7">
        <w:rPr>
          <w:sz w:val="10"/>
          <w:szCs w:val="10"/>
        </w:rPr>
        <w:t xml:space="preserve"> </w:t>
      </w:r>
      <w:r w:rsidR="009659A7" w:rsidRPr="009659A7">
        <w:rPr>
          <w:sz w:val="10"/>
          <w:szCs w:val="10"/>
        </w:rPr>
        <w:t>https://genome.med.harvard.edu/services/singleCell/ViewOverview.action</w:t>
      </w:r>
    </w:p>
    <w:p w14:paraId="52FE06CB" w14:textId="676A5DA7" w:rsidR="00E37454" w:rsidRDefault="00E37454" w:rsidP="00261AAC">
      <w:pPr>
        <w:ind w:right="270"/>
        <w:jc w:val="both"/>
        <w:rPr>
          <w:color w:val="00000A"/>
        </w:rPr>
      </w:pPr>
    </w:p>
    <w:p w14:paraId="39921F42" w14:textId="1C7C7023" w:rsidR="000B0F0D" w:rsidRDefault="00372DDA" w:rsidP="00261AAC">
      <w:pPr>
        <w:pBdr>
          <w:top w:val="single" w:sz="4" w:space="1" w:color="auto" w:shadow="1"/>
          <w:left w:val="single" w:sz="4" w:space="4" w:color="auto" w:shadow="1"/>
          <w:bottom w:val="single" w:sz="4" w:space="1" w:color="auto" w:shadow="1"/>
          <w:right w:val="single" w:sz="4" w:space="4" w:color="auto" w:shadow="1"/>
        </w:pBdr>
        <w:ind w:right="270"/>
        <w:jc w:val="both"/>
        <w:rPr>
          <w:color w:val="00000A"/>
        </w:rPr>
      </w:pPr>
      <w:r w:rsidRPr="00372DDA">
        <w:rPr>
          <w:b/>
          <w:bCs/>
          <w:color w:val="00000A"/>
          <w:u w:val="single"/>
        </w:rPr>
        <w:t xml:space="preserve">BOX </w:t>
      </w:r>
      <w:r>
        <w:rPr>
          <w:b/>
          <w:bCs/>
          <w:color w:val="00000A"/>
          <w:u w:val="single"/>
        </w:rPr>
        <w:t>2:</w:t>
      </w:r>
      <w:r>
        <w:rPr>
          <w:b/>
          <w:bCs/>
          <w:color w:val="00000A"/>
        </w:rPr>
        <w:t xml:space="preserve"> </w:t>
      </w:r>
      <w:r w:rsidR="000B0F0D">
        <w:rPr>
          <w:color w:val="00000A"/>
        </w:rPr>
        <w:t>Long-read Sequencing</w:t>
      </w:r>
      <w:r w:rsidR="00ED0CBB" w:rsidRPr="00ED0CBB">
        <w:rPr>
          <w:color w:val="00000A"/>
        </w:rPr>
        <w:t xml:space="preserve">, such as </w:t>
      </w:r>
      <w:r w:rsidR="00ED0CBB">
        <w:rPr>
          <w:color w:val="00000A"/>
        </w:rPr>
        <w:t>PacBio HiFi</w:t>
      </w:r>
      <w:r w:rsidR="00ED0CBB" w:rsidRPr="00ED0CBB">
        <w:rPr>
          <w:color w:val="00000A"/>
        </w:rPr>
        <w:t xml:space="preserve"> used in this study,</w:t>
      </w:r>
      <w:r w:rsidR="00ED0CBB">
        <w:rPr>
          <w:color w:val="00000A"/>
        </w:rPr>
        <w:t xml:space="preserve"> takes long segments of DNA </w:t>
      </w:r>
      <w:r w:rsidR="00E37454">
        <w:rPr>
          <w:color w:val="00000A"/>
        </w:rPr>
        <w:t xml:space="preserve">(over 50 </w:t>
      </w:r>
      <w:proofErr w:type="spellStart"/>
      <w:r w:rsidR="00E37454">
        <w:rPr>
          <w:color w:val="00000A"/>
        </w:rPr>
        <w:t>kbp</w:t>
      </w:r>
      <w:proofErr w:type="spellEnd"/>
      <w:r w:rsidR="00E37454">
        <w:rPr>
          <w:color w:val="00000A"/>
        </w:rPr>
        <w:t xml:space="preserve">), shears them into a few segments (10-20kbp) </w:t>
      </w:r>
      <w:r>
        <w:rPr>
          <w:color w:val="00000A"/>
        </w:rPr>
        <w:t xml:space="preserve">and circularizes </w:t>
      </w:r>
      <w:r w:rsidR="00E37454">
        <w:rPr>
          <w:color w:val="00000A"/>
        </w:rPr>
        <w:t>each</w:t>
      </w:r>
      <w:r>
        <w:rPr>
          <w:color w:val="00000A"/>
        </w:rPr>
        <w:t xml:space="preserve">. </w:t>
      </w:r>
      <w:r w:rsidR="00E37454">
        <w:rPr>
          <w:color w:val="00000A"/>
        </w:rPr>
        <w:t>The circular molecules are</w:t>
      </w:r>
      <w:r>
        <w:rPr>
          <w:color w:val="00000A"/>
        </w:rPr>
        <w:t xml:space="preserve"> then run through a sequencer to get a</w:t>
      </w:r>
      <w:r w:rsidR="00E37454">
        <w:rPr>
          <w:color w:val="00000A"/>
        </w:rPr>
        <w:t>n accurate</w:t>
      </w:r>
      <w:r>
        <w:rPr>
          <w:color w:val="00000A"/>
        </w:rPr>
        <w:t xml:space="preserve"> circular consensus sequence</w:t>
      </w:r>
      <w:r w:rsidR="00E37454">
        <w:rPr>
          <w:color w:val="00000A"/>
        </w:rPr>
        <w:t xml:space="preserve"> over 20kbp in length.</w:t>
      </w:r>
    </w:p>
    <w:p w14:paraId="447F5F65" w14:textId="5F8D92FC" w:rsidR="00A97ADC" w:rsidRDefault="00D46F6C" w:rsidP="00261AAC">
      <w:pPr>
        <w:pBdr>
          <w:top w:val="single" w:sz="4" w:space="1" w:color="auto" w:shadow="1"/>
          <w:left w:val="single" w:sz="4" w:space="4" w:color="auto" w:shadow="1"/>
          <w:bottom w:val="single" w:sz="4" w:space="1" w:color="auto" w:shadow="1"/>
          <w:right w:val="single" w:sz="4" w:space="4" w:color="auto" w:shadow="1"/>
        </w:pBdr>
        <w:ind w:right="270"/>
        <w:jc w:val="both"/>
        <w:rPr>
          <w:color w:val="00000A"/>
        </w:rPr>
      </w:pPr>
      <w:r>
        <w:fldChar w:fldCharType="begin"/>
      </w:r>
      <w:r>
        <w:instrText xml:space="preserve"> INCLUDEPICTURE "https://www.pacb.com/wp-content/uploads/How-to-get-HiFi-reads_v2.png" \* MERGEFORMATINET </w:instrText>
      </w:r>
      <w:r>
        <w:fldChar w:fldCharType="separate"/>
      </w:r>
      <w:r>
        <w:rPr>
          <w:noProof/>
        </w:rPr>
        <w:drawing>
          <wp:inline distT="0" distB="0" distL="0" distR="0" wp14:anchorId="4189B6E3" wp14:editId="5B39F1F6">
            <wp:extent cx="5715000" cy="2514356"/>
            <wp:effectExtent l="0" t="0" r="0" b="0"/>
            <wp:docPr id="7" name="Picture 7" descr="HiFi Reads - Highly accurate long-read sequencing - Pac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iFi Reads - Highly accurate long-read sequencing - PacBi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798" cy="2518667"/>
                    </a:xfrm>
                    <a:prstGeom prst="rect">
                      <a:avLst/>
                    </a:prstGeom>
                    <a:noFill/>
                    <a:ln>
                      <a:noFill/>
                    </a:ln>
                  </pic:spPr>
                </pic:pic>
              </a:graphicData>
            </a:graphic>
          </wp:inline>
        </w:drawing>
      </w:r>
      <w:r>
        <w:fldChar w:fldCharType="end"/>
      </w:r>
      <w:r w:rsidR="00004F98">
        <w:rPr>
          <w:sz w:val="10"/>
          <w:szCs w:val="10"/>
        </w:rPr>
        <w:t>Image</w:t>
      </w:r>
      <w:r w:rsidRPr="00D46F6C">
        <w:rPr>
          <w:sz w:val="10"/>
          <w:szCs w:val="10"/>
        </w:rPr>
        <w:t xml:space="preserve"> taken from:</w:t>
      </w:r>
      <w:r w:rsidR="009659A7">
        <w:rPr>
          <w:sz w:val="10"/>
          <w:szCs w:val="10"/>
        </w:rPr>
        <w:t xml:space="preserve"> </w:t>
      </w:r>
      <w:r w:rsidR="009659A7" w:rsidRPr="009659A7">
        <w:rPr>
          <w:sz w:val="10"/>
          <w:szCs w:val="10"/>
        </w:rPr>
        <w:t>https://www.pacb.com/smrt-science/smrt-sequencing/hifi-reads-for-highly-accurate-long-read-sequencing/</w:t>
      </w:r>
    </w:p>
    <w:p w14:paraId="7DA9A9EE" w14:textId="3434A78E" w:rsidR="000B0F0D" w:rsidRDefault="000B0F0D" w:rsidP="00261AAC">
      <w:pPr>
        <w:ind w:right="270"/>
        <w:jc w:val="both"/>
        <w:rPr>
          <w:color w:val="00000A"/>
        </w:rPr>
      </w:pPr>
    </w:p>
    <w:p w14:paraId="630CB558" w14:textId="77777777" w:rsidR="00E37454" w:rsidRDefault="00E37454" w:rsidP="00261AAC">
      <w:pPr>
        <w:ind w:right="270"/>
        <w:jc w:val="both"/>
        <w:rPr>
          <w:color w:val="00000A"/>
        </w:rPr>
      </w:pPr>
    </w:p>
    <w:p w14:paraId="28EF7F71" w14:textId="1FC11ECB" w:rsidR="00E37454" w:rsidRDefault="00372DDA" w:rsidP="00261AAC">
      <w:pPr>
        <w:pBdr>
          <w:top w:val="single" w:sz="4" w:space="1" w:color="auto" w:shadow="1"/>
          <w:left w:val="single" w:sz="4" w:space="4" w:color="auto" w:shadow="1"/>
          <w:bottom w:val="single" w:sz="4" w:space="1" w:color="auto" w:shadow="1"/>
          <w:right w:val="single" w:sz="4" w:space="4" w:color="auto" w:shadow="1"/>
        </w:pBdr>
        <w:ind w:right="270"/>
        <w:jc w:val="both"/>
        <w:rPr>
          <w:color w:val="00000A"/>
        </w:rPr>
      </w:pPr>
      <w:r w:rsidRPr="00372DDA">
        <w:rPr>
          <w:b/>
          <w:bCs/>
          <w:color w:val="00000A"/>
          <w:u w:val="single"/>
        </w:rPr>
        <w:lastRenderedPageBreak/>
        <w:t xml:space="preserve">BOX </w:t>
      </w:r>
      <w:r>
        <w:rPr>
          <w:b/>
          <w:bCs/>
          <w:color w:val="00000A"/>
          <w:u w:val="single"/>
        </w:rPr>
        <w:t>3:</w:t>
      </w:r>
      <w:r>
        <w:rPr>
          <w:b/>
          <w:bCs/>
          <w:color w:val="00000A"/>
        </w:rPr>
        <w:t xml:space="preserve"> </w:t>
      </w:r>
      <w:r w:rsidR="000B0F0D">
        <w:rPr>
          <w:color w:val="00000A"/>
        </w:rPr>
        <w:t>Hi-C Chromatin Confirmation Capture</w:t>
      </w:r>
      <w:r w:rsidR="00E37454">
        <w:rPr>
          <w:color w:val="00000A"/>
        </w:rPr>
        <w:t xml:space="preserve"> takes DNA in the nucleus and links all of the locations that are touching together. It then shears the linked DNA into lengths appropriate for short-read sequencing (300-500bp). The frequency two segments of DNA are found linked together is inversely proportional to their distance in the genome. That is, if two segments of DNA are close to one another, they will be sequenced together many times.</w:t>
      </w:r>
    </w:p>
    <w:p w14:paraId="431A1627" w14:textId="59045FDB" w:rsidR="00E37454" w:rsidRDefault="00E37454" w:rsidP="00261AAC">
      <w:pPr>
        <w:pBdr>
          <w:top w:val="single" w:sz="4" w:space="1" w:color="auto" w:shadow="1"/>
          <w:left w:val="single" w:sz="4" w:space="4" w:color="auto" w:shadow="1"/>
          <w:bottom w:val="single" w:sz="4" w:space="1" w:color="auto" w:shadow="1"/>
          <w:right w:val="single" w:sz="4" w:space="4" w:color="auto" w:shadow="1"/>
        </w:pBdr>
        <w:ind w:right="270"/>
        <w:jc w:val="both"/>
      </w:pPr>
      <w:r>
        <w:fldChar w:fldCharType="begin"/>
      </w:r>
      <w:r>
        <w:instrText xml:space="preserve"> INCLUDEPICTURE "https://s3.amazonaws.com/4dn-dcic-public/static-pages/InfoBoxes/IsHC_fig1.png" \* MERGEFORMATINET </w:instrText>
      </w:r>
      <w:r>
        <w:fldChar w:fldCharType="separate"/>
      </w:r>
      <w:r>
        <w:rPr>
          <w:noProof/>
        </w:rPr>
        <w:drawing>
          <wp:inline distT="0" distB="0" distL="0" distR="0" wp14:anchorId="4D1F980E" wp14:editId="43C50AB9">
            <wp:extent cx="5706533" cy="2477099"/>
            <wp:effectExtent l="0" t="0" r="0" b="0"/>
            <wp:docPr id="9" name="Picture 9" descr="in situ Hi-C – 4DN Data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 situ Hi-C – 4DN Data Port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3796" cy="2480252"/>
                    </a:xfrm>
                    <a:prstGeom prst="rect">
                      <a:avLst/>
                    </a:prstGeom>
                    <a:noFill/>
                    <a:ln>
                      <a:noFill/>
                    </a:ln>
                  </pic:spPr>
                </pic:pic>
              </a:graphicData>
            </a:graphic>
          </wp:inline>
        </w:drawing>
      </w:r>
      <w:r>
        <w:fldChar w:fldCharType="end"/>
      </w:r>
    </w:p>
    <w:p w14:paraId="17DE2735" w14:textId="3433B754" w:rsidR="00D46F6C" w:rsidRDefault="00004F98" w:rsidP="00261AAC">
      <w:pPr>
        <w:pBdr>
          <w:top w:val="single" w:sz="4" w:space="1" w:color="auto" w:shadow="1"/>
          <w:left w:val="single" w:sz="4" w:space="4" w:color="auto" w:shadow="1"/>
          <w:bottom w:val="single" w:sz="4" w:space="1" w:color="auto" w:shadow="1"/>
          <w:right w:val="single" w:sz="4" w:space="4" w:color="auto" w:shadow="1"/>
        </w:pBdr>
        <w:ind w:right="270"/>
        <w:jc w:val="both"/>
        <w:rPr>
          <w:color w:val="00000A"/>
        </w:rPr>
      </w:pPr>
      <w:r>
        <w:rPr>
          <w:sz w:val="10"/>
          <w:szCs w:val="10"/>
        </w:rPr>
        <w:t>Image</w:t>
      </w:r>
      <w:r w:rsidR="00D46F6C" w:rsidRPr="00D46F6C">
        <w:rPr>
          <w:sz w:val="10"/>
          <w:szCs w:val="10"/>
        </w:rPr>
        <w:t xml:space="preserve"> taken from:</w:t>
      </w:r>
      <w:r w:rsidR="009659A7">
        <w:rPr>
          <w:sz w:val="10"/>
          <w:szCs w:val="10"/>
        </w:rPr>
        <w:t xml:space="preserve"> </w:t>
      </w:r>
      <w:r w:rsidR="009659A7" w:rsidRPr="009659A7">
        <w:rPr>
          <w:sz w:val="10"/>
          <w:szCs w:val="10"/>
        </w:rPr>
        <w:t>https://data.4dnucleome.org/experiment-types/dilution-hi-c/</w:t>
      </w:r>
    </w:p>
    <w:p w14:paraId="049BA813" w14:textId="1BFA8229" w:rsidR="006F47E9" w:rsidRDefault="006F47E9" w:rsidP="00261AAC">
      <w:pPr>
        <w:jc w:val="both"/>
        <w:rPr>
          <w:rFonts w:ascii="Times" w:hAnsi="Times"/>
          <w:b/>
          <w:bCs/>
          <w:u w:val="single"/>
        </w:rPr>
      </w:pPr>
    </w:p>
    <w:p w14:paraId="746011D8" w14:textId="20105411" w:rsidR="006F47E9" w:rsidRDefault="006F47E9" w:rsidP="00261AAC">
      <w:pPr>
        <w:jc w:val="both"/>
        <w:rPr>
          <w:rFonts w:ascii="Times" w:hAnsi="Times"/>
          <w:b/>
          <w:bCs/>
          <w:u w:val="single"/>
        </w:rPr>
      </w:pPr>
    </w:p>
    <w:p w14:paraId="0D2A8AA3" w14:textId="500DB8B8" w:rsidR="000B0F0D" w:rsidRPr="000B0F0D" w:rsidRDefault="000B0F0D" w:rsidP="00261AAC">
      <w:pPr>
        <w:jc w:val="both"/>
      </w:pPr>
    </w:p>
    <w:p w14:paraId="20B7B80A" w14:textId="77777777" w:rsidR="00372DDA" w:rsidRDefault="00372DDA" w:rsidP="00261AAC">
      <w:pPr>
        <w:jc w:val="both"/>
        <w:rPr>
          <w:rFonts w:ascii="Times" w:hAnsi="Times"/>
          <w:b/>
          <w:bCs/>
          <w:u w:val="single"/>
        </w:rPr>
        <w:sectPr w:rsidR="00372DDA" w:rsidSect="00372DDA">
          <w:type w:val="continuous"/>
          <w:pgSz w:w="12240" w:h="15840"/>
          <w:pgMar w:top="1440" w:right="1440" w:bottom="1440" w:left="1440" w:header="720" w:footer="720" w:gutter="0"/>
          <w:cols w:space="720"/>
          <w:docGrid w:linePitch="360"/>
        </w:sectPr>
      </w:pPr>
    </w:p>
    <w:p w14:paraId="7D011722" w14:textId="10FEF989" w:rsidR="006F47E9" w:rsidRPr="00AB5D48" w:rsidRDefault="006F47E9" w:rsidP="00261AAC">
      <w:pPr>
        <w:pStyle w:val="Heading1"/>
        <w:jc w:val="both"/>
        <w:rPr>
          <w:rFonts w:ascii="Times" w:hAnsi="Times"/>
          <w:bCs/>
        </w:rPr>
      </w:pPr>
      <w:r>
        <w:rPr>
          <w:rFonts w:ascii="Times" w:hAnsi="Times"/>
          <w:bCs/>
        </w:rPr>
        <w:br w:type="page"/>
      </w:r>
      <w:r w:rsidRPr="00D96AC9">
        <w:lastRenderedPageBreak/>
        <w:t>Task 1: Genome assembly</w:t>
      </w:r>
    </w:p>
    <w:p w14:paraId="2DE16B9D" w14:textId="77777777" w:rsidR="006F47E9" w:rsidRDefault="006F47E9" w:rsidP="00261AAC">
      <w:pPr>
        <w:ind w:right="270"/>
        <w:jc w:val="both"/>
        <w:rPr>
          <w:b/>
          <w:i/>
        </w:rPr>
      </w:pPr>
    </w:p>
    <w:p w14:paraId="3BEA2E0B" w14:textId="77777777" w:rsidR="006F47E9" w:rsidRPr="00D96AC9" w:rsidRDefault="006F47E9" w:rsidP="00261AAC">
      <w:pPr>
        <w:pStyle w:val="Heading2"/>
        <w:jc w:val="both"/>
        <w:rPr>
          <w:b w:val="0"/>
          <w:i w:val="0"/>
        </w:rPr>
      </w:pPr>
      <w:r w:rsidRPr="00490077">
        <w:t>Sample collection</w:t>
      </w:r>
      <w:r>
        <w:t xml:space="preserve"> (Figure 1A)</w:t>
      </w:r>
    </w:p>
    <w:p w14:paraId="21F524D4" w14:textId="77777777" w:rsidR="006F47E9" w:rsidRPr="000D71F5" w:rsidRDefault="006F47E9" w:rsidP="00261AAC">
      <w:pPr>
        <w:ind w:right="270"/>
        <w:jc w:val="both"/>
        <w:rPr>
          <w:i/>
        </w:rPr>
      </w:pPr>
      <w:r w:rsidRPr="000D71F5">
        <w:rPr>
          <w:i/>
        </w:rPr>
        <w:t>Methods</w:t>
      </w:r>
    </w:p>
    <w:p w14:paraId="68F6B5EB" w14:textId="77777777" w:rsidR="007B4DA2" w:rsidRDefault="006F47E9" w:rsidP="00261AAC">
      <w:pPr>
        <w:ind w:right="270"/>
        <w:jc w:val="both"/>
      </w:pPr>
      <w:r>
        <w:t xml:space="preserve">The first step in </w:t>
      </w:r>
      <w:r w:rsidR="00A001C6">
        <w:t>our</w:t>
      </w:r>
      <w:r>
        <w:t xml:space="preserve"> genome assembly is to collect tissue for the extraction of high molecular weight (HMW) genomic DNA, which is extracted DNA that is long</w:t>
      </w:r>
      <w:r w:rsidR="00381212">
        <w:t>er</w:t>
      </w:r>
      <w:r w:rsidR="00D06CD4">
        <w:t xml:space="preserve"> </w:t>
      </w:r>
      <w:r>
        <w:t>in length (&gt;50 kilobases)</w:t>
      </w:r>
      <w:r w:rsidR="00381212">
        <w:t xml:space="preserve"> than standard DNA extractions (&lt;10 kilobases)</w:t>
      </w:r>
      <w:r>
        <w:t xml:space="preserve">. Because </w:t>
      </w:r>
      <w:r w:rsidR="00C36CA7">
        <w:t>each</w:t>
      </w:r>
      <w:r>
        <w:t xml:space="preserve"> of </w:t>
      </w:r>
      <w:r w:rsidR="00C36CA7">
        <w:t xml:space="preserve">the three </w:t>
      </w:r>
      <w:r>
        <w:t>sequencing technologies</w:t>
      </w:r>
      <w:r w:rsidR="00C36CA7">
        <w:t xml:space="preserve"> (linked-read, long-read and hi-c)</w:t>
      </w:r>
      <w:r>
        <w:t xml:space="preserve"> </w:t>
      </w:r>
      <w:r w:rsidR="00C36CA7">
        <w:t xml:space="preserve">we </w:t>
      </w:r>
      <w:r>
        <w:t>utilize</w:t>
      </w:r>
      <w:r w:rsidR="00C36CA7">
        <w:t xml:space="preserve">d to create our genome assembly </w:t>
      </w:r>
      <w:r>
        <w:t>sequence fragments on the order of tens of thousands of base pairs</w:t>
      </w:r>
      <w:r w:rsidR="00D06CD4">
        <w:t>,</w:t>
      </w:r>
      <w:r>
        <w:t xml:space="preserve"> or rely on long range interactions throughout the genome, extracted DNA must be sufficiently long</w:t>
      </w:r>
      <w:r w:rsidR="00D06CD4">
        <w:t xml:space="preserve"> to generate a contiguous assembly</w:t>
      </w:r>
      <w:r>
        <w:t xml:space="preserve">. </w:t>
      </w:r>
    </w:p>
    <w:p w14:paraId="389999F1" w14:textId="77777777" w:rsidR="007B4DA2" w:rsidRDefault="007B4DA2" w:rsidP="00261AAC">
      <w:pPr>
        <w:ind w:right="270"/>
        <w:jc w:val="both"/>
      </w:pPr>
    </w:p>
    <w:p w14:paraId="5492A1C5" w14:textId="3C173A81" w:rsidR="006F47E9" w:rsidRDefault="006F47E9" w:rsidP="00261AAC">
      <w:pPr>
        <w:ind w:right="270"/>
        <w:jc w:val="both"/>
      </w:pPr>
      <w:r>
        <w:t xml:space="preserve">Due to the difficulties </w:t>
      </w:r>
      <w:r w:rsidR="00D06CD4">
        <w:t>of</w:t>
      </w:r>
      <w:r>
        <w:t xml:space="preserve"> </w:t>
      </w:r>
      <w:r w:rsidR="00D06CD4">
        <w:t xml:space="preserve">recovering </w:t>
      </w:r>
      <w:r>
        <w:t>sufficient HMW DNA</w:t>
      </w:r>
      <w:r w:rsidR="00AB5D48">
        <w:t>,</w:t>
      </w:r>
      <w:r>
        <w:t xml:space="preserve"> we conducted four </w:t>
      </w:r>
      <w:r w:rsidR="00C36CA7">
        <w:t xml:space="preserve">separate </w:t>
      </w:r>
      <w:r>
        <w:t xml:space="preserve">trips to sample </w:t>
      </w:r>
      <w:r w:rsidR="00AB5D48">
        <w:t xml:space="preserve">different </w:t>
      </w:r>
      <w:r>
        <w:t>tissue</w:t>
      </w:r>
      <w:r w:rsidR="00AB5D48">
        <w:t xml:space="preserve"> types</w:t>
      </w:r>
      <w:r>
        <w:t xml:space="preserve"> from </w:t>
      </w:r>
      <w:r w:rsidR="00C36CA7">
        <w:t>male and female delta smelt</w:t>
      </w:r>
      <w:r w:rsidR="00AB5D48">
        <w:t xml:space="preserve"> 600 days post hatch</w:t>
      </w:r>
      <w:r>
        <w:t xml:space="preserve"> at the FCCL (Table 2). At the start of this project long-read sequencing was costly and we sought to only incorporate the sequencing technology if absolutely necessary; because of this our first and second sampling trips sought to acquire enough tissue to provide sufficient quantity of HMW DNA for linked-read and hi-c sequencing. However, at the end of 2019 the price of long-read sequencing dropped dramatically and</w:t>
      </w:r>
      <w:r w:rsidR="00D06CD4">
        <w:t>,</w:t>
      </w:r>
      <w:r>
        <w:t xml:space="preserve"> based on our results from </w:t>
      </w:r>
      <w:r w:rsidR="007B4DA2">
        <w:t>T</w:t>
      </w:r>
      <w:r>
        <w:t xml:space="preserve">rips 1 and 2, </w:t>
      </w:r>
      <w:r w:rsidR="00D06CD4">
        <w:t xml:space="preserve">during </w:t>
      </w:r>
      <w:r w:rsidR="007B4DA2">
        <w:t>T</w:t>
      </w:r>
      <w:r>
        <w:t xml:space="preserve">rip 3 we sought to acquire enough tissue to sequence a single male fish with all three of </w:t>
      </w:r>
      <w:r w:rsidR="00D06CD4">
        <w:t xml:space="preserve">our chosen </w:t>
      </w:r>
      <w:r>
        <w:t>technologies and a female fish with long-read</w:t>
      </w:r>
      <w:r w:rsidR="00C36CA7">
        <w:t>s, as we had already generated female sequencing data for linked-reads and hi-c</w:t>
      </w:r>
      <w:r>
        <w:t xml:space="preserve">. </w:t>
      </w:r>
      <w:r w:rsidR="00D06CD4">
        <w:t xml:space="preserve">An error committed by the sequencing center required us to make one additional trip, </w:t>
      </w:r>
      <w:r w:rsidR="007B4DA2">
        <w:t>T</w:t>
      </w:r>
      <w:r w:rsidR="00D06CD4">
        <w:t>rip 4, to sample one additional male specimen.</w:t>
      </w:r>
      <w:r w:rsidR="000F0F82">
        <w:t xml:space="preserve"> </w:t>
      </w:r>
      <w:r w:rsidRPr="00D417D1">
        <w:t>On each occasion fish were euthanized according to the approved animal care protocol</w:t>
      </w:r>
      <w:r>
        <w:t>s</w:t>
      </w:r>
      <w:r w:rsidRPr="00D417D1">
        <w:t>/standard operating procedure</w:t>
      </w:r>
      <w:r>
        <w:t>s. B</w:t>
      </w:r>
      <w:r w:rsidRPr="00D417D1">
        <w:t>ack muscle, internal organ and/or scale tissues were sampled onsite</w:t>
      </w:r>
      <w:r>
        <w:t xml:space="preserve"> at the FCCL</w:t>
      </w:r>
      <w:r w:rsidRPr="00D417D1">
        <w:t xml:space="preserve"> and </w:t>
      </w:r>
      <w:r>
        <w:t>cooled for</w:t>
      </w:r>
      <w:r w:rsidRPr="00D417D1">
        <w:t xml:space="preserve"> transportation </w:t>
      </w:r>
      <w:r>
        <w:t xml:space="preserve">directly </w:t>
      </w:r>
      <w:r w:rsidRPr="00D417D1">
        <w:t xml:space="preserve">to the UC Davis </w:t>
      </w:r>
      <w:r w:rsidR="00381212">
        <w:t>DNA Technologies &amp; Expression Analysis Core Laboratory (UC Davis Sequencing Center)</w:t>
      </w:r>
      <w:r w:rsidRPr="00D417D1">
        <w:t>.</w:t>
      </w:r>
      <w:r>
        <w:t xml:space="preserve"> </w:t>
      </w:r>
    </w:p>
    <w:p w14:paraId="1854EAB8" w14:textId="77777777" w:rsidR="006F47E9" w:rsidRDefault="006F47E9" w:rsidP="00261AAC">
      <w:pPr>
        <w:ind w:right="270"/>
        <w:jc w:val="both"/>
        <w:rPr>
          <w:i/>
        </w:rPr>
      </w:pPr>
    </w:p>
    <w:p w14:paraId="0CBD5AC1" w14:textId="310D132D" w:rsidR="006F47E9" w:rsidRDefault="006F47E9" w:rsidP="00261AAC">
      <w:pPr>
        <w:ind w:right="270"/>
        <w:jc w:val="both"/>
        <w:rPr>
          <w:i/>
        </w:rPr>
      </w:pPr>
      <w:r>
        <w:rPr>
          <w:i/>
        </w:rPr>
        <w:t>Results</w:t>
      </w:r>
    </w:p>
    <w:p w14:paraId="574F63A5" w14:textId="7F32EA3E" w:rsidR="006F47E9" w:rsidRPr="00C30DD1" w:rsidRDefault="006F47E9" w:rsidP="00261AAC">
      <w:pPr>
        <w:ind w:right="270"/>
        <w:jc w:val="both"/>
        <w:rPr>
          <w:i/>
        </w:rPr>
      </w:pPr>
      <w:r>
        <w:t>We took a total of four trips to sample tissue</w:t>
      </w:r>
      <w:r w:rsidR="00AB5D48">
        <w:t>.</w:t>
      </w:r>
      <w:r>
        <w:t xml:space="preserve"> On the </w:t>
      </w:r>
      <w:r w:rsidR="007B4DA2">
        <w:t>Trip 1</w:t>
      </w:r>
      <w:r>
        <w:t xml:space="preserve"> we sampled back muscle from three males and three females (Table 2). These samples were flash frozen using liquid nitrogen and transported on dry ice. While we obtained sufficient HMW DNA from a female specimen, none of the sampled male fish from this trip produced enough HMW DNA. Therefore, we returned to the FCCL and selected larger males</w:t>
      </w:r>
      <w:r w:rsidR="007B4DA2">
        <w:t xml:space="preserve"> on Trip 2</w:t>
      </w:r>
      <w:r>
        <w:t xml:space="preserve">. Extraction lengths from these male fish were also insufficient. A decision to </w:t>
      </w:r>
      <w:r w:rsidR="007B4DA2">
        <w:t>take Trip 3</w:t>
      </w:r>
      <w:r>
        <w:t xml:space="preserve"> was made due to the availability of a new </w:t>
      </w:r>
      <w:r w:rsidR="007B4DA2">
        <w:t xml:space="preserve">tissue </w:t>
      </w:r>
      <w:r w:rsidR="00621B1C">
        <w:t xml:space="preserve">sampling </w:t>
      </w:r>
      <w:r>
        <w:t>method that uses additional tissue types (not just back muscle</w:t>
      </w:r>
      <w:r w:rsidR="00621B1C">
        <w:t xml:space="preserve"> </w:t>
      </w:r>
      <w:proofErr w:type="gramStart"/>
      <w:r w:rsidR="00621B1C">
        <w:t>tissue</w:t>
      </w:r>
      <w:r>
        <w:t>)</w:t>
      </w:r>
      <w:r w:rsidR="000F0F82">
        <w:t>&lt;</w:t>
      </w:r>
      <w:proofErr w:type="gramEnd"/>
      <w:r w:rsidR="000F0F82">
        <w:t>CITE&gt;</w:t>
      </w:r>
      <w:r>
        <w:t xml:space="preserve"> and </w:t>
      </w:r>
      <w:r w:rsidR="00621B1C">
        <w:t xml:space="preserve">new tissue preservation </w:t>
      </w:r>
      <w:r>
        <w:t>storage</w:t>
      </w:r>
      <w:r w:rsidR="00621B1C">
        <w:t xml:space="preserve"> solution</w:t>
      </w:r>
      <w:r>
        <w:t xml:space="preserve"> of samples in cooled propylene glycol</w:t>
      </w:r>
      <w:r w:rsidR="000F0F82">
        <w:t>&lt;CITE&gt;</w:t>
      </w:r>
      <w:r>
        <w:t xml:space="preserve"> rather than </w:t>
      </w:r>
      <w:r w:rsidR="007B4DA2">
        <w:t>solely</w:t>
      </w:r>
      <w:r w:rsidR="00621B1C">
        <w:t xml:space="preserve"> </w:t>
      </w:r>
      <w:r>
        <w:t xml:space="preserve">flash freezing in liquid nitrogen. On </w:t>
      </w:r>
      <w:r w:rsidR="007B4DA2">
        <w:t>Trip 3,</w:t>
      </w:r>
      <w:r>
        <w:t xml:space="preserve"> we sampled </w:t>
      </w:r>
      <w:r w:rsidRPr="00D417D1">
        <w:t>back muscle tissue, internal organs</w:t>
      </w:r>
      <w:r>
        <w:t>,</w:t>
      </w:r>
      <w:r w:rsidRPr="00D417D1">
        <w:t xml:space="preserve"> and scales from</w:t>
      </w:r>
      <w:r>
        <w:t xml:space="preserve"> a total of</w:t>
      </w:r>
      <w:r w:rsidRPr="00D417D1">
        <w:t xml:space="preserve"> two males and two females</w:t>
      </w:r>
      <w:r>
        <w:t>. Additionally, b</w:t>
      </w:r>
      <w:r w:rsidRPr="00D417D1">
        <w:t>ecause DNA can be fragmented in the freeze-thaw process</w:t>
      </w:r>
      <w:r>
        <w:t xml:space="preserve">, we hedged our bets for sampling on </w:t>
      </w:r>
      <w:r w:rsidR="007B4DA2">
        <w:t>Trip 3 and</w:t>
      </w:r>
      <w:r>
        <w:t xml:space="preserve"> preser</w:t>
      </w:r>
      <w:r w:rsidR="00AB1FB6">
        <w:t xml:space="preserve">ved </w:t>
      </w:r>
      <w:r w:rsidRPr="00D417D1">
        <w:t>half of all sampled tissue</w:t>
      </w:r>
      <w:r>
        <w:t>s</w:t>
      </w:r>
      <w:r w:rsidRPr="00D417D1">
        <w:t xml:space="preserve"> in propylene glycol</w:t>
      </w:r>
      <w:r>
        <w:t xml:space="preserve"> at 4</w:t>
      </w:r>
      <w:r>
        <w:rPr>
          <w:rFonts w:ascii="Cambria Math" w:hAnsi="Cambria Math"/>
        </w:rPr>
        <w:t>°</w:t>
      </w:r>
      <w:r w:rsidRPr="00D417D1">
        <w:t>C</w:t>
      </w:r>
      <w:r>
        <w:t xml:space="preserve">, and half </w:t>
      </w:r>
      <w:r w:rsidR="00AB1FB6">
        <w:t xml:space="preserve">flash frozen and transported </w:t>
      </w:r>
      <w:r w:rsidR="007B4DA2">
        <w:t xml:space="preserve">both </w:t>
      </w:r>
      <w:r w:rsidR="00AB1FB6">
        <w:t>on dry ice.</w:t>
      </w:r>
      <w:r w:rsidR="00AB5D48">
        <w:t xml:space="preserve"> </w:t>
      </w:r>
      <w:r w:rsidR="00621B1C">
        <w:t>O</w:t>
      </w:r>
      <w:r w:rsidR="00AB5D48">
        <w:t xml:space="preserve">n </w:t>
      </w:r>
      <w:r w:rsidR="007B4DA2">
        <w:t>Trip 2</w:t>
      </w:r>
      <w:r w:rsidR="000F0F82">
        <w:t>,</w:t>
      </w:r>
      <w:r w:rsidR="00AB5D48">
        <w:t xml:space="preserve"> we sampled back muscle, scales and internal organs from one male fish</w:t>
      </w:r>
      <w:r w:rsidR="000F0F82">
        <w:t>. Sampled tissue was flash frozen and stored on dry ice for transportation.</w:t>
      </w:r>
    </w:p>
    <w:p w14:paraId="1BAEA05D" w14:textId="7EF7EBED" w:rsidR="006F47E9" w:rsidRDefault="006F47E9" w:rsidP="00261AAC">
      <w:pPr>
        <w:ind w:right="270"/>
        <w:jc w:val="both"/>
        <w:rPr>
          <w:ins w:id="4" w:author="Microsoft Office User" w:date="2021-04-07T13:51:00Z"/>
        </w:rPr>
      </w:pPr>
    </w:p>
    <w:p w14:paraId="35B46BE7" w14:textId="77777777" w:rsidR="006F47E9" w:rsidRDefault="006F47E9" w:rsidP="00261AAC">
      <w:pPr>
        <w:ind w:right="270"/>
        <w:jc w:val="both"/>
        <w:rPr>
          <w:b/>
          <w:i/>
        </w:rPr>
      </w:pPr>
    </w:p>
    <w:p w14:paraId="659C5E3F" w14:textId="77777777" w:rsidR="006F47E9" w:rsidRDefault="006F47E9" w:rsidP="00261AAC">
      <w:pPr>
        <w:pStyle w:val="Heading2"/>
        <w:jc w:val="both"/>
      </w:pPr>
      <w:r w:rsidRPr="00490077">
        <w:lastRenderedPageBreak/>
        <w:t>Isolation of high molecular weight genomic DNA</w:t>
      </w:r>
      <w:r>
        <w:t xml:space="preserve"> (Figure 1B)</w:t>
      </w:r>
    </w:p>
    <w:p w14:paraId="3AD89537" w14:textId="77777777" w:rsidR="006F47E9" w:rsidRDefault="006F47E9" w:rsidP="00261AAC">
      <w:pPr>
        <w:ind w:right="270"/>
        <w:jc w:val="both"/>
        <w:rPr>
          <w:i/>
        </w:rPr>
      </w:pPr>
      <w:r>
        <w:rPr>
          <w:i/>
        </w:rPr>
        <w:t>Methods</w:t>
      </w:r>
    </w:p>
    <w:p w14:paraId="21E14243" w14:textId="3A74F11C" w:rsidR="006F47E9" w:rsidRPr="00AB5D48" w:rsidRDefault="00081E62" w:rsidP="00261AAC">
      <w:pPr>
        <w:ind w:right="270"/>
        <w:jc w:val="both"/>
      </w:pPr>
      <w:r>
        <w:t xml:space="preserve">All three of our chosen sequencing technologies </w:t>
      </w:r>
      <w:r w:rsidR="006F47E9">
        <w:t xml:space="preserve">(linked-read, long-read and hi-c), </w:t>
      </w:r>
      <w:r>
        <w:t>require HMW DNA</w:t>
      </w:r>
      <w:r w:rsidR="006F47E9">
        <w:t xml:space="preserve">. </w:t>
      </w:r>
      <w:r w:rsidR="00AB5D48">
        <w:t xml:space="preserve">For the linked-read and long-read sequencing, </w:t>
      </w:r>
      <w:r w:rsidR="006F47E9" w:rsidRPr="00D417D1">
        <w:t>HMW DNA extraction</w:t>
      </w:r>
      <w:r w:rsidR="006F47E9">
        <w:t xml:space="preserve">s from the </w:t>
      </w:r>
      <w:r w:rsidR="00AB5D48">
        <w:t xml:space="preserve">fish </w:t>
      </w:r>
      <w:r w:rsidR="006F47E9">
        <w:t>tissues occurred at the UC Davis Sequencing Center</w:t>
      </w:r>
      <w:r w:rsidR="006F47E9" w:rsidRPr="00D417D1">
        <w:t xml:space="preserve"> using the protocol described in </w:t>
      </w:r>
      <w:proofErr w:type="spellStart"/>
      <w:r w:rsidR="006F47E9" w:rsidRPr="00D417D1">
        <w:t>Wasko</w:t>
      </w:r>
      <w:proofErr w:type="spellEnd"/>
      <w:r w:rsidR="006F47E9" w:rsidRPr="00D417D1">
        <w:t xml:space="preserve"> et al. (2003)</w:t>
      </w:r>
      <w:r w:rsidR="006F47E9" w:rsidRPr="00D417D1">
        <w:fldChar w:fldCharType="begin" w:fldLock="1"/>
      </w:r>
      <w:r w:rsidR="006F47E9">
        <w:instrText>ADDIN CSL_CITATION {"citationItems":[{"id":"ITEM-1","itemData":{"DOI":"10.1034/j.1601-5223.2003.01503.x","ISSN":"00180661","abstract":"DNA-based studies have been one of the major interests in conservation biology of endangered species and in population genetics. As species and population genetic assessment requires a source of biological material, the sampling strategy can be overcome by non-destructive procedures for DNA isolation. An improved method for obtaining DNA from fish fins and scales with the use of an extraction buffer containing urea and further DNA purification with phenol-chloroform is described. The methodology combines the benefits of a non-destructive DNA sampling and its high efficiency. In addition, comparisons with other methodologies for isolating DNA from fish demonstrated that the present procedure also becomes a very attractive alternative to obtain large amounts of high-quality DNA for use in different molecular analyses. The DNA samples, isolated from different fish species, have been successfully used on random amplified polymorphic DNA (RAPD) experiments, as well as on amplification of specific ribosomal and mitochondrial DNA sequences. The present DNA extraction procedure represents an alternative for population approaches and genetic studies on rare or endangered taxa.","author":[{"dropping-particle":"","family":"Wasko","given":"Adriane P.","non-dropping-particle":"","parse-names":false,"suffix":""},{"dropping-particle":"","family":"Martins","given":"Cesar","non-dropping-particle":"","parse-names":false,"suffix":""},{"dropping-particle":"","family":"Oliveira","given":"Claudio","non-dropping-particle":"","parse-names":false,"suffix":""},{"dropping-particle":"","family":"Foresti","given":"Fausto","non-dropping-particle":"","parse-names":false,"suffix":""}],"container-title":"Hereditas","id":"ITEM-1","issue":"3","issued":{"date-parts":[["2003"]]},"page":"161-165","title":"Non-destructive genetic sampling in fish. An improved method for DNA extraction from fish fins and scales","type":"article-journal","volume":"138"},"uris":["http://www.mendeley.com/documents/?uuid=9c8ee276-7696-4a6b-8e28-c1c2860e8cae"]}],"mendeley":{"formattedCitation":"&lt;sup&gt;7&lt;/sup&gt;","plainTextFormattedCitation":"7","previouslyFormattedCitation":"&lt;sup&gt;7&lt;/sup&gt;"},"properties":{"noteIndex":0},"schema":"https://github.com/citation-style-language/schema/raw/master/csl-citation.json"}</w:instrText>
      </w:r>
      <w:r w:rsidR="006F47E9" w:rsidRPr="00D417D1">
        <w:fldChar w:fldCharType="separate"/>
      </w:r>
      <w:r w:rsidR="006F47E9" w:rsidRPr="008434CB">
        <w:rPr>
          <w:noProof/>
          <w:vertAlign w:val="superscript"/>
        </w:rPr>
        <w:t>7</w:t>
      </w:r>
      <w:r w:rsidR="006F47E9" w:rsidRPr="00D417D1">
        <w:fldChar w:fldCharType="end"/>
      </w:r>
      <w:r w:rsidR="006F47E9" w:rsidRPr="00D417D1">
        <w:t>.</w:t>
      </w:r>
      <w:r w:rsidR="00AB5D48">
        <w:t xml:space="preserve"> </w:t>
      </w:r>
      <w:r w:rsidR="006F47E9" w:rsidRPr="00D417D1">
        <w:t>We acquired</w:t>
      </w:r>
      <w:r w:rsidR="006C520D">
        <w:t xml:space="preserve"> samples to </w:t>
      </w:r>
      <w:r w:rsidR="006F47E9">
        <w:t>extract</w:t>
      </w:r>
      <w:r w:rsidR="006F47E9" w:rsidRPr="00D417D1">
        <w:t xml:space="preserve"> DNA from both sexes </w:t>
      </w:r>
      <w:r w:rsidR="006F47E9">
        <w:t xml:space="preserve">to examine </w:t>
      </w:r>
      <w:r w:rsidR="006C520D">
        <w:t xml:space="preserve">sex determining regions </w:t>
      </w:r>
      <w:r w:rsidR="006F47E9">
        <w:t xml:space="preserve">in delta smelt, which </w:t>
      </w:r>
      <w:r w:rsidR="006216B1">
        <w:t>continues to remain</w:t>
      </w:r>
      <w:r w:rsidR="006F47E9">
        <w:t xml:space="preserve"> unknown.</w:t>
      </w:r>
      <w:r w:rsidR="006F47E9" w:rsidRPr="00D417D1">
        <w:rPr>
          <w:color w:val="FF0000"/>
        </w:rPr>
        <w:t xml:space="preserve"> </w:t>
      </w:r>
      <w:r w:rsidR="006F47E9" w:rsidRPr="00D417D1">
        <w:t>The size range of extracted DNA fragments were determined using a pulse field gel run at a low frequency</w:t>
      </w:r>
      <w:r w:rsidR="006F47E9">
        <w:t>,</w:t>
      </w:r>
      <w:r w:rsidR="006F47E9" w:rsidRPr="00D417D1">
        <w:t xml:space="preserve"> </w:t>
      </w:r>
      <w:r w:rsidR="006F47E9">
        <w:t xml:space="preserve">to not shear the DNA, </w:t>
      </w:r>
      <w:r w:rsidR="006F47E9" w:rsidRPr="00D417D1">
        <w:t xml:space="preserve">for 24 hours. </w:t>
      </w:r>
      <w:r w:rsidR="006F47E9">
        <w:t>P</w:t>
      </w:r>
      <w:r w:rsidR="006F47E9" w:rsidRPr="00D417D1">
        <w:t xml:space="preserve">hysical sampling </w:t>
      </w:r>
      <w:r w:rsidR="006F47E9">
        <w:t xml:space="preserve">and extractions </w:t>
      </w:r>
      <w:r w:rsidR="006F47E9" w:rsidRPr="00D417D1">
        <w:t xml:space="preserve">were repeated until the mean distribution of extraction lengths was 50kb or greater and there was sufficient quantity of HMW DNA </w:t>
      </w:r>
      <w:r w:rsidR="006F47E9">
        <w:t>to carry out the required sequencing technologies for</w:t>
      </w:r>
      <w:r w:rsidR="006F47E9" w:rsidRPr="00D417D1">
        <w:t xml:space="preserve"> each se</w:t>
      </w:r>
      <w:r w:rsidR="004D5944">
        <w:t>x</w:t>
      </w:r>
      <w:r w:rsidR="006F47E9" w:rsidRPr="00D417D1">
        <w:t xml:space="preserve">. </w:t>
      </w:r>
      <w:r w:rsidR="006C520D">
        <w:t xml:space="preserve">For </w:t>
      </w:r>
      <w:r w:rsidR="000F0F82">
        <w:t xml:space="preserve">HMW DNA </w:t>
      </w:r>
      <w:r w:rsidR="006C520D">
        <w:t xml:space="preserve">extractions and subsequent hi-c sequencing, </w:t>
      </w:r>
      <w:r w:rsidR="000F0F82">
        <w:t xml:space="preserve">a </w:t>
      </w:r>
      <w:r w:rsidR="006C520D">
        <w:t xml:space="preserve">female </w:t>
      </w:r>
      <w:r w:rsidR="000F0F82">
        <w:t xml:space="preserve">tissue </w:t>
      </w:r>
      <w:r w:rsidR="006C520D">
        <w:t>sample was sent to Phase Genomics and</w:t>
      </w:r>
      <w:r w:rsidR="000F0F82">
        <w:t xml:space="preserve"> a male tissue sample was sent to</w:t>
      </w:r>
      <w:r w:rsidR="006C520D">
        <w:t xml:space="preserve"> the Vertebrate Genome Project</w:t>
      </w:r>
      <w:r w:rsidR="000F0F82">
        <w:t xml:space="preserve"> for isolation of HMW DNA</w:t>
      </w:r>
      <w:r w:rsidR="006C520D">
        <w:t>.</w:t>
      </w:r>
      <w:r w:rsidR="000F0F82">
        <w:t xml:space="preserve"> Samples were sent to different locations due to COVID-19 delays at Phase Genomics during the time of sampling the male fish.</w:t>
      </w:r>
    </w:p>
    <w:p w14:paraId="59B7D1AA" w14:textId="77777777" w:rsidR="006F47E9" w:rsidRDefault="006F47E9" w:rsidP="00261AAC">
      <w:pPr>
        <w:ind w:right="270"/>
        <w:jc w:val="both"/>
      </w:pPr>
    </w:p>
    <w:p w14:paraId="7BF351FA" w14:textId="2B497178" w:rsidR="006F47E9" w:rsidRDefault="006C520D" w:rsidP="00261AAC">
      <w:pPr>
        <w:ind w:right="270"/>
        <w:jc w:val="both"/>
        <w:rPr>
          <w:i/>
        </w:rPr>
      </w:pPr>
      <w:r>
        <w:rPr>
          <w:i/>
        </w:rPr>
        <w:t>R</w:t>
      </w:r>
      <w:r w:rsidR="006F47E9">
        <w:rPr>
          <w:i/>
        </w:rPr>
        <w:t>esults</w:t>
      </w:r>
    </w:p>
    <w:p w14:paraId="409CE140" w14:textId="3D00382B" w:rsidR="006F47E9" w:rsidRPr="006E1A97" w:rsidRDefault="006F47E9" w:rsidP="00261AAC">
      <w:pPr>
        <w:ind w:right="270"/>
        <w:jc w:val="both"/>
        <w:rPr>
          <w:i/>
        </w:rPr>
      </w:pPr>
      <w:r w:rsidRPr="006E1A97">
        <w:rPr>
          <w:iCs/>
        </w:rPr>
        <w:t xml:space="preserve">Trip 1: </w:t>
      </w:r>
      <w:r>
        <w:t xml:space="preserve">DNA from one male (T1M03) and one female (T1F02) DNA was </w:t>
      </w:r>
      <w:r w:rsidR="000F0F82">
        <w:t xml:space="preserve">successfully </w:t>
      </w:r>
      <w:r>
        <w:t>extracted from the first sampling (See Table 2 for fish identifications corresponding to trips). HMW DNA from</w:t>
      </w:r>
      <w:r w:rsidRPr="00D417D1">
        <w:t xml:space="preserve"> </w:t>
      </w:r>
      <w:r>
        <w:t>the</w:t>
      </w:r>
      <w:r w:rsidRPr="00D417D1">
        <w:t xml:space="preserve"> </w:t>
      </w:r>
      <w:r>
        <w:t>T1F02 had DNA fragments of sufficient length for sequencing (Figure 2A)</w:t>
      </w:r>
      <w:r w:rsidRPr="00D417D1">
        <w:t>.</w:t>
      </w:r>
      <w:r>
        <w:t xml:space="preserve"> </w:t>
      </w:r>
    </w:p>
    <w:p w14:paraId="5D7A30C9" w14:textId="77777777" w:rsidR="006F47E9" w:rsidRDefault="006F47E9" w:rsidP="00261AAC">
      <w:pPr>
        <w:ind w:right="270" w:firstLine="720"/>
        <w:jc w:val="both"/>
      </w:pPr>
    </w:p>
    <w:p w14:paraId="33AE755F" w14:textId="25D9891C" w:rsidR="006F47E9" w:rsidRDefault="006F47E9" w:rsidP="00261AAC">
      <w:pPr>
        <w:ind w:right="270"/>
        <w:jc w:val="both"/>
      </w:pPr>
      <w:r>
        <w:t>Trip 2: W</w:t>
      </w:r>
      <w:r w:rsidRPr="00D417D1">
        <w:t xml:space="preserve">e performed </w:t>
      </w:r>
      <w:r w:rsidR="004D5944">
        <w:t>three</w:t>
      </w:r>
      <w:r w:rsidRPr="00D417D1">
        <w:t xml:space="preserve"> </w:t>
      </w:r>
      <w:r w:rsidR="004D5944">
        <w:t xml:space="preserve">separate </w:t>
      </w:r>
      <w:r w:rsidRPr="00D417D1">
        <w:t xml:space="preserve">rounds of extractions on </w:t>
      </w:r>
      <w:r w:rsidR="004D5944">
        <w:t xml:space="preserve">tissue samples from </w:t>
      </w:r>
      <w:r w:rsidRPr="00D417D1">
        <w:t>two different male</w:t>
      </w:r>
      <w:r>
        <w:t>s (T2M02 and T2M03</w:t>
      </w:r>
      <w:r w:rsidR="004D5944">
        <w:t>)</w:t>
      </w:r>
      <w:r>
        <w:t xml:space="preserve">. Yet </w:t>
      </w:r>
      <w:r w:rsidRPr="00D417D1">
        <w:t xml:space="preserve">despite multiple </w:t>
      </w:r>
      <w:r>
        <w:t xml:space="preserve">attempts at </w:t>
      </w:r>
      <w:r w:rsidR="006C520D" w:rsidRPr="00D417D1">
        <w:t>extracti</w:t>
      </w:r>
      <w:r w:rsidR="004D5944">
        <w:t>ng HMW DNA</w:t>
      </w:r>
      <w:r w:rsidR="006C520D" w:rsidRPr="00D417D1">
        <w:t>,</w:t>
      </w:r>
      <w:r>
        <w:t xml:space="preserve"> we did not obtain </w:t>
      </w:r>
      <w:r w:rsidRPr="00D417D1">
        <w:t>fragments of sufficient length</w:t>
      </w:r>
      <w:r w:rsidR="004D5944">
        <w:t xml:space="preserve"> for sequencing</w:t>
      </w:r>
      <w:r w:rsidRPr="00D417D1">
        <w:t xml:space="preserve"> (Figure </w:t>
      </w:r>
      <w:r>
        <w:t>2</w:t>
      </w:r>
      <w:r w:rsidRPr="00D417D1">
        <w:t xml:space="preserve">B-D).  </w:t>
      </w:r>
    </w:p>
    <w:p w14:paraId="46D99BFF" w14:textId="77777777" w:rsidR="006F47E9" w:rsidRDefault="006F47E9" w:rsidP="00261AAC">
      <w:pPr>
        <w:ind w:right="270"/>
        <w:jc w:val="both"/>
      </w:pPr>
    </w:p>
    <w:p w14:paraId="44F233EF" w14:textId="52010C59" w:rsidR="006C520D" w:rsidRDefault="006F47E9" w:rsidP="00261AAC">
      <w:pPr>
        <w:ind w:right="270"/>
        <w:jc w:val="both"/>
      </w:pPr>
      <w:r>
        <w:t>Trip 3: W</w:t>
      </w:r>
      <w:r w:rsidRPr="00D417D1">
        <w:t xml:space="preserve">e performed two </w:t>
      </w:r>
      <w:r w:rsidR="004D5944">
        <w:t xml:space="preserve">separate </w:t>
      </w:r>
      <w:r w:rsidRPr="00D417D1">
        <w:t xml:space="preserve">rounds of extractions on multiple different tissue types (Table </w:t>
      </w:r>
      <w:r>
        <w:t>2</w:t>
      </w:r>
      <w:r w:rsidRPr="00D417D1">
        <w:t xml:space="preserve">). </w:t>
      </w:r>
      <w:r>
        <w:t xml:space="preserve">From these extractions we acquired DNA of sufficient length from flash frozen back muscle tissue from one male (T03M02_BM_FF, Figure 2E) and flash frozen scales from one female (T3F02_SC, </w:t>
      </w:r>
      <w:r w:rsidRPr="00D417D1">
        <w:t xml:space="preserve">Figure </w:t>
      </w:r>
      <w:r>
        <w:t>2</w:t>
      </w:r>
      <w:r w:rsidRPr="00D417D1">
        <w:t>F)</w:t>
      </w:r>
      <w:r>
        <w:t>.</w:t>
      </w:r>
      <w:r w:rsidRPr="00D417D1">
        <w:t xml:space="preserve"> We did not observe that storing tissue in propylene glycol had an effect on increasing the fragment length of extracted DNA</w:t>
      </w:r>
      <w:r>
        <w:t xml:space="preserve"> (Figure 2E &amp; F)</w:t>
      </w:r>
      <w:r w:rsidRPr="00D417D1">
        <w:t xml:space="preserve">. </w:t>
      </w:r>
    </w:p>
    <w:p w14:paraId="64BD576A" w14:textId="4ECF73F8" w:rsidR="00621B1C" w:rsidRDefault="00621B1C" w:rsidP="00261AAC">
      <w:pPr>
        <w:ind w:right="270"/>
        <w:jc w:val="both"/>
      </w:pPr>
    </w:p>
    <w:p w14:paraId="07A0D19B" w14:textId="6E12D7B7" w:rsidR="00621B1C" w:rsidRPr="00C30DD1" w:rsidRDefault="00621B1C" w:rsidP="00261AAC">
      <w:pPr>
        <w:ind w:right="270"/>
        <w:jc w:val="both"/>
      </w:pPr>
      <w:r>
        <w:t>Trip 4: The tissue samples from the male specimen sampled on trip 4 were sent directly to the Vertebrate Genome Project for subsequent extraction and sequencing.</w:t>
      </w:r>
    </w:p>
    <w:p w14:paraId="7E9D79C1" w14:textId="77777777" w:rsidR="006F47E9" w:rsidRPr="00D417D1" w:rsidRDefault="006F47E9" w:rsidP="00261AAC">
      <w:pPr>
        <w:ind w:right="270"/>
        <w:jc w:val="both"/>
      </w:pPr>
    </w:p>
    <w:p w14:paraId="7C2F39F0" w14:textId="77777777" w:rsidR="006F47E9" w:rsidRPr="00D417D1" w:rsidRDefault="006F47E9" w:rsidP="00261AAC">
      <w:pPr>
        <w:ind w:right="270"/>
        <w:jc w:val="both"/>
        <w:rPr>
          <w:color w:val="FF0000"/>
        </w:rPr>
      </w:pPr>
    </w:p>
    <w:p w14:paraId="3ACEB2C2" w14:textId="77777777" w:rsidR="006F47E9" w:rsidRPr="00E05524" w:rsidRDefault="006F47E9" w:rsidP="00261AAC">
      <w:pPr>
        <w:pStyle w:val="Heading2"/>
        <w:jc w:val="both"/>
      </w:pPr>
      <w:r w:rsidRPr="00E05524">
        <w:t>Long-read library prep &amp; sequencing</w:t>
      </w:r>
      <w:r>
        <w:t xml:space="preserve"> (Figure 1C)</w:t>
      </w:r>
    </w:p>
    <w:p w14:paraId="26AC9F02" w14:textId="77777777" w:rsidR="006F47E9" w:rsidRDefault="006F47E9" w:rsidP="00261AAC">
      <w:pPr>
        <w:ind w:right="270"/>
        <w:jc w:val="both"/>
        <w:rPr>
          <w:i/>
        </w:rPr>
      </w:pPr>
      <w:r>
        <w:rPr>
          <w:i/>
        </w:rPr>
        <w:t>Methods</w:t>
      </w:r>
    </w:p>
    <w:p w14:paraId="475CE418" w14:textId="08959946" w:rsidR="006F47E9" w:rsidRDefault="006F47E9" w:rsidP="00261AAC">
      <w:pPr>
        <w:ind w:right="270"/>
        <w:jc w:val="both"/>
      </w:pPr>
      <w:r>
        <w:t xml:space="preserve">The inclusion of long-read data dramatically assists in creating a more contiguous assembly by spanning repetitive elements and resolving chimeric sequences throughout the genome. Long-reads provide greater continuity of scaffolded contigs and resolving repetitive sequences within genome assemblies, because the reads (sequence fragments produced </w:t>
      </w:r>
      <w:r w:rsidR="00F2470E">
        <w:t xml:space="preserve">by </w:t>
      </w:r>
      <w:r>
        <w:t xml:space="preserve">the sequencer) are thousands rather than hundreds of base pairs long. Previously, long-read sequencing was both costly and had an error rate up to 10%. </w:t>
      </w:r>
      <w:r w:rsidR="000F0F82">
        <w:t>During 2020</w:t>
      </w:r>
      <w:r>
        <w:t xml:space="preserve">, new PacBio HiFi chemistry has come out to dramatically reduce the number of errors from almost 10% to under 1%. </w:t>
      </w:r>
    </w:p>
    <w:p w14:paraId="51A75ACA" w14:textId="77777777" w:rsidR="006F47E9" w:rsidRPr="00CA16F0" w:rsidRDefault="006F47E9" w:rsidP="00261AAC">
      <w:pPr>
        <w:ind w:right="270"/>
        <w:jc w:val="both"/>
      </w:pPr>
    </w:p>
    <w:p w14:paraId="4F4FFCF6" w14:textId="0B4829DA" w:rsidR="00F750C6" w:rsidRDefault="006C520D" w:rsidP="00261AAC">
      <w:pPr>
        <w:jc w:val="both"/>
      </w:pPr>
      <w:r w:rsidRPr="00D262EE">
        <w:rPr>
          <w:lang w:val="en"/>
        </w:rPr>
        <w:lastRenderedPageBreak/>
        <w:t xml:space="preserve">PacBio </w:t>
      </w:r>
      <w:r w:rsidRPr="00D262EE">
        <w:t xml:space="preserve">HiFi </w:t>
      </w:r>
      <w:proofErr w:type="spellStart"/>
      <w:r w:rsidRPr="00D262EE">
        <w:t>SMRTbell</w:t>
      </w:r>
      <w:proofErr w:type="spellEnd"/>
      <w:r w:rsidRPr="00D262EE">
        <w:t>® Librar</w:t>
      </w:r>
      <w:r>
        <w:t>ies</w:t>
      </w:r>
      <w:r w:rsidRPr="00D262EE">
        <w:t xml:space="preserve"> (</w:t>
      </w:r>
      <w:hyperlink r:id="rId15" w:history="1">
        <w:r w:rsidRPr="00D262EE">
          <w:rPr>
            <w:rStyle w:val="Hyperlink"/>
            <w:lang w:val="en"/>
          </w:rPr>
          <w:t>https://www.pacb.com/</w:t>
        </w:r>
      </w:hyperlink>
      <w:r w:rsidRPr="00D262EE">
        <w:rPr>
          <w:lang w:val="en"/>
        </w:rPr>
        <w:t xml:space="preserve">) </w:t>
      </w:r>
      <w:r>
        <w:t>were</w:t>
      </w:r>
      <w:r w:rsidRPr="00D262EE">
        <w:t xml:space="preserve"> prepped following the </w:t>
      </w:r>
      <w:proofErr w:type="spellStart"/>
      <w:r w:rsidRPr="00D262EE">
        <w:t>SMRTbell</w:t>
      </w:r>
      <w:proofErr w:type="spellEnd"/>
      <w:r w:rsidRPr="00D262EE">
        <w:t xml:space="preserve"> Express Template Prep Kit 2.0 procedure. The UC Davis Sequencing Center used a </w:t>
      </w:r>
      <w:proofErr w:type="spellStart"/>
      <w:r w:rsidRPr="00D262EE">
        <w:t>Megaruptor</w:t>
      </w:r>
      <w:proofErr w:type="spellEnd"/>
      <w:r w:rsidRPr="00D262EE">
        <w:t xml:space="preserve"> to shear DNA to an average length of ~15kb. The input for the library prep was 5.6ug of DNA and the library was size selected to 11kb. Prepped DNA was run on a Sequel II machine </w:t>
      </w:r>
      <w:r w:rsidR="00F750C6">
        <w:t>and sequencing data was collected as recorded “movies” of nucleotides. Each movie collection lasted for 30 hours per run. Additional movies were collected until the amount of sequencing data for each sex was ~25-30x coverage.</w:t>
      </w:r>
    </w:p>
    <w:p w14:paraId="73EAEB23" w14:textId="28429703" w:rsidR="006F47E9" w:rsidRDefault="006F47E9" w:rsidP="00261AAC">
      <w:pPr>
        <w:ind w:right="270"/>
        <w:jc w:val="both"/>
      </w:pPr>
    </w:p>
    <w:p w14:paraId="54CEE120" w14:textId="77777777" w:rsidR="00553E10" w:rsidRDefault="00553E10" w:rsidP="00261AAC">
      <w:pPr>
        <w:ind w:right="270"/>
        <w:jc w:val="both"/>
      </w:pPr>
      <w:r w:rsidRPr="00CA16F0">
        <w:rPr>
          <w:i/>
        </w:rPr>
        <w:t>Results</w:t>
      </w:r>
    </w:p>
    <w:p w14:paraId="1DA818DF" w14:textId="08F572F8" w:rsidR="00553E10" w:rsidRDefault="00F750C6" w:rsidP="00261AAC">
      <w:pPr>
        <w:ind w:right="270"/>
        <w:jc w:val="both"/>
      </w:pPr>
      <w:r>
        <w:t xml:space="preserve">A total of five movie collections </w:t>
      </w:r>
      <w:r w:rsidR="00F2470E">
        <w:t>(</w:t>
      </w:r>
      <w:r>
        <w:t>150 hours of sequencing data were collected</w:t>
      </w:r>
      <w:r w:rsidR="00F2470E">
        <w:t>)</w:t>
      </w:r>
      <w:r>
        <w:t>. Two male movie collections generated roughly 25x coverage (</w:t>
      </w:r>
      <w:r w:rsidR="00EC7D9F">
        <w:t xml:space="preserve">data combined into </w:t>
      </w:r>
      <w:r>
        <w:t>Supplemental Data 1) and three female movie collections generated roughly 28x coverage (</w:t>
      </w:r>
      <w:r w:rsidR="00EC7D9F">
        <w:t xml:space="preserve">Run 1 &amp; 2 combined into </w:t>
      </w:r>
      <w:r>
        <w:t>Supplemental Data 2</w:t>
      </w:r>
      <w:r w:rsidR="00EC7D9F">
        <w:t>, Run 3 data in Supplemental Data</w:t>
      </w:r>
      <w:r>
        <w:t xml:space="preserve"> 3).  </w:t>
      </w:r>
    </w:p>
    <w:p w14:paraId="4B484027" w14:textId="2A15CB14" w:rsidR="00ED075F" w:rsidRDefault="00ED075F" w:rsidP="00261AAC">
      <w:pPr>
        <w:ind w:right="270"/>
        <w:jc w:val="both"/>
      </w:pPr>
    </w:p>
    <w:p w14:paraId="211C76D7" w14:textId="77777777" w:rsidR="007809DC" w:rsidRDefault="007809DC" w:rsidP="00261AAC">
      <w:pPr>
        <w:ind w:right="270"/>
        <w:jc w:val="both"/>
      </w:pPr>
    </w:p>
    <w:p w14:paraId="5553AD60" w14:textId="77777777" w:rsidR="00ED075F" w:rsidRDefault="00ED075F" w:rsidP="00261AAC">
      <w:pPr>
        <w:pStyle w:val="Heading2"/>
        <w:jc w:val="both"/>
      </w:pPr>
      <w:r>
        <w:t>Linked-read</w:t>
      </w:r>
      <w:r w:rsidRPr="00490077">
        <w:t xml:space="preserve"> library prep &amp; sequencing</w:t>
      </w:r>
      <w:r>
        <w:t xml:space="preserve"> (Figure 1C)</w:t>
      </w:r>
    </w:p>
    <w:p w14:paraId="062F315E" w14:textId="77777777" w:rsidR="00ED075F" w:rsidRDefault="00ED075F" w:rsidP="00261AAC">
      <w:pPr>
        <w:ind w:right="270"/>
        <w:jc w:val="both"/>
        <w:rPr>
          <w:i/>
        </w:rPr>
      </w:pPr>
      <w:r>
        <w:rPr>
          <w:i/>
        </w:rPr>
        <w:t>Methods</w:t>
      </w:r>
    </w:p>
    <w:p w14:paraId="5B858F6E" w14:textId="77777777" w:rsidR="00ED075F" w:rsidRPr="006C520D" w:rsidRDefault="00ED075F" w:rsidP="00261AAC">
      <w:pPr>
        <w:ind w:right="270"/>
        <w:jc w:val="both"/>
      </w:pPr>
      <w:r w:rsidRPr="00D417D1">
        <w:t xml:space="preserve">Once sufficient extracted </w:t>
      </w:r>
      <w:r>
        <w:t xml:space="preserve">HMW genomic DNA </w:t>
      </w:r>
      <w:r w:rsidRPr="00D417D1">
        <w:t xml:space="preserve">fragments were acquired, </w:t>
      </w:r>
      <w:r>
        <w:t>DNA</w:t>
      </w:r>
      <w:r w:rsidRPr="00D417D1">
        <w:t xml:space="preserve"> was adjusted to a </w:t>
      </w:r>
      <w:r w:rsidRPr="00CA16F0">
        <w:t>concentration of 0.91 ng/µl. We selected the 10X Genomics platform (</w:t>
      </w:r>
      <w:hyperlink r:id="rId16" w:history="1">
        <w:r w:rsidRPr="00CA16F0">
          <w:rPr>
            <w:rStyle w:val="Hyperlink"/>
          </w:rPr>
          <w:t>https://www.10xgenomics.com/technology/</w:t>
        </w:r>
      </w:hyperlink>
      <w:r w:rsidRPr="00CA16F0">
        <w:t>)</w:t>
      </w:r>
      <w:r>
        <w:t xml:space="preserve"> for our linked-read sequence data. </w:t>
      </w:r>
      <w:r w:rsidRPr="00D417D1">
        <w:t xml:space="preserve">10X Genomics library preparation takes extracted HMW gDNA, shears the DNA into 50kb long segments, inserts each fragment into an oil coated gel emulsion bead (GEM), further shears DNA within each bead, and attaches unique barcodes to all DNA fragments within each GEM for identification post-sequencing. Whole genome sequencing libraries were prepared using Chromium Genome Library &amp; Gel Bead Kit v.2 (10X Genomics, cat. 120258), Chromium Genome Chip Kit v.2 (10X Genomics, cat. 120257), Chromium i7 Multiplex Kit (10X Genomics, cat. 120262), and Chromium controller according to manufacturer’s instructions. After library preparation 1.14 ng of template gDNA was loaded on a Chromium Genome Chip and sequenced on an Illumina NovaSeq6000 150bp PE lane (Illumina, San Diego, CA). </w:t>
      </w:r>
      <w:r>
        <w:t xml:space="preserve">We used a previous RAD-based estimate of a haploid genome size (0.6Gb) to sequence the first female sample to an estimated 80x coverage. We then used this sequencing data to better inform our estimate of delta smelt genome size by using a more accurate k-mer based estimation approach with the software </w:t>
      </w:r>
      <w:proofErr w:type="spellStart"/>
      <w:r>
        <w:t>Genomescope</w:t>
      </w:r>
      <w:proofErr w:type="spellEnd"/>
      <w:r>
        <w:t>. We adjusted the amount of linked-read sequencing data collected for the male sample accordingly.</w:t>
      </w:r>
    </w:p>
    <w:p w14:paraId="2DDC5637" w14:textId="77777777" w:rsidR="00ED075F" w:rsidRDefault="00ED075F" w:rsidP="00261AAC">
      <w:pPr>
        <w:ind w:right="270"/>
        <w:jc w:val="both"/>
      </w:pPr>
    </w:p>
    <w:p w14:paraId="78E43AFE" w14:textId="77777777" w:rsidR="00ED075F" w:rsidRPr="003F70AA" w:rsidRDefault="00ED075F" w:rsidP="00261AAC">
      <w:pPr>
        <w:ind w:right="270"/>
        <w:jc w:val="both"/>
        <w:rPr>
          <w:i/>
        </w:rPr>
      </w:pPr>
      <w:r>
        <w:rPr>
          <w:i/>
        </w:rPr>
        <w:t>R</w:t>
      </w:r>
      <w:r w:rsidRPr="00CB5BF7">
        <w:rPr>
          <w:i/>
        </w:rPr>
        <w:t>esults</w:t>
      </w:r>
    </w:p>
    <w:p w14:paraId="66B81942" w14:textId="77777777" w:rsidR="00ED075F" w:rsidRPr="0092079B" w:rsidRDefault="00ED075F" w:rsidP="00261AAC">
      <w:pPr>
        <w:ind w:right="270"/>
        <w:jc w:val="both"/>
        <w:rPr>
          <w:color w:val="FF0000"/>
        </w:rPr>
      </w:pPr>
      <w:r>
        <w:t>The k-mer based haploid genome size was estimated to be 0.49Gb. We generated approximately 45 gigabytes of female linked-read sequencing data and 30 gigabytes of male linked-read sequencing data for a total of roughly 120x and 80x coverage, respectively (Table 3).</w:t>
      </w:r>
    </w:p>
    <w:p w14:paraId="691E9554" w14:textId="2D13A41A" w:rsidR="00ED075F" w:rsidRDefault="00ED075F" w:rsidP="00261AAC">
      <w:pPr>
        <w:ind w:right="270"/>
        <w:jc w:val="both"/>
      </w:pPr>
    </w:p>
    <w:p w14:paraId="658B3FA7" w14:textId="77777777" w:rsidR="007809DC" w:rsidRDefault="007809DC" w:rsidP="00261AAC">
      <w:pPr>
        <w:ind w:right="270"/>
        <w:jc w:val="both"/>
      </w:pPr>
    </w:p>
    <w:p w14:paraId="085016C4" w14:textId="4A4EA24B" w:rsidR="00ED075F" w:rsidRDefault="00ED075F" w:rsidP="00261AAC">
      <w:pPr>
        <w:pStyle w:val="Heading2"/>
        <w:jc w:val="both"/>
      </w:pPr>
      <w:r w:rsidRPr="00E05524">
        <w:t xml:space="preserve">Hi-C </w:t>
      </w:r>
      <w:r>
        <w:t>c</w:t>
      </w:r>
      <w:r w:rsidRPr="00E05524">
        <w:t xml:space="preserve">hromatin </w:t>
      </w:r>
      <w:r>
        <w:t>c</w:t>
      </w:r>
      <w:r w:rsidRPr="00E05524">
        <w:t xml:space="preserve">onformation </w:t>
      </w:r>
      <w:r>
        <w:t>c</w:t>
      </w:r>
      <w:r w:rsidRPr="00E05524">
        <w:t>apture</w:t>
      </w:r>
      <w:r w:rsidRPr="00490077">
        <w:t xml:space="preserve"> prep &amp; sequencing</w:t>
      </w:r>
      <w:r>
        <w:t xml:space="preserve"> (Figure 1C)</w:t>
      </w:r>
    </w:p>
    <w:p w14:paraId="03860884" w14:textId="77777777" w:rsidR="00ED075F" w:rsidRDefault="00ED075F" w:rsidP="00261AAC">
      <w:pPr>
        <w:ind w:right="270"/>
        <w:jc w:val="both"/>
        <w:rPr>
          <w:i/>
        </w:rPr>
      </w:pPr>
      <w:r>
        <w:rPr>
          <w:i/>
        </w:rPr>
        <w:t>Methods</w:t>
      </w:r>
    </w:p>
    <w:p w14:paraId="32F971F2" w14:textId="3BD3A08D" w:rsidR="00744B37" w:rsidRDefault="003E196B" w:rsidP="00261AAC">
      <w:pPr>
        <w:ind w:right="270"/>
        <w:jc w:val="both"/>
      </w:pPr>
      <w:r>
        <w:t>G</w:t>
      </w:r>
      <w:r w:rsidRPr="00D417D1">
        <w:t xml:space="preserve">enomic DNA in eukaryotes </w:t>
      </w:r>
      <w:r>
        <w:t xml:space="preserve">has high levels of repetition, leading to </w:t>
      </w:r>
      <w:r w:rsidRPr="00D417D1">
        <w:t xml:space="preserve">unresolved gaps surrounding </w:t>
      </w:r>
      <w:r>
        <w:t xml:space="preserve">large </w:t>
      </w:r>
      <w:r w:rsidRPr="00D417D1">
        <w:t xml:space="preserve">repetitive </w:t>
      </w:r>
      <w:r>
        <w:t>elements</w:t>
      </w:r>
      <w:r w:rsidRPr="00D417D1">
        <w:t xml:space="preserve"> such as </w:t>
      </w:r>
      <w:r>
        <w:t>in the middle and at the ends of each chromosome</w:t>
      </w:r>
      <w:r w:rsidRPr="00D417D1">
        <w:t xml:space="preserve">. In order to resolve these gaps, we </w:t>
      </w:r>
      <w:r>
        <w:t xml:space="preserve">used </w:t>
      </w:r>
      <w:r w:rsidRPr="00D417D1">
        <w:t xml:space="preserve">hi-c chromatin conformation capture (hi-c). </w:t>
      </w:r>
      <w:r w:rsidR="00744B37">
        <w:t xml:space="preserve">We </w:t>
      </w:r>
      <w:r w:rsidR="00744B37">
        <w:lastRenderedPageBreak/>
        <w:t xml:space="preserve">outsourced hi-c library prep and sequencing to Phase Genomics in Seattle, WA. Phased used their in-house proprietary library preparation and sequencing protocols. </w:t>
      </w:r>
      <w:r w:rsidR="00744B37" w:rsidRPr="00D417D1">
        <w:t>Raw sequencing data and an initial scaffolding report were received for the female sample.</w:t>
      </w:r>
      <w:r w:rsidR="00744B37">
        <w:t xml:space="preserve"> </w:t>
      </w:r>
    </w:p>
    <w:p w14:paraId="0DD8027E" w14:textId="32E463A1" w:rsidR="00ED075F" w:rsidRDefault="00ED075F" w:rsidP="00261AAC">
      <w:pPr>
        <w:ind w:right="270"/>
        <w:jc w:val="both"/>
      </w:pPr>
    </w:p>
    <w:p w14:paraId="65298862" w14:textId="65AF53B2" w:rsidR="00ED075F" w:rsidRDefault="00ED075F" w:rsidP="00261AAC">
      <w:pPr>
        <w:ind w:right="270"/>
        <w:jc w:val="both"/>
        <w:rPr>
          <w:i/>
        </w:rPr>
      </w:pPr>
      <w:r>
        <w:rPr>
          <w:i/>
        </w:rPr>
        <w:t>Results</w:t>
      </w:r>
    </w:p>
    <w:p w14:paraId="7ECEF8BE" w14:textId="40C3167E" w:rsidR="00ED075F" w:rsidRDefault="00ED075F" w:rsidP="00261AAC">
      <w:pPr>
        <w:ind w:right="270"/>
        <w:jc w:val="both"/>
      </w:pPr>
      <w:r>
        <w:t xml:space="preserve">We received </w:t>
      </w:r>
      <w:r w:rsidR="00744B37">
        <w:t>sequence files of 87,444,477 read pairs</w:t>
      </w:r>
      <w:r w:rsidR="003E196B">
        <w:t xml:space="preserve"> in total.</w:t>
      </w:r>
      <w:r w:rsidR="00744B37">
        <w:t xml:space="preserve"> </w:t>
      </w:r>
    </w:p>
    <w:p w14:paraId="60963EA5" w14:textId="35B8F02F" w:rsidR="00ED075F" w:rsidRDefault="00ED075F" w:rsidP="00261AAC">
      <w:pPr>
        <w:ind w:right="270"/>
        <w:jc w:val="both"/>
      </w:pPr>
    </w:p>
    <w:p w14:paraId="12E31764" w14:textId="77777777" w:rsidR="007809DC" w:rsidRDefault="007809DC" w:rsidP="00261AAC">
      <w:pPr>
        <w:ind w:right="270"/>
        <w:jc w:val="both"/>
      </w:pPr>
    </w:p>
    <w:p w14:paraId="6EB95429" w14:textId="710EC926" w:rsidR="002C4E60" w:rsidRDefault="002C4E60" w:rsidP="00261AAC">
      <w:pPr>
        <w:pBdr>
          <w:top w:val="single" w:sz="4" w:space="1" w:color="auto" w:shadow="1"/>
          <w:left w:val="single" w:sz="4" w:space="4" w:color="auto" w:shadow="1"/>
          <w:bottom w:val="single" w:sz="4" w:space="1" w:color="auto" w:shadow="1"/>
          <w:right w:val="single" w:sz="4" w:space="4" w:color="auto" w:shadow="1"/>
        </w:pBdr>
        <w:ind w:right="270"/>
        <w:jc w:val="both"/>
      </w:pPr>
      <w:r w:rsidRPr="00741136">
        <w:rPr>
          <w:u w:val="single"/>
        </w:rPr>
        <w:t>Quality Control</w:t>
      </w:r>
      <w:r>
        <w:t>: After sequencing, b</w:t>
      </w:r>
      <w:r w:rsidRPr="00D417D1">
        <w:t>ioinformatics quality control (QC) steps are necessary at multiple stages</w:t>
      </w:r>
      <w:r>
        <w:t xml:space="preserve"> in the workflow of</w:t>
      </w:r>
      <w:r w:rsidRPr="00D417D1">
        <w:t xml:space="preserve"> assembl</w:t>
      </w:r>
      <w:r>
        <w:t>ing</w:t>
      </w:r>
      <w:r w:rsidRPr="00D417D1">
        <w:t xml:space="preserve"> </w:t>
      </w:r>
      <w:r>
        <w:t xml:space="preserve">of a </w:t>
      </w:r>
      <w:r w:rsidRPr="00D417D1">
        <w:t>reference genome</w:t>
      </w:r>
      <w:r>
        <w:t>. I</w:t>
      </w:r>
      <w:r w:rsidRPr="00D417D1">
        <w:t>mmediate sources of error in sequencing data can result from sequenced DNA being contaminated with off-target DNA in the wet lab during preparation for sequencing</w:t>
      </w:r>
      <w:r>
        <w:t>,</w:t>
      </w:r>
      <w:r w:rsidRPr="00D417D1">
        <w:t xml:space="preserve"> or biases in base calls from the sequencing machine.</w:t>
      </w:r>
      <w:r w:rsidR="00741136">
        <w:t xml:space="preserve"> </w:t>
      </w:r>
      <w:r w:rsidR="000B0F0D">
        <w:t xml:space="preserve">Other sources of error may come from having too great of a proportion of </w:t>
      </w:r>
      <w:r w:rsidR="00D46F6C">
        <w:t>poor-quality</w:t>
      </w:r>
      <w:r w:rsidR="000B0F0D">
        <w:t xml:space="preserve"> reads.</w:t>
      </w:r>
    </w:p>
    <w:p w14:paraId="164B9813" w14:textId="5C07CEE6" w:rsidR="006F47E9" w:rsidRDefault="006F47E9" w:rsidP="00261AAC">
      <w:pPr>
        <w:ind w:right="270"/>
        <w:jc w:val="both"/>
        <w:rPr>
          <w:b/>
          <w:i/>
        </w:rPr>
      </w:pPr>
    </w:p>
    <w:p w14:paraId="3299419F" w14:textId="77777777" w:rsidR="007809DC" w:rsidRDefault="007809DC" w:rsidP="00261AAC">
      <w:pPr>
        <w:ind w:right="270"/>
        <w:jc w:val="both"/>
        <w:rPr>
          <w:b/>
          <w:i/>
        </w:rPr>
      </w:pPr>
    </w:p>
    <w:p w14:paraId="6D15DC34" w14:textId="703D4C70" w:rsidR="006F47E9" w:rsidRDefault="006F47E9" w:rsidP="00261AAC">
      <w:pPr>
        <w:pStyle w:val="Heading2"/>
        <w:jc w:val="both"/>
      </w:pPr>
      <w:r w:rsidRPr="00E05524">
        <w:t>Long-</w:t>
      </w:r>
      <w:r w:rsidR="0092079B">
        <w:t>r</w:t>
      </w:r>
      <w:r w:rsidRPr="00E05524">
        <w:t xml:space="preserve">ead </w:t>
      </w:r>
      <w:r w:rsidR="0092079B">
        <w:t>p</w:t>
      </w:r>
      <w:r w:rsidRPr="00E05524">
        <w:t>ost-</w:t>
      </w:r>
      <w:r w:rsidR="0092079B">
        <w:t>s</w:t>
      </w:r>
      <w:r w:rsidRPr="00E05524">
        <w:t>equencing</w:t>
      </w:r>
      <w:r w:rsidR="0092079B">
        <w:t xml:space="preserve"> quality</w:t>
      </w:r>
      <w:r w:rsidRPr="00E05524">
        <w:t xml:space="preserve"> </w:t>
      </w:r>
      <w:r w:rsidR="0092079B">
        <w:t>control</w:t>
      </w:r>
      <w:r>
        <w:t xml:space="preserve"> (Figure 1</w:t>
      </w:r>
      <w:r w:rsidR="00D875FB">
        <w:t>C</w:t>
      </w:r>
      <w:r>
        <w:t>)</w:t>
      </w:r>
    </w:p>
    <w:p w14:paraId="7AADA5C8" w14:textId="7D884C4E" w:rsidR="006F47E9" w:rsidRPr="00E05524" w:rsidRDefault="006F47E9" w:rsidP="00261AAC">
      <w:pPr>
        <w:ind w:right="270"/>
        <w:jc w:val="both"/>
        <w:rPr>
          <w:i/>
        </w:rPr>
      </w:pPr>
      <w:r w:rsidRPr="00E05524">
        <w:rPr>
          <w:i/>
        </w:rPr>
        <w:t>Methods</w:t>
      </w:r>
    </w:p>
    <w:p w14:paraId="72BDE343" w14:textId="2D05026A" w:rsidR="006F47E9" w:rsidRDefault="006F47E9" w:rsidP="00261AAC">
      <w:pPr>
        <w:jc w:val="both"/>
      </w:pPr>
      <w:r>
        <w:t xml:space="preserve">Sequencing data </w:t>
      </w:r>
      <w:r w:rsidRPr="00A20DFF">
        <w:t xml:space="preserve">stored in binary </w:t>
      </w:r>
      <w:r w:rsidR="000176C2">
        <w:t xml:space="preserve">bam </w:t>
      </w:r>
      <w:r w:rsidRPr="00A20DFF">
        <w:t xml:space="preserve">files were downloaded from </w:t>
      </w:r>
      <w:proofErr w:type="spellStart"/>
      <w:r w:rsidRPr="00A20DFF">
        <w:t>Bioshare</w:t>
      </w:r>
      <w:proofErr w:type="spellEnd"/>
      <w:r w:rsidRPr="00A20DFF">
        <w:t>, the UC Davis Sequencing Center’s host service. We used CCS software’s (</w:t>
      </w:r>
      <w:hyperlink r:id="rId17" w:history="1">
        <w:r w:rsidRPr="00A20DFF">
          <w:rPr>
            <w:rStyle w:val="Hyperlink"/>
          </w:rPr>
          <w:t>https://github.com/PacificBiosciences/ccs</w:t>
        </w:r>
      </w:hyperlink>
      <w:r w:rsidRPr="00A20DFF">
        <w:t>) statistical model on raw reads to generate highly accurate consensus sequences with known base quality values</w:t>
      </w:r>
      <w:r w:rsidR="000176C2">
        <w:t xml:space="preserve"> and </w:t>
      </w:r>
      <w:r w:rsidRPr="00A20DFF">
        <w:t>convert</w:t>
      </w:r>
      <w:r w:rsidR="000176C2">
        <w:t>ed binary</w:t>
      </w:r>
      <w:r w:rsidRPr="00A20DFF">
        <w:t xml:space="preserve"> data to </w:t>
      </w:r>
      <w:proofErr w:type="spellStart"/>
      <w:r w:rsidRPr="00A20DFF">
        <w:t>fastq</w:t>
      </w:r>
      <w:proofErr w:type="spellEnd"/>
      <w:r w:rsidRPr="00A20DFF">
        <w:t xml:space="preserve"> format for downstream</w:t>
      </w:r>
      <w:r>
        <w:t xml:space="preserve"> analysis</w:t>
      </w:r>
      <w:r w:rsidRPr="00D417D1">
        <w:t xml:space="preserve">. </w:t>
      </w:r>
      <w:r>
        <w:t>A base quality value assigns a score to each letter</w:t>
      </w:r>
      <w:r w:rsidR="000176C2">
        <w:t xml:space="preserve"> </w:t>
      </w:r>
      <w:r>
        <w:t xml:space="preserve">of sequencing data to denote the level of confidence in each base called by the sequencer. </w:t>
      </w:r>
      <w:r w:rsidR="000176C2">
        <w:t>Reads with quality scores over Q20, denoting an error probability of 0.01</w:t>
      </w:r>
      <w:r w:rsidR="007809DC">
        <w:t>%</w:t>
      </w:r>
      <w:r w:rsidR="000176C2">
        <w:t>, were used for subsequent assembly.</w:t>
      </w:r>
    </w:p>
    <w:p w14:paraId="64A2811C" w14:textId="43287A19" w:rsidR="00EC7D9F" w:rsidRDefault="00EC7D9F" w:rsidP="00261AAC">
      <w:pPr>
        <w:jc w:val="both"/>
      </w:pPr>
    </w:p>
    <w:p w14:paraId="0B9B1AA6" w14:textId="2EE1CD5A" w:rsidR="00EC7D9F" w:rsidRDefault="00EC7D9F" w:rsidP="00261AAC">
      <w:pPr>
        <w:ind w:right="270"/>
        <w:jc w:val="both"/>
        <w:rPr>
          <w:i/>
        </w:rPr>
      </w:pPr>
      <w:r>
        <w:rPr>
          <w:i/>
        </w:rPr>
        <w:t>Results</w:t>
      </w:r>
    </w:p>
    <w:p w14:paraId="33F1E8BA" w14:textId="6AB62537" w:rsidR="00EC7D9F" w:rsidRPr="0092079B" w:rsidRDefault="000176C2" w:rsidP="00261AAC">
      <w:pPr>
        <w:ind w:right="270"/>
        <w:jc w:val="both"/>
        <w:rPr>
          <w:iCs/>
        </w:rPr>
      </w:pPr>
      <w:r>
        <w:rPr>
          <w:iCs/>
        </w:rPr>
        <w:t xml:space="preserve">A total of </w:t>
      </w:r>
      <w:r w:rsidR="00581917" w:rsidRPr="00581917">
        <w:rPr>
          <w:iCs/>
        </w:rPr>
        <w:t>3</w:t>
      </w:r>
      <w:r w:rsidR="00581917">
        <w:rPr>
          <w:iCs/>
        </w:rPr>
        <w:t>,</w:t>
      </w:r>
      <w:r w:rsidR="00581917" w:rsidRPr="00581917">
        <w:rPr>
          <w:iCs/>
        </w:rPr>
        <w:t>095</w:t>
      </w:r>
      <w:r w:rsidR="00581917">
        <w:rPr>
          <w:iCs/>
        </w:rPr>
        <w:t>,</w:t>
      </w:r>
      <w:r w:rsidR="00581917" w:rsidRPr="00581917">
        <w:rPr>
          <w:iCs/>
        </w:rPr>
        <w:t xml:space="preserve">133 </w:t>
      </w:r>
      <w:r>
        <w:rPr>
          <w:iCs/>
        </w:rPr>
        <w:t>male</w:t>
      </w:r>
      <w:r w:rsidR="00ED075F">
        <w:rPr>
          <w:iCs/>
        </w:rPr>
        <w:t xml:space="preserve"> reads</w:t>
      </w:r>
      <w:r>
        <w:rPr>
          <w:iCs/>
        </w:rPr>
        <w:t xml:space="preserve"> and </w:t>
      </w:r>
      <w:r w:rsidR="00D4439A" w:rsidRPr="00D4439A">
        <w:rPr>
          <w:iCs/>
        </w:rPr>
        <w:t>2</w:t>
      </w:r>
      <w:r w:rsidR="00D4439A">
        <w:rPr>
          <w:iCs/>
        </w:rPr>
        <w:t>,</w:t>
      </w:r>
      <w:r w:rsidR="00D4439A" w:rsidRPr="00D4439A">
        <w:rPr>
          <w:iCs/>
        </w:rPr>
        <w:t>741</w:t>
      </w:r>
      <w:r w:rsidR="00D4439A">
        <w:rPr>
          <w:iCs/>
        </w:rPr>
        <w:t>,</w:t>
      </w:r>
      <w:r w:rsidR="00D4439A" w:rsidRPr="00D4439A">
        <w:rPr>
          <w:iCs/>
        </w:rPr>
        <w:t>504</w:t>
      </w:r>
      <w:r w:rsidR="00D4439A">
        <w:rPr>
          <w:iCs/>
        </w:rPr>
        <w:t xml:space="preserve"> </w:t>
      </w:r>
      <w:r>
        <w:rPr>
          <w:iCs/>
        </w:rPr>
        <w:t xml:space="preserve">female reads </w:t>
      </w:r>
      <w:r w:rsidR="00ED075F">
        <w:rPr>
          <w:iCs/>
        </w:rPr>
        <w:t xml:space="preserve">representing </w:t>
      </w:r>
      <w:r w:rsidR="00A579CB" w:rsidRPr="00A579CB">
        <w:rPr>
          <w:iCs/>
        </w:rPr>
        <w:t>35</w:t>
      </w:r>
      <w:r w:rsidR="00A579CB">
        <w:rPr>
          <w:iCs/>
        </w:rPr>
        <w:t>,</w:t>
      </w:r>
      <w:r w:rsidR="00A579CB" w:rsidRPr="00A579CB">
        <w:rPr>
          <w:iCs/>
        </w:rPr>
        <w:t>841</w:t>
      </w:r>
      <w:r w:rsidR="00A579CB">
        <w:rPr>
          <w:iCs/>
        </w:rPr>
        <w:t>,</w:t>
      </w:r>
      <w:r w:rsidR="00A579CB" w:rsidRPr="00A579CB">
        <w:rPr>
          <w:iCs/>
        </w:rPr>
        <w:t>976</w:t>
      </w:r>
      <w:r w:rsidR="00A579CB">
        <w:rPr>
          <w:iCs/>
        </w:rPr>
        <w:t>,</w:t>
      </w:r>
      <w:r w:rsidR="00A579CB" w:rsidRPr="00A579CB">
        <w:rPr>
          <w:iCs/>
        </w:rPr>
        <w:t>770</w:t>
      </w:r>
      <w:r w:rsidR="00A579CB">
        <w:rPr>
          <w:iCs/>
        </w:rPr>
        <w:t xml:space="preserve"> </w:t>
      </w:r>
      <w:r w:rsidR="00ED075F">
        <w:rPr>
          <w:iCs/>
        </w:rPr>
        <w:t xml:space="preserve">and </w:t>
      </w:r>
      <w:r w:rsidR="00A579CB" w:rsidRPr="00A579CB">
        <w:rPr>
          <w:iCs/>
        </w:rPr>
        <w:t>28</w:t>
      </w:r>
      <w:r w:rsidR="00A579CB">
        <w:rPr>
          <w:iCs/>
        </w:rPr>
        <w:t>,</w:t>
      </w:r>
      <w:r w:rsidR="00A579CB" w:rsidRPr="00A579CB">
        <w:rPr>
          <w:iCs/>
        </w:rPr>
        <w:t>549</w:t>
      </w:r>
      <w:r w:rsidR="00A579CB">
        <w:rPr>
          <w:iCs/>
        </w:rPr>
        <w:t>,</w:t>
      </w:r>
      <w:r w:rsidR="00A579CB" w:rsidRPr="00A579CB">
        <w:rPr>
          <w:iCs/>
        </w:rPr>
        <w:t>585</w:t>
      </w:r>
      <w:r w:rsidR="00A579CB">
        <w:rPr>
          <w:iCs/>
        </w:rPr>
        <w:t>,</w:t>
      </w:r>
      <w:r w:rsidR="00A579CB" w:rsidRPr="00A579CB">
        <w:rPr>
          <w:iCs/>
        </w:rPr>
        <w:t>055</w:t>
      </w:r>
      <w:r w:rsidR="00A579CB">
        <w:rPr>
          <w:iCs/>
        </w:rPr>
        <w:t xml:space="preserve"> </w:t>
      </w:r>
      <w:r w:rsidR="00ED075F">
        <w:rPr>
          <w:iCs/>
        </w:rPr>
        <w:t xml:space="preserve">base pairs, respectively, </w:t>
      </w:r>
      <w:r>
        <w:rPr>
          <w:iCs/>
        </w:rPr>
        <w:t>passed quality control</w:t>
      </w:r>
      <w:r w:rsidR="00ED075F">
        <w:rPr>
          <w:iCs/>
        </w:rPr>
        <w:t xml:space="preserve"> and will be used for subsequent assembly</w:t>
      </w:r>
      <w:r w:rsidR="0092079B">
        <w:rPr>
          <w:iCs/>
        </w:rPr>
        <w:t>.</w:t>
      </w:r>
    </w:p>
    <w:p w14:paraId="35C60E14" w14:textId="3B0272AC" w:rsidR="00457C75" w:rsidRDefault="00457C75" w:rsidP="00261AAC">
      <w:pPr>
        <w:jc w:val="both"/>
      </w:pPr>
    </w:p>
    <w:p w14:paraId="03051395" w14:textId="77777777" w:rsidR="00457C75" w:rsidRPr="00D417D1" w:rsidRDefault="00457C75" w:rsidP="00261AAC">
      <w:pPr>
        <w:ind w:right="270"/>
        <w:jc w:val="both"/>
      </w:pPr>
    </w:p>
    <w:p w14:paraId="74CCFB44" w14:textId="3C7D5DC5" w:rsidR="00457C75" w:rsidRPr="00ED5520" w:rsidRDefault="00457C75" w:rsidP="00261AAC">
      <w:pPr>
        <w:pStyle w:val="Heading2"/>
        <w:jc w:val="both"/>
      </w:pPr>
      <w:r w:rsidRPr="00ED5520">
        <w:t>Linked-read post-sequencing quality control</w:t>
      </w:r>
      <w:r>
        <w:t xml:space="preserve"> (Figure 1</w:t>
      </w:r>
      <w:r w:rsidR="00D875FB">
        <w:t>C</w:t>
      </w:r>
      <w:r>
        <w:t>)</w:t>
      </w:r>
    </w:p>
    <w:p w14:paraId="76D059C7" w14:textId="77777777" w:rsidR="00457C75" w:rsidRPr="00ED5520" w:rsidRDefault="00457C75" w:rsidP="00261AAC">
      <w:pPr>
        <w:ind w:right="270"/>
        <w:jc w:val="both"/>
        <w:rPr>
          <w:i/>
        </w:rPr>
      </w:pPr>
      <w:r>
        <w:rPr>
          <w:i/>
        </w:rPr>
        <w:t>Methods</w:t>
      </w:r>
    </w:p>
    <w:p w14:paraId="32111BA8" w14:textId="72892593" w:rsidR="00457C75" w:rsidRDefault="00457C75" w:rsidP="00261AAC">
      <w:pPr>
        <w:ind w:right="270"/>
        <w:jc w:val="both"/>
      </w:pPr>
      <w:r>
        <w:t>T</w:t>
      </w:r>
      <w:r w:rsidRPr="00D417D1">
        <w:t xml:space="preserve">o </w:t>
      </w:r>
      <w:r w:rsidR="003F70AA">
        <w:t>quality control</w:t>
      </w:r>
      <w:r>
        <w:t xml:space="preserve"> for </w:t>
      </w:r>
      <w:r w:rsidR="002C4E60">
        <w:t>contamination and sequencing bias</w:t>
      </w:r>
      <w:r>
        <w:t xml:space="preserve"> error</w:t>
      </w:r>
      <w:r w:rsidR="002C4E60">
        <w:t>s</w:t>
      </w:r>
      <w:r>
        <w:t>, w</w:t>
      </w:r>
      <w:r w:rsidRPr="00D417D1">
        <w:t>e conducted three computational quality control steps</w:t>
      </w:r>
      <w:r>
        <w:t xml:space="preserve"> (</w:t>
      </w:r>
      <w:r w:rsidRPr="00464A52">
        <w:rPr>
          <w:rFonts w:ascii="Courier" w:hAnsi="Courier"/>
        </w:rPr>
        <w:t>kat hist</w:t>
      </w:r>
      <w:r>
        <w:t xml:space="preserve">, </w:t>
      </w:r>
      <w:r w:rsidRPr="00464A52">
        <w:rPr>
          <w:rFonts w:ascii="Courier" w:hAnsi="Courier"/>
        </w:rPr>
        <w:t xml:space="preserve">kat </w:t>
      </w:r>
      <w:proofErr w:type="spellStart"/>
      <w:r>
        <w:rPr>
          <w:rFonts w:ascii="Courier" w:hAnsi="Courier"/>
        </w:rPr>
        <w:t>gcp</w:t>
      </w:r>
      <w:proofErr w:type="spellEnd"/>
      <w:r>
        <w:t xml:space="preserve"> and </w:t>
      </w:r>
      <w:r w:rsidRPr="00464A52">
        <w:rPr>
          <w:rFonts w:ascii="Courier" w:hAnsi="Courier"/>
        </w:rPr>
        <w:t xml:space="preserve">kat </w:t>
      </w:r>
      <w:r>
        <w:rPr>
          <w:rFonts w:ascii="Courier" w:hAnsi="Courier"/>
        </w:rPr>
        <w:t>comp</w:t>
      </w:r>
      <w:r>
        <w:t xml:space="preserve">) </w:t>
      </w:r>
      <w:r w:rsidRPr="00D417D1">
        <w:t>us</w:t>
      </w:r>
      <w:r>
        <w:t>ing</w:t>
      </w:r>
      <w:r w:rsidRPr="00D417D1">
        <w:t xml:space="preserve"> the software program KAT</w:t>
      </w:r>
      <w:r w:rsidRPr="00D417D1">
        <w:fldChar w:fldCharType="begin" w:fldLock="1"/>
      </w:r>
      <w:r>
        <w:instrText>ADDIN CSL_CITATION {"citationItems":[{"id":"ITEM-1","itemData":{"DOI":"10.1093/bioinformatics/btw663","author":[{"dropping-particle":"","family":"Mapleson","given":"Daniel","non-dropping-particle":"","parse-names":false,"suffix":""},{"dropping-particle":"","family":"Accinelli","given":"Gonzalo Garcia","non-dropping-particle":"","parse-names":false,"suffix":""},{"dropping-particle":"","family":"Kettleborough","given":"George","non-dropping-particle":"","parse-names":false,"suffix":""},{"dropping-particle":"","family":"Wright","given":"Jonathan","non-dropping-particle":"","parse-names":false,"suffix":""},{"dropping-particle":"","family":"Clavijo","given":"Bernardo J","non-dropping-particle":"","parse-names":false,"suffix":""}],"id":"ITEM-1","issue":"November 2016","issued":{"date-parts":[["2017"]]},"page":"574-576","title":"Sequence analysis KAT : a K-mer analysis toolkit to quality control NGS datasets and genome assemblies","type":"article-journal","volume":"33"},"uris":["http://www.mendeley.com/documents/?uuid=43a8ae2e-f1ec-43c6-bfda-7c0d5b6f55ee"]}],"mendeley":{"formattedCitation":"&lt;sup&gt;8&lt;/sup&gt;","plainTextFormattedCitation":"8","previouslyFormattedCitation":"&lt;sup&gt;8&lt;/sup&gt;"},"properties":{"noteIndex":0},"schema":"https://github.com/citation-style-language/schema/raw/master/csl-citation.json"}</w:instrText>
      </w:r>
      <w:r w:rsidRPr="00D417D1">
        <w:fldChar w:fldCharType="separate"/>
      </w:r>
      <w:r w:rsidRPr="008434CB">
        <w:rPr>
          <w:noProof/>
          <w:vertAlign w:val="superscript"/>
        </w:rPr>
        <w:t>8</w:t>
      </w:r>
      <w:r w:rsidRPr="00D417D1">
        <w:fldChar w:fldCharType="end"/>
      </w:r>
      <w:r w:rsidR="003F70AA">
        <w:t>&lt;CITE&gt;</w:t>
      </w:r>
      <w:r w:rsidRPr="00D417D1">
        <w:t>.</w:t>
      </w:r>
      <w:r>
        <w:t xml:space="preserve"> Each step splits sequencing data into sub-sequences of a given length, or k-mers, (where k is equal to a specified sequence length), and plots out frequencies, or comparisons, to visually inspect the data for quality issues. </w:t>
      </w:r>
      <w:r w:rsidRPr="00D417D1">
        <w:t xml:space="preserve">All bioinformatics work was conducted on the UC Davis farm compute cluster (the farm). </w:t>
      </w:r>
    </w:p>
    <w:p w14:paraId="555ED951" w14:textId="77777777" w:rsidR="00457C75" w:rsidRDefault="00457C75" w:rsidP="00261AAC">
      <w:pPr>
        <w:ind w:right="270" w:firstLine="720"/>
        <w:jc w:val="both"/>
      </w:pPr>
    </w:p>
    <w:p w14:paraId="7E70A220" w14:textId="423DFA18" w:rsidR="00457C75" w:rsidRPr="0014278B" w:rsidRDefault="003F70AA" w:rsidP="00261AAC">
      <w:pPr>
        <w:ind w:right="270"/>
        <w:jc w:val="both"/>
      </w:pPr>
      <w:r>
        <w:t>W</w:t>
      </w:r>
      <w:r w:rsidR="007521D6">
        <w:t xml:space="preserve">e looked for signs of contamination using </w:t>
      </w:r>
      <w:r>
        <w:t xml:space="preserve">the </w:t>
      </w:r>
      <w:r w:rsidRPr="00464A52">
        <w:rPr>
          <w:rFonts w:ascii="Courier" w:hAnsi="Courier"/>
        </w:rPr>
        <w:t>kat hist</w:t>
      </w:r>
      <w:r w:rsidR="007521D6">
        <w:t xml:space="preserve"> </w:t>
      </w:r>
      <w:r>
        <w:t xml:space="preserve">and </w:t>
      </w:r>
      <w:r w:rsidRPr="00464A52">
        <w:rPr>
          <w:rFonts w:ascii="Courier" w:hAnsi="Courier"/>
        </w:rPr>
        <w:t xml:space="preserve">kat </w:t>
      </w:r>
      <w:proofErr w:type="spellStart"/>
      <w:r>
        <w:rPr>
          <w:rFonts w:ascii="Courier" w:hAnsi="Courier"/>
        </w:rPr>
        <w:t>gcp</w:t>
      </w:r>
      <w:proofErr w:type="spellEnd"/>
      <w:r>
        <w:t xml:space="preserve"> </w:t>
      </w:r>
      <w:r w:rsidR="007521D6">
        <w:t xml:space="preserve">functions </w:t>
      </w:r>
      <w:r w:rsidR="005738DD">
        <w:t xml:space="preserve">within </w:t>
      </w:r>
      <w:r w:rsidR="007521D6">
        <w:t>the software KAT&lt;CITE&gt;. First, we used</w:t>
      </w:r>
      <w:r w:rsidR="005738DD">
        <w:t xml:space="preserve"> the </w:t>
      </w:r>
      <w:r w:rsidR="007521D6" w:rsidRPr="00464A52">
        <w:rPr>
          <w:rFonts w:ascii="Courier" w:hAnsi="Courier"/>
        </w:rPr>
        <w:t>kat hist</w:t>
      </w:r>
      <w:r w:rsidR="007521D6">
        <w:t xml:space="preserve"> </w:t>
      </w:r>
      <w:r w:rsidR="005738DD">
        <w:t xml:space="preserve">function </w:t>
      </w:r>
      <w:r w:rsidR="007521D6">
        <w:t xml:space="preserve">to </w:t>
      </w:r>
      <w:r w:rsidR="005738DD">
        <w:t xml:space="preserve">check for signs of contamination by plotting a histogram of the </w:t>
      </w:r>
      <w:r w:rsidR="007521D6">
        <w:t>observe</w:t>
      </w:r>
      <w:r w:rsidR="005738DD">
        <w:t>d</w:t>
      </w:r>
      <w:r w:rsidR="007521D6">
        <w:t xml:space="preserve"> </w:t>
      </w:r>
      <w:r w:rsidR="007521D6" w:rsidRPr="00D417D1">
        <w:t>number of distinct k-mers at different frequencies for length</w:t>
      </w:r>
      <w:r w:rsidR="007521D6">
        <w:t>s</w:t>
      </w:r>
      <w:r w:rsidR="007521D6" w:rsidRPr="00D417D1">
        <w:t xml:space="preserve"> </w:t>
      </w:r>
      <w:r w:rsidR="005738DD">
        <w:t>k=</w:t>
      </w:r>
      <w:r w:rsidR="007521D6">
        <w:t xml:space="preserve">21, 31, and 41 for female and male sequencing data. Uncontaminated samples are expected to have a single peak with a surplus of k-mers at a very low frequency </w:t>
      </w:r>
      <w:r w:rsidR="007521D6">
        <w:lastRenderedPageBreak/>
        <w:t>due to sequencer errors</w:t>
      </w:r>
      <w:r w:rsidR="007521D6" w:rsidRPr="00D417D1">
        <w:t>.</w:t>
      </w:r>
      <w:r w:rsidR="005738DD">
        <w:t xml:space="preserve"> </w:t>
      </w:r>
      <w:r>
        <w:t>Second,</w:t>
      </w:r>
      <w:r w:rsidR="005738DD">
        <w:t xml:space="preserve"> we used the </w:t>
      </w:r>
      <w:r w:rsidR="005738DD" w:rsidRPr="00464A52">
        <w:rPr>
          <w:rFonts w:ascii="Courier" w:hAnsi="Courier"/>
        </w:rPr>
        <w:t xml:space="preserve">kat </w:t>
      </w:r>
      <w:proofErr w:type="spellStart"/>
      <w:r>
        <w:rPr>
          <w:rFonts w:ascii="Courier" w:hAnsi="Courier"/>
        </w:rPr>
        <w:t>gcp</w:t>
      </w:r>
      <w:proofErr w:type="spellEnd"/>
      <w:r>
        <w:t xml:space="preserve"> function</w:t>
      </w:r>
      <w:r w:rsidR="005738DD">
        <w:t xml:space="preserve"> to</w:t>
      </w:r>
      <w:r w:rsidR="00457C75">
        <w:t xml:space="preserve"> plot the proportion of the k-mer comprised of the G and C nucleotide</w:t>
      </w:r>
      <w:r w:rsidR="005738DD">
        <w:t>s</w:t>
      </w:r>
      <w:r w:rsidR="00457C75">
        <w:t xml:space="preserve"> against the frequency of the that k-mer in the sequencing data and the number of distinct k-mers for a given GC count vs. frequency. Contaminated samples are expected to have a non-normal distribution. For example, samples contaminated with bacteria will have more k-mers with GC counts above 50%.</w:t>
      </w:r>
      <w:r w:rsidR="00457C75" w:rsidRPr="00D417D1">
        <w:t xml:space="preserve"> </w:t>
      </w:r>
      <w:r w:rsidR="00457C75">
        <w:t xml:space="preserve">We plotted </w:t>
      </w:r>
      <w:r w:rsidR="00457C75" w:rsidRPr="00D417D1">
        <w:t xml:space="preserve">GC counts against the frequency of k-mers of length </w:t>
      </w:r>
      <w:r w:rsidR="005738DD">
        <w:t>k=</w:t>
      </w:r>
      <w:r w:rsidR="00867C19">
        <w:t xml:space="preserve">21, 31, and 41 for the female and </w:t>
      </w:r>
      <w:r>
        <w:t>male</w:t>
      </w:r>
      <w:r w:rsidR="00867C19">
        <w:t xml:space="preserve"> sequencing data.</w:t>
      </w:r>
      <w:r w:rsidR="00457C75">
        <w:t xml:space="preserve"> </w:t>
      </w:r>
    </w:p>
    <w:p w14:paraId="42089C29" w14:textId="77777777" w:rsidR="00457C75" w:rsidRDefault="00457C75" w:rsidP="00261AAC">
      <w:pPr>
        <w:ind w:right="270"/>
        <w:jc w:val="both"/>
      </w:pPr>
    </w:p>
    <w:p w14:paraId="24B2C36C" w14:textId="648181BE" w:rsidR="005738DD" w:rsidRPr="00D96AC9" w:rsidRDefault="005738DD" w:rsidP="00261AAC">
      <w:pPr>
        <w:ind w:right="270"/>
        <w:jc w:val="both"/>
      </w:pPr>
      <w:r>
        <w:rPr>
          <w:iCs/>
        </w:rPr>
        <w:t>Lastly</w:t>
      </w:r>
      <w:r w:rsidR="0014278B">
        <w:rPr>
          <w:iCs/>
        </w:rPr>
        <w:t>,</w:t>
      </w:r>
      <w:r>
        <w:rPr>
          <w:iCs/>
        </w:rPr>
        <w:t xml:space="preserve"> we evaluated the data for sequencing bias between the forward (R1) and reverse (R2) files.</w:t>
      </w:r>
      <w:r w:rsidR="00457C75">
        <w:t xml:space="preserve"> </w:t>
      </w:r>
      <w:r>
        <w:t xml:space="preserve">We used the </w:t>
      </w:r>
      <w:r w:rsidRPr="00464A52">
        <w:rPr>
          <w:rFonts w:ascii="Courier" w:hAnsi="Courier"/>
        </w:rPr>
        <w:t xml:space="preserve">kat </w:t>
      </w:r>
      <w:r>
        <w:rPr>
          <w:rFonts w:ascii="Courier" w:hAnsi="Courier"/>
        </w:rPr>
        <w:t>comp</w:t>
      </w:r>
      <w:r>
        <w:t xml:space="preserve"> function to </w:t>
      </w:r>
      <w:r w:rsidR="00457C75">
        <w:t>plot the frequency of a given k-mer in each of the paired-end sequence data files. Sequencing bias in either of the two files would result in an irregular pattern in the number of distinct k-mers. W</w:t>
      </w:r>
      <w:r w:rsidR="00457C75" w:rsidRPr="00D417D1">
        <w:t>e plotted the number of distinct k-mers at different frequencies for the R1 and R2 files against one another</w:t>
      </w:r>
      <w:r w:rsidR="00457C75">
        <w:t xml:space="preserve"> </w:t>
      </w:r>
      <w:r w:rsidR="00457C75" w:rsidRPr="00D417D1">
        <w:t xml:space="preserve">for k-mers of length </w:t>
      </w:r>
      <w:r>
        <w:t>k=</w:t>
      </w:r>
      <w:r w:rsidR="00867C19">
        <w:t>21, 31, and 41 for the female and male sequencing data</w:t>
      </w:r>
      <w:r w:rsidRPr="00D417D1">
        <w:t xml:space="preserve"> </w:t>
      </w:r>
    </w:p>
    <w:p w14:paraId="0582675C" w14:textId="77777777" w:rsidR="003F70AA" w:rsidRDefault="003F70AA" w:rsidP="00261AAC">
      <w:pPr>
        <w:ind w:right="270"/>
        <w:jc w:val="both"/>
        <w:rPr>
          <w:i/>
        </w:rPr>
      </w:pPr>
    </w:p>
    <w:p w14:paraId="71EDBEE3" w14:textId="2B23550C" w:rsidR="003F70AA" w:rsidRDefault="003F70AA" w:rsidP="00261AAC">
      <w:pPr>
        <w:ind w:right="270"/>
        <w:jc w:val="both"/>
        <w:rPr>
          <w:i/>
        </w:rPr>
      </w:pPr>
      <w:r>
        <w:rPr>
          <w:i/>
        </w:rPr>
        <w:t>Results</w:t>
      </w:r>
    </w:p>
    <w:p w14:paraId="580FA42B" w14:textId="2ADEBE87" w:rsidR="003F70AA" w:rsidRPr="00D96AC9" w:rsidRDefault="003F70AA" w:rsidP="00261AAC">
      <w:pPr>
        <w:ind w:right="270"/>
        <w:jc w:val="both"/>
      </w:pPr>
      <w:r>
        <w:t xml:space="preserve">We saw clear peaks in the histograms for each sample and at each value of k (Figure 3). </w:t>
      </w:r>
      <w:r w:rsidRPr="00D417D1">
        <w:t xml:space="preserve">All GC count frequency plots show a </w:t>
      </w:r>
      <w:r>
        <w:t>normal distribution</w:t>
      </w:r>
      <w:r w:rsidRPr="00D417D1">
        <w:t xml:space="preserve"> of distinct k-mers</w:t>
      </w:r>
      <w:r>
        <w:t xml:space="preserve"> (Figure 4). Additionally, t</w:t>
      </w:r>
      <w:r w:rsidRPr="00D417D1">
        <w:t xml:space="preserve">he number of distinct k-mers does not appear to be </w:t>
      </w:r>
      <w:r>
        <w:t xml:space="preserve">heavily </w:t>
      </w:r>
      <w:r w:rsidRPr="00D417D1">
        <w:t xml:space="preserve">skewed </w:t>
      </w:r>
      <w:r>
        <w:t xml:space="preserve">in the male or female sequencing </w:t>
      </w:r>
      <w:r w:rsidRPr="00D417D1">
        <w:t xml:space="preserve">(Figure </w:t>
      </w:r>
      <w:r>
        <w:t>5</w:t>
      </w:r>
      <w:r w:rsidRPr="00D417D1">
        <w:t xml:space="preserve">). </w:t>
      </w:r>
      <w:r>
        <w:t>These data together indicate no observable signs of bacterial or organelle contamination or major sources of sequencing bias in our sequencing data.</w:t>
      </w:r>
    </w:p>
    <w:p w14:paraId="66309C6C" w14:textId="77777777" w:rsidR="003F70AA" w:rsidRDefault="003F70AA" w:rsidP="00261AAC">
      <w:pPr>
        <w:ind w:right="270"/>
        <w:jc w:val="both"/>
      </w:pPr>
    </w:p>
    <w:p w14:paraId="035F8A7D" w14:textId="77777777" w:rsidR="00457C75" w:rsidRDefault="00457C75" w:rsidP="00261AAC">
      <w:pPr>
        <w:jc w:val="both"/>
      </w:pPr>
    </w:p>
    <w:p w14:paraId="230E25BB" w14:textId="3C0374A8" w:rsidR="00457C75" w:rsidRPr="00E05524" w:rsidRDefault="00457C75" w:rsidP="00261AAC">
      <w:pPr>
        <w:pStyle w:val="Heading2"/>
        <w:jc w:val="both"/>
      </w:pPr>
      <w:r w:rsidRPr="00E05524">
        <w:t xml:space="preserve">Hi-C </w:t>
      </w:r>
      <w:r w:rsidR="00EE3EC3">
        <w:t>c</w:t>
      </w:r>
      <w:r w:rsidRPr="00E05524">
        <w:t xml:space="preserve">hromatin </w:t>
      </w:r>
      <w:r w:rsidR="00EE3EC3">
        <w:t>c</w:t>
      </w:r>
      <w:r w:rsidRPr="00E05524">
        <w:t xml:space="preserve">onformation </w:t>
      </w:r>
      <w:r w:rsidR="00EE3EC3">
        <w:t>c</w:t>
      </w:r>
      <w:r w:rsidRPr="00E05524">
        <w:t>apture</w:t>
      </w:r>
      <w:r>
        <w:t xml:space="preserve"> </w:t>
      </w:r>
      <w:r w:rsidR="00ED075F" w:rsidRPr="00ED5520">
        <w:t>post-sequencing quality control</w:t>
      </w:r>
      <w:r w:rsidR="00ED075F">
        <w:t xml:space="preserve"> </w:t>
      </w:r>
      <w:r>
        <w:t>(Figure 1C)</w:t>
      </w:r>
    </w:p>
    <w:p w14:paraId="70CA34D2" w14:textId="77777777" w:rsidR="00457C75" w:rsidRPr="00E05524" w:rsidRDefault="00457C75" w:rsidP="00261AAC">
      <w:pPr>
        <w:ind w:right="270"/>
        <w:jc w:val="both"/>
        <w:rPr>
          <w:i/>
        </w:rPr>
      </w:pPr>
      <w:r w:rsidRPr="00E05524">
        <w:rPr>
          <w:i/>
        </w:rPr>
        <w:t>Methods</w:t>
      </w:r>
    </w:p>
    <w:p w14:paraId="7E57F4FF" w14:textId="33694909" w:rsidR="004E0DAE" w:rsidRDefault="004E0DAE" w:rsidP="00261AAC">
      <w:pPr>
        <w:ind w:right="270"/>
        <w:jc w:val="both"/>
      </w:pPr>
      <w:r>
        <w:t>In order to assess if our sequencing data would be useful in linking scaffolds. We looked at a percentage of high-quality reads (</w:t>
      </w:r>
      <w:r w:rsidRPr="00D417D1">
        <w:t>minimum mapping quality of greater than or equal to 20, a maximum edit distance of less than or equal to 5</w:t>
      </w:r>
      <w:r>
        <w:t>, and</w:t>
      </w:r>
      <w:r w:rsidRPr="00D417D1">
        <w:t xml:space="preserve"> </w:t>
      </w:r>
      <w:r>
        <w:t>no duplications) that mapped to our draft assembly created from the next step. We also observed the number of reads which aligned to each contig (&gt;600 desired) and the number of reads that are sufficiently far apart (1-15% expected).</w:t>
      </w:r>
    </w:p>
    <w:p w14:paraId="3771DD31" w14:textId="6923AF91" w:rsidR="00457C75" w:rsidRDefault="00457C75" w:rsidP="00261AAC">
      <w:pPr>
        <w:ind w:right="270"/>
        <w:jc w:val="both"/>
      </w:pPr>
      <w:r>
        <w:t xml:space="preserve"> </w:t>
      </w:r>
    </w:p>
    <w:p w14:paraId="263F83B5" w14:textId="67A466E0" w:rsidR="00457C75" w:rsidRPr="00E05524" w:rsidRDefault="00867C19" w:rsidP="00261AAC">
      <w:pPr>
        <w:ind w:right="270"/>
        <w:jc w:val="both"/>
        <w:rPr>
          <w:i/>
        </w:rPr>
      </w:pPr>
      <w:r>
        <w:rPr>
          <w:i/>
        </w:rPr>
        <w:t>Results</w:t>
      </w:r>
    </w:p>
    <w:p w14:paraId="6DAC8799" w14:textId="3FC71822" w:rsidR="00457C75" w:rsidRDefault="00867C19" w:rsidP="00261AAC">
      <w:pPr>
        <w:ind w:right="270"/>
        <w:jc w:val="both"/>
      </w:pPr>
      <w:r>
        <w:t>Sequencing data</w:t>
      </w:r>
      <w:r w:rsidR="00457C75" w:rsidRPr="00D417D1">
        <w:t xml:space="preserve"> reports from Phase Genomics indicate a successful library prep and sequencing</w:t>
      </w:r>
      <w:r>
        <w:t xml:space="preserve"> (Supplemental </w:t>
      </w:r>
      <w:r w:rsidR="006D5D27">
        <w:t>Data</w:t>
      </w:r>
      <w:r>
        <w:t xml:space="preserve"> </w:t>
      </w:r>
      <w:r w:rsidR="006D5D27">
        <w:t>4</w:t>
      </w:r>
      <w:r>
        <w:t>)</w:t>
      </w:r>
      <w:r w:rsidR="00457C75" w:rsidRPr="00D417D1">
        <w:t>. A total of 56.38%</w:t>
      </w:r>
      <w:r w:rsidR="004E0DAE">
        <w:t xml:space="preserve"> of reads were considered </w:t>
      </w:r>
      <w:r w:rsidR="00457C75" w:rsidRPr="00D417D1">
        <w:t>high quality. The data contained an average of 2,966.33 read pairs per contig greater than 5kb</w:t>
      </w:r>
      <w:r w:rsidR="003E196B">
        <w:t xml:space="preserve"> and 18.78% of the read pairs mapped to greater than 10 kil</w:t>
      </w:r>
      <w:r w:rsidR="00B65A33">
        <w:t>o</w:t>
      </w:r>
      <w:r w:rsidR="003E196B">
        <w:t>bases apart</w:t>
      </w:r>
      <w:r w:rsidR="00457C75" w:rsidRPr="00D417D1">
        <w:t>.</w:t>
      </w:r>
      <w:r w:rsidR="00457C75">
        <w:t xml:space="preserve"> These data appear normal and indicate they will be useful in creating a more contiguous assembly.</w:t>
      </w:r>
    </w:p>
    <w:p w14:paraId="23E4FEC2" w14:textId="77777777" w:rsidR="00457C75" w:rsidRDefault="00457C75" w:rsidP="00261AAC">
      <w:pPr>
        <w:jc w:val="both"/>
      </w:pPr>
    </w:p>
    <w:p w14:paraId="4B7AE63E" w14:textId="77777777" w:rsidR="00457C75" w:rsidRPr="00D417D1" w:rsidRDefault="00457C75" w:rsidP="00261AAC">
      <w:pPr>
        <w:ind w:right="270"/>
        <w:jc w:val="both"/>
      </w:pPr>
    </w:p>
    <w:p w14:paraId="018B102E" w14:textId="02C91B92" w:rsidR="006F47E9" w:rsidRPr="00E05524" w:rsidRDefault="00867C19" w:rsidP="00261AAC">
      <w:pPr>
        <w:pStyle w:val="Heading2"/>
        <w:jc w:val="both"/>
      </w:pPr>
      <w:r>
        <w:t>Genome</w:t>
      </w:r>
      <w:r w:rsidR="006F47E9" w:rsidRPr="00E05524">
        <w:t xml:space="preserve"> </w:t>
      </w:r>
      <w:r w:rsidR="00EE3EC3">
        <w:t>a</w:t>
      </w:r>
      <w:r w:rsidR="006F47E9" w:rsidRPr="00E05524">
        <w:t>ssembly</w:t>
      </w:r>
      <w:r w:rsidR="006F47E9">
        <w:t xml:space="preserve"> (Figure 1D</w:t>
      </w:r>
      <w:r>
        <w:t>-</w:t>
      </w:r>
      <w:r w:rsidR="00EE3EC3">
        <w:t>H</w:t>
      </w:r>
      <w:r w:rsidR="006F47E9">
        <w:t>)</w:t>
      </w:r>
    </w:p>
    <w:p w14:paraId="4EF864E4" w14:textId="10FA6683" w:rsidR="006F47E9" w:rsidRDefault="006F47E9" w:rsidP="00261AAC">
      <w:pPr>
        <w:ind w:right="270"/>
        <w:jc w:val="both"/>
        <w:rPr>
          <w:i/>
        </w:rPr>
      </w:pPr>
      <w:r>
        <w:rPr>
          <w:i/>
        </w:rPr>
        <w:t xml:space="preserve">Methods </w:t>
      </w:r>
    </w:p>
    <w:p w14:paraId="4429CB29" w14:textId="7A74DE0B" w:rsidR="0070701F" w:rsidRDefault="0070701F" w:rsidP="00261AAC">
      <w:pPr>
        <w:ind w:right="270"/>
        <w:jc w:val="both"/>
      </w:pPr>
      <w:r>
        <w:t>Step 1: Use long-read sequencing data to create Draft Assembly A</w:t>
      </w:r>
    </w:p>
    <w:p w14:paraId="7D25CCEB" w14:textId="31DDD751" w:rsidR="0070701F" w:rsidRDefault="00237860" w:rsidP="00261AAC">
      <w:pPr>
        <w:ind w:right="270"/>
        <w:jc w:val="both"/>
      </w:pPr>
      <w:r>
        <w:t>To begin, we</w:t>
      </w:r>
      <w:r w:rsidR="006D5D27">
        <w:t xml:space="preserve"> </w:t>
      </w:r>
      <w:r w:rsidR="00927DF1">
        <w:t xml:space="preserve">generated two phased assemblies, one for each sex, </w:t>
      </w:r>
      <w:r w:rsidR="006D5D27">
        <w:t>by</w:t>
      </w:r>
      <w:r w:rsidR="00927DF1">
        <w:t xml:space="preserve"> </w:t>
      </w:r>
      <w:r w:rsidR="006D5D27">
        <w:t>inputting</w:t>
      </w:r>
      <w:r w:rsidR="00927DF1">
        <w:t xml:space="preserve"> the long-read sequencing data into the Improved Phased Assembly tool (IPA)</w:t>
      </w:r>
      <w:r w:rsidR="006D5D27">
        <w:t>&lt;CITE&gt;</w:t>
      </w:r>
      <w:r w:rsidR="00927DF1">
        <w:t>. The assembly product was polished</w:t>
      </w:r>
      <w:r w:rsidR="006D5D27">
        <w:t xml:space="preserve"> of errors</w:t>
      </w:r>
      <w:r w:rsidR="00927DF1">
        <w:t xml:space="preserve">, purged of duplicate </w:t>
      </w:r>
      <w:proofErr w:type="spellStart"/>
      <w:r w:rsidR="00927DF1">
        <w:t>haplotigs</w:t>
      </w:r>
      <w:proofErr w:type="spellEnd"/>
      <w:r w:rsidR="00927DF1">
        <w:t xml:space="preserve">, and phased into primary and alternative </w:t>
      </w:r>
      <w:r w:rsidR="00927DF1">
        <w:lastRenderedPageBreak/>
        <w:t>assembly files.</w:t>
      </w:r>
      <w:r w:rsidR="006D5D27">
        <w:t xml:space="preserve"> The primary assembly file contains a contiguous haploid assembly, while the alternate assembly file contains the alternate haplotype of the diploid delta smelt.</w:t>
      </w:r>
      <w:r w:rsidR="00927DF1">
        <w:t xml:space="preserve"> </w:t>
      </w:r>
    </w:p>
    <w:p w14:paraId="269A12A6" w14:textId="77777777" w:rsidR="0070701F" w:rsidRDefault="0070701F" w:rsidP="00261AAC">
      <w:pPr>
        <w:ind w:right="270"/>
        <w:jc w:val="both"/>
      </w:pPr>
    </w:p>
    <w:p w14:paraId="7F87BDD6" w14:textId="42A0E77F" w:rsidR="0070701F" w:rsidRDefault="0070701F" w:rsidP="00261AAC">
      <w:pPr>
        <w:ind w:right="270"/>
        <w:jc w:val="both"/>
      </w:pPr>
      <w:r>
        <w:t>Step 2: Incorporate linked-reads into Draft Assembly A to produce Draft Assembly B</w:t>
      </w:r>
    </w:p>
    <w:p w14:paraId="08D6C878" w14:textId="0A071F36" w:rsidR="0070701F" w:rsidRDefault="00927DF1" w:rsidP="00261AAC">
      <w:pPr>
        <w:ind w:right="270"/>
        <w:jc w:val="both"/>
      </w:pPr>
      <w:r>
        <w:t xml:space="preserve">After creating the initial draft assembly, we incorporated </w:t>
      </w:r>
      <w:r w:rsidR="00CC0A40">
        <w:t xml:space="preserve">the </w:t>
      </w:r>
      <w:r>
        <w:t xml:space="preserve">linked-read </w:t>
      </w:r>
      <w:r w:rsidR="0070701F">
        <w:t xml:space="preserve">data </w:t>
      </w:r>
      <w:r>
        <w:t xml:space="preserve">to </w:t>
      </w:r>
      <w:r w:rsidR="006D5D27">
        <w:t xml:space="preserve">first break the assembly at locations that were incorrectly joined, then to </w:t>
      </w:r>
      <w:r>
        <w:t xml:space="preserve">scaffold the assembly into larger, more contiguous chunks using the software scaff10x &lt;CITE&gt;. </w:t>
      </w:r>
    </w:p>
    <w:p w14:paraId="3D4C2148" w14:textId="2CA595C2" w:rsidR="0070701F" w:rsidRDefault="0070701F" w:rsidP="00261AAC">
      <w:pPr>
        <w:ind w:right="270"/>
        <w:jc w:val="both"/>
      </w:pPr>
    </w:p>
    <w:p w14:paraId="676EFBB5" w14:textId="0DFEFB8A" w:rsidR="0070701F" w:rsidRDefault="0070701F" w:rsidP="00261AAC">
      <w:pPr>
        <w:ind w:right="270"/>
        <w:jc w:val="both"/>
      </w:pPr>
      <w:r>
        <w:t>Step 3: Incorporate hi-c data into Draft Assembly B to produce Draft Assembly C</w:t>
      </w:r>
    </w:p>
    <w:p w14:paraId="3360C633" w14:textId="6642389F" w:rsidR="001846C6" w:rsidRDefault="00A20406" w:rsidP="00261AAC">
      <w:pPr>
        <w:ind w:right="270"/>
        <w:jc w:val="both"/>
      </w:pPr>
      <w:r>
        <w:t xml:space="preserve">In order to use long distance information, we indexed the assembly </w:t>
      </w:r>
      <w:r w:rsidR="00DB42D9">
        <w:t>produced in</w:t>
      </w:r>
      <w:r>
        <w:t xml:space="preserve"> the scaff10x step and mapped hi-c reads to the draft assembly</w:t>
      </w:r>
      <w:r w:rsidR="00DB42D9">
        <w:t xml:space="preserve"> using bwa&lt;CITE&gt; and </w:t>
      </w:r>
      <w:proofErr w:type="spellStart"/>
      <w:r w:rsidR="00DB42D9">
        <w:t>samtools</w:t>
      </w:r>
      <w:proofErr w:type="spellEnd"/>
      <w:r w:rsidR="00DB42D9">
        <w:t>&lt;CITE&gt;</w:t>
      </w:r>
      <w:r>
        <w:t xml:space="preserve">. </w:t>
      </w:r>
      <w:r w:rsidR="00DF4329">
        <w:t xml:space="preserve">We used the </w:t>
      </w:r>
      <w:r w:rsidR="0070701F">
        <w:t>A</w:t>
      </w:r>
      <w:r w:rsidR="00DF4329">
        <w:t xml:space="preserve">rima </w:t>
      </w:r>
      <w:r w:rsidR="0070701F">
        <w:t>M</w:t>
      </w:r>
      <w:r w:rsidR="00DF4329">
        <w:t xml:space="preserve">apping pipeline </w:t>
      </w:r>
      <w:proofErr w:type="spellStart"/>
      <w:r w:rsidR="00DF4329">
        <w:t>perl</w:t>
      </w:r>
      <w:proofErr w:type="spellEnd"/>
      <w:r w:rsidR="00DF4329">
        <w:t xml:space="preserve"> scripts&lt;CITE&gt; to pair reads, and quality filter the 5’ end and for mapping quality. </w:t>
      </w:r>
      <w:r w:rsidR="006202C1">
        <w:t xml:space="preserve">Next, </w:t>
      </w:r>
      <w:r w:rsidR="00DB42D9">
        <w:t>we</w:t>
      </w:r>
      <w:r>
        <w:t xml:space="preserve"> added read </w:t>
      </w:r>
      <w:r w:rsidRPr="00DF4329">
        <w:t>group information, marked duplicated reads, and sorted the mapped read files</w:t>
      </w:r>
      <w:r w:rsidR="00DB42D9" w:rsidRPr="00DF4329">
        <w:t xml:space="preserve"> with </w:t>
      </w:r>
      <w:proofErr w:type="spellStart"/>
      <w:r w:rsidR="00DB42D9" w:rsidRPr="00DF4329">
        <w:t>picard</w:t>
      </w:r>
      <w:proofErr w:type="spellEnd"/>
      <w:r w:rsidR="00DB42D9" w:rsidRPr="00DF4329">
        <w:t>&lt;CITE&gt;</w:t>
      </w:r>
      <w:r w:rsidRPr="00DF4329">
        <w:t xml:space="preserve">. </w:t>
      </w:r>
      <w:r w:rsidR="00DF4329">
        <w:t>These</w:t>
      </w:r>
      <w:r w:rsidRPr="00DF4329">
        <w:t xml:space="preserve"> data </w:t>
      </w:r>
      <w:r w:rsidR="00DF4329">
        <w:t xml:space="preserve">were </w:t>
      </w:r>
      <w:r w:rsidR="008E544E">
        <w:t xml:space="preserve">then </w:t>
      </w:r>
      <w:r w:rsidR="00DF4329">
        <w:t xml:space="preserve">converted </w:t>
      </w:r>
      <w:r w:rsidRPr="00DF4329">
        <w:t>into</w:t>
      </w:r>
      <w:r w:rsidR="00DF4329">
        <w:t xml:space="preserve"> mapped</w:t>
      </w:r>
      <w:r w:rsidRPr="00DF4329">
        <w:t xml:space="preserve"> bed files </w:t>
      </w:r>
      <w:r w:rsidR="00DF4329" w:rsidRPr="00DF4329">
        <w:t xml:space="preserve">using </w:t>
      </w:r>
      <w:proofErr w:type="spellStart"/>
      <w:r w:rsidR="00DF4329" w:rsidRPr="00DF4329">
        <w:t>bedtools</w:t>
      </w:r>
      <w:proofErr w:type="spellEnd"/>
      <w:r w:rsidR="00DF4329" w:rsidRPr="00DF4329">
        <w:t xml:space="preserve">&lt;CITE&gt;. </w:t>
      </w:r>
      <w:r w:rsidR="00DF4329">
        <w:t xml:space="preserve">We then used the mapped bed files, scaffolded assembly and the initial alternative assembly as input </w:t>
      </w:r>
      <w:r w:rsidR="0015704C">
        <w:t xml:space="preserve">to </w:t>
      </w:r>
      <w:r w:rsidR="0070701F">
        <w:t xml:space="preserve">close gaps and </w:t>
      </w:r>
      <w:r w:rsidR="0015704C">
        <w:t>further scaffold the assembly using the</w:t>
      </w:r>
      <w:r w:rsidR="00DF4329">
        <w:t xml:space="preserve"> SALSA2 pipeline&lt;CITE&gt; </w:t>
      </w:r>
      <w:r w:rsidR="008E544E">
        <w:t xml:space="preserve">with </w:t>
      </w:r>
      <w:r w:rsidR="0015704C">
        <w:t>non-default parameters:</w:t>
      </w:r>
      <w:r w:rsidR="00DF4329">
        <w:t xml:space="preserve"> </w:t>
      </w:r>
      <w:r w:rsidR="00DF4329">
        <w:rPr>
          <w:rFonts w:ascii="Courier" w:hAnsi="Courier"/>
        </w:rPr>
        <w:t>-</w:t>
      </w:r>
      <w:proofErr w:type="spellStart"/>
      <w:r w:rsidR="00DF4329">
        <w:rPr>
          <w:rFonts w:ascii="Courier" w:hAnsi="Courier"/>
        </w:rPr>
        <w:t>i</w:t>
      </w:r>
      <w:proofErr w:type="spellEnd"/>
      <w:r w:rsidR="00DF4329">
        <w:rPr>
          <w:rFonts w:ascii="Courier" w:hAnsi="Courier"/>
        </w:rPr>
        <w:t xml:space="preserve"> 5 -x GATC -m yes</w:t>
      </w:r>
      <w:r w:rsidR="0015704C">
        <w:t xml:space="preserve">. </w:t>
      </w:r>
      <w:r w:rsidRPr="00DF4329">
        <w:t>SALSA2 uses the frequency</w:t>
      </w:r>
      <w:r>
        <w:t xml:space="preserve"> of how often reads pair</w:t>
      </w:r>
      <w:r w:rsidR="001846C6">
        <w:t xml:space="preserve"> (or are sequenced)</w:t>
      </w:r>
      <w:r>
        <w:t xml:space="preserve"> together to determine how close </w:t>
      </w:r>
      <w:r w:rsidR="006202C1">
        <w:t xml:space="preserve">any two </w:t>
      </w:r>
      <w:r>
        <w:t>locations in the genome are to one another</w:t>
      </w:r>
      <w:r w:rsidR="001846C6">
        <w:t>, it finds the locations of the paired reads in the draft genome and links the two locations to close gaps and produce a more contiguous assembly.</w:t>
      </w:r>
    </w:p>
    <w:p w14:paraId="7F6F6D19" w14:textId="70B946F9" w:rsidR="0070701F" w:rsidRDefault="0070701F" w:rsidP="00261AAC">
      <w:pPr>
        <w:ind w:right="270"/>
        <w:jc w:val="both"/>
      </w:pPr>
    </w:p>
    <w:p w14:paraId="0EE4B812" w14:textId="1B5B53F0" w:rsidR="0070701F" w:rsidRDefault="0070701F" w:rsidP="00261AAC">
      <w:pPr>
        <w:ind w:right="270"/>
        <w:jc w:val="both"/>
      </w:pPr>
      <w:r>
        <w:t>Step 4: Use linkage map with Draft Assembly C to produce Final Assembly</w:t>
      </w:r>
    </w:p>
    <w:p w14:paraId="3BE1766A" w14:textId="105DF43C" w:rsidR="008E544E" w:rsidRDefault="00A20406" w:rsidP="00261AAC">
      <w:pPr>
        <w:ind w:right="270"/>
        <w:jc w:val="both"/>
      </w:pPr>
      <w:r>
        <w:t xml:space="preserve">Finally, we anchored our assembly into chromosomes by using a </w:t>
      </w:r>
      <w:r w:rsidR="009D62D5">
        <w:t xml:space="preserve">genetic </w:t>
      </w:r>
      <w:r>
        <w:t>linkage map produced in Lew et al (</w:t>
      </w:r>
      <w:proofErr w:type="gramStart"/>
      <w:r>
        <w:t>2015)&lt;</w:t>
      </w:r>
      <w:proofErr w:type="gramEnd"/>
      <w:r>
        <w:t>CITE&gt;</w:t>
      </w:r>
      <w:r w:rsidR="009D62D5">
        <w:t xml:space="preserve"> with the output from the hi-c assembly step</w:t>
      </w:r>
      <w:r w:rsidR="008E544E">
        <w:t xml:space="preserve"> and the software </w:t>
      </w:r>
      <w:proofErr w:type="spellStart"/>
      <w:r w:rsidR="008E544E">
        <w:t>chromonomer</w:t>
      </w:r>
      <w:proofErr w:type="spellEnd"/>
      <w:r w:rsidR="008E544E">
        <w:t>&lt;CITE&gt;</w:t>
      </w:r>
      <w:r w:rsidR="009D62D5">
        <w:t>.</w:t>
      </w:r>
    </w:p>
    <w:p w14:paraId="5688CAF9" w14:textId="58DF9B21" w:rsidR="009D62D5" w:rsidRDefault="009D62D5" w:rsidP="00261AAC">
      <w:pPr>
        <w:ind w:right="270"/>
        <w:jc w:val="both"/>
      </w:pPr>
    </w:p>
    <w:p w14:paraId="154F37AD" w14:textId="7555560E" w:rsidR="009D62D5" w:rsidRDefault="009D62D5" w:rsidP="00261AAC">
      <w:pPr>
        <w:ind w:right="270"/>
        <w:jc w:val="both"/>
      </w:pPr>
      <w:r>
        <w:t>We used a combination of software and metrics to evaluate each draft assembly a</w:t>
      </w:r>
      <w:r w:rsidR="0015704C">
        <w:t>fter</w:t>
      </w:r>
      <w:r>
        <w:t xml:space="preserve"> every step of the assembly process (Table 4). The assembly length should be as close to the estimated genome size as possible. The N50 metric </w:t>
      </w:r>
      <w:r w:rsidR="008673C5">
        <w:t>is</w:t>
      </w:r>
      <w:r>
        <w:t xml:space="preserve"> the length of the scaffold </w:t>
      </w:r>
      <w:r w:rsidR="008673C5">
        <w:t>where half of the assembly is held in scaffolds of that size or larger. The L50 metric tells the number of scaffolds that contain half of the assembly</w:t>
      </w:r>
      <w:r w:rsidR="00D46F6C">
        <w:t xml:space="preserve"> (Box 4)</w:t>
      </w:r>
      <w:r w:rsidR="008673C5">
        <w:t xml:space="preserve">. BUSCO scores were used to evaluate the completeness of each assembly as expected from a core set of highly conserved </w:t>
      </w:r>
      <w:r w:rsidR="00DE273D">
        <w:t xml:space="preserve">single copy </w:t>
      </w:r>
      <w:r w:rsidR="008673C5">
        <w:t>genes in the Actinopterygii lineage.</w:t>
      </w:r>
    </w:p>
    <w:p w14:paraId="0296C7D5" w14:textId="329C7D09" w:rsidR="006F47E9" w:rsidRDefault="006F47E9" w:rsidP="00261AAC">
      <w:pPr>
        <w:ind w:right="270"/>
        <w:jc w:val="both"/>
        <w:rPr>
          <w:color w:val="FF0000"/>
        </w:rPr>
      </w:pPr>
    </w:p>
    <w:p w14:paraId="1249177A" w14:textId="53D962F5" w:rsidR="00867C19" w:rsidRDefault="00867C19" w:rsidP="00261AAC">
      <w:pPr>
        <w:ind w:right="270"/>
        <w:jc w:val="both"/>
        <w:rPr>
          <w:i/>
        </w:rPr>
      </w:pPr>
      <w:r>
        <w:rPr>
          <w:i/>
        </w:rPr>
        <w:t>Results</w:t>
      </w:r>
    </w:p>
    <w:p w14:paraId="48A46166" w14:textId="22394A05" w:rsidR="00AB4990" w:rsidRDefault="008673C5" w:rsidP="00261AAC">
      <w:pPr>
        <w:ind w:right="270"/>
        <w:jc w:val="both"/>
      </w:pPr>
      <w:r>
        <w:t xml:space="preserve">In each step the assembly length and N50 sizably increased and the L50 </w:t>
      </w:r>
      <w:r w:rsidR="0015704C">
        <w:t>dropped precipitously</w:t>
      </w:r>
      <w:r>
        <w:t xml:space="preserve">. </w:t>
      </w:r>
      <w:r w:rsidR="005333C0">
        <w:t>The final</w:t>
      </w:r>
      <w:r w:rsidR="00AB4990">
        <w:t xml:space="preserve"> metrics for the</w:t>
      </w:r>
      <w:r w:rsidR="005333C0">
        <w:t xml:space="preserve"> male</w:t>
      </w:r>
      <w:r w:rsidR="00AB4990">
        <w:t xml:space="preserve"> genome assembly were an</w:t>
      </w:r>
      <w:r w:rsidR="005333C0">
        <w:t xml:space="preserve"> N50 </w:t>
      </w:r>
      <w:r w:rsidR="00AB4990">
        <w:t xml:space="preserve">of </w:t>
      </w:r>
      <w:r w:rsidR="005333C0" w:rsidRPr="008673C5">
        <w:t>12</w:t>
      </w:r>
      <w:r w:rsidR="005333C0">
        <w:t>,</w:t>
      </w:r>
      <w:r w:rsidR="005333C0" w:rsidRPr="008673C5">
        <w:t>200</w:t>
      </w:r>
      <w:r w:rsidR="005333C0">
        <w:t>,</w:t>
      </w:r>
      <w:r w:rsidR="005333C0" w:rsidRPr="008673C5">
        <w:t>365</w:t>
      </w:r>
      <w:r w:rsidR="00AB4990">
        <w:t xml:space="preserve"> bp, an </w:t>
      </w:r>
      <w:r w:rsidR="005333C0">
        <w:t xml:space="preserve">L50 </w:t>
      </w:r>
      <w:r w:rsidR="00AB4990">
        <w:t xml:space="preserve">=15, a total assembly length of </w:t>
      </w:r>
      <w:r w:rsidR="00AB4990" w:rsidRPr="005333C0">
        <w:t>472</w:t>
      </w:r>
      <w:r w:rsidR="00AB4990">
        <w:t>,</w:t>
      </w:r>
      <w:r w:rsidR="00AB4990" w:rsidRPr="005333C0">
        <w:t>157</w:t>
      </w:r>
      <w:r w:rsidR="00AB4990">
        <w:t>,</w:t>
      </w:r>
      <w:r w:rsidR="00AB4990" w:rsidRPr="005333C0">
        <w:t>411</w:t>
      </w:r>
      <w:r w:rsidR="00AB4990">
        <w:t xml:space="preserve"> bp, with a total of 549 scaffolds. The final metrics for the female genome assembly were an N50 of </w:t>
      </w:r>
      <w:r w:rsidR="00DE273D" w:rsidRPr="005333C0">
        <w:t>14,850,352</w:t>
      </w:r>
      <w:r w:rsidR="00DE273D">
        <w:t xml:space="preserve"> </w:t>
      </w:r>
      <w:r w:rsidR="00AB4990">
        <w:t>bp, an L50 =1</w:t>
      </w:r>
      <w:r w:rsidR="00DE273D">
        <w:t>3</w:t>
      </w:r>
      <w:r w:rsidR="00AB4990">
        <w:t xml:space="preserve">, a total assembly length of </w:t>
      </w:r>
      <w:r w:rsidR="00DE273D" w:rsidRPr="005333C0">
        <w:t>437</w:t>
      </w:r>
      <w:r w:rsidR="00DE273D">
        <w:t>,</w:t>
      </w:r>
      <w:r w:rsidR="00DE273D" w:rsidRPr="005333C0">
        <w:t>273</w:t>
      </w:r>
      <w:r w:rsidR="00DE273D">
        <w:t>,</w:t>
      </w:r>
      <w:r w:rsidR="00DE273D" w:rsidRPr="005333C0">
        <w:t>953</w:t>
      </w:r>
      <w:r w:rsidR="00DE273D">
        <w:t xml:space="preserve"> </w:t>
      </w:r>
      <w:r w:rsidR="00AB4990">
        <w:t xml:space="preserve">bp, with a total of </w:t>
      </w:r>
      <w:r w:rsidR="00DE273D">
        <w:t>376</w:t>
      </w:r>
      <w:r w:rsidR="00AB4990">
        <w:t xml:space="preserve"> scaffolds.</w:t>
      </w:r>
      <w:r w:rsidR="00DE273D">
        <w:t xml:space="preserve"> </w:t>
      </w:r>
      <w:r w:rsidR="0015704C">
        <w:t>The final assemblies had BUSCO scores of</w:t>
      </w:r>
      <w:r w:rsidR="00DE273D">
        <w:t xml:space="preserve"> 88.4%</w:t>
      </w:r>
      <w:r w:rsidR="0015704C">
        <w:t xml:space="preserve"> and 89.3% </w:t>
      </w:r>
      <w:r w:rsidR="00DE273D">
        <w:t>complete</w:t>
      </w:r>
      <w:r w:rsidR="0015704C">
        <w:t xml:space="preserve"> </w:t>
      </w:r>
      <w:r w:rsidR="00DE273D">
        <w:t>genes in the final male assembly female assembly</w:t>
      </w:r>
      <w:r w:rsidR="0015704C">
        <w:t>, respectively (Table 4)</w:t>
      </w:r>
      <w:r w:rsidR="00DE273D">
        <w:t xml:space="preserve">. </w:t>
      </w:r>
    </w:p>
    <w:p w14:paraId="3EA7CADD" w14:textId="77777777" w:rsidR="007809DC" w:rsidRDefault="007809DC" w:rsidP="00261AAC">
      <w:pPr>
        <w:ind w:right="270"/>
        <w:jc w:val="both"/>
      </w:pPr>
    </w:p>
    <w:p w14:paraId="75757E52" w14:textId="729F32F9" w:rsidR="00D46F6C" w:rsidRDefault="00D46F6C" w:rsidP="00261AAC">
      <w:pPr>
        <w:ind w:right="270"/>
        <w:jc w:val="both"/>
      </w:pPr>
    </w:p>
    <w:p w14:paraId="60736A9F" w14:textId="77777777" w:rsidR="00261AAC" w:rsidRDefault="00261AAC" w:rsidP="00261AAC">
      <w:pPr>
        <w:ind w:right="270"/>
        <w:jc w:val="both"/>
      </w:pPr>
    </w:p>
    <w:p w14:paraId="5FCB745E" w14:textId="77777777" w:rsidR="00D46F6C" w:rsidRDefault="00D46F6C" w:rsidP="00261AAC">
      <w:pPr>
        <w:pBdr>
          <w:top w:val="single" w:sz="4" w:space="1" w:color="auto" w:shadow="1"/>
          <w:left w:val="single" w:sz="4" w:space="4" w:color="auto" w:shadow="1"/>
          <w:bottom w:val="single" w:sz="4" w:space="1" w:color="auto" w:shadow="1"/>
          <w:right w:val="single" w:sz="4" w:space="4" w:color="auto" w:shadow="1"/>
        </w:pBdr>
        <w:ind w:right="270"/>
        <w:jc w:val="both"/>
      </w:pPr>
      <w:r w:rsidRPr="00A85974">
        <w:rPr>
          <w:b/>
          <w:bCs/>
          <w:u w:val="single"/>
        </w:rPr>
        <w:lastRenderedPageBreak/>
        <w:t>BOX 4</w:t>
      </w:r>
      <w:r>
        <w:t>: Assembly statistics</w:t>
      </w:r>
    </w:p>
    <w:p w14:paraId="1D893BF0" w14:textId="3C36D5C0" w:rsidR="00D46F6C" w:rsidRDefault="00D46F6C" w:rsidP="00261AAC">
      <w:pPr>
        <w:pBdr>
          <w:top w:val="single" w:sz="4" w:space="1" w:color="auto" w:shadow="1"/>
          <w:left w:val="single" w:sz="4" w:space="4" w:color="auto" w:shadow="1"/>
          <w:bottom w:val="single" w:sz="4" w:space="1" w:color="auto" w:shadow="1"/>
          <w:right w:val="single" w:sz="4" w:space="4" w:color="auto" w:shadow="1"/>
        </w:pBdr>
        <w:ind w:right="270"/>
        <w:jc w:val="both"/>
      </w:pPr>
      <w:r>
        <w:t xml:space="preserve">The N50 of an assembly is </w:t>
      </w:r>
      <w:r w:rsidRPr="00D46F6C">
        <w:t xml:space="preserve">the </w:t>
      </w:r>
      <w:r>
        <w:t>length</w:t>
      </w:r>
      <w:r w:rsidRPr="00D46F6C">
        <w:t xml:space="preserve"> of contigs/scaffolds that contain 50% or more of the assembly</w:t>
      </w:r>
      <w:r>
        <w:t>.</w:t>
      </w:r>
    </w:p>
    <w:p w14:paraId="1504AC0A" w14:textId="6F31150A" w:rsidR="00D46F6C" w:rsidRDefault="00D46F6C" w:rsidP="00261AAC">
      <w:pPr>
        <w:pBdr>
          <w:top w:val="single" w:sz="4" w:space="1" w:color="auto" w:shadow="1"/>
          <w:left w:val="single" w:sz="4" w:space="4" w:color="auto" w:shadow="1"/>
          <w:bottom w:val="single" w:sz="4" w:space="1" w:color="auto" w:shadow="1"/>
          <w:right w:val="single" w:sz="4" w:space="4" w:color="auto" w:shadow="1"/>
        </w:pBdr>
        <w:ind w:right="270"/>
        <w:jc w:val="both"/>
      </w:pPr>
      <w:r>
        <w:t xml:space="preserve">The L50 of an assembly is </w:t>
      </w:r>
      <w:r w:rsidRPr="00D46F6C">
        <w:t xml:space="preserve">the </w:t>
      </w:r>
      <w:r>
        <w:t>number</w:t>
      </w:r>
      <w:r w:rsidRPr="00D46F6C">
        <w:t xml:space="preserve"> of contigs/scaffolds that contain 50% or more of the assembly</w:t>
      </w:r>
      <w:r>
        <w:t>.</w:t>
      </w:r>
    </w:p>
    <w:p w14:paraId="09BEB802" w14:textId="458FA1CA" w:rsidR="00D46F6C" w:rsidRDefault="00D46F6C" w:rsidP="00261AAC">
      <w:pPr>
        <w:pBdr>
          <w:top w:val="single" w:sz="4" w:space="1" w:color="auto" w:shadow="1"/>
          <w:left w:val="single" w:sz="4" w:space="4" w:color="auto" w:shadow="1"/>
          <w:bottom w:val="single" w:sz="4" w:space="1" w:color="auto" w:shadow="1"/>
          <w:right w:val="single" w:sz="4" w:space="4" w:color="auto" w:shadow="1"/>
        </w:pBdr>
        <w:ind w:right="270"/>
        <w:jc w:val="both"/>
      </w:pPr>
      <w:r>
        <w:fldChar w:fldCharType="begin"/>
      </w:r>
      <w:r>
        <w:instrText xml:space="preserve"> INCLUDEPICTURE "https://i0.wp.com/www.molecularecologist.com/wp-content/uploads/2017/03/Figure1b.jpg" \* MERGEFORMATINET </w:instrText>
      </w:r>
      <w:r>
        <w:fldChar w:fldCharType="separate"/>
      </w:r>
      <w:r>
        <w:rPr>
          <w:noProof/>
        </w:rPr>
        <w:drawing>
          <wp:inline distT="0" distB="0" distL="0" distR="0" wp14:anchorId="7CA5877A" wp14:editId="04411D77">
            <wp:extent cx="5748867" cy="1163286"/>
            <wp:effectExtent l="0" t="0" r="0" b="5715"/>
            <wp:docPr id="10" name="Picture 10" descr="What's N50? | The Molecular Ecolog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hat's N50? | The Molecular Ecologi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8168" cy="1169215"/>
                    </a:xfrm>
                    <a:prstGeom prst="rect">
                      <a:avLst/>
                    </a:prstGeom>
                    <a:noFill/>
                    <a:ln>
                      <a:noFill/>
                    </a:ln>
                  </pic:spPr>
                </pic:pic>
              </a:graphicData>
            </a:graphic>
          </wp:inline>
        </w:drawing>
      </w:r>
      <w:r>
        <w:fldChar w:fldCharType="end"/>
      </w:r>
    </w:p>
    <w:p w14:paraId="20CE789A" w14:textId="687AA520" w:rsidR="00D46F6C" w:rsidRPr="00D46F6C" w:rsidRDefault="00D46F6C" w:rsidP="00261AAC">
      <w:pPr>
        <w:pBdr>
          <w:top w:val="single" w:sz="4" w:space="1" w:color="auto" w:shadow="1"/>
          <w:left w:val="single" w:sz="4" w:space="4" w:color="auto" w:shadow="1"/>
          <w:bottom w:val="single" w:sz="4" w:space="1" w:color="auto" w:shadow="1"/>
          <w:right w:val="single" w:sz="4" w:space="4" w:color="auto" w:shadow="1"/>
        </w:pBdr>
        <w:ind w:right="270"/>
        <w:jc w:val="both"/>
        <w:rPr>
          <w:rFonts w:ascii="Century Gothic" w:hAnsi="Century Gothic" w:cs="Al Bayan Plain"/>
          <w:b/>
          <w:bCs/>
        </w:rPr>
      </w:pPr>
      <w:r w:rsidRPr="00D46F6C">
        <w:rPr>
          <w:rFonts w:ascii="Century Gothic" w:hAnsi="Century Gothic" w:cs="Al Bayan Plain"/>
          <w:b/>
          <w:bCs/>
        </w:rPr>
        <w:t>N50 = 60</w:t>
      </w:r>
    </w:p>
    <w:p w14:paraId="1C46D354" w14:textId="24A34369" w:rsidR="00D46F6C" w:rsidRDefault="00D46F6C" w:rsidP="00261AAC">
      <w:pPr>
        <w:pBdr>
          <w:top w:val="single" w:sz="4" w:space="1" w:color="auto" w:shadow="1"/>
          <w:left w:val="single" w:sz="4" w:space="4" w:color="auto" w:shadow="1"/>
          <w:bottom w:val="single" w:sz="4" w:space="1" w:color="auto" w:shadow="1"/>
          <w:right w:val="single" w:sz="4" w:space="4" w:color="auto" w:shadow="1"/>
        </w:pBdr>
        <w:ind w:right="270"/>
        <w:jc w:val="both"/>
        <w:rPr>
          <w:rFonts w:ascii="Century Gothic" w:hAnsi="Century Gothic" w:cs="Al Bayan Plain"/>
          <w:b/>
          <w:bCs/>
        </w:rPr>
      </w:pPr>
      <w:r w:rsidRPr="00D46F6C">
        <w:rPr>
          <w:rFonts w:ascii="Century Gothic" w:hAnsi="Century Gothic" w:cs="Al Bayan Plain"/>
          <w:b/>
          <w:bCs/>
        </w:rPr>
        <w:t>L50 = 3</w:t>
      </w:r>
    </w:p>
    <w:p w14:paraId="568BA89B" w14:textId="26242B10" w:rsidR="00D46F6C" w:rsidRPr="00D46F6C" w:rsidRDefault="00D46F6C" w:rsidP="00261AAC">
      <w:pPr>
        <w:pBdr>
          <w:top w:val="single" w:sz="4" w:space="1" w:color="auto" w:shadow="1"/>
          <w:left w:val="single" w:sz="4" w:space="4" w:color="auto" w:shadow="1"/>
          <w:bottom w:val="single" w:sz="4" w:space="1" w:color="auto" w:shadow="1"/>
          <w:right w:val="single" w:sz="4" w:space="4" w:color="auto" w:shadow="1"/>
        </w:pBdr>
        <w:ind w:right="270"/>
        <w:jc w:val="both"/>
        <w:rPr>
          <w:sz w:val="10"/>
          <w:szCs w:val="10"/>
        </w:rPr>
      </w:pPr>
      <w:r w:rsidRPr="00D46F6C">
        <w:rPr>
          <w:sz w:val="10"/>
          <w:szCs w:val="10"/>
        </w:rPr>
        <w:t>Figure taken from: https://www.molecularecologist.com/2017/03/29/whats-n50/</w:t>
      </w:r>
    </w:p>
    <w:p w14:paraId="13476037" w14:textId="3442E936" w:rsidR="003A7140" w:rsidRDefault="003A7140" w:rsidP="00261AAC">
      <w:pPr>
        <w:ind w:right="270"/>
        <w:jc w:val="both"/>
      </w:pPr>
    </w:p>
    <w:p w14:paraId="434450C9" w14:textId="7C947755" w:rsidR="003A7140" w:rsidRPr="003A7140" w:rsidRDefault="00A11F46" w:rsidP="00261AAC">
      <w:pPr>
        <w:pStyle w:val="Heading2"/>
        <w:jc w:val="both"/>
      </w:pPr>
      <w:r w:rsidRPr="003A7140">
        <w:t>Cytogenic</w:t>
      </w:r>
      <w:r w:rsidR="003A7140">
        <w:t xml:space="preserve"> (Karyotype)</w:t>
      </w:r>
      <w:r w:rsidR="003A7140" w:rsidRPr="003A7140">
        <w:t xml:space="preserve"> Chromosome Validation</w:t>
      </w:r>
    </w:p>
    <w:p w14:paraId="2EDC15F9" w14:textId="3A860F4C" w:rsidR="003A7140" w:rsidRDefault="003A7140" w:rsidP="00261AAC">
      <w:pPr>
        <w:jc w:val="both"/>
      </w:pPr>
      <w:r>
        <w:rPr>
          <w:i/>
          <w:iCs/>
        </w:rPr>
        <w:t>Methods</w:t>
      </w:r>
    </w:p>
    <w:p w14:paraId="59AF609A" w14:textId="674E660A" w:rsidR="003A7140" w:rsidRDefault="00A11F46" w:rsidP="00261AAC">
      <w:pPr>
        <w:jc w:val="both"/>
        <w:rPr>
          <w:rFonts w:ascii="Times" w:hAnsi="Times"/>
        </w:rPr>
      </w:pPr>
      <w:r>
        <w:rPr>
          <w:rFonts w:ascii="Times" w:hAnsi="Times"/>
        </w:rPr>
        <w:t>We</w:t>
      </w:r>
      <w:r w:rsidR="003A7140">
        <w:rPr>
          <w:rFonts w:ascii="Times" w:hAnsi="Times"/>
        </w:rPr>
        <w:t xml:space="preserve"> collaborated with Dr Mary </w:t>
      </w:r>
      <w:r>
        <w:rPr>
          <w:rFonts w:ascii="Times" w:hAnsi="Times"/>
        </w:rPr>
        <w:t>Delaney</w:t>
      </w:r>
      <w:r w:rsidR="001846C6">
        <w:rPr>
          <w:rFonts w:ascii="Times" w:hAnsi="Times"/>
        </w:rPr>
        <w:t xml:space="preserve"> </w:t>
      </w:r>
      <w:r>
        <w:rPr>
          <w:rFonts w:ascii="Times" w:hAnsi="Times"/>
        </w:rPr>
        <w:t>to determine the diploid number of chromosomes in delta smelt, which has not been previously reported</w:t>
      </w:r>
      <w:r w:rsidR="003A7140">
        <w:rPr>
          <w:rFonts w:ascii="Times" w:hAnsi="Times"/>
        </w:rPr>
        <w:t xml:space="preserve">. </w:t>
      </w:r>
      <w:r>
        <w:rPr>
          <w:rFonts w:ascii="Times" w:hAnsi="Times"/>
        </w:rPr>
        <w:t xml:space="preserve">This cytogenetic work does not use next generation sequencing-based methods and allows for an independent validation of the number of chromosomes </w:t>
      </w:r>
      <w:r w:rsidR="0015704C">
        <w:rPr>
          <w:rFonts w:ascii="Times" w:hAnsi="Times"/>
        </w:rPr>
        <w:t>expected in our final delta smelt genome assemblies</w:t>
      </w:r>
      <w:r>
        <w:rPr>
          <w:rFonts w:ascii="Times" w:hAnsi="Times"/>
        </w:rPr>
        <w:t>.</w:t>
      </w:r>
    </w:p>
    <w:p w14:paraId="124FBAAF" w14:textId="77777777" w:rsidR="00A11F46" w:rsidRDefault="00A11F46" w:rsidP="00261AAC">
      <w:pPr>
        <w:jc w:val="both"/>
        <w:rPr>
          <w:rFonts w:ascii="Times" w:hAnsi="Times"/>
        </w:rPr>
      </w:pPr>
    </w:p>
    <w:p w14:paraId="4C43BAF6" w14:textId="3C8F625F" w:rsidR="003A7140" w:rsidRDefault="003A7140" w:rsidP="00261AAC">
      <w:pPr>
        <w:jc w:val="both"/>
        <w:rPr>
          <w:rFonts w:ascii="Times" w:hAnsi="Times"/>
        </w:rPr>
      </w:pPr>
      <w:r w:rsidRPr="005A48C3">
        <w:rPr>
          <w:rFonts w:ascii="Times" w:hAnsi="Times"/>
        </w:rPr>
        <w:t>Fish were anesthetized with Colchicine (10 microliters of 1 mg/ml stock) and returned to water</w:t>
      </w:r>
      <w:r w:rsidR="001846C6">
        <w:rPr>
          <w:rFonts w:ascii="Times" w:hAnsi="Times"/>
        </w:rPr>
        <w:t xml:space="preserve"> after sampling</w:t>
      </w:r>
      <w:r w:rsidRPr="005A48C3">
        <w:rPr>
          <w:rFonts w:ascii="Times" w:hAnsi="Times"/>
        </w:rPr>
        <w:t>. Individual fish lengths were measured. In both cases organs were rinsed, stored in PBS at ambient temperature of the CABA environment.</w:t>
      </w:r>
      <w:r>
        <w:rPr>
          <w:rFonts w:ascii="Times" w:hAnsi="Times"/>
        </w:rPr>
        <w:t xml:space="preserve"> We established</w:t>
      </w:r>
      <w:r w:rsidRPr="005A48C3">
        <w:rPr>
          <w:rFonts w:ascii="Times" w:hAnsi="Times"/>
        </w:rPr>
        <w:t xml:space="preserve"> two spleen pools, one of male (n</w:t>
      </w:r>
      <w:r>
        <w:rPr>
          <w:rFonts w:ascii="Times" w:hAnsi="Times"/>
        </w:rPr>
        <w:t xml:space="preserve"> </w:t>
      </w:r>
      <w:r w:rsidRPr="005A48C3">
        <w:rPr>
          <w:rFonts w:ascii="Times" w:hAnsi="Times"/>
        </w:rPr>
        <w:t xml:space="preserve">= 15), and </w:t>
      </w:r>
      <w:r>
        <w:rPr>
          <w:rFonts w:ascii="Times" w:hAnsi="Times"/>
        </w:rPr>
        <w:t>one of</w:t>
      </w:r>
      <w:r w:rsidRPr="005A48C3">
        <w:rPr>
          <w:rFonts w:ascii="Times" w:hAnsi="Times"/>
        </w:rPr>
        <w:t xml:space="preserve"> female (n</w:t>
      </w:r>
      <w:r>
        <w:rPr>
          <w:rFonts w:ascii="Times" w:hAnsi="Times"/>
        </w:rPr>
        <w:t xml:space="preserve"> </w:t>
      </w:r>
      <w:r w:rsidRPr="005A48C3">
        <w:rPr>
          <w:rFonts w:ascii="Times" w:hAnsi="Times"/>
        </w:rPr>
        <w:t>= 13)</w:t>
      </w:r>
      <w:r>
        <w:rPr>
          <w:rFonts w:ascii="Times" w:hAnsi="Times"/>
        </w:rPr>
        <w:t xml:space="preserve"> specimens and one additional</w:t>
      </w:r>
      <w:r w:rsidRPr="005A48C3">
        <w:rPr>
          <w:rFonts w:ascii="Times" w:hAnsi="Times"/>
        </w:rPr>
        <w:t xml:space="preserve"> male gonad was harvested. Organ pools were gently aspirated into single cell suspensions by pipetting in hypotonic solution (0.56% </w:t>
      </w:r>
      <w:proofErr w:type="spellStart"/>
      <w:r w:rsidRPr="005A48C3">
        <w:rPr>
          <w:rFonts w:ascii="Times" w:hAnsi="Times"/>
        </w:rPr>
        <w:t>KCl</w:t>
      </w:r>
      <w:proofErr w:type="spellEnd"/>
      <w:r w:rsidRPr="005A48C3">
        <w:rPr>
          <w:rFonts w:ascii="Times" w:hAnsi="Times"/>
        </w:rPr>
        <w:t xml:space="preserve">) for 15-20 min. Cells were centrifuged </w:t>
      </w:r>
      <w:r>
        <w:rPr>
          <w:rFonts w:ascii="Times" w:hAnsi="Times"/>
        </w:rPr>
        <w:t xml:space="preserve">at </w:t>
      </w:r>
      <w:r w:rsidRPr="005A48C3">
        <w:rPr>
          <w:rFonts w:ascii="Times" w:hAnsi="Times"/>
        </w:rPr>
        <w:t xml:space="preserve">~1000 rpm </w:t>
      </w:r>
      <w:r>
        <w:rPr>
          <w:rFonts w:ascii="Times" w:hAnsi="Times"/>
        </w:rPr>
        <w:t xml:space="preserve">for </w:t>
      </w:r>
      <w:r w:rsidRPr="005A48C3">
        <w:rPr>
          <w:rFonts w:ascii="Times" w:hAnsi="Times"/>
        </w:rPr>
        <w:t>10 min, supernatant hypotonic solution</w:t>
      </w:r>
      <w:r>
        <w:rPr>
          <w:rFonts w:ascii="Times" w:hAnsi="Times"/>
        </w:rPr>
        <w:t xml:space="preserve"> was</w:t>
      </w:r>
      <w:r w:rsidRPr="005A48C3">
        <w:rPr>
          <w:rFonts w:ascii="Times" w:hAnsi="Times"/>
        </w:rPr>
        <w:t xml:space="preserve"> removed and</w:t>
      </w:r>
      <w:r>
        <w:rPr>
          <w:rFonts w:ascii="Times" w:hAnsi="Times"/>
        </w:rPr>
        <w:t xml:space="preserve"> a</w:t>
      </w:r>
      <w:r w:rsidRPr="005A48C3">
        <w:rPr>
          <w:rFonts w:ascii="Times" w:hAnsi="Times"/>
        </w:rPr>
        <w:t xml:space="preserve"> 3:1 fixative (</w:t>
      </w:r>
      <w:proofErr w:type="spellStart"/>
      <w:proofErr w:type="gramStart"/>
      <w:r w:rsidRPr="005A48C3">
        <w:rPr>
          <w:rFonts w:ascii="Times" w:hAnsi="Times"/>
        </w:rPr>
        <w:t>methanol:glacial</w:t>
      </w:r>
      <w:proofErr w:type="spellEnd"/>
      <w:proofErr w:type="gramEnd"/>
      <w:r w:rsidRPr="005A48C3">
        <w:rPr>
          <w:rFonts w:ascii="Times" w:hAnsi="Times"/>
        </w:rPr>
        <w:t xml:space="preserve"> acetic acid) </w:t>
      </w:r>
      <w:r>
        <w:rPr>
          <w:rFonts w:ascii="Times" w:hAnsi="Times"/>
        </w:rPr>
        <w:t xml:space="preserve">was </w:t>
      </w:r>
      <w:r w:rsidRPr="005A48C3">
        <w:rPr>
          <w:rFonts w:ascii="Times" w:hAnsi="Times"/>
        </w:rPr>
        <w:t>added. Cell pellets were resuspended and stored at 4</w:t>
      </w:r>
      <w:r>
        <w:rPr>
          <w:rFonts w:ascii="Times" w:hAnsi="Times"/>
        </w:rPr>
        <w:t>º</w:t>
      </w:r>
      <w:r w:rsidRPr="005A48C3">
        <w:rPr>
          <w:rFonts w:ascii="Times" w:hAnsi="Times"/>
        </w:rPr>
        <w:t xml:space="preserve">C. Two to three more fixative washes (centrifugation, resuspension in new fixative) were conducted, and cells </w:t>
      </w:r>
      <w:r>
        <w:rPr>
          <w:rFonts w:ascii="Times" w:hAnsi="Times"/>
        </w:rPr>
        <w:t xml:space="preserve">were </w:t>
      </w:r>
      <w:r w:rsidRPr="005A48C3">
        <w:rPr>
          <w:rFonts w:ascii="Times" w:hAnsi="Times"/>
        </w:rPr>
        <w:t>applied to slides one week later. Slides were stained using the DNA staining fluorescent dye (DAPI) and cells were examined using an Olympus BX-40 Microscope</w:t>
      </w:r>
      <w:r>
        <w:rPr>
          <w:rFonts w:ascii="Times" w:hAnsi="Times"/>
        </w:rPr>
        <w:t>.</w:t>
      </w:r>
      <w:r w:rsidRPr="005A48C3">
        <w:rPr>
          <w:rFonts w:ascii="Times" w:hAnsi="Times"/>
        </w:rPr>
        <w:t xml:space="preserve"> </w:t>
      </w:r>
      <w:r w:rsidR="0015704C">
        <w:rPr>
          <w:rFonts w:ascii="Times" w:hAnsi="Times"/>
        </w:rPr>
        <w:t>Images of cells were captured and stored</w:t>
      </w:r>
      <w:r w:rsidRPr="005A48C3">
        <w:rPr>
          <w:rFonts w:ascii="Times" w:hAnsi="Times"/>
        </w:rPr>
        <w:t xml:space="preserve"> using </w:t>
      </w:r>
      <w:r w:rsidR="0015704C">
        <w:rPr>
          <w:rFonts w:ascii="Times" w:hAnsi="Times"/>
        </w:rPr>
        <w:t xml:space="preserve">the </w:t>
      </w:r>
      <w:proofErr w:type="spellStart"/>
      <w:r w:rsidRPr="005A48C3">
        <w:rPr>
          <w:rFonts w:ascii="Times" w:hAnsi="Times"/>
        </w:rPr>
        <w:t>Cytovision</w:t>
      </w:r>
      <w:proofErr w:type="spellEnd"/>
      <w:r w:rsidRPr="005A48C3">
        <w:rPr>
          <w:rFonts w:ascii="Times" w:hAnsi="Times"/>
        </w:rPr>
        <w:t xml:space="preserve"> Software</w:t>
      </w:r>
      <w:r>
        <w:rPr>
          <w:rFonts w:ascii="Times" w:hAnsi="Times"/>
        </w:rPr>
        <w:t xml:space="preserve"> and </w:t>
      </w:r>
      <w:r w:rsidR="0015704C">
        <w:rPr>
          <w:rFonts w:ascii="Times" w:hAnsi="Times"/>
        </w:rPr>
        <w:t xml:space="preserve">the number of chromosomes in the species were </w:t>
      </w:r>
      <w:r>
        <w:rPr>
          <w:rFonts w:ascii="Times" w:hAnsi="Times"/>
        </w:rPr>
        <w:t>determine</w:t>
      </w:r>
      <w:r w:rsidR="0015704C">
        <w:rPr>
          <w:rFonts w:ascii="Times" w:hAnsi="Times"/>
        </w:rPr>
        <w:t>d</w:t>
      </w:r>
      <w:r>
        <w:rPr>
          <w:rFonts w:ascii="Times" w:hAnsi="Times"/>
        </w:rPr>
        <w:t xml:space="preserve"> from those images</w:t>
      </w:r>
      <w:r w:rsidRPr="005A48C3">
        <w:rPr>
          <w:rFonts w:ascii="Times" w:hAnsi="Times"/>
        </w:rPr>
        <w:t>.</w:t>
      </w:r>
    </w:p>
    <w:p w14:paraId="05F98C8D" w14:textId="6EBFC291" w:rsidR="003A7140" w:rsidRDefault="003A7140" w:rsidP="00261AAC">
      <w:pPr>
        <w:ind w:right="270"/>
        <w:jc w:val="both"/>
      </w:pPr>
    </w:p>
    <w:p w14:paraId="3A78772E" w14:textId="77777777" w:rsidR="0015704C" w:rsidRDefault="00A11F46" w:rsidP="00261AAC">
      <w:pPr>
        <w:jc w:val="both"/>
      </w:pPr>
      <w:r>
        <w:rPr>
          <w:i/>
          <w:iCs/>
        </w:rPr>
        <w:t>Results</w:t>
      </w:r>
    </w:p>
    <w:p w14:paraId="1BE23904" w14:textId="474AB536" w:rsidR="00A11F46" w:rsidRDefault="00A11F46" w:rsidP="00261AAC">
      <w:pPr>
        <w:jc w:val="both"/>
      </w:pPr>
      <w:r w:rsidRPr="00A11F46">
        <w:t>Seventy-five cell images were collected from the three pooled sample sets (mixed sex, males-only, females-only)</w:t>
      </w:r>
      <w:r w:rsidR="004D5944">
        <w:t>.</w:t>
      </w:r>
      <w:r w:rsidRPr="00A11F46">
        <w:t xml:space="preserve"> </w:t>
      </w:r>
      <w:r w:rsidR="001846C6" w:rsidRPr="001846C6">
        <w:t>Quality control steps discarded cells that were not intact, did not contain clearly defined chromosomes, or had significantly overlapping chromosomes. After quality control filtration, 18 cells were retained for counting/analysis.</w:t>
      </w:r>
      <w:r w:rsidRPr="00A11F46">
        <w:t xml:space="preserve"> From these 18 cells</w:t>
      </w:r>
      <w:r w:rsidR="004D5944">
        <w:t>,</w:t>
      </w:r>
      <w:r w:rsidRPr="00A11F46">
        <w:t xml:space="preserve"> we determined the 2n (diploid) chromosome count for the </w:t>
      </w:r>
      <w:r w:rsidR="000353C3">
        <w:t>d</w:t>
      </w:r>
      <w:r w:rsidRPr="00A11F46">
        <w:t xml:space="preserve">elta smelt </w:t>
      </w:r>
      <w:r w:rsidR="004D5944">
        <w:t>to be</w:t>
      </w:r>
      <w:r w:rsidRPr="00A11F46">
        <w:t xml:space="preserve"> 56</w:t>
      </w:r>
      <w:r w:rsidR="004D5944">
        <w:t>,</w:t>
      </w:r>
      <w:r w:rsidRPr="00A11F46">
        <w:t xml:space="preserve"> with 15 cells exhibiting 2n=56 and 3 cells with </w:t>
      </w:r>
      <w:proofErr w:type="spellStart"/>
      <w:r w:rsidRPr="00A11F46">
        <w:t>hypomodal</w:t>
      </w:r>
      <w:proofErr w:type="spellEnd"/>
      <w:r w:rsidRPr="00A11F46">
        <w:t xml:space="preserve"> counts (1 cell with 2n=54, 2 cells with 2n=55</w:t>
      </w:r>
      <w:r w:rsidR="004D5944">
        <w:t xml:space="preserve">, </w:t>
      </w:r>
      <w:r w:rsidRPr="00A11F46">
        <w:t xml:space="preserve">Table </w:t>
      </w:r>
      <w:r w:rsidR="000353C3">
        <w:t>5</w:t>
      </w:r>
      <w:r w:rsidR="004D5944">
        <w:t>)</w:t>
      </w:r>
      <w:r w:rsidRPr="00A11F46">
        <w:t xml:space="preserve">. Figure </w:t>
      </w:r>
      <w:r w:rsidR="001A304A">
        <w:t>6</w:t>
      </w:r>
      <w:r w:rsidRPr="00A11F46">
        <w:t xml:space="preserve"> shows a representative mitotic metaphase cell from a male spleen cell exhibiting 56 chromosomes</w:t>
      </w:r>
      <w:r w:rsidR="001A304A">
        <w:t>.</w:t>
      </w:r>
    </w:p>
    <w:p w14:paraId="61FD08B7" w14:textId="77777777" w:rsidR="003A7140" w:rsidRDefault="003A7140" w:rsidP="00261AAC">
      <w:pPr>
        <w:ind w:right="270"/>
        <w:jc w:val="both"/>
      </w:pPr>
    </w:p>
    <w:p w14:paraId="278328C0" w14:textId="3C97D572" w:rsidR="001B4B9F" w:rsidRPr="00D96AC9" w:rsidRDefault="00106145" w:rsidP="00261AAC">
      <w:pPr>
        <w:pStyle w:val="Heading1"/>
        <w:jc w:val="both"/>
      </w:pPr>
      <w:r>
        <w:br w:type="page"/>
      </w:r>
      <w:r w:rsidR="001B4B9F" w:rsidRPr="00D96AC9">
        <w:lastRenderedPageBreak/>
        <w:t xml:space="preserve">Task </w:t>
      </w:r>
      <w:r w:rsidR="001B4B9F">
        <w:t>2</w:t>
      </w:r>
      <w:r w:rsidR="001B4B9F" w:rsidRPr="00D96AC9">
        <w:t xml:space="preserve">: </w:t>
      </w:r>
      <w:r w:rsidR="001B4B9F">
        <w:t>N</w:t>
      </w:r>
      <w:r w:rsidR="001B4B9F" w:rsidRPr="001B4B9F">
        <w:rPr>
          <w:vertAlign w:val="subscript"/>
        </w:rPr>
        <w:t>E</w:t>
      </w:r>
      <w:r w:rsidR="001B4B9F">
        <w:t xml:space="preserve"> Estimation</w:t>
      </w:r>
    </w:p>
    <w:p w14:paraId="6DBF1FA5" w14:textId="77777777" w:rsidR="001B4B9F" w:rsidRPr="00D417D1" w:rsidRDefault="001B4B9F" w:rsidP="00261AAC">
      <w:pPr>
        <w:ind w:right="270"/>
        <w:jc w:val="both"/>
        <w:rPr>
          <w:b/>
        </w:rPr>
      </w:pPr>
    </w:p>
    <w:p w14:paraId="582DEB3C" w14:textId="52086DA3" w:rsidR="001B4B9F" w:rsidRDefault="00A85974" w:rsidP="00261AAC">
      <w:pPr>
        <w:pStyle w:val="Heading2"/>
        <w:jc w:val="both"/>
      </w:pPr>
      <w:r>
        <w:t>Background</w:t>
      </w:r>
    </w:p>
    <w:p w14:paraId="7C1008FB" w14:textId="384E09B2" w:rsidR="001B4B9F" w:rsidRDefault="001B4B9F" w:rsidP="00261AAC">
      <w:pPr>
        <w:ind w:right="270"/>
        <w:jc w:val="both"/>
        <w:rPr>
          <w:bCs/>
          <w:iCs/>
        </w:rPr>
      </w:pPr>
      <w:r w:rsidRPr="001B4B9F">
        <w:rPr>
          <w:bCs/>
          <w:iCs/>
          <w:lang w:val="en"/>
        </w:rPr>
        <w:t>Two previous studies used microsatellite markers (</w:t>
      </w:r>
      <m:oMath>
        <m:r>
          <w:rPr>
            <w:rFonts w:ascii="Cambria Math" w:hAnsi="Cambria Math"/>
            <w:lang w:val="en"/>
          </w:rPr>
          <m:t>μsat</m:t>
        </m:r>
      </m:oMath>
      <w:r w:rsidRPr="001B4B9F">
        <w:rPr>
          <w:bCs/>
          <w:iCs/>
          <w:lang w:val="en"/>
        </w:rPr>
        <w:t>) to estimate the contemporary effective population size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of delta smelt, but found variable results.</w:t>
      </w:r>
      <w:r w:rsidRPr="001B4B9F">
        <w:rPr>
          <w:bCs/>
          <w:iCs/>
          <w:lang w:val="en"/>
        </w:rPr>
        <w:fldChar w:fldCharType="begin" w:fldLock="1"/>
      </w:r>
      <w:r w:rsidRPr="001B4B9F">
        <w:rPr>
          <w:bCs/>
          <w:iCs/>
          <w:lang w:val="en"/>
        </w:rPr>
        <w:instrText>ADDIN CSL_CITATION {"citationItems":[{"id":"ITEM-1","itemData":{"DOI":"10.15447/sfews.2017v15iss2art5","ISSN":"15462366","abstract":"Delta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diversity.","author":[{"dropping-particle":"","family":"Finger","given":"Amanda J.","non-dropping-particle":"","parse-names":false,"suffix":""},{"dropping-particle":"","family":"Schumer","given":"Gregg","non-dropping-particle":"","parse-names":false,"suffix":""},{"dropping-particle":"","family":"Benjamin","given":"Alyssa","non-dropping-particle":"","parse-names":false,"suffix":""},{"dropping-particle":"","family":"Blankenship","given":"Scott","non-dropping-particle":"","parse-names":false,"suffix":""}],"container-title":"San Francisco Estuary and Watershed Science","id":"ITEM-1","issue":"2","issued":{"date-parts":[["2017"]]},"title":"Evaluation and Interpretation of Genetic Effective Population Size of Delta Smelt from 2011–2014","type":"article-journal","volume":"15"},"uris":["http://www.mendeley.com/documents/?uuid=8a1fff3b-b484-4eba-a7c8-379c034ef16f"]},{"id":"ITEM-2","itemData":{"DOI":"10.1007/s10592-011-0240-y","ISBN":"1566-0621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Genetics","id":"ITEM-2","issue":"6","issued":{"date-parts":[["2011"]]},"page":"1421-1434","title":"Population genetics and conservation implications for the endangered delta smelt in the San Francisco Bay-Delta","type":"article-journal","volume":"12"},"uris":["http://www.mendeley.com/documents/?uuid=23e53af3-288d-48bc-b9a7-174ca5e00a87"]}],"mendeley":{"formattedCitation":"&lt;sup&gt;2,3&lt;/sup&gt;","plainTextFormattedCitation":"2,3","previouslyFormattedCitation":"&lt;sup&gt;2,3&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2,3</w:t>
      </w:r>
      <w:r w:rsidRPr="001B4B9F">
        <w:rPr>
          <w:bCs/>
          <w:iCs/>
        </w:rPr>
        <w:fldChar w:fldCharType="end"/>
      </w:r>
      <w:r w:rsidRPr="001B4B9F">
        <w:rPr>
          <w:bCs/>
          <w:iCs/>
          <w:lang w:val="en"/>
        </w:rPr>
        <w:t xml:space="preserve"> NGS technology </w:t>
      </w:r>
      <w:r w:rsidR="00A14B4E">
        <w:rPr>
          <w:bCs/>
          <w:iCs/>
          <w:lang w:val="en"/>
        </w:rPr>
        <w:t>provides</w:t>
      </w:r>
      <w:r w:rsidRPr="001B4B9F">
        <w:rPr>
          <w:bCs/>
          <w:iCs/>
          <w:lang w:val="en"/>
        </w:rPr>
        <w:t xml:space="preserve"> more power to make precise estimates by increasing the number of </w:t>
      </w:r>
      <w:commentRangeStart w:id="5"/>
      <w:r w:rsidRPr="001B4B9F">
        <w:rPr>
          <w:bCs/>
          <w:iCs/>
          <w:lang w:val="en"/>
        </w:rPr>
        <w:t>putatively neutral markers</w:t>
      </w:r>
      <w:commentRangeEnd w:id="5"/>
      <w:r w:rsidR="00DD4878">
        <w:rPr>
          <w:rStyle w:val="CommentReference"/>
        </w:rPr>
        <w:commentReference w:id="5"/>
      </w:r>
      <w:r w:rsidRPr="001B4B9F">
        <w:rPr>
          <w:bCs/>
          <w:iCs/>
          <w:lang w:val="en"/>
        </w:rPr>
        <w:t>.</w:t>
      </w:r>
      <w:r w:rsidRPr="001B4B9F">
        <w:rPr>
          <w:bCs/>
          <w:iCs/>
          <w:lang w:val="en"/>
        </w:rPr>
        <w:fldChar w:fldCharType="begin" w:fldLock="1"/>
      </w:r>
      <w:r w:rsidRPr="001B4B9F">
        <w:rPr>
          <w:bCs/>
          <w:iCs/>
          <w:lang w:val="en"/>
        </w:rPr>
        <w:instrText>ADDIN CSL_CITATION {"citationItems":[{"id":"ITEM-1","itemData":{"DOI":"10.1111/j.1752-4571.2009.00104.x","ISBN":"1752-4571","ISSN":"17524563","PMID":"25567922","abstract":"Genetic methods are routinely used to estimate contemporary effective population size (Ne) in natural populations, but the vast majority of applications have used only the temporal (two-sample) method. We use simulated data to evaluate how highly polymorphic molecular markers affect precision and bias in the single-sample method based on linkage disequilibrium (LD). Results of this study are as follows: (1) Low-frequency alleles upwardly bias ^Ne, but a simple rule can reduce bias to &lt;about 10% without sacrificing much precision. (2) With datasets routinely available today (10–20 loci with 10 alleles; 50 individuals), precise estimates can be obtained for relatively small populations (Ne &lt; 200), and small populations are not likely to be mistaken for large ones. However, it is very difficult to obtain reliable estimates for large populations. (3) With ‘microsatellite’ data, the LD method has greater precision than the temporal method, unless the latter is based on samples taken many generations apart. Our results indicate the LD method has widespread applicability to conservation (which typically focuses on small populations) and the study of evolutionary processes in local populations. Considerable opportunity exists to extract more information about Ne in nature by wider use of single-sample estimators and by combining estimates from different methods.","author":[{"dropping-particle":"","family":"Waples","given":"Robin S.","non-dropping-particle":"","parse-names":false,"suffix":""},{"dropping-particle":"","family":"Do","given":"Chi","non-dropping-particle":"","parse-names":false,"suffix":""}],"container-title":"Evolutionary Applications","id":"ITEM-1","issue":"3","issued":{"date-parts":[["2010"]]},"page":"244-262","title":"Linkage disequilibrium estimates of contemporary Ne using highly variable genetic markers: A largely untapped resource for applied conservation and evolution","type":"article-journal","volume":"3"},"uris":["http://www.mendeley.com/documents/?uuid=c9c48160-c762-477f-8b11-8d202bc5eeff"]},{"id":"ITEM-2","itemData":{"ISBN":"0016-6731","ISSN":"0016-6731","PMID":"2731727","abstract":"The temporal method for estimating effective population size (Ne) from the standardized variance in allele frequency change (F) is presented in a generalized form. Whereas previous treatments of this method have adopted rather limiting assumptions, the present analysis shows that the temporal method is generally applicable to a wide variety of organisms. Use of a revised model of gene sampling permits a more generalized interpretation of Ne than that used by some other authors studying this method. It is shown that two sampling plans (individuals for genetic analysis taken before or after reproduction) whose differences have been stressed by previous authors can be treated in a uniform way. Computer simulations using a wide variety of initial conditions show that different formulas for computing F have much less effect on Ne than do sample size (S), number of generations between samples (t), or the number of loci studied (L). Simulation results also indicate that (1) bias of F is small unless alleles with very low frequency are used; (2) precision is typically increased by about the same amount with a doubling of S, t, or L; (3) confidence intervals for Ne computed using a chi 2 approximation are accurate and unbiased under most conditions; (4) the temporal method is best suited for use with organisms having high juvenile mortality and, perhaps, a limited effective population size.","author":[{"dropping-particle":"","family":"Waples","given":"R.S.","non-dropping-particle":"","parse-names":false,"suffix":""}],"container-title":"Genetics","id":"ITEM-2","issue":"2","issued":{"date-parts":[["1989"]]},"page":"379-391","title":"A generalized approach for estimating effective population size from temporal changes in allele frequency.","type":"article-journal","volume":"121"},"uris":["http://www.mendeley.com/documents/?uuid=e8c20b24-a197-4a39-9292-d45d79c39995"]},{"id":"ITEM-3","itemData":{"DOI":"10.1038/s41437-017-0037-y","ISSN":"13652540","abstract":"Large genomic data sets generated with restriction site-associated DNA sequencing (RADseq), in combination with demographic inference methods, are improving our ability to gain insights into the population history of species. We used a simulation approach to examine the potential for RADseq data sets to accurately estimate effective population size (N\n                e) over the course of stable and declining population trends, and we compare the ability of two methods of analysis to accurately distinguish stable from steadily declining populations over a contemporary time scale (20 generations). Using a linkage disequilibrium-based analysis, individual sampling (i.e., n ≥ 30) had the greatest effect on N\n                e estimation and the detection of population size declines, with declines reliably detected across scenarios ~10 generations after they began. Coalescent-based inference required fewer sampled individuals (i.e., n = 15), and instead was most influenced by the size of the SNP data set, with 25,000–50,000 SNPs required for accurate detection of population trends and at least 20 generations after decline began. The number of samples available and targeted number of RADseq loci are important criteria when choosing between these methods. Neither method suffered any apparent bias due to the effects of allele dropout typical of RAD data. With an understanding of the limitations and biases of these approaches, researchers can make more informed decisions when designing their sampling and analyses. Overall, our results reveal that demographic inference using RADseq data can be successfully applied to infer recent population size change and may be an important tool for population monitoring and conservation biology.","author":[{"dropping-particle":"","family":"Nunziata","given":"Schyler O.","non-dropping-particle":"","parse-names":false,"suffix":""},{"dropping-particle":"","family":"Weisrock","given":"David W.","non-dropping-particle":"","parse-names":false,"suffix":""}],"container-title":"Heredity","id":"ITEM-3","issue":"3","issued":{"date-parts":[["2018"]]},"page":"196-207","title":"Estimation of contemporary effective population size and population declines using RAD sequence data","type":"article-journal","volume":"120"},"uris":["http://www.mendeley.com/documents/?uuid=9799aed3-713c-48ef-99d2-e5c2a4b0e2e5"]}],"mendeley":{"formattedCitation":"&lt;sup&gt;12–14&lt;/sup&gt;","plainTextFormattedCitation":"12–14","previouslyFormattedCitation":"&lt;sup&gt;12–14&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12–14</w:t>
      </w:r>
      <w:r w:rsidRPr="001B4B9F">
        <w:rPr>
          <w:bCs/>
          <w:iCs/>
        </w:rPr>
        <w:fldChar w:fldCharType="end"/>
      </w:r>
    </w:p>
    <w:p w14:paraId="0F0F3702" w14:textId="55BE1281" w:rsidR="001B4B9F" w:rsidRDefault="001B4B9F" w:rsidP="00261AAC">
      <w:pPr>
        <w:ind w:right="270"/>
        <w:jc w:val="both"/>
        <w:rPr>
          <w:bCs/>
          <w:iCs/>
        </w:rPr>
      </w:pPr>
    </w:p>
    <w:p w14:paraId="45F0E79F" w14:textId="6FF4F246" w:rsidR="000532D5" w:rsidRDefault="006A7615" w:rsidP="00261AAC">
      <w:pPr>
        <w:ind w:right="270"/>
        <w:jc w:val="both"/>
        <w:rPr>
          <w:bCs/>
          <w:iCs/>
          <w:lang w:val="en"/>
        </w:rPr>
      </w:pPr>
      <w:r>
        <w:rPr>
          <w:bCs/>
          <w:iCs/>
          <w:lang w:val="en"/>
        </w:rPr>
        <w:t xml:space="preserve">In combination with observing various population parameters,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1B4B9F" w:rsidRPr="001B4B9F">
        <w:rPr>
          <w:bCs/>
          <w:iCs/>
          <w:lang w:val="en"/>
        </w:rPr>
        <w:t xml:space="preserve"> is </w:t>
      </w:r>
      <w:r>
        <w:rPr>
          <w:bCs/>
          <w:iCs/>
          <w:lang w:val="en"/>
        </w:rPr>
        <w:t>a</w:t>
      </w:r>
      <w:r w:rsidR="001B4B9F" w:rsidRPr="001B4B9F">
        <w:rPr>
          <w:bCs/>
          <w:iCs/>
          <w:lang w:val="en"/>
        </w:rPr>
        <w:t xml:space="preserve"> useful tool </w:t>
      </w:r>
      <w:r w:rsidR="00DD4878">
        <w:rPr>
          <w:bCs/>
          <w:iCs/>
          <w:lang w:val="en"/>
        </w:rPr>
        <w:t>for</w:t>
      </w:r>
      <w:r w:rsidR="001B4B9F" w:rsidRPr="001B4B9F">
        <w:rPr>
          <w:bCs/>
          <w:iCs/>
          <w:lang w:val="en"/>
        </w:rPr>
        <w:t xml:space="preserve"> monitoring endangered populations as it can inform </w:t>
      </w:r>
      <w:r w:rsidR="00DD4878">
        <w:rPr>
          <w:bCs/>
          <w:iCs/>
          <w:lang w:val="en"/>
        </w:rPr>
        <w:t xml:space="preserve">the likelihood of a given allele </w:t>
      </w:r>
      <w:r w:rsidR="001B4B9F" w:rsidRPr="001B4B9F">
        <w:rPr>
          <w:bCs/>
          <w:iCs/>
          <w:lang w:val="en"/>
        </w:rPr>
        <w:t>to be lost or fixed</w:t>
      </w:r>
      <w:r w:rsidR="000532D5">
        <w:rPr>
          <w:bCs/>
          <w:iCs/>
          <w:lang w:val="en"/>
        </w:rPr>
        <w:t xml:space="preserve"> within a population</w:t>
      </w:r>
      <w:r w:rsidR="001B4B9F" w:rsidRPr="001B4B9F">
        <w:rPr>
          <w:bCs/>
          <w:iCs/>
          <w:lang w:val="en"/>
        </w:rPr>
        <w:t>.</w:t>
      </w:r>
      <w:r w:rsidR="001B4B9F" w:rsidRPr="001B4B9F">
        <w:rPr>
          <w:bCs/>
          <w:iCs/>
          <w:lang w:val="en"/>
        </w:rPr>
        <w:fldChar w:fldCharType="begin" w:fldLock="1"/>
      </w:r>
      <w:r w:rsidR="001B4B9F" w:rsidRPr="001B4B9F">
        <w:rPr>
          <w:bCs/>
          <w:iCs/>
          <w:lang w:val="en"/>
        </w:rPr>
        <w:instrText>ADDIN CSL_CITATION {"citationItems":[{"id":"ITEM-1","itemData":{"DOI":"10.1016/j.biocon.2005.05.002","ISBN":"0006-3207, 0006-3207","ISSN":"00063207","PMID":"4245","abstract":"The role of genetic factors in extinction has been a controversial issue, especially since Lande's paper [Genetics and demography in biological conservation, Science 241 (1988) 1455-1460] paper in Science. Here I review the evidence on the contribution of genetic factors to extinction risk. Inbreeding depression, loss of genetic diversity and mutation accumulation have been hypothesised to increase extinction risk. There is now compelling evidence that inbreeding depression and loss of genetic diversity increase extinction risk in laboratory populations of naturally outbreeding species. There is now clear evidence for inbreeding depression in wild species of naturally outbreeding species and strong grounds from individual case studies and from computer projections for believing that this contributes to extinction risk. Further, most species are not driven to extinction before genetic factors have time to impact. The contributions of mutation accumulation to extinction risk in threatened taxa appear to be small and to require very many generations. Thus, there is now sufficient evidence to regard the controversies regarding the contribution of genetic factors to extinction risk as resolved. If genetic factors are ignored, extinction risk will be underestimated and inappropriate recovery strategies may be used. © 2005 Elsevier Ltd. All rights reserved.","author":[{"dropping-particle":"","family":"Frankham","given":"Richard","non-dropping-particle":"","parse-names":false,"suffix":""}],"container-title":"Biological Conservation","id":"ITEM-1","issue":"2","issued":{"date-parts":[["2005"]]},"page":"131-140","title":"Genetics and extinction","type":"article-journal","volume":"126"},"uris":["http://www.mendeley.com/documents/?uuid=2b645802-4850-42da-800e-434555e1e54b"]},{"id":"ITEM-2","itemData":{"DOI":"10.1007/s10592-010-0050-7","ISBN":"1566-0621\\r1572-9737","ISSN":"15660621","abstract":"Population census size (NC) and effective population sizes (Ne) are two crucial parameters that influence population viability, wildlife management deci- sions, and conservation planning. Genetic estimators of both NC and Ne are increasingly widely used because molecular markers are increasingly available, statistical methods are improving rapidly, and genetic estimators complement or improve upon traditional demographic estimators. We review the kinds and applications of estimators of both NC and Ne, and the often undervalued and misunderstood ratio of effective-to-census size (Ne/NC). We focus on recently improved and well evalu- ated methods that are most likely to facilitate conservation. Finally, we outline areas of future research to improve Ne and NC estimation in wild populations.","author":[{"dropping-particle":"","family":"Luikart","given":"Gordon","non-dropping-particle":"","parse-names":false,"suffix":""},{"dropping-particle":"","family":"Ryman","given":"Nils","non-dropping-particle":"","parse-names":false,"suffix":""},{"dropping-particle":"","family":"Tallmon","given":"David A.","non-dropping-particle":"","parse-names":false,"suffix":""},{"dropping-particle":"","family":"Schwartz","given":"Michael K.","non-dropping-particle":"","parse-names":false,"suffix":""},{"dropping-particle":"","family":"Allendorf","given":"Fred W.","non-dropping-particle":"","parse-names":false,"suffix":""}],"container-title":"Conservation Genetics","id":"ITEM-2","issue":"2","issued":{"date-parts":[["2010"]]},"page":"355-373","title":"Estimation of census and effective population sizes: The increasing usefulness of DNA-based approaches","type":"article-journal","volume":"11"},"uris":["http://www.mendeley.com/documents/?uuid=7a4a6caa-c6d0-4f70-86be-c8c0618ac22e"]}],"mendeley":{"formattedCitation":"&lt;sup&gt;30,31&lt;/sup&gt;","plainTextFormattedCitation":"30,31","previouslyFormattedCitation":"&lt;sup&gt;30,31&lt;/sup&gt;"},"properties":{"noteIndex":0},"schema":"https://github.com/citation-style-language/schema/raw/master/csl-citation.json"}</w:instrText>
      </w:r>
      <w:r w:rsidR="001B4B9F" w:rsidRPr="001B4B9F">
        <w:rPr>
          <w:bCs/>
          <w:iCs/>
          <w:lang w:val="en"/>
        </w:rPr>
        <w:fldChar w:fldCharType="separate"/>
      </w:r>
      <w:r w:rsidR="001B4B9F" w:rsidRPr="001B4B9F">
        <w:rPr>
          <w:bCs/>
          <w:iCs/>
          <w:vertAlign w:val="superscript"/>
          <w:lang w:val="en"/>
        </w:rPr>
        <w:t>30,31</w:t>
      </w:r>
      <w:r w:rsidR="001B4B9F" w:rsidRPr="001B4B9F">
        <w:rPr>
          <w:bCs/>
          <w:iCs/>
        </w:rPr>
        <w:fldChar w:fldCharType="end"/>
      </w:r>
      <w:r w:rsidR="001B4B9F" w:rsidRPr="001B4B9F">
        <w:rPr>
          <w:bCs/>
          <w:iCs/>
          <w:lang w:val="en"/>
        </w:rPr>
        <w:t xml:space="preserve"> The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1B4B9F" w:rsidRPr="001B4B9F">
        <w:rPr>
          <w:bCs/>
          <w:iCs/>
          <w:lang w:val="en"/>
        </w:rPr>
        <w:t xml:space="preserve"> of a given species is defined as the size of a Wright</w:t>
      </w:r>
      <w:r w:rsidR="00DD4878">
        <w:rPr>
          <w:bCs/>
          <w:iCs/>
          <w:lang w:val="en"/>
        </w:rPr>
        <w:t>-</w:t>
      </w:r>
      <w:r w:rsidR="001B4B9F" w:rsidRPr="001B4B9F">
        <w:rPr>
          <w:bCs/>
          <w:iCs/>
          <w:lang w:val="en"/>
        </w:rPr>
        <w:t>Fisher population that would have the same rate of change of a genetic parameter as the population under study.</w:t>
      </w:r>
      <w:r w:rsidR="001B4B9F" w:rsidRPr="001B4B9F">
        <w:rPr>
          <w:bCs/>
          <w:iCs/>
          <w:lang w:val="en"/>
        </w:rPr>
        <w:fldChar w:fldCharType="begin" w:fldLock="1"/>
      </w:r>
      <w:r w:rsidR="001B4B9F" w:rsidRPr="001B4B9F">
        <w:rPr>
          <w:bCs/>
          <w:iCs/>
          <w:lang w:val="en"/>
        </w:rPr>
        <w:instrText>ADDIN CSL_CITATION {"citationItems":[{"id":"ITEM-1","itemData":{"ISSN":"0016-6731","PMID":"17246615","abstract":"One of the major incentives in the pioneer studies of heredity and variation which led to modern genetics was the hope of obtaining a deeper insight into the evolutionary process. Following the rediscovery of the Mendelian mechanism. there came a feeling that the ... \\n","author":[{"dropping-particle":"","family":"Wright","given":"S","non-dropping-particle":"","parse-names":false,"suffix":""}],"container-title":"Genetics","id":"ITEM-1","issue":"2","issued":{"date-parts":[["1931"]]},"page":"97-159","title":"Evolution in Mendelian Populations.","type":"article-journal","volume":"16"},"uris":["http://www.mendeley.com/documents/?uuid=2f019c74-7e4f-429e-b343-56e7f88947a9"]}],"mendeley":{"formattedCitation":"&lt;sup&gt;32&lt;/sup&gt;","plainTextFormattedCitation":"32","previouslyFormattedCitation":"&lt;sup&gt;32&lt;/sup&gt;"},"properties":{"noteIndex":0},"schema":"https://github.com/citation-style-language/schema/raw/master/csl-citation.json"}</w:instrText>
      </w:r>
      <w:r w:rsidR="001B4B9F" w:rsidRPr="001B4B9F">
        <w:rPr>
          <w:bCs/>
          <w:iCs/>
          <w:lang w:val="en"/>
        </w:rPr>
        <w:fldChar w:fldCharType="separate"/>
      </w:r>
      <w:r w:rsidR="001B4B9F" w:rsidRPr="001B4B9F">
        <w:rPr>
          <w:bCs/>
          <w:iCs/>
          <w:vertAlign w:val="superscript"/>
          <w:lang w:val="en"/>
        </w:rPr>
        <w:t>32</w:t>
      </w:r>
      <w:r w:rsidR="001B4B9F" w:rsidRPr="001B4B9F">
        <w:rPr>
          <w:bCs/>
          <w:iCs/>
        </w:rPr>
        <w:fldChar w:fldCharType="end"/>
      </w:r>
      <w:r w:rsidR="000532D5">
        <w:rPr>
          <w:bCs/>
          <w:iCs/>
          <w:lang w:val="en"/>
        </w:rPr>
        <w:t xml:space="preserve"> Estimat</w:t>
      </w:r>
      <w:r w:rsidR="00DD4878">
        <w:rPr>
          <w:bCs/>
          <w:iCs/>
          <w:lang w:val="en"/>
        </w:rPr>
        <w:t>es</w:t>
      </w:r>
      <w:r w:rsidR="000532D5">
        <w:rPr>
          <w:bCs/>
          <w:iCs/>
          <w:lang w:val="en"/>
        </w:rPr>
        <w:t xml:space="preserve"> can be highly variable depending on statistical priors and may not be useful as an absolute value taken alone and without further modeling. Therefore, the purpose of this study is to observe trends in the delta smelt population</w:t>
      </w:r>
      <w:r w:rsidR="00D17773">
        <w:rPr>
          <w:bCs/>
          <w:iCs/>
          <w:lang w:val="en"/>
        </w:rPr>
        <w:t xml:space="preserve"> through </w:t>
      </w:r>
      <w:r w:rsidR="00A14B4E">
        <w:rPr>
          <w:bCs/>
          <w:iCs/>
          <w:lang w:val="en"/>
        </w:rPr>
        <w:t>rather than to define a single absolute value</w:t>
      </w:r>
      <w:r w:rsidR="000532D5">
        <w:rPr>
          <w:bCs/>
          <w:iCs/>
          <w:lang w:val="en"/>
        </w:rPr>
        <w:t>.</w:t>
      </w:r>
    </w:p>
    <w:p w14:paraId="7885BF33" w14:textId="77777777" w:rsidR="000532D5" w:rsidRDefault="000532D5" w:rsidP="00261AAC">
      <w:pPr>
        <w:ind w:right="270"/>
        <w:jc w:val="both"/>
        <w:rPr>
          <w:bCs/>
          <w:iCs/>
          <w:lang w:val="en"/>
        </w:rPr>
      </w:pPr>
    </w:p>
    <w:p w14:paraId="0FF9D580" w14:textId="506240DE" w:rsidR="001B4B9F" w:rsidRPr="001B4B9F" w:rsidRDefault="001B4B9F" w:rsidP="0039013A">
      <w:pPr>
        <w:ind w:right="270"/>
        <w:jc w:val="both"/>
        <w:rPr>
          <w:bCs/>
          <w:iCs/>
          <w:lang w:val="en"/>
        </w:rPr>
      </w:pPr>
      <w:commentRangeStart w:id="6"/>
      <w:r w:rsidRPr="001B4B9F">
        <w:rPr>
          <w:bCs/>
          <w:iCs/>
          <w:lang w:val="en"/>
        </w:rPr>
        <w:t xml:space="preserve">A number of methods exist to estimate both historical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for </w:t>
      </w:r>
      <w:r w:rsidR="00A14B4E">
        <w:rPr>
          <w:bCs/>
          <w:iCs/>
          <w:lang w:val="en"/>
        </w:rPr>
        <w:t xml:space="preserve">broad </w:t>
      </w:r>
      <w:r w:rsidRPr="001B4B9F">
        <w:rPr>
          <w:bCs/>
          <w:iCs/>
          <w:lang w:val="en"/>
        </w:rPr>
        <w:t xml:space="preserve">evolutionary purposes, as well as contemporary or short-term,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w:t>
      </w:r>
      <w:r w:rsidR="00A14B4E">
        <w:rPr>
          <w:bCs/>
          <w:iCs/>
          <w:lang w:val="en"/>
        </w:rPr>
        <w:t>which</w:t>
      </w:r>
      <w:r w:rsidRPr="001B4B9F">
        <w:rPr>
          <w:bCs/>
          <w:iCs/>
          <w:lang w:val="en"/>
        </w:rPr>
        <w:t xml:space="preserve"> quantify </w:t>
      </w:r>
      <w:r w:rsidR="007809DC">
        <w:rPr>
          <w:bCs/>
          <w:iCs/>
          <w:lang w:val="en"/>
        </w:rPr>
        <w:t>more recent, modern</w:t>
      </w:r>
      <w:r w:rsidRPr="001B4B9F">
        <w:rPr>
          <w:bCs/>
          <w:iCs/>
          <w:lang w:val="en"/>
        </w:rPr>
        <w:t xml:space="preserve"> day genetic diversity</w:t>
      </w:r>
      <w:r w:rsidR="007809DC">
        <w:rPr>
          <w:bCs/>
          <w:iCs/>
          <w:lang w:val="en"/>
        </w:rPr>
        <w:t xml:space="preserve"> within a population</w:t>
      </w:r>
      <w:r w:rsidRPr="001B4B9F">
        <w:rPr>
          <w:bCs/>
          <w:iCs/>
          <w:lang w:val="en"/>
        </w:rPr>
        <w:t>.</w:t>
      </w:r>
      <w:commentRangeEnd w:id="6"/>
      <w:r w:rsidR="00DD4878">
        <w:rPr>
          <w:rStyle w:val="CommentReference"/>
        </w:rPr>
        <w:commentReference w:id="6"/>
      </w:r>
      <w:r w:rsidRPr="001B4B9F">
        <w:rPr>
          <w:bCs/>
          <w:iCs/>
          <w:lang w:val="en"/>
        </w:rPr>
        <w:fldChar w:fldCharType="begin" w:fldLock="1"/>
      </w:r>
      <w:r w:rsidRPr="001B4B9F">
        <w:rPr>
          <w:bCs/>
          <w:iCs/>
          <w:lang w:val="en"/>
        </w:rPr>
        <w:instrText>ADDIN CSL_CITATION {"citationItems":[{"id":"ITEM-1","itemData":{"DOI":"10.1098/rstb.2005.1682","ISBN":"0962-8436","ISSN":"0962-8436","PMID":"16048783","abstract":"The effective population size (Ne) is an important parameter in ecology, evolutionary biology and conservation biology. It is, however, notoriously difficult to estimate, mainly because of the highly stochastic nature of the processes of inbreeding and genetic drift for which Ne is usually defined and measured, and because of the many factors (such as time and spatial scales, systematic forces) confounding such processes. Many methods have been developed in the past three decades to estimate the current, past and ancient effective population sizes using different information extracted from some genetic markers in a sample of individuals. This paper reviews the methodologies proposed for estimating Ne from genetic data using information on heterozygosity excess, linkage disequilibrium, temporal changes in allele frequency, and pattern and amount of genetic variation within and between populations. For each methodology, I describe mainly the logic and genetic model on which it is based, the data required and information used, the interpretation of the estimate obtained, some results from applications to simulated or empirical datasets and future developments that are needed.","author":[{"dropping-particle":"","family":"Wang","given":"J.","non-dropping-particle":"","parse-names":false,"suffix":""}],"container-title":"Philosophical Transactions of the Royal Society B: Biological Sciences","id":"ITEM-1","issue":"1459","issued":{"date-parts":[["2005"]]},"page":"1395-1409","title":"Estimation of effective population sizes from data on genetic markers","type":"article-journal","volume":"360"},"uris":["http://www.mendeley.com/documents/?uuid=dd6e8d60-7ab6-4c3a-acc8-6fb211dec206"]}],"mendeley":{"formattedCitation":"&lt;sup&gt;33&lt;/sup&gt;","plainTextFormattedCitation":"33","previouslyFormattedCitation":"&lt;sup&gt;33&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33</w:t>
      </w:r>
      <w:r w:rsidRPr="001B4B9F">
        <w:rPr>
          <w:bCs/>
          <w:iCs/>
        </w:rPr>
        <w:fldChar w:fldCharType="end"/>
      </w:r>
      <w:r w:rsidRPr="001B4B9F">
        <w:rPr>
          <w:bCs/>
          <w:iCs/>
          <w:lang w:val="en"/>
        </w:rPr>
        <w:t xml:space="preserve"> </w:t>
      </w:r>
      <w:r w:rsidR="00A14B4E">
        <w:rPr>
          <w:bCs/>
          <w:iCs/>
          <w:lang w:val="en"/>
        </w:rPr>
        <w:t>We use c</w:t>
      </w:r>
      <w:r w:rsidRPr="001B4B9F">
        <w:rPr>
          <w:bCs/>
          <w:iCs/>
          <w:lang w:val="en"/>
        </w:rPr>
        <w:t>ontemporary method</w:t>
      </w:r>
      <w:r w:rsidR="00A14B4E">
        <w:rPr>
          <w:bCs/>
          <w:iCs/>
          <w:lang w:val="en"/>
        </w:rPr>
        <w:t xml:space="preserve">s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A14B4E">
        <w:rPr>
          <w:bCs/>
          <w:iCs/>
          <w:lang w:val="en"/>
        </w:rPr>
        <w:t xml:space="preserve"> estimation</w:t>
      </w:r>
      <w:r w:rsidRPr="001B4B9F">
        <w:rPr>
          <w:bCs/>
          <w:iCs/>
          <w:lang w:val="en"/>
        </w:rPr>
        <w:t xml:space="preserve"> </w:t>
      </w:r>
      <w:r w:rsidR="00A14B4E">
        <w:rPr>
          <w:bCs/>
          <w:iCs/>
          <w:lang w:val="en"/>
        </w:rPr>
        <w:t xml:space="preserve">which use temporal allele frequency variance (genetic drift) between generations, as this method is widely used and a reliable way of measuring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A14B4E">
        <w:rPr>
          <w:bCs/>
          <w:iCs/>
          <w:lang w:val="en"/>
        </w:rPr>
        <w:t xml:space="preserve"> in multi-gen</w:t>
      </w:r>
      <w:r w:rsidR="0039013A">
        <w:rPr>
          <w:bCs/>
          <w:iCs/>
          <w:lang w:val="en"/>
        </w:rPr>
        <w:t xml:space="preserve">erational </w:t>
      </w:r>
      <w:r w:rsidR="00A14B4E">
        <w:rPr>
          <w:bCs/>
          <w:iCs/>
          <w:lang w:val="en"/>
        </w:rPr>
        <w:t>datasets</w:t>
      </w:r>
      <w:r w:rsidRPr="001B4B9F">
        <w:rPr>
          <w:bCs/>
          <w:iCs/>
          <w:lang w:val="en"/>
        </w:rPr>
        <w:t>.</w:t>
      </w:r>
      <w:r w:rsidRPr="001B4B9F">
        <w:rPr>
          <w:bCs/>
          <w:iCs/>
          <w:lang w:val="en"/>
        </w:rPr>
        <w:fldChar w:fldCharType="begin" w:fldLock="1"/>
      </w:r>
      <w:r w:rsidRPr="001B4B9F">
        <w:rPr>
          <w:bCs/>
          <w:iCs/>
          <w:lang w:val="en"/>
        </w:rPr>
        <w:instrText>ADDIN CSL_CITATION {"citationItems":[{"id":"ITEM-1","itemData":{"DOI":"10.1017/S0016672300020553","ISSN":"0016-6723","author":[{"dropping-particle":"","family":"Hill","given":"William G.","non-dropping-particle":"","parse-names":false,"suffix":""}],"container-title":"Genetical Research","id":"ITEM-1","issue":"03","issued":{"date-parts":[["1981","12","14"]]},"page":"209","publisher":"Cambridge University Press","title":"Estimation of effective population size from data on linkage disequilibrium","type":"article-journal","volume":"38"},"uris":["http://www.mendeley.com/documents/?uuid=0c984971-cd8a-3232-a9f3-218ae59a80c8"]},{"id":"ITEM-2","itemData":{"author":[{"dropping-particle":"","family":"Krimbas","given":"C. B.","non-dropping-particle":"","parse-names":false,"suffix":""},{"dropping-particle":"","family":"Tsakas","given":"S.","non-dropping-particle":"","parse-names":false,"suffix":""}],"container-title":"Evolution","id":"ITEM-2","issue":"25","issued":{"date-parts":[["1971"]]},"page":"454-460","title":"THE GENETICS OF DACUS OLEAE. V. CHANGES OF ESTERASE POLYMORPHISM IN A NATURAL POPULA- TION FOLLOWING INSECTICIDE CONTROL-SELECTION OR DRIFT?","type":"article-journal"},"uris":["http://www.mendeley.com/documents/?uuid=a02123bf-3e2b-4d59-a3ed-315192e422ca"]},{"id":"ITEM-3","itemData":{"author":[{"dropping-particle":"","family":"Watterson","given":"G. A.","non-dropping-particle":"","parse-names":false,"suffix":""}],"container-title":"Theoretical Population Biology","id":"ITEM-3","issue":"7","issued":{"date-parts":[["1975"]]},"page":"256-276","title":"On the Number of Segragating Sites in Genetic Models without Recombination","type":"article-journal","volume":"276"},"uris":["http://www.mendeley.com/documents/?uuid=cf35679a-c5f4-4599-b7cd-b436c8d9d8ed"]},{"id":"ITEM-4","itemData":{"DOI":"10.1038/hdy.1994.174","ISSN":"13652540","abstract":"Effective population size is a key parameter in evolutionary and quantitative genetics because it measures the rate of genetic drift and inbreeding. Predictive equations of effective size under a range of circumstances and some of their implications are reviewed in this paper. Derivations are made for the simplest cases, and inter-relations between different formulae and methods are discussed.","author":[{"dropping-particle":"","family":"Caballero","given":"Armando","non-dropping-particle":"","parse-names":false,"suffix":""}],"container-title":"Heredity","id":"ITEM-4","issue":"6","issued":{"date-parts":[["1994"]]},"page":"657-679","title":"Developments in the prediction of effective population size","type":"article-journal","volume":"73"},"uris":["http://www.mendeley.com/documents/?uuid=8a662a47-f33b-444d-9234-ebb7d3d4213e"]},{"id":"ITEM-5","itemData":{"DOI":"10.1017/S0003356100025770","ISSN":"0003-3561","abstract":"&lt;p&gt; If, from a population, samples of individuals are drawn with a small number of parents, it is shown that there will be on average an apparent excess of heterozygotes above the number calculated from the gene frequency in each sample. The apparent proportional excess is &lt;inline-graphic href=\"S0003356100025770_inline1\" mime-subtype=\"gif\"/&gt; where M and F are the number of male and female parents. This is independent of the number of alleles at the locus concerned. The use of the usual significance tests will also be affected. If analyses are done within herds of domestic livestock, particularly cattle, the number of sires in use at any time is likely to lead to a bias of a size which is of biological importance. The conditions under which genotypic ratios can usefully be examined are discussed. &lt;/p&gt;","author":[{"dropping-particle":"","family":"Robertson","given":"Alan","non-dropping-particle":"","parse-names":false,"suffix":""}],"container-title":"Animal Production","id":"ITEM-5","issue":"03","issued":{"date-parts":[["1965","10","2"]]},"page":"319-324","publisher":"Cambridge University Press","title":"The interpretation of genotypic ratios in domestic animal populations","type":"article-journal","volume":"7"},"uris":["http://www.mendeley.com/documents/?uuid=14fac74c-941d-32d8-ba31-bc9470c43041"]},{"id":"ITEM-6","itemData":{"ISBN":"0016-6731","ISSN":"00166731","PMID":"17249104","abstract":"The statistical properties of the standardized variance of gene frequency changes (a quantity equivalent to Wright's inbreeding coefficient) in a random mating population are studied, and new formulae for estimating the effective population size are developed. The accuracy of the formulae depends on the ratio of sample size to effective size, the number of generations involved (t), and the number of loci or alleles used. It is shown that the standardized variance approximately follows the chi(2) distribution unless t is very large, and the confidence interval of the estimate of effective size can be obtained by using this property. Application of the formulae to data from an isolated population of Dacus oleae has shown that the effective size of this population is about one tenth of the minimum census size, though there was a possibility that the procedure of sampling genes was improper.","author":[{"dropping-particle":"","family":"Nei","given":"M.","non-dropping-particle":"","parse-names":false,"suffix":""},{"dropping-particle":"","family":"Tajima","given":"F.","non-dropping-particle":"","parse-names":false,"suffix":""}],"container-title":"Genetics","id":"ITEM-6","issue":"3","issued":{"date-parts":[["1981"]]},"page":"625-640","title":"Genetic drift and estimation of effective population size","type":"article-journal","volume":"98"},"uris":["http://www.mendeley.com/documents/?uuid=ec0e53ce-cf23-40b1-9470-c4b7f7ebde7a"]}],"mendeley":{"formattedCitation":"&lt;sup&gt;34–39&lt;/sup&gt;","plainTextFormattedCitation":"34–39","previouslyFormattedCitation":"&lt;sup&gt;34–39&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34–39</w:t>
      </w:r>
      <w:r w:rsidRPr="001B4B9F">
        <w:rPr>
          <w:bCs/>
          <w:iCs/>
        </w:rPr>
        <w:fldChar w:fldCharType="end"/>
      </w:r>
      <w:r w:rsidRPr="001B4B9F">
        <w:rPr>
          <w:bCs/>
          <w:iCs/>
          <w:lang w:val="en"/>
        </w:rPr>
        <w:t xml:space="preserve"> Temporal methods are commonly used in conservation genetic studies and management as they can detect population declines </w:t>
      </w:r>
      <w:r w:rsidR="006A7615">
        <w:rPr>
          <w:bCs/>
          <w:iCs/>
          <w:lang w:val="en"/>
        </w:rPr>
        <w:t>up to as rapidly as</w:t>
      </w:r>
      <w:r w:rsidRPr="001B4B9F">
        <w:rPr>
          <w:bCs/>
          <w:iCs/>
          <w:lang w:val="en"/>
        </w:rPr>
        <w:t xml:space="preserve"> one generation post-</w:t>
      </w:r>
      <w:r w:rsidR="006A7615">
        <w:rPr>
          <w:bCs/>
          <w:iCs/>
          <w:lang w:val="en"/>
        </w:rPr>
        <w:t xml:space="preserve">population </w:t>
      </w:r>
      <w:r w:rsidRPr="001B4B9F">
        <w:rPr>
          <w:bCs/>
          <w:iCs/>
          <w:lang w:val="en"/>
        </w:rPr>
        <w:t>decline</w:t>
      </w:r>
      <w:r w:rsidRPr="001B4B9F">
        <w:rPr>
          <w:bCs/>
          <w:iCs/>
          <w:lang w:val="en"/>
        </w:rPr>
        <w:fldChar w:fldCharType="begin" w:fldLock="1"/>
      </w:r>
      <w:r w:rsidRPr="001B4B9F">
        <w:rPr>
          <w:bCs/>
          <w:iCs/>
          <w:lang w:val="en"/>
        </w:rPr>
        <w:instrText>ADDIN CSL_CITATION {"citationItems":[{"id":"ITEM-1","itemData":{"DOI":"10.1111/j.1752-4571.2010.00150.x","ISBN":"1752-4571","ISSN":"17524563","PMID":"25567959","abstract":"Early detection of population declines is essential to prevent extinctions and to ensure sustainable harvest. We evaluated the performance of two Ne estimators to detect population declines: the two-sample temporal method and a one-sample method based on linkage disequilibrium (LD). We used simulated data representing a wide range of population sizes, sample sizes and number of loci. Both methods usually detect a population decline only one generation after it occurs if Ne drops to less than approximately 100, and 40 microsatellite loci and 50 individuals are sampled. However, the LD method often out performed the temporal method by allowing earlier detection of less severe population declines (Ne approximately 200). Power for early detection increased more rapidly with the number of individuals sampled than with the number of loci genotyped, primarily for the LD method. The number of samples available is therefore an important criterion when choosing between the LD and temporal methods. We provide guidelines regarding design of studies targeted at monitoring for population declines. We also report that 40 single nucleotide polymorphism (SNP) markers give slightly lower precision than 10 microsatellite markers. Our results suggest that conservation management and monitoring strategies can reliably use genetic based methods for early detection of population declines.","author":[{"dropping-particle":"","family":"Antao","given":"Tiago","non-dropping-particle":"","parse-names":false,"suffix":""},{"dropping-particle":"","family":"Pérez-Figueroa","given":"Andrés","non-dropping-particle":"","parse-names":false,"suffix":""},{"dropping-particle":"","family":"Luikart","given":"Gordon","non-dropping-particle":"","parse-names":false,"suffix":""}],"container-title":"Evolutionary Applications","id":"ITEM-1","issue":"1","issued":{"date-parts":[["2011"]]},"page":"144-154","title":"Early detection of population declines: High power of genetic monitoring using effective population size estimators","type":"article-journal","volume":"4"},"uris":["http://www.mendeley.com/documents/?uuid=e56e71c8-ef6d-4dd9-9156-928797a28828"]}],"mendeley":{"formattedCitation":"&lt;sup&gt;40&lt;/sup&gt;","plainTextFormattedCitation":"40","previouslyFormattedCitation":"&lt;sup&gt;40&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40</w:t>
      </w:r>
      <w:r w:rsidRPr="001B4B9F">
        <w:rPr>
          <w:bCs/>
          <w:iCs/>
        </w:rPr>
        <w:fldChar w:fldCharType="end"/>
      </w:r>
      <w:r w:rsidRPr="001B4B9F">
        <w:rPr>
          <w:bCs/>
          <w:iCs/>
          <w:lang w:val="en"/>
        </w:rPr>
        <w:t xml:space="preserve"> and reliably detect population declines ten generations post decline.</w:t>
      </w:r>
      <w:r w:rsidRPr="001B4B9F">
        <w:rPr>
          <w:bCs/>
          <w:iCs/>
          <w:lang w:val="en"/>
        </w:rPr>
        <w:fldChar w:fldCharType="begin" w:fldLock="1"/>
      </w:r>
      <w:r w:rsidRPr="001B4B9F">
        <w:rPr>
          <w:bCs/>
          <w:iCs/>
          <w:lang w:val="en"/>
        </w:rPr>
        <w:instrText>ADDIN CSL_CITATION {"citationItems":[{"id":"ITEM-1","itemData":{"DOI":"10.1038/s41437-017-0037-y","ISSN":"13652540","abstract":"Large genomic data sets generated with restriction site-associated DNA sequencing (RADseq), in combination with demographic inference methods, are improving our ability to gain insights into the population history of species. We used a simulation approach to examine the potential for RADseq data sets to accurately estimate effective population size (N\n                e) over the course of stable and declining population trends, and we compare the ability of two methods of analysis to accurately distinguish stable from steadily declining populations over a contemporary time scale (20 generations). Using a linkage disequilibrium-based analysis, individual sampling (i.e., n ≥ 30) had the greatest effect on N\n                e estimation and the detection of population size declines, with declines reliably detected across scenarios ~10 generations after they began. Coalescent-based inference required fewer sampled individuals (i.e., n = 15), and instead was most influenced by the size of the SNP data set, with 25,000–50,000 SNPs required for accurate detection of population trends and at least 20 generations after decline began. The number of samples available and targeted number of RADseq loci are important criteria when choosing between these methods. Neither method suffered any apparent bias due to the effects of allele dropout typical of RAD data. With an understanding of the limitations and biases of these approaches, researchers can make more informed decisions when designing their sampling and analyses. Overall, our results reveal that demographic inference using RADseq data can be successfully applied to infer recent population size change and may be an important tool for population monitoring and conservation biology.","author":[{"dropping-particle":"","family":"Nunziata","given":"Schyler O.","non-dropping-particle":"","parse-names":false,"suffix":""},{"dropping-particle":"","family":"Weisrock","given":"David W.","non-dropping-particle":"","parse-names":false,"suffix":""}],"container-title":"Heredity","id":"ITEM-1","issue":"3","issued":{"date-parts":[["2018"]]},"page":"196-207","title":"Estimation of contemporary effective population size and population declines using RAD sequence data","type":"article-journal","volume":"120"},"uris":["http://www.mendeley.com/documents/?uuid=9799aed3-713c-48ef-99d2-e5c2a4b0e2e5"]}],"mendeley":{"formattedCitation":"&lt;sup&gt;14&lt;/sup&gt;","plainTextFormattedCitation":"14","previouslyFormattedCitation":"&lt;sup&gt;14&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14</w:t>
      </w:r>
      <w:r w:rsidRPr="001B4B9F">
        <w:rPr>
          <w:bCs/>
          <w:iCs/>
        </w:rPr>
        <w:fldChar w:fldCharType="end"/>
      </w:r>
      <w:r w:rsidRPr="001B4B9F">
        <w:rPr>
          <w:bCs/>
          <w:iCs/>
          <w:lang w:val="en"/>
        </w:rPr>
        <w:t xml:space="preserve"> Early and reliable detection of diminished genetic diversity is </w:t>
      </w:r>
      <w:commentRangeStart w:id="7"/>
      <w:r w:rsidRPr="001B4B9F">
        <w:rPr>
          <w:bCs/>
          <w:iCs/>
          <w:lang w:val="en"/>
        </w:rPr>
        <w:t>important</w:t>
      </w:r>
      <w:r w:rsidR="00A85784">
        <w:rPr>
          <w:bCs/>
          <w:iCs/>
          <w:lang w:val="en"/>
        </w:rPr>
        <w:t>.</w:t>
      </w:r>
      <w:r w:rsidRPr="001B4B9F">
        <w:rPr>
          <w:bCs/>
          <w:iCs/>
          <w:lang w:val="en"/>
        </w:rPr>
        <w:t xml:space="preserve"> </w:t>
      </w:r>
      <w:r w:rsidR="00A85784">
        <w:rPr>
          <w:bCs/>
          <w:iCs/>
          <w:lang w:val="en"/>
        </w:rPr>
        <w:t>W</w:t>
      </w:r>
      <w:r w:rsidRPr="001B4B9F">
        <w:rPr>
          <w:bCs/>
          <w:iCs/>
          <w:lang w:val="en"/>
        </w:rPr>
        <w:t xml:space="preserve">hen </w:t>
      </w:r>
      <w:commentRangeEnd w:id="7"/>
      <w:r w:rsidR="00A85784">
        <w:rPr>
          <w:rStyle w:val="CommentReference"/>
        </w:rPr>
        <w:commentReference w:id="7"/>
      </w:r>
      <w:r w:rsidRPr="001B4B9F">
        <w:rPr>
          <w:bCs/>
          <w:iCs/>
          <w:lang w:val="en"/>
        </w:rPr>
        <w:t>protecting endangered species</w:t>
      </w:r>
      <w:r w:rsidR="00A85784">
        <w:rPr>
          <w:bCs/>
          <w:iCs/>
          <w:lang w:val="en"/>
        </w:rPr>
        <w:t>, it is often critical</w:t>
      </w:r>
      <w:r w:rsidRPr="001B4B9F">
        <w:rPr>
          <w:bCs/>
          <w:iCs/>
          <w:lang w:val="en"/>
        </w:rPr>
        <w:t xml:space="preserve"> </w:t>
      </w:r>
      <w:r w:rsidR="006A7615">
        <w:rPr>
          <w:bCs/>
          <w:iCs/>
          <w:lang w:val="en"/>
        </w:rPr>
        <w:t>to</w:t>
      </w:r>
      <w:r w:rsidRPr="001B4B9F">
        <w:rPr>
          <w:bCs/>
          <w:iCs/>
          <w:lang w:val="en"/>
        </w:rPr>
        <w:t xml:space="preserve"> seek to increase or maintain genetic diversity, as </w:t>
      </w:r>
      <w:r w:rsidR="00A85784">
        <w:rPr>
          <w:bCs/>
          <w:iCs/>
          <w:lang w:val="en"/>
        </w:rPr>
        <w:t xml:space="preserve">genetic variation </w:t>
      </w:r>
      <w:r w:rsidRPr="001B4B9F">
        <w:rPr>
          <w:bCs/>
          <w:iCs/>
          <w:lang w:val="en"/>
        </w:rPr>
        <w:t xml:space="preserve">is the raw component </w:t>
      </w:r>
      <w:r w:rsidR="00A85784">
        <w:rPr>
          <w:bCs/>
          <w:iCs/>
          <w:lang w:val="en"/>
        </w:rPr>
        <w:t>that</w:t>
      </w:r>
      <w:r w:rsidRPr="001B4B9F">
        <w:rPr>
          <w:bCs/>
          <w:iCs/>
          <w:lang w:val="en"/>
        </w:rPr>
        <w:t xml:space="preserve"> natural selection act</w:t>
      </w:r>
      <w:r w:rsidR="00A85784">
        <w:rPr>
          <w:bCs/>
          <w:iCs/>
          <w:lang w:val="en"/>
        </w:rPr>
        <w:t>s</w:t>
      </w:r>
      <w:r w:rsidRPr="001B4B9F">
        <w:rPr>
          <w:bCs/>
          <w:iCs/>
          <w:lang w:val="en"/>
        </w:rPr>
        <w:t xml:space="preserve"> </w:t>
      </w:r>
      <w:r w:rsidR="00A85784">
        <w:rPr>
          <w:bCs/>
          <w:iCs/>
          <w:lang w:val="en"/>
        </w:rPr>
        <w:t>up</w:t>
      </w:r>
      <w:r w:rsidRPr="001B4B9F">
        <w:rPr>
          <w:bCs/>
          <w:iCs/>
          <w:lang w:val="en"/>
        </w:rPr>
        <w:t>on</w:t>
      </w:r>
      <w:r w:rsidR="00A85784">
        <w:rPr>
          <w:bCs/>
          <w:iCs/>
          <w:lang w:val="en"/>
        </w:rPr>
        <w:t xml:space="preserve">. </w:t>
      </w:r>
      <w:commentRangeStart w:id="8"/>
      <w:r w:rsidR="006A7615">
        <w:rPr>
          <w:bCs/>
          <w:iCs/>
          <w:lang w:val="en"/>
        </w:rPr>
        <w:t xml:space="preserve">and better </w:t>
      </w:r>
      <w:r w:rsidR="00D17773">
        <w:rPr>
          <w:bCs/>
          <w:iCs/>
          <w:lang w:val="en"/>
        </w:rPr>
        <w:t>understand</w:t>
      </w:r>
      <w:r w:rsidR="006A7615">
        <w:rPr>
          <w:bCs/>
          <w:iCs/>
          <w:lang w:val="en"/>
        </w:rPr>
        <w:t xml:space="preserve"> how management practices may be effecting the genetic diversity of </w:t>
      </w:r>
      <w:r w:rsidR="00D17773">
        <w:rPr>
          <w:bCs/>
          <w:iCs/>
          <w:lang w:val="en"/>
        </w:rPr>
        <w:t>populations</w:t>
      </w:r>
      <w:r w:rsidRPr="001B4B9F">
        <w:rPr>
          <w:bCs/>
          <w:iCs/>
          <w:lang w:val="en"/>
        </w:rPr>
        <w:t xml:space="preserve">. </w:t>
      </w:r>
      <w:commentRangeEnd w:id="8"/>
      <w:r w:rsidR="00A85784">
        <w:rPr>
          <w:rStyle w:val="CommentReference"/>
        </w:rPr>
        <w:commentReference w:id="8"/>
      </w:r>
      <w:r w:rsidRPr="001B4B9F">
        <w:rPr>
          <w:bCs/>
          <w:iCs/>
          <w:lang w:val="en"/>
        </w:rPr>
        <w:fldChar w:fldCharType="begin" w:fldLock="1"/>
      </w:r>
      <w:r w:rsidRPr="001B4B9F">
        <w:rPr>
          <w:bCs/>
          <w:iCs/>
          <w:lang w:val="en"/>
        </w:rPr>
        <w:instrText>ADDIN CSL_CITATION {"citationItems":[{"id":"ITEM-1","itemData":{"ISBN":"0716735970","author":[{"dropping-particle":"","family":"Griffiths","given":"AJF","non-dropping-particle":"","parse-names":false,"suffix":""},{"dropping-particle":"","family":"Gelbart","given":"WH","non-dropping-particle":"","parse-names":false,"suffix":""},{"dropping-particle":"","family":"Miller","given":"JH","non-dropping-particle":"","parse-names":false,"suffix":""},{"dropping-particle":"","family":"Lewontin","given":"RC","non-dropping-particle":"","parse-names":false,"suffix":""}],"id":"ITEM-1","issued":{"date-parts":[["1999"]]},"publisher":"W. H. Freeman","publisher-place":"New York","title":"Modern Genetic Analysis","type":"book"},"uris":["http://www.mendeley.com/documents/?uuid=ca0575f2-5cc7-4d4b-b9ef-2e584a2786db"]}],"mendeley":{"formattedCitation":"&lt;sup&gt;41&lt;/sup&gt;","plainTextFormattedCitation":"41","previouslyFormattedCitation":"&lt;sup&gt;41&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41</w:t>
      </w:r>
      <w:r w:rsidRPr="001B4B9F">
        <w:rPr>
          <w:bCs/>
          <w:iCs/>
        </w:rPr>
        <w:fldChar w:fldCharType="end"/>
      </w:r>
    </w:p>
    <w:p w14:paraId="7E805A46" w14:textId="77777777" w:rsidR="001B4B9F" w:rsidRPr="001B4B9F" w:rsidRDefault="001B4B9F" w:rsidP="00261AAC">
      <w:pPr>
        <w:ind w:right="270"/>
        <w:jc w:val="both"/>
        <w:rPr>
          <w:bCs/>
          <w:iCs/>
          <w:lang w:val="en"/>
        </w:rPr>
      </w:pPr>
      <w:r w:rsidRPr="001B4B9F">
        <w:rPr>
          <w:bCs/>
          <w:iCs/>
          <w:lang w:val="en"/>
        </w:rPr>
        <w:t xml:space="preserve"> </w:t>
      </w:r>
    </w:p>
    <w:p w14:paraId="1D143A46" w14:textId="645F617C" w:rsidR="001B4B9F" w:rsidRPr="001B4B9F" w:rsidRDefault="001B4B9F" w:rsidP="00261AAC">
      <w:pPr>
        <w:ind w:right="270"/>
        <w:jc w:val="both"/>
        <w:rPr>
          <w:bCs/>
          <w:iCs/>
          <w:lang w:val="en"/>
        </w:rPr>
      </w:pPr>
      <w:r w:rsidRPr="001B4B9F">
        <w:rPr>
          <w:bCs/>
          <w:iCs/>
          <w:lang w:val="en"/>
        </w:rPr>
        <w:t xml:space="preserve">Two previous studies estimated contemporary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D86096">
        <w:rPr>
          <w:bCs/>
          <w:iCs/>
          <w:lang w:val="en"/>
        </w:rPr>
        <w:t xml:space="preserve"> </w:t>
      </w:r>
      <w:r w:rsidRPr="001B4B9F">
        <w:rPr>
          <w:bCs/>
          <w:iCs/>
          <w:lang w:val="en"/>
        </w:rPr>
        <w:t>in the wild population of delta smelt using 12-15</w:t>
      </w:r>
      <w:ins w:id="9" w:author="Microsoft Office User" w:date="2021-06-02T09:35:00Z">
        <w:r w:rsidR="00A85784">
          <w:rPr>
            <w:bCs/>
            <w:iCs/>
            <w:lang w:val="en"/>
          </w:rPr>
          <w:t xml:space="preserve"> </w:t>
        </w:r>
      </w:ins>
      <m:oMath>
        <m:r>
          <w:rPr>
            <w:rFonts w:ascii="Cambria Math" w:hAnsi="Cambria Math"/>
            <w:lang w:val="en"/>
          </w:rPr>
          <m:t>μsat</m:t>
        </m:r>
      </m:oMath>
      <w:r w:rsidRPr="001B4B9F">
        <w:rPr>
          <w:bCs/>
          <w:iCs/>
          <w:lang w:val="en"/>
        </w:rPr>
        <w:t xml:space="preserve"> markers. Fisch et al. 2011 found the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to be decreasing </w:t>
      </w:r>
      <w:r w:rsidR="00A85784">
        <w:rPr>
          <w:bCs/>
          <w:iCs/>
          <w:lang w:val="en"/>
        </w:rPr>
        <w:t>during the</w:t>
      </w:r>
      <w:r w:rsidRPr="001B4B9F">
        <w:rPr>
          <w:bCs/>
          <w:iCs/>
          <w:lang w:val="en"/>
        </w:rPr>
        <w:t xml:space="preserve"> 2003 to 2009 study period</w:t>
      </w:r>
      <w:r w:rsidR="006A7615" w:rsidRPr="001B4B9F">
        <w:rPr>
          <w:bCs/>
          <w:iCs/>
          <w:lang w:val="en"/>
        </w:rPr>
        <w:fldChar w:fldCharType="begin" w:fldLock="1"/>
      </w:r>
      <w:r w:rsidR="006A7615" w:rsidRPr="001B4B9F">
        <w:rPr>
          <w:bCs/>
          <w:iCs/>
          <w:lang w:val="en"/>
        </w:rPr>
        <w:instrText>ADDIN CSL_CITATION {"citationItems":[{"id":"ITEM-1","itemData":{"DOI":"10.1007/s10592-011-0240-y","ISBN":"1566-0621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Genetics","id":"ITEM-1","issue":"6","issued":{"date-parts":[["2011"]]},"page":"1421-1434","title":"Population genetics and conservation implications for the endangered delta smelt in the San Francisco Bay-Delta","type":"article-journal","volume":"12"},"uris":["http://www.mendeley.com/documents/?uuid=23e53af3-288d-48bc-b9a7-174ca5e00a87"]}],"mendeley":{"formattedCitation":"&lt;sup&gt;3&lt;/sup&gt;","plainTextFormattedCitation":"3","previouslyFormattedCitation":"&lt;sup&gt;3&lt;/sup&gt;"},"properties":{"noteIndex":0},"schema":"https://github.com/citation-style-language/schema/raw/master/csl-citation.json"}</w:instrText>
      </w:r>
      <w:r w:rsidR="006A7615" w:rsidRPr="001B4B9F">
        <w:rPr>
          <w:bCs/>
          <w:iCs/>
          <w:lang w:val="en"/>
        </w:rPr>
        <w:fldChar w:fldCharType="separate"/>
      </w:r>
      <w:r w:rsidR="006A7615" w:rsidRPr="001B4B9F">
        <w:rPr>
          <w:bCs/>
          <w:iCs/>
          <w:vertAlign w:val="superscript"/>
          <w:lang w:val="en"/>
        </w:rPr>
        <w:t>3</w:t>
      </w:r>
      <w:r w:rsidR="006A7615" w:rsidRPr="001B4B9F">
        <w:rPr>
          <w:bCs/>
          <w:iCs/>
        </w:rPr>
        <w:fldChar w:fldCharType="end"/>
      </w:r>
      <w:r w:rsidRPr="001B4B9F">
        <w:rPr>
          <w:bCs/>
          <w:iCs/>
          <w:lang w:val="en"/>
        </w:rPr>
        <w:t xml:space="preserve">. In contrast, Finger et al. 2017 found the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could not be accurately estimated from 2011 to 2014 due to infinite confidence intervals</w:t>
      </w:r>
      <w:r w:rsidR="006A7615" w:rsidRPr="001B4B9F">
        <w:rPr>
          <w:bCs/>
          <w:iCs/>
          <w:lang w:val="en"/>
        </w:rPr>
        <w:fldChar w:fldCharType="begin" w:fldLock="1"/>
      </w:r>
      <w:r w:rsidR="006A7615" w:rsidRPr="001B4B9F">
        <w:rPr>
          <w:bCs/>
          <w:iCs/>
          <w:lang w:val="en"/>
        </w:rPr>
        <w:instrText>ADDIN CSL_CITATION {"citationItems":[{"id":"ITEM-1","itemData":{"DOI":"10.15447/sfews.2017v15iss2art5","ISSN":"15462366","abstract":"Delta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diversity.","author":[{"dropping-particle":"","family":"Finger","given":"Amanda J.","non-dropping-particle":"","parse-names":false,"suffix":""},{"dropping-particle":"","family":"Schumer","given":"Gregg","non-dropping-particle":"","parse-names":false,"suffix":""},{"dropping-particle":"","family":"Benjamin","given":"Alyssa","non-dropping-particle":"","parse-names":false,"suffix":""},{"dropping-particle":"","family":"Blankenship","given":"Scott","non-dropping-particle":"","parse-names":false,"suffix":""}],"container-title":"San Francisco Estuary and Watershed Science","id":"ITEM-1","issue":"2","issued":{"date-parts":[["2017"]]},"title":"Evaluation and Interpretation of Genetic Effective Population Size of Delta Smelt from 2011–2014","type":"article-journal","volume":"15"},"uris":["http://www.mendeley.com/documents/?uuid=8a1fff3b-b484-4eba-a7c8-379c034ef16f"]}],"mendeley":{"formattedCitation":"&lt;sup&gt;2&lt;/sup&gt;","plainTextFormattedCitation":"2","previouslyFormattedCitation":"&lt;sup&gt;2&lt;/sup&gt;"},"properties":{"noteIndex":0},"schema":"https://github.com/citation-style-language/schema/raw/master/csl-citation.json"}</w:instrText>
      </w:r>
      <w:r w:rsidR="006A7615" w:rsidRPr="001B4B9F">
        <w:rPr>
          <w:bCs/>
          <w:iCs/>
          <w:lang w:val="en"/>
        </w:rPr>
        <w:fldChar w:fldCharType="separate"/>
      </w:r>
      <w:r w:rsidR="006A7615" w:rsidRPr="001B4B9F">
        <w:rPr>
          <w:bCs/>
          <w:iCs/>
          <w:vertAlign w:val="superscript"/>
          <w:lang w:val="en"/>
        </w:rPr>
        <w:t>2</w:t>
      </w:r>
      <w:r w:rsidR="006A7615" w:rsidRPr="001B4B9F">
        <w:rPr>
          <w:bCs/>
          <w:iCs/>
        </w:rPr>
        <w:fldChar w:fldCharType="end"/>
      </w:r>
      <w:r w:rsidRPr="001B4B9F">
        <w:rPr>
          <w:bCs/>
          <w:iCs/>
          <w:lang w:val="en"/>
        </w:rPr>
        <w:t>. Multiple factors may have contributed to this discrepancy: 1) different versions of NeEstimator</w:t>
      </w:r>
      <w:r w:rsidRPr="001B4B9F">
        <w:rPr>
          <w:bCs/>
          <w:iCs/>
          <w:lang w:val="en"/>
        </w:rPr>
        <w:fldChar w:fldCharType="begin" w:fldLock="1"/>
      </w:r>
      <w:r w:rsidRPr="001B4B9F">
        <w:rPr>
          <w:bCs/>
          <w:iCs/>
          <w:lang w:val="en"/>
        </w:rPr>
        <w:instrText>ADDIN CSL_CITATION {"citationItems":[{"id":"ITEM-1","itemData":{"author":[{"dropping-particle":"","family":"Peel","given":"D.","non-dropping-particle":"","parse-names":false,"suffix":""},{"dropping-particle":"","family":"Ovenden","given":"J. R.","non-dropping-particle":"","parse-names":false,"suffix":""},{"dropping-particle":"","family":"Peel","given":"S.L.","non-dropping-particle":"","parse-names":false,"suffix":""}],"container-title":"Department of Primary Industries and Fisheries, Queensland Government, Brisbane","id":"ITEM-1","issued":{"date-parts":[["2004"]]},"title":"NeEstimator: software for estimating effective population size (version 1.3).","type":"article-journal"},"uris":["http://www.mendeley.com/documents/?uuid=7bc61e7d-d5ef-494d-b56e-0302c53f4652"]},{"id":"ITEM-2","itemData":{"DOI":"10.1111/1755-0998.12157","author":[{"dropping-particle":"","family":"Do","given":"Chi","non-dropping-particle":"","parse-names":false,"suffix":""},{"dropping-particle":"","family":"Waples","given":"Robin S.","non-dropping-particle":"","parse-names":false,"suffix":""},{"dropping-particle":"","family":"Peel","given":"D.","non-dropping-particle":"","parse-names":false,"suffix":""},{"dropping-particle":"","family":"Macbeth","given":"G. M.","non-dropping-particle":"","parse-names":false,"suffix":""},{"dropping-particle":"","family":"Tillett","given":"J.","non-dropping-particle":"","parse-names":false,"suffix":""},{"dropping-particle":"","family":"Ovenden","given":"J. R.","non-dropping-particle":"","parse-names":false,"suffix":""}],"container-title":"Molecular Ecology Resources","id":"ITEM-2","issued":{"date-parts":[["2014"]]},"page":"209-214","title":"Ne ESTIMATOR v2 : re - implementation of software for the estimation of contemporary effective population size ( N e ) from genetic data","type":"article-journal","volume":"14"},"uris":["http://www.mendeley.com/documents/?uuid=8dc3e6a5-7528-4e13-ad54-3450be07e314"]}],"mendeley":{"formattedCitation":"&lt;sup&gt;42,43&lt;/sup&gt;","plainTextFormattedCitation":"42,43","previouslyFormattedCitation":"&lt;sup&gt;42,43&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42,43</w:t>
      </w:r>
      <w:r w:rsidRPr="001B4B9F">
        <w:rPr>
          <w:bCs/>
          <w:iCs/>
        </w:rPr>
        <w:fldChar w:fldCharType="end"/>
      </w:r>
      <w:r w:rsidRPr="001B4B9F">
        <w:rPr>
          <w:bCs/>
          <w:iCs/>
          <w:lang w:val="en"/>
        </w:rPr>
        <w:t xml:space="preserve"> were used between the two studies; 2) differences in the number of informative loci analyzed; or 3) the number of generations factored into the analysis. </w:t>
      </w:r>
      <w:r w:rsidR="006A7615">
        <w:rPr>
          <w:bCs/>
          <w:iCs/>
          <w:lang w:val="en"/>
        </w:rPr>
        <w:t xml:space="preserve">We sought to gain a broad understanding of the genetic diversity of delta smelt by estimating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6A7615" w:rsidRPr="001B4B9F">
        <w:rPr>
          <w:bCs/>
          <w:iCs/>
          <w:lang w:val="en"/>
        </w:rPr>
        <w:t xml:space="preserve"> </w:t>
      </w:r>
      <w:r w:rsidR="006A7615">
        <w:rPr>
          <w:bCs/>
          <w:iCs/>
          <w:lang w:val="en"/>
        </w:rPr>
        <w:t xml:space="preserve"> through a longer timeframe––from 1995 to 2019</w:t>
      </w:r>
      <w:r w:rsidR="00D17773">
        <w:rPr>
          <w:bCs/>
          <w:iCs/>
          <w:lang w:val="en"/>
        </w:rPr>
        <w:t>––and using more markers</w:t>
      </w:r>
      <w:r w:rsidR="006A7615">
        <w:rPr>
          <w:bCs/>
          <w:iCs/>
          <w:lang w:val="en"/>
        </w:rPr>
        <w:t>.</w:t>
      </w:r>
    </w:p>
    <w:p w14:paraId="77D8C357" w14:textId="6C429A2F" w:rsidR="001B4B9F" w:rsidRDefault="001B4B9F" w:rsidP="00261AAC">
      <w:pPr>
        <w:ind w:right="270"/>
        <w:jc w:val="both"/>
        <w:rPr>
          <w:bCs/>
          <w:iCs/>
        </w:rPr>
      </w:pPr>
    </w:p>
    <w:p w14:paraId="026803A4" w14:textId="1521FD10" w:rsidR="00984AE7" w:rsidRPr="00D96AC9" w:rsidRDefault="00984AE7" w:rsidP="00261AAC">
      <w:pPr>
        <w:ind w:right="270"/>
        <w:jc w:val="both"/>
        <w:rPr>
          <w:b/>
          <w:i/>
        </w:rPr>
      </w:pPr>
      <w:r w:rsidRPr="00490077">
        <w:rPr>
          <w:b/>
          <w:i/>
        </w:rPr>
        <w:t xml:space="preserve">Sample </w:t>
      </w:r>
      <w:r w:rsidR="00DE7590">
        <w:rPr>
          <w:b/>
          <w:i/>
        </w:rPr>
        <w:t>acquisition</w:t>
      </w:r>
      <w:r w:rsidR="00A85974">
        <w:rPr>
          <w:b/>
          <w:i/>
        </w:rPr>
        <w:t xml:space="preserve"> &amp; sequencing</w:t>
      </w:r>
    </w:p>
    <w:p w14:paraId="6B60537D" w14:textId="77777777" w:rsidR="00984AE7" w:rsidRPr="000D71F5" w:rsidRDefault="00984AE7" w:rsidP="00261AAC">
      <w:pPr>
        <w:ind w:right="270"/>
        <w:jc w:val="both"/>
        <w:rPr>
          <w:i/>
        </w:rPr>
      </w:pPr>
      <w:r w:rsidRPr="000D71F5">
        <w:rPr>
          <w:i/>
        </w:rPr>
        <w:t>Methods</w:t>
      </w:r>
    </w:p>
    <w:p w14:paraId="2802C450" w14:textId="491321DC" w:rsidR="001B4B9F" w:rsidRPr="001B4B9F" w:rsidRDefault="001B4B9F" w:rsidP="00261AAC">
      <w:pPr>
        <w:ind w:right="270"/>
        <w:jc w:val="both"/>
        <w:rPr>
          <w:bCs/>
          <w:iCs/>
          <w:lang w:val="en"/>
        </w:rPr>
      </w:pPr>
      <w:r w:rsidRPr="001B4B9F">
        <w:rPr>
          <w:bCs/>
          <w:iCs/>
          <w:lang w:val="en"/>
        </w:rPr>
        <w:t xml:space="preserve">We </w:t>
      </w:r>
      <w:r w:rsidR="00A85974">
        <w:rPr>
          <w:bCs/>
          <w:iCs/>
          <w:lang w:val="en"/>
        </w:rPr>
        <w:t xml:space="preserve">collected and </w:t>
      </w:r>
      <w:r w:rsidRPr="001B4B9F">
        <w:rPr>
          <w:bCs/>
          <w:iCs/>
          <w:lang w:val="en"/>
        </w:rPr>
        <w:t xml:space="preserve">sequenced archived samples </w:t>
      </w:r>
      <w:r w:rsidR="00D17773">
        <w:rPr>
          <w:bCs/>
          <w:iCs/>
          <w:lang w:val="en"/>
        </w:rPr>
        <w:t>obtained</w:t>
      </w:r>
      <w:r w:rsidRPr="001B4B9F">
        <w:rPr>
          <w:bCs/>
          <w:iCs/>
          <w:lang w:val="en"/>
        </w:rPr>
        <w:t xml:space="preserve"> in state and federal trawls from 1993-2</w:t>
      </w:r>
      <w:r w:rsidR="006A7615">
        <w:rPr>
          <w:bCs/>
          <w:iCs/>
          <w:lang w:val="en"/>
        </w:rPr>
        <w:t>0</w:t>
      </w:r>
      <w:r w:rsidR="00A85974">
        <w:rPr>
          <w:bCs/>
          <w:iCs/>
          <w:lang w:val="en"/>
        </w:rPr>
        <w:t>24</w:t>
      </w:r>
      <w:r w:rsidRPr="001B4B9F">
        <w:rPr>
          <w:bCs/>
          <w:iCs/>
          <w:lang w:val="en"/>
        </w:rPr>
        <w:t xml:space="preserve">. Contemporary samples were collected </w:t>
      </w:r>
      <w:r w:rsidR="00A85974">
        <w:rPr>
          <w:bCs/>
          <w:iCs/>
          <w:lang w:val="en"/>
        </w:rPr>
        <w:t xml:space="preserve">and transferred into the custody of the Genomic Variation Laboratory </w:t>
      </w:r>
      <w:r w:rsidRPr="001B4B9F">
        <w:rPr>
          <w:bCs/>
          <w:iCs/>
          <w:lang w:val="en"/>
        </w:rPr>
        <w:t>as fin clips by Interagency Ecological Program surveys from 2015-20</w:t>
      </w:r>
      <w:r w:rsidR="00A85974">
        <w:rPr>
          <w:bCs/>
          <w:iCs/>
          <w:lang w:val="en"/>
        </w:rPr>
        <w:t>20</w:t>
      </w:r>
      <w:r w:rsidRPr="001B4B9F">
        <w:rPr>
          <w:bCs/>
          <w:iCs/>
          <w:lang w:val="en"/>
        </w:rPr>
        <w:t xml:space="preserve">. Genomic DNA </w:t>
      </w:r>
      <w:r w:rsidR="00A85974">
        <w:rPr>
          <w:bCs/>
          <w:iCs/>
          <w:lang w:val="en"/>
        </w:rPr>
        <w:t>was</w:t>
      </w:r>
      <w:r w:rsidRPr="001B4B9F">
        <w:rPr>
          <w:bCs/>
          <w:iCs/>
          <w:lang w:val="en"/>
        </w:rPr>
        <w:t xml:space="preserve"> extracted using Qiagen </w:t>
      </w:r>
      <w:proofErr w:type="spellStart"/>
      <w:r w:rsidRPr="001B4B9F">
        <w:rPr>
          <w:bCs/>
          <w:iCs/>
          <w:lang w:val="en"/>
        </w:rPr>
        <w:t>DNeasy</w:t>
      </w:r>
      <w:proofErr w:type="spellEnd"/>
      <w:r w:rsidRPr="001B4B9F">
        <w:rPr>
          <w:bCs/>
          <w:iCs/>
          <w:lang w:val="en"/>
        </w:rPr>
        <w:t xml:space="preserve"> Blood and Tissue Kit (Qiagen, Valencia, CA) according to the manufacturer’s protocol. In order to produce a large number of loci in a </w:t>
      </w:r>
      <w:r w:rsidRPr="001B4B9F">
        <w:rPr>
          <w:bCs/>
          <w:iCs/>
          <w:lang w:val="en"/>
        </w:rPr>
        <w:lastRenderedPageBreak/>
        <w:t xml:space="preserve">cost-effective manner, restriction site associated DNA (RAD) sequencing was carried out for all individuals. RAD libraries were prepared using the </w:t>
      </w:r>
      <w:r w:rsidRPr="001B4B9F">
        <w:rPr>
          <w:bCs/>
          <w:i/>
          <w:iCs/>
          <w:lang w:val="en"/>
        </w:rPr>
        <w:t>Sbf1</w:t>
      </w:r>
      <w:r w:rsidRPr="001B4B9F">
        <w:rPr>
          <w:bCs/>
          <w:iCs/>
          <w:lang w:val="en"/>
        </w:rPr>
        <w:t xml:space="preserve"> restriction enzyme according to the ‘new RAD protocol’ described in Ali et al.</w:t>
      </w:r>
      <w:r w:rsidR="00BF7CCD">
        <w:rPr>
          <w:bCs/>
          <w:iCs/>
          <w:lang w:val="en"/>
        </w:rPr>
        <w:t>,</w:t>
      </w:r>
      <w:r w:rsidRPr="001B4B9F">
        <w:rPr>
          <w:bCs/>
          <w:iCs/>
          <w:lang w:val="en"/>
        </w:rPr>
        <w:fldChar w:fldCharType="begin" w:fldLock="1"/>
      </w:r>
      <w:r w:rsidRPr="001B4B9F">
        <w:rPr>
          <w:bCs/>
          <w:iCs/>
          <w:lang w:val="en"/>
        </w:rPr>
        <w:instrText>ADDIN CSL_CITATION {"citationItems":[{"id":"ITEM-1","itemData":{"DOI":"10.1534/genetics.115.183665","ISBN":"8013186628","ISSN":"19432631","PMID":"26715661","abstract":"Massively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R.","non-dropping-particle":"","parse-names":false,"suffix":""}],"container-title":"Genetics","id":"ITEM-1","issue":"2","issued":{"date-parts":[["2016"]]},"page":"389-400","title":"Rad capture (Rapture): Flexible and efficient sequence-based genotyping","type":"article-journal","volume":"202"},"uris":["http://www.mendeley.com/documents/?uuid=108c1601-9e2f-4f7b-81a8-b381c49c5d30"]}],"mendeley":{"formattedCitation":"&lt;sup&gt;44&lt;/sup&gt;","plainTextFormattedCitation":"44","previouslyFormattedCitation":"&lt;sup&gt;44&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44</w:t>
      </w:r>
      <w:r w:rsidRPr="001B4B9F">
        <w:rPr>
          <w:bCs/>
          <w:iCs/>
        </w:rPr>
        <w:fldChar w:fldCharType="end"/>
      </w:r>
      <w:r w:rsidRPr="001B4B9F">
        <w:rPr>
          <w:bCs/>
          <w:iCs/>
          <w:lang w:val="en"/>
        </w:rPr>
        <w:t xml:space="preserve"> and sequenced 100 bp paired-end reads on an Illumina </w:t>
      </w:r>
      <w:proofErr w:type="spellStart"/>
      <w:r w:rsidRPr="001B4B9F">
        <w:rPr>
          <w:bCs/>
          <w:iCs/>
          <w:lang w:val="en"/>
        </w:rPr>
        <w:t>HiSeq</w:t>
      </w:r>
      <w:proofErr w:type="spellEnd"/>
      <w:r w:rsidRPr="001B4B9F">
        <w:rPr>
          <w:bCs/>
          <w:iCs/>
          <w:lang w:val="en"/>
        </w:rPr>
        <w:t xml:space="preserve"> 4000.</w:t>
      </w:r>
      <w:r w:rsidR="00DE7590">
        <w:rPr>
          <w:bCs/>
          <w:iCs/>
          <w:lang w:val="en"/>
        </w:rPr>
        <w:t xml:space="preserve"> </w:t>
      </w:r>
    </w:p>
    <w:p w14:paraId="0D31F6C0" w14:textId="58BB12EA" w:rsidR="001B4B9F" w:rsidRDefault="001B4B9F" w:rsidP="00261AAC">
      <w:pPr>
        <w:ind w:right="270"/>
        <w:jc w:val="both"/>
        <w:rPr>
          <w:bCs/>
          <w:iCs/>
          <w:lang w:val="en"/>
        </w:rPr>
      </w:pPr>
      <w:r w:rsidRPr="001B4B9F">
        <w:rPr>
          <w:bCs/>
          <w:iCs/>
          <w:lang w:val="en"/>
        </w:rPr>
        <w:t xml:space="preserve"> </w:t>
      </w:r>
    </w:p>
    <w:p w14:paraId="1BD1876E" w14:textId="109CF804" w:rsidR="00A85974" w:rsidRPr="00DA18B8" w:rsidRDefault="00A85974" w:rsidP="00261AAC">
      <w:pPr>
        <w:ind w:right="270"/>
        <w:jc w:val="both"/>
        <w:rPr>
          <w:bCs/>
          <w:i/>
          <w:lang w:val="en"/>
        </w:rPr>
      </w:pPr>
      <w:r w:rsidRPr="00DA18B8">
        <w:rPr>
          <w:bCs/>
          <w:i/>
          <w:lang w:val="en"/>
        </w:rPr>
        <w:t>Results</w:t>
      </w:r>
    </w:p>
    <w:p w14:paraId="70E36573" w14:textId="008A3A47" w:rsidR="00A85974" w:rsidRDefault="00A85974" w:rsidP="00261AAC">
      <w:pPr>
        <w:ind w:right="270"/>
        <w:jc w:val="both"/>
        <w:rPr>
          <w:bCs/>
          <w:iCs/>
          <w:lang w:val="en"/>
        </w:rPr>
      </w:pPr>
      <w:r>
        <w:rPr>
          <w:bCs/>
          <w:iCs/>
          <w:lang w:val="en"/>
        </w:rPr>
        <w:t>A total of 2,976 samples from 24 years spanning 27 generations were sequenced</w:t>
      </w:r>
      <w:commentRangeStart w:id="10"/>
      <w:r>
        <w:rPr>
          <w:bCs/>
          <w:iCs/>
          <w:lang w:val="en"/>
        </w:rPr>
        <w:t>.</w:t>
      </w:r>
      <w:commentRangeEnd w:id="10"/>
      <w:r w:rsidR="00A85784">
        <w:rPr>
          <w:rStyle w:val="CommentReference"/>
        </w:rPr>
        <w:commentReference w:id="10"/>
      </w:r>
      <w:r>
        <w:rPr>
          <w:bCs/>
          <w:iCs/>
          <w:lang w:val="en"/>
        </w:rPr>
        <w:t xml:space="preserve"> </w:t>
      </w:r>
    </w:p>
    <w:p w14:paraId="51EA74BB" w14:textId="26D0ED35" w:rsidR="00DA18B8" w:rsidRDefault="00DA18B8" w:rsidP="00261AAC">
      <w:pPr>
        <w:ind w:right="270"/>
        <w:jc w:val="both"/>
        <w:rPr>
          <w:bCs/>
          <w:iCs/>
          <w:lang w:val="en"/>
        </w:rPr>
      </w:pPr>
    </w:p>
    <w:p w14:paraId="3828D9E7" w14:textId="77777777" w:rsidR="00BD396E" w:rsidRDefault="00BD396E" w:rsidP="00261AAC">
      <w:pPr>
        <w:ind w:right="270"/>
        <w:jc w:val="both"/>
        <w:rPr>
          <w:bCs/>
          <w:iCs/>
          <w:lang w:val="en"/>
        </w:rPr>
      </w:pPr>
    </w:p>
    <w:p w14:paraId="022979CA" w14:textId="14C115FB" w:rsidR="00DA18B8" w:rsidRDefault="00DA18B8" w:rsidP="00261AAC">
      <w:pPr>
        <w:pStyle w:val="Heading2"/>
        <w:jc w:val="both"/>
        <w:rPr>
          <w:lang w:val="en"/>
        </w:rPr>
      </w:pPr>
      <w:r>
        <w:rPr>
          <w:lang w:val="en"/>
        </w:rPr>
        <w:t>Read processing</w:t>
      </w:r>
      <w:r w:rsidR="003273B3">
        <w:rPr>
          <w:lang w:val="en"/>
        </w:rPr>
        <w:t xml:space="preserve"> and </w:t>
      </w:r>
      <w:r>
        <w:rPr>
          <w:lang w:val="en"/>
        </w:rPr>
        <w:t>alignment</w:t>
      </w:r>
    </w:p>
    <w:p w14:paraId="6D960B3B" w14:textId="0B289597" w:rsidR="00DA18B8" w:rsidRPr="00DA18B8" w:rsidRDefault="00DA18B8" w:rsidP="00261AAC">
      <w:pPr>
        <w:ind w:right="270"/>
        <w:jc w:val="both"/>
        <w:rPr>
          <w:bCs/>
          <w:i/>
          <w:lang w:val="en"/>
        </w:rPr>
      </w:pPr>
      <w:r w:rsidRPr="00DA18B8">
        <w:rPr>
          <w:bCs/>
          <w:i/>
          <w:lang w:val="en"/>
        </w:rPr>
        <w:t>Methods</w:t>
      </w:r>
    </w:p>
    <w:p w14:paraId="0E010D19" w14:textId="4AF671D8" w:rsidR="003273B3" w:rsidRDefault="00DA18B8" w:rsidP="00261AAC">
      <w:pPr>
        <w:ind w:right="270"/>
        <w:jc w:val="both"/>
        <w:rPr>
          <w:bCs/>
          <w:iCs/>
          <w:lang w:val="en"/>
        </w:rPr>
      </w:pPr>
      <w:r>
        <w:rPr>
          <w:bCs/>
          <w:iCs/>
          <w:lang w:val="en"/>
        </w:rPr>
        <w:t>In order to</w:t>
      </w:r>
      <w:r w:rsidR="003273B3">
        <w:rPr>
          <w:bCs/>
          <w:iCs/>
          <w:lang w:val="en"/>
        </w:rPr>
        <w:t xml:space="preserve"> make demographic inferences, </w:t>
      </w:r>
      <w:r>
        <w:rPr>
          <w:bCs/>
          <w:iCs/>
          <w:lang w:val="en"/>
        </w:rPr>
        <w:t>alleles spread across the genome of different individuals and contained within and across particular generations</w:t>
      </w:r>
      <w:r w:rsidR="003273B3">
        <w:rPr>
          <w:bCs/>
          <w:iCs/>
          <w:lang w:val="en"/>
        </w:rPr>
        <w:t xml:space="preserve"> need to be compared. To do this,</w:t>
      </w:r>
      <w:r>
        <w:rPr>
          <w:bCs/>
          <w:iCs/>
          <w:lang w:val="en"/>
        </w:rPr>
        <w:t xml:space="preserve"> </w:t>
      </w:r>
      <w:r w:rsidR="003273B3">
        <w:rPr>
          <w:bCs/>
          <w:iCs/>
          <w:lang w:val="en"/>
        </w:rPr>
        <w:t xml:space="preserve">sequencing </w:t>
      </w:r>
      <w:r>
        <w:rPr>
          <w:bCs/>
          <w:iCs/>
          <w:lang w:val="en"/>
        </w:rPr>
        <w:t xml:space="preserve">data must be </w:t>
      </w:r>
      <w:r w:rsidR="003273B3">
        <w:rPr>
          <w:bCs/>
          <w:iCs/>
          <w:lang w:val="en"/>
        </w:rPr>
        <w:t>split into files</w:t>
      </w:r>
      <w:r w:rsidR="00E458FD">
        <w:rPr>
          <w:bCs/>
          <w:iCs/>
          <w:lang w:val="en"/>
        </w:rPr>
        <w:t xml:space="preserve"> corresponding to single individuals</w:t>
      </w:r>
      <w:r w:rsidR="003273B3">
        <w:rPr>
          <w:bCs/>
          <w:iCs/>
          <w:lang w:val="en"/>
        </w:rPr>
        <w:t>,</w:t>
      </w:r>
      <w:r>
        <w:rPr>
          <w:bCs/>
          <w:iCs/>
          <w:lang w:val="en"/>
        </w:rPr>
        <w:t xml:space="preserve"> </w:t>
      </w:r>
      <w:r w:rsidR="00E458FD">
        <w:rPr>
          <w:bCs/>
          <w:iCs/>
          <w:lang w:val="en"/>
        </w:rPr>
        <w:t xml:space="preserve">each individual sequencing file must be </w:t>
      </w:r>
      <w:r>
        <w:rPr>
          <w:bCs/>
          <w:iCs/>
          <w:lang w:val="en"/>
        </w:rPr>
        <w:t xml:space="preserve">aligned to </w:t>
      </w:r>
      <w:r w:rsidR="00AD49E9">
        <w:rPr>
          <w:bCs/>
          <w:iCs/>
          <w:lang w:val="en"/>
        </w:rPr>
        <w:t xml:space="preserve">the reference </w:t>
      </w:r>
      <w:r>
        <w:rPr>
          <w:bCs/>
          <w:iCs/>
          <w:lang w:val="en"/>
        </w:rPr>
        <w:t>genome</w:t>
      </w:r>
      <w:r w:rsidR="00AD49E9">
        <w:rPr>
          <w:bCs/>
          <w:iCs/>
          <w:lang w:val="en"/>
        </w:rPr>
        <w:t xml:space="preserve"> create</w:t>
      </w:r>
      <w:r w:rsidR="00827ACB">
        <w:rPr>
          <w:bCs/>
          <w:iCs/>
          <w:lang w:val="en"/>
        </w:rPr>
        <w:t>d</w:t>
      </w:r>
      <w:r w:rsidR="00AD49E9">
        <w:rPr>
          <w:bCs/>
          <w:iCs/>
          <w:lang w:val="en"/>
        </w:rPr>
        <w:t xml:space="preserve"> in Task 1</w:t>
      </w:r>
      <w:r w:rsidR="003273B3">
        <w:rPr>
          <w:bCs/>
          <w:iCs/>
          <w:lang w:val="en"/>
        </w:rPr>
        <w:t xml:space="preserve"> and have genotypes called</w:t>
      </w:r>
      <w:r w:rsidR="00E458FD">
        <w:rPr>
          <w:bCs/>
          <w:iCs/>
          <w:lang w:val="en"/>
        </w:rPr>
        <w:t xml:space="preserve"> for all individuals</w:t>
      </w:r>
      <w:r>
        <w:rPr>
          <w:bCs/>
          <w:iCs/>
          <w:lang w:val="en"/>
        </w:rPr>
        <w:t>.</w:t>
      </w:r>
    </w:p>
    <w:p w14:paraId="5B3A0A30" w14:textId="77777777" w:rsidR="003273B3" w:rsidRDefault="003273B3" w:rsidP="00261AAC">
      <w:pPr>
        <w:ind w:right="270"/>
        <w:jc w:val="both"/>
        <w:rPr>
          <w:bCs/>
          <w:iCs/>
          <w:lang w:val="en"/>
        </w:rPr>
      </w:pPr>
    </w:p>
    <w:p w14:paraId="4579C3DF" w14:textId="3A2BADE9" w:rsidR="00626F2D" w:rsidRDefault="00DA18B8" w:rsidP="00261AAC">
      <w:pPr>
        <w:ind w:right="270"/>
        <w:jc w:val="both"/>
        <w:rPr>
          <w:bCs/>
          <w:iCs/>
          <w:lang w:val="en"/>
        </w:rPr>
      </w:pPr>
      <w:r>
        <w:rPr>
          <w:bCs/>
          <w:iCs/>
          <w:lang w:val="en"/>
        </w:rPr>
        <w:t xml:space="preserve">First, </w:t>
      </w:r>
      <w:r w:rsidR="003273B3">
        <w:rPr>
          <w:bCs/>
          <w:iCs/>
          <w:lang w:val="en"/>
        </w:rPr>
        <w:t xml:space="preserve">we used custom </w:t>
      </w:r>
      <w:proofErr w:type="spellStart"/>
      <w:r w:rsidR="003273B3">
        <w:rPr>
          <w:bCs/>
          <w:iCs/>
          <w:lang w:val="en"/>
        </w:rPr>
        <w:t>perl</w:t>
      </w:r>
      <w:proofErr w:type="spellEnd"/>
      <w:r w:rsidR="003273B3">
        <w:rPr>
          <w:bCs/>
          <w:iCs/>
          <w:lang w:val="en"/>
        </w:rPr>
        <w:t xml:space="preserve"> scripts to separate raw sequencing data into plates, then individuals. The separated (or split) individual sequencing files were then aligned to the genome </w:t>
      </w:r>
      <w:r>
        <w:rPr>
          <w:bCs/>
          <w:iCs/>
          <w:lang w:val="en"/>
        </w:rPr>
        <w:t>using bwa &lt;</w:t>
      </w:r>
      <w:r w:rsidR="003273B3">
        <w:rPr>
          <w:bCs/>
          <w:iCs/>
          <w:lang w:val="en"/>
        </w:rPr>
        <w:t>CITE</w:t>
      </w:r>
      <w:r>
        <w:rPr>
          <w:bCs/>
          <w:iCs/>
          <w:lang w:val="en"/>
        </w:rPr>
        <w:t xml:space="preserve">&gt; </w:t>
      </w:r>
      <w:r w:rsidR="003273B3">
        <w:rPr>
          <w:bCs/>
          <w:iCs/>
          <w:lang w:val="en"/>
        </w:rPr>
        <w:t xml:space="preserve">resulting in </w:t>
      </w:r>
      <w:r w:rsidR="00626F2D">
        <w:rPr>
          <w:bCs/>
          <w:iCs/>
          <w:lang w:val="en"/>
        </w:rPr>
        <w:t>sequence</w:t>
      </w:r>
      <w:r w:rsidR="003273B3">
        <w:rPr>
          <w:bCs/>
          <w:iCs/>
          <w:lang w:val="en"/>
        </w:rPr>
        <w:t xml:space="preserve"> alignment map (</w:t>
      </w:r>
      <w:r w:rsidR="00626F2D">
        <w:rPr>
          <w:bCs/>
          <w:iCs/>
          <w:lang w:val="en"/>
        </w:rPr>
        <w:t>S</w:t>
      </w:r>
      <w:r w:rsidR="003273B3">
        <w:rPr>
          <w:bCs/>
          <w:iCs/>
          <w:lang w:val="en"/>
        </w:rPr>
        <w:t xml:space="preserve">AM) files. </w:t>
      </w:r>
      <w:r w:rsidR="00626F2D">
        <w:rPr>
          <w:bCs/>
          <w:iCs/>
          <w:lang w:val="en"/>
        </w:rPr>
        <w:t>We then further processed the SAM files by sorting</w:t>
      </w:r>
      <w:r w:rsidR="00E458FD">
        <w:rPr>
          <w:bCs/>
          <w:iCs/>
          <w:lang w:val="en"/>
        </w:rPr>
        <w:t xml:space="preserve"> according to read name (</w:t>
      </w:r>
      <w:proofErr w:type="spellStart"/>
      <w:r w:rsidR="00E458FD" w:rsidRPr="00080EDD">
        <w:rPr>
          <w:rFonts w:ascii="Courier" w:hAnsi="Courier"/>
          <w:bCs/>
          <w:iCs/>
          <w:lang w:val="en"/>
        </w:rPr>
        <w:t>samtools</w:t>
      </w:r>
      <w:proofErr w:type="spellEnd"/>
      <w:r w:rsidR="00E458FD" w:rsidRPr="00080EDD">
        <w:rPr>
          <w:rFonts w:ascii="Courier" w:hAnsi="Courier"/>
          <w:bCs/>
          <w:iCs/>
          <w:lang w:val="en"/>
        </w:rPr>
        <w:t xml:space="preserve"> </w:t>
      </w:r>
      <w:r w:rsidR="00E458FD">
        <w:rPr>
          <w:rFonts w:ascii="Courier" w:hAnsi="Courier"/>
          <w:bCs/>
          <w:iCs/>
          <w:lang w:val="en"/>
        </w:rPr>
        <w:t>sort)</w:t>
      </w:r>
      <w:r w:rsidR="00626F2D">
        <w:rPr>
          <w:bCs/>
          <w:iCs/>
          <w:lang w:val="en"/>
        </w:rPr>
        <w:t>, filling in mate coordinates (</w:t>
      </w:r>
      <w:proofErr w:type="spellStart"/>
      <w:r w:rsidR="00626F2D" w:rsidRPr="00080EDD">
        <w:rPr>
          <w:rFonts w:ascii="Courier" w:hAnsi="Courier"/>
          <w:bCs/>
          <w:iCs/>
          <w:lang w:val="en"/>
        </w:rPr>
        <w:t>samtools</w:t>
      </w:r>
      <w:proofErr w:type="spellEnd"/>
      <w:r w:rsidR="00626F2D" w:rsidRPr="00080EDD">
        <w:rPr>
          <w:rFonts w:ascii="Courier" w:hAnsi="Courier"/>
          <w:bCs/>
          <w:iCs/>
          <w:lang w:val="en"/>
        </w:rPr>
        <w:t xml:space="preserve"> </w:t>
      </w:r>
      <w:proofErr w:type="spellStart"/>
      <w:r w:rsidR="00626F2D" w:rsidRPr="00080EDD">
        <w:rPr>
          <w:rFonts w:ascii="Courier" w:hAnsi="Courier"/>
          <w:bCs/>
          <w:iCs/>
          <w:lang w:val="en"/>
        </w:rPr>
        <w:t>fixmate</w:t>
      </w:r>
      <w:proofErr w:type="spellEnd"/>
      <w:r w:rsidR="00626F2D" w:rsidRPr="00080EDD">
        <w:rPr>
          <w:rFonts w:ascii="Courier" w:hAnsi="Courier"/>
          <w:bCs/>
          <w:iCs/>
          <w:lang w:val="en"/>
        </w:rPr>
        <w:t xml:space="preserve"> -m</w:t>
      </w:r>
      <w:r w:rsidR="00626F2D">
        <w:rPr>
          <w:bCs/>
          <w:iCs/>
          <w:lang w:val="en"/>
        </w:rPr>
        <w:t>), removing duplicate reads (</w:t>
      </w:r>
      <w:proofErr w:type="spellStart"/>
      <w:r w:rsidR="00626F2D" w:rsidRPr="00080EDD">
        <w:rPr>
          <w:rFonts w:ascii="Courier" w:hAnsi="Courier"/>
          <w:bCs/>
          <w:iCs/>
          <w:lang w:val="en"/>
        </w:rPr>
        <w:t>samtools</w:t>
      </w:r>
      <w:proofErr w:type="spellEnd"/>
      <w:r w:rsidR="00626F2D" w:rsidRPr="00080EDD">
        <w:rPr>
          <w:rFonts w:ascii="Courier" w:hAnsi="Courier"/>
          <w:bCs/>
          <w:iCs/>
          <w:lang w:val="en"/>
        </w:rPr>
        <w:t xml:space="preserve"> </w:t>
      </w:r>
      <w:proofErr w:type="spellStart"/>
      <w:r w:rsidR="00626F2D" w:rsidRPr="00080EDD">
        <w:rPr>
          <w:rFonts w:ascii="Courier" w:hAnsi="Courier"/>
          <w:bCs/>
          <w:iCs/>
          <w:lang w:val="en"/>
        </w:rPr>
        <w:t>markdup</w:t>
      </w:r>
      <w:proofErr w:type="spellEnd"/>
      <w:r w:rsidR="00626F2D" w:rsidRPr="00080EDD">
        <w:rPr>
          <w:rFonts w:ascii="Courier" w:hAnsi="Courier"/>
          <w:bCs/>
          <w:iCs/>
          <w:lang w:val="en"/>
        </w:rPr>
        <w:t xml:space="preserve"> -r</w:t>
      </w:r>
      <w:r w:rsidR="00626F2D">
        <w:rPr>
          <w:bCs/>
          <w:iCs/>
          <w:lang w:val="en"/>
        </w:rPr>
        <w:t xml:space="preserve">) and indexing the resulting files </w:t>
      </w:r>
      <w:ins w:id="11" w:author="Microsoft Office User" w:date="2021-06-02T09:40:00Z">
        <w:r w:rsidR="00A85784">
          <w:rPr>
            <w:bCs/>
            <w:iCs/>
            <w:lang w:val="en"/>
          </w:rPr>
          <w:t xml:space="preserve">to </w:t>
        </w:r>
      </w:ins>
      <w:r w:rsidR="00626F2D">
        <w:rPr>
          <w:bCs/>
          <w:iCs/>
          <w:lang w:val="en"/>
        </w:rPr>
        <w:t>create binary alignment map (BAM) files</w:t>
      </w:r>
      <w:r w:rsidR="00E458FD">
        <w:rPr>
          <w:bCs/>
          <w:iCs/>
          <w:lang w:val="en"/>
        </w:rPr>
        <w:t xml:space="preserve"> (</w:t>
      </w:r>
      <w:proofErr w:type="spellStart"/>
      <w:r w:rsidR="00E458FD" w:rsidRPr="00080EDD">
        <w:rPr>
          <w:rFonts w:ascii="Courier" w:hAnsi="Courier"/>
          <w:bCs/>
          <w:iCs/>
          <w:lang w:val="en"/>
        </w:rPr>
        <w:t>samtools</w:t>
      </w:r>
      <w:proofErr w:type="spellEnd"/>
      <w:r w:rsidR="00E458FD" w:rsidRPr="00080EDD">
        <w:rPr>
          <w:rFonts w:ascii="Courier" w:hAnsi="Courier"/>
          <w:bCs/>
          <w:iCs/>
          <w:lang w:val="en"/>
        </w:rPr>
        <w:t xml:space="preserve"> </w:t>
      </w:r>
      <w:r w:rsidR="00E458FD">
        <w:rPr>
          <w:rFonts w:ascii="Courier" w:hAnsi="Courier"/>
          <w:bCs/>
          <w:iCs/>
          <w:lang w:val="en"/>
        </w:rPr>
        <w:t>index</w:t>
      </w:r>
      <w:r w:rsidR="00E458FD">
        <w:rPr>
          <w:bCs/>
          <w:iCs/>
          <w:lang w:val="en"/>
        </w:rPr>
        <w:t>)</w:t>
      </w:r>
      <w:r w:rsidR="00626F2D">
        <w:rPr>
          <w:bCs/>
          <w:iCs/>
          <w:lang w:val="en"/>
        </w:rPr>
        <w:t>.</w:t>
      </w:r>
    </w:p>
    <w:p w14:paraId="49883624" w14:textId="4E204A27" w:rsidR="00626F2D" w:rsidRDefault="00626F2D" w:rsidP="00261AAC">
      <w:pPr>
        <w:ind w:right="270"/>
        <w:jc w:val="both"/>
        <w:rPr>
          <w:bCs/>
          <w:iCs/>
          <w:lang w:val="en"/>
        </w:rPr>
      </w:pPr>
    </w:p>
    <w:p w14:paraId="47C9931C" w14:textId="77777777" w:rsidR="00BD396E" w:rsidRDefault="00BD396E" w:rsidP="00261AAC">
      <w:pPr>
        <w:ind w:right="270"/>
        <w:jc w:val="both"/>
        <w:rPr>
          <w:bCs/>
          <w:iCs/>
          <w:lang w:val="en"/>
        </w:rPr>
      </w:pPr>
    </w:p>
    <w:p w14:paraId="3F2CBD2F" w14:textId="07596E9E" w:rsidR="00626F2D" w:rsidRDefault="00626F2D" w:rsidP="00261AAC">
      <w:pPr>
        <w:pStyle w:val="Heading2"/>
        <w:jc w:val="both"/>
        <w:rPr>
          <w:lang w:val="en"/>
        </w:rPr>
      </w:pPr>
      <w:r>
        <w:rPr>
          <w:lang w:val="en"/>
        </w:rPr>
        <w:t>Principle component analysis for hybrid detection</w:t>
      </w:r>
    </w:p>
    <w:p w14:paraId="326286DF" w14:textId="77777777" w:rsidR="00626F2D" w:rsidRPr="00DA18B8" w:rsidRDefault="00626F2D" w:rsidP="00261AAC">
      <w:pPr>
        <w:ind w:right="270"/>
        <w:jc w:val="both"/>
        <w:rPr>
          <w:bCs/>
          <w:i/>
          <w:lang w:val="en"/>
        </w:rPr>
      </w:pPr>
      <w:r w:rsidRPr="00DA18B8">
        <w:rPr>
          <w:bCs/>
          <w:i/>
          <w:lang w:val="en"/>
        </w:rPr>
        <w:t>Methods</w:t>
      </w:r>
    </w:p>
    <w:p w14:paraId="209C8273" w14:textId="1B549935" w:rsidR="00080EDD" w:rsidRDefault="00F948DB" w:rsidP="00261AAC">
      <w:pPr>
        <w:ind w:right="270"/>
        <w:jc w:val="both"/>
        <w:rPr>
          <w:bCs/>
          <w:iCs/>
          <w:lang w:val="en"/>
        </w:rPr>
      </w:pPr>
      <w:r>
        <w:rPr>
          <w:bCs/>
          <w:iCs/>
          <w:lang w:val="en"/>
        </w:rPr>
        <w:t xml:space="preserve">Delta smelt have been observed to hybridize with </w:t>
      </w:r>
      <w:proofErr w:type="spellStart"/>
      <w:r>
        <w:rPr>
          <w:bCs/>
          <w:iCs/>
          <w:lang w:val="en"/>
        </w:rPr>
        <w:t>wakasagi</w:t>
      </w:r>
      <w:proofErr w:type="spellEnd"/>
      <w:r>
        <w:rPr>
          <w:bCs/>
          <w:iCs/>
          <w:lang w:val="en"/>
        </w:rPr>
        <w:t xml:space="preserve"> smelt (</w:t>
      </w:r>
      <w:proofErr w:type="spellStart"/>
      <w:r>
        <w:rPr>
          <w:bCs/>
          <w:i/>
          <w:lang w:val="en"/>
        </w:rPr>
        <w:t>Hypomesus</w:t>
      </w:r>
      <w:proofErr w:type="spellEnd"/>
      <w:r>
        <w:rPr>
          <w:bCs/>
          <w:i/>
          <w:lang w:val="en"/>
        </w:rPr>
        <w:t xml:space="preserve"> </w:t>
      </w:r>
      <w:proofErr w:type="spellStart"/>
      <w:r>
        <w:rPr>
          <w:bCs/>
          <w:i/>
          <w:lang w:val="en"/>
        </w:rPr>
        <w:t>nipponensis</w:t>
      </w:r>
      <w:proofErr w:type="spellEnd"/>
      <w:r>
        <w:rPr>
          <w:bCs/>
          <w:iCs/>
          <w:lang w:val="en"/>
        </w:rPr>
        <w:t xml:space="preserve">) in the SFE&lt;CITE&gt;. Due to the possibility of visual </w:t>
      </w:r>
      <w:r w:rsidR="00080EDD">
        <w:rPr>
          <w:bCs/>
          <w:iCs/>
          <w:lang w:val="en"/>
        </w:rPr>
        <w:t>misidentification</w:t>
      </w:r>
      <w:r w:rsidR="00DE54E4">
        <w:rPr>
          <w:bCs/>
          <w:iCs/>
          <w:lang w:val="en"/>
        </w:rPr>
        <w:t xml:space="preserve"> or technical error</w:t>
      </w:r>
      <w:r w:rsidR="00080EDD">
        <w:rPr>
          <w:bCs/>
          <w:iCs/>
          <w:lang w:val="en"/>
        </w:rPr>
        <w:t>,</w:t>
      </w:r>
      <w:r>
        <w:rPr>
          <w:bCs/>
          <w:iCs/>
          <w:lang w:val="en"/>
        </w:rPr>
        <w:t xml:space="preserve"> we ran a </w:t>
      </w:r>
      <w:r w:rsidR="00827ACB">
        <w:rPr>
          <w:bCs/>
          <w:iCs/>
          <w:lang w:val="en"/>
        </w:rPr>
        <w:t>principal</w:t>
      </w:r>
      <w:r>
        <w:rPr>
          <w:bCs/>
          <w:iCs/>
          <w:lang w:val="en"/>
        </w:rPr>
        <w:t xml:space="preserve"> component analysis to identify </w:t>
      </w:r>
      <w:r w:rsidR="00080EDD">
        <w:rPr>
          <w:bCs/>
          <w:iCs/>
          <w:lang w:val="en"/>
        </w:rPr>
        <w:t>and exclude</w:t>
      </w:r>
      <w:r>
        <w:rPr>
          <w:bCs/>
          <w:iCs/>
          <w:lang w:val="en"/>
        </w:rPr>
        <w:t xml:space="preserve"> hybrid indivi</w:t>
      </w:r>
      <w:r w:rsidR="00DE54E4">
        <w:rPr>
          <w:bCs/>
          <w:iCs/>
          <w:lang w:val="en"/>
        </w:rPr>
        <w:t>duals or individuals with outlying genotypes</w:t>
      </w:r>
      <w:r>
        <w:rPr>
          <w:bCs/>
          <w:iCs/>
          <w:lang w:val="en"/>
        </w:rPr>
        <w:t xml:space="preserve">. </w:t>
      </w:r>
    </w:p>
    <w:p w14:paraId="10263C6B" w14:textId="77777777" w:rsidR="00080EDD" w:rsidRDefault="00080EDD" w:rsidP="00261AAC">
      <w:pPr>
        <w:ind w:right="270"/>
        <w:jc w:val="both"/>
        <w:rPr>
          <w:bCs/>
          <w:iCs/>
          <w:lang w:val="en"/>
        </w:rPr>
      </w:pPr>
    </w:p>
    <w:p w14:paraId="58B72624" w14:textId="7F0913B4" w:rsidR="00DA18B8" w:rsidRDefault="00080EDD" w:rsidP="00261AAC">
      <w:pPr>
        <w:ind w:right="270"/>
        <w:jc w:val="both"/>
        <w:rPr>
          <w:bCs/>
          <w:iCs/>
          <w:lang w:val="en"/>
        </w:rPr>
      </w:pPr>
      <w:r>
        <w:rPr>
          <w:bCs/>
          <w:iCs/>
          <w:lang w:val="en"/>
        </w:rPr>
        <w:t xml:space="preserve">To do this, we used the program ANGSD&lt;CITE&gt; </w:t>
      </w:r>
      <w:r w:rsidR="00DE54E4">
        <w:rPr>
          <w:bCs/>
          <w:iCs/>
          <w:lang w:val="en"/>
        </w:rPr>
        <w:t>to</w:t>
      </w:r>
      <w:r>
        <w:rPr>
          <w:bCs/>
          <w:iCs/>
          <w:lang w:val="en"/>
        </w:rPr>
        <w:t xml:space="preserve"> </w:t>
      </w:r>
      <w:r w:rsidR="00AD49E9">
        <w:rPr>
          <w:bCs/>
          <w:iCs/>
          <w:lang w:val="en"/>
        </w:rPr>
        <w:t>randomly sample</w:t>
      </w:r>
      <w:r w:rsidR="00DE54E4">
        <w:rPr>
          <w:bCs/>
          <w:iCs/>
          <w:lang w:val="en"/>
        </w:rPr>
        <w:t xml:space="preserve"> </w:t>
      </w:r>
      <w:r w:rsidR="00AD49E9">
        <w:rPr>
          <w:bCs/>
          <w:iCs/>
          <w:lang w:val="en"/>
        </w:rPr>
        <w:t>a single read at all sites contained in at least half of the samples for each individual</w:t>
      </w:r>
      <w:r w:rsidR="00827ACB">
        <w:rPr>
          <w:bCs/>
          <w:iCs/>
          <w:lang w:val="en"/>
        </w:rPr>
        <w:t xml:space="preserve"> (</w:t>
      </w:r>
      <w:r w:rsidR="00827ACB" w:rsidRPr="00080EDD">
        <w:rPr>
          <w:rFonts w:ascii="Courier" w:hAnsi="Courier"/>
          <w:bCs/>
          <w:iCs/>
          <w:lang w:val="en"/>
        </w:rPr>
        <w:t>angsd -</w:t>
      </w:r>
      <w:proofErr w:type="spellStart"/>
      <w:r w:rsidR="00827ACB" w:rsidRPr="00080EDD">
        <w:rPr>
          <w:rFonts w:ascii="Courier" w:hAnsi="Courier"/>
          <w:bCs/>
          <w:iCs/>
          <w:lang w:val="en"/>
        </w:rPr>
        <w:t>doMajorMinor</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minMapQ</w:t>
      </w:r>
      <w:proofErr w:type="spellEnd"/>
      <w:r w:rsidR="00827ACB" w:rsidRPr="00080EDD">
        <w:rPr>
          <w:rFonts w:ascii="Courier" w:hAnsi="Courier"/>
          <w:bCs/>
          <w:iCs/>
          <w:lang w:val="en"/>
        </w:rPr>
        <w:t xml:space="preserve"> 20 -minQ 20 -SNP_pval 1e-12 -GL 1 -</w:t>
      </w:r>
      <w:proofErr w:type="spellStart"/>
      <w:r w:rsidR="00827ACB" w:rsidRPr="00080EDD">
        <w:rPr>
          <w:rFonts w:ascii="Courier" w:hAnsi="Courier"/>
          <w:bCs/>
          <w:iCs/>
          <w:lang w:val="en"/>
        </w:rPr>
        <w:t>doMaf</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doCov</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doIBS</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doCounts</w:t>
      </w:r>
      <w:proofErr w:type="spellEnd"/>
      <w:r w:rsidR="00827ACB" w:rsidRPr="00080EDD">
        <w:rPr>
          <w:rFonts w:ascii="Courier" w:hAnsi="Courier"/>
          <w:bCs/>
          <w:iCs/>
          <w:lang w:val="en"/>
        </w:rPr>
        <w:t xml:space="preserve"> 1</w:t>
      </w:r>
      <w:r w:rsidR="00827ACB">
        <w:rPr>
          <w:bCs/>
          <w:iCs/>
          <w:lang w:val="en"/>
        </w:rPr>
        <w:t>). This</w:t>
      </w:r>
      <w:r w:rsidR="00AD49E9">
        <w:rPr>
          <w:bCs/>
          <w:iCs/>
          <w:lang w:val="en"/>
        </w:rPr>
        <w:t xml:space="preserve"> creat</w:t>
      </w:r>
      <w:r w:rsidR="00DE7590">
        <w:rPr>
          <w:bCs/>
          <w:iCs/>
          <w:lang w:val="en"/>
        </w:rPr>
        <w:t>es</w:t>
      </w:r>
      <w:r w:rsidR="00AD49E9">
        <w:rPr>
          <w:bCs/>
          <w:iCs/>
          <w:lang w:val="en"/>
        </w:rPr>
        <w:t xml:space="preserve"> a </w:t>
      </w:r>
      <w:r w:rsidR="00827ACB">
        <w:rPr>
          <w:bCs/>
          <w:iCs/>
          <w:lang w:val="en"/>
        </w:rPr>
        <w:t xml:space="preserve">0 to 1 matrix for each individual’s sampled allele at all locations in the form of a </w:t>
      </w:r>
      <w:proofErr w:type="spellStart"/>
      <w:r w:rsidR="00827ACB">
        <w:rPr>
          <w:bCs/>
          <w:iCs/>
          <w:lang w:val="en"/>
        </w:rPr>
        <w:t>covMat</w:t>
      </w:r>
      <w:proofErr w:type="spellEnd"/>
      <w:r w:rsidR="00827ACB">
        <w:rPr>
          <w:bCs/>
          <w:iCs/>
          <w:lang w:val="en"/>
        </w:rPr>
        <w:t xml:space="preserve"> file</w:t>
      </w:r>
      <w:r>
        <w:rPr>
          <w:bCs/>
          <w:iCs/>
          <w:lang w:val="en"/>
        </w:rPr>
        <w:t xml:space="preserve">. </w:t>
      </w:r>
      <w:r w:rsidR="00827ACB">
        <w:rPr>
          <w:bCs/>
          <w:iCs/>
          <w:lang w:val="en"/>
        </w:rPr>
        <w:t>We then calculated obtained eigenvalues using the program R&lt;CITE&gt;</w:t>
      </w:r>
      <w:r w:rsidR="00DE54E4">
        <w:rPr>
          <w:bCs/>
          <w:iCs/>
          <w:lang w:val="en"/>
        </w:rPr>
        <w:t xml:space="preserve">, calculated the observed variance for PC1 and PC2, </w:t>
      </w:r>
      <w:r w:rsidR="00827ACB">
        <w:rPr>
          <w:bCs/>
          <w:iCs/>
          <w:lang w:val="en"/>
        </w:rPr>
        <w:t>and visualized the first and second principal components</w:t>
      </w:r>
      <w:r w:rsidR="00DE54E4">
        <w:rPr>
          <w:bCs/>
          <w:iCs/>
          <w:lang w:val="en"/>
        </w:rPr>
        <w:t>.</w:t>
      </w:r>
      <w:r w:rsidR="009C5BB2">
        <w:rPr>
          <w:bCs/>
          <w:iCs/>
          <w:lang w:val="en"/>
        </w:rPr>
        <w:t xml:space="preserve"> Finally, we removed outlier individuals.</w:t>
      </w:r>
    </w:p>
    <w:p w14:paraId="7272B109" w14:textId="34FE8B93" w:rsidR="00DE54E4" w:rsidRDefault="00DE54E4" w:rsidP="00261AAC">
      <w:pPr>
        <w:ind w:right="270"/>
        <w:jc w:val="both"/>
        <w:rPr>
          <w:bCs/>
          <w:iCs/>
          <w:lang w:val="en"/>
        </w:rPr>
      </w:pPr>
    </w:p>
    <w:p w14:paraId="243D500F" w14:textId="6E510749" w:rsidR="00DE54E4" w:rsidRPr="00DE54E4" w:rsidRDefault="00DE54E4" w:rsidP="00261AAC">
      <w:pPr>
        <w:ind w:right="270"/>
        <w:jc w:val="both"/>
        <w:rPr>
          <w:bCs/>
          <w:i/>
          <w:lang w:val="en"/>
        </w:rPr>
      </w:pPr>
      <w:r w:rsidRPr="00DE54E4">
        <w:rPr>
          <w:bCs/>
          <w:i/>
          <w:lang w:val="en"/>
        </w:rPr>
        <w:t>Results</w:t>
      </w:r>
    </w:p>
    <w:p w14:paraId="359173A1" w14:textId="05363F70" w:rsidR="00DE54E4" w:rsidRDefault="008D0E60" w:rsidP="00261AAC">
      <w:pPr>
        <w:ind w:right="270"/>
        <w:jc w:val="both"/>
        <w:rPr>
          <w:bCs/>
          <w:iCs/>
          <w:lang w:val="en"/>
        </w:rPr>
      </w:pPr>
      <w:r>
        <w:rPr>
          <w:bCs/>
          <w:iCs/>
          <w:lang w:val="en"/>
        </w:rPr>
        <w:t>We identified and removed individuals with a PC1</w:t>
      </w:r>
      <w:r w:rsidR="009C5BB2">
        <w:rPr>
          <w:bCs/>
          <w:iCs/>
          <w:lang w:val="en"/>
        </w:rPr>
        <w:t xml:space="preserve"> </w:t>
      </w:r>
      <w:r>
        <w:rPr>
          <w:bCs/>
          <w:iCs/>
          <w:lang w:val="en"/>
        </w:rPr>
        <w:t xml:space="preserve">&lt; 0.01 and/or PC2 &gt; -0.01 from downstream analyses. </w:t>
      </w:r>
      <w:r w:rsidR="00DE7590">
        <w:rPr>
          <w:bCs/>
          <w:iCs/>
          <w:lang w:val="en"/>
        </w:rPr>
        <w:t xml:space="preserve">A total of 19 individuals that were identified as hybrids or the result of a technical artifact (Figure 7). </w:t>
      </w:r>
    </w:p>
    <w:p w14:paraId="1516FD44" w14:textId="1FB86225" w:rsidR="00DA18B8" w:rsidRDefault="00DA18B8" w:rsidP="00261AAC">
      <w:pPr>
        <w:ind w:right="270"/>
        <w:jc w:val="both"/>
        <w:rPr>
          <w:bCs/>
          <w:iCs/>
          <w:lang w:val="en"/>
        </w:rPr>
      </w:pPr>
    </w:p>
    <w:p w14:paraId="7F99E62D" w14:textId="77777777" w:rsidR="00BD396E" w:rsidRDefault="00BD396E" w:rsidP="00261AAC">
      <w:pPr>
        <w:ind w:right="270"/>
        <w:jc w:val="both"/>
        <w:rPr>
          <w:bCs/>
          <w:iCs/>
          <w:lang w:val="en"/>
        </w:rPr>
      </w:pPr>
    </w:p>
    <w:p w14:paraId="019FEA2A" w14:textId="05E42B5C" w:rsidR="00DE54E4" w:rsidRDefault="00DE54E4" w:rsidP="00261AAC">
      <w:pPr>
        <w:pStyle w:val="Heading2"/>
        <w:jc w:val="both"/>
        <w:rPr>
          <w:lang w:val="en"/>
        </w:rPr>
      </w:pPr>
      <w:r>
        <w:rPr>
          <w:lang w:val="en"/>
        </w:rPr>
        <w:lastRenderedPageBreak/>
        <w:t>C</w:t>
      </w:r>
      <w:r w:rsidR="00275051">
        <w:rPr>
          <w:lang w:val="en"/>
        </w:rPr>
        <w:t>ontemporary</w:t>
      </w:r>
      <w:r>
        <w:rPr>
          <w:lang w:val="en"/>
        </w:rPr>
        <w:t xml:space="preserve"> Ne</w:t>
      </w:r>
      <w:r w:rsidR="00275051">
        <w:rPr>
          <w:lang w:val="en"/>
        </w:rPr>
        <w:t xml:space="preserve"> calculation</w:t>
      </w:r>
    </w:p>
    <w:p w14:paraId="6EE70C1F" w14:textId="77777777" w:rsidR="00DE54E4" w:rsidRPr="00DA18B8" w:rsidRDefault="00DE54E4" w:rsidP="00261AAC">
      <w:pPr>
        <w:ind w:right="270"/>
        <w:jc w:val="both"/>
        <w:rPr>
          <w:bCs/>
          <w:i/>
          <w:lang w:val="en"/>
        </w:rPr>
      </w:pPr>
      <w:r w:rsidRPr="00DA18B8">
        <w:rPr>
          <w:bCs/>
          <w:i/>
          <w:lang w:val="en"/>
        </w:rPr>
        <w:t>Methods</w:t>
      </w:r>
    </w:p>
    <w:p w14:paraId="47162635" w14:textId="0F9038B4" w:rsidR="00275051" w:rsidRDefault="00275051" w:rsidP="00261AAC">
      <w:pPr>
        <w:ind w:right="270"/>
        <w:jc w:val="both"/>
        <w:rPr>
          <w:bCs/>
          <w:iCs/>
          <w:lang w:val="en"/>
        </w:rPr>
      </w:pPr>
      <w:r>
        <w:rPr>
          <w:bCs/>
          <w:iCs/>
          <w:lang w:val="en"/>
        </w:rPr>
        <w:t xml:space="preserve">In order to standardize the number of gene copies contributing to the estimation of Ne, we subsampled </w:t>
      </w:r>
      <w:r w:rsidR="00F34CF3">
        <w:rPr>
          <w:bCs/>
          <w:iCs/>
          <w:lang w:val="en"/>
        </w:rPr>
        <w:t xml:space="preserve">to </w:t>
      </w:r>
      <w:r>
        <w:rPr>
          <w:bCs/>
          <w:iCs/>
          <w:lang w:val="en"/>
        </w:rPr>
        <w:t xml:space="preserve">50 individuals from each </w:t>
      </w:r>
      <w:r w:rsidR="00D86096">
        <w:rPr>
          <w:bCs/>
          <w:iCs/>
          <w:lang w:val="en"/>
        </w:rPr>
        <w:t xml:space="preserve">birth </w:t>
      </w:r>
      <w:r>
        <w:rPr>
          <w:bCs/>
          <w:iCs/>
          <w:lang w:val="en"/>
        </w:rPr>
        <w:t xml:space="preserve">year. Years with fewer than 35 individuals were removed from subsequent analyses. We then called genotypes in the selected individuals using </w:t>
      </w:r>
      <w:r w:rsidR="00A12A7D">
        <w:rPr>
          <w:bCs/>
          <w:iCs/>
          <w:lang w:val="en"/>
        </w:rPr>
        <w:t>allele frequency as priors in ANGSD&lt;CITE&gt;. SNPs meeting the following criteria were accepted</w:t>
      </w:r>
      <w:r w:rsidR="00D86096">
        <w:rPr>
          <w:bCs/>
          <w:iCs/>
          <w:lang w:val="en"/>
        </w:rPr>
        <w:t>:</w:t>
      </w:r>
      <w:r w:rsidR="00A12A7D">
        <w:rPr>
          <w:bCs/>
          <w:iCs/>
          <w:lang w:val="en"/>
        </w:rPr>
        <w:t xml:space="preserve"> posterior probability greater than 0.85 </w:t>
      </w:r>
      <w:r w:rsidR="00A12A7D" w:rsidRPr="008D0E60">
        <w:rPr>
          <w:rFonts w:ascii="Courier" w:hAnsi="Courier"/>
          <w:bCs/>
          <w:iCs/>
          <w:lang w:val="en"/>
        </w:rPr>
        <w:t>(-postCutoff 0.85</w:t>
      </w:r>
      <w:r w:rsidR="00A12A7D">
        <w:rPr>
          <w:bCs/>
          <w:iCs/>
          <w:lang w:val="en"/>
        </w:rPr>
        <w:t xml:space="preserve">), a SNP p-value greater than 1e-6 </w:t>
      </w:r>
      <w:r w:rsidR="00A12A7D" w:rsidRPr="008D0E60">
        <w:rPr>
          <w:rFonts w:ascii="Courier" w:hAnsi="Courier"/>
          <w:bCs/>
          <w:iCs/>
          <w:lang w:val="en"/>
        </w:rPr>
        <w:t>(-SNP_pval 1e-6</w:t>
      </w:r>
      <w:r w:rsidR="00A12A7D">
        <w:rPr>
          <w:bCs/>
          <w:iCs/>
          <w:lang w:val="en"/>
        </w:rPr>
        <w:t xml:space="preserve">), </w:t>
      </w:r>
      <w:r w:rsidR="00D86096">
        <w:rPr>
          <w:bCs/>
          <w:iCs/>
          <w:lang w:val="en"/>
        </w:rPr>
        <w:t>found</w:t>
      </w:r>
      <w:r w:rsidR="00A12A7D">
        <w:rPr>
          <w:bCs/>
          <w:iCs/>
          <w:lang w:val="en"/>
        </w:rPr>
        <w:t xml:space="preserve"> in greater than 50% of individuals </w:t>
      </w:r>
      <w:r w:rsidR="00A12A7D" w:rsidRPr="008D0E60">
        <w:rPr>
          <w:rFonts w:ascii="Courier" w:hAnsi="Courier"/>
          <w:bCs/>
          <w:iCs/>
          <w:lang w:val="en"/>
        </w:rPr>
        <w:t xml:space="preserve">(-minInd </w:t>
      </w:r>
      <w:r w:rsidR="008D0E60" w:rsidRPr="008D0E60">
        <w:rPr>
          <w:rFonts w:ascii="Courier" w:hAnsi="Courier"/>
          <w:bCs/>
          <w:iCs/>
          <w:lang w:val="en"/>
        </w:rPr>
        <w:t>1472</w:t>
      </w:r>
      <w:r w:rsidR="00A12A7D">
        <w:rPr>
          <w:bCs/>
          <w:iCs/>
          <w:lang w:val="en"/>
        </w:rPr>
        <w:t xml:space="preserve">), minimum mapping quality of 20 of greater </w:t>
      </w:r>
      <w:r w:rsidR="00A12A7D" w:rsidRPr="008D0E60">
        <w:rPr>
          <w:rFonts w:ascii="Courier" w:hAnsi="Courier"/>
          <w:bCs/>
          <w:iCs/>
          <w:lang w:val="en"/>
        </w:rPr>
        <w:t>(-minMap 20</w:t>
      </w:r>
      <w:r w:rsidR="00A12A7D">
        <w:rPr>
          <w:bCs/>
          <w:iCs/>
          <w:lang w:val="en"/>
        </w:rPr>
        <w:t xml:space="preserve">), minimum base quality of 20 or greater </w:t>
      </w:r>
      <w:r w:rsidR="00A12A7D" w:rsidRPr="008D0E60">
        <w:rPr>
          <w:rFonts w:ascii="Courier" w:hAnsi="Courier"/>
          <w:bCs/>
          <w:iCs/>
          <w:lang w:val="en"/>
        </w:rPr>
        <w:t>(-minQ 20</w:t>
      </w:r>
      <w:r w:rsidR="00A12A7D">
        <w:rPr>
          <w:bCs/>
          <w:iCs/>
          <w:lang w:val="en"/>
        </w:rPr>
        <w:t xml:space="preserve">), and a minimum minor allele frequency of at least 0.05 </w:t>
      </w:r>
      <w:r w:rsidR="00A12A7D" w:rsidRPr="008D0E60">
        <w:rPr>
          <w:rFonts w:ascii="Courier" w:hAnsi="Courier"/>
          <w:bCs/>
          <w:iCs/>
          <w:lang w:val="en"/>
        </w:rPr>
        <w:t>(-minMaf 0.05</w:t>
      </w:r>
      <w:r w:rsidR="00A12A7D">
        <w:rPr>
          <w:bCs/>
          <w:iCs/>
          <w:lang w:val="en"/>
        </w:rPr>
        <w:t xml:space="preserve">), and genotypes were written as </w:t>
      </w:r>
      <w:r w:rsidR="008737E2">
        <w:rPr>
          <w:bCs/>
          <w:iCs/>
          <w:lang w:val="en"/>
        </w:rPr>
        <w:t>numbers</w:t>
      </w:r>
      <w:r w:rsidR="00A12A7D">
        <w:rPr>
          <w:bCs/>
          <w:iCs/>
          <w:lang w:val="en"/>
        </w:rPr>
        <w:t xml:space="preserve"> </w:t>
      </w:r>
      <w:r w:rsidR="00A12A7D" w:rsidRPr="008D0E60">
        <w:rPr>
          <w:rFonts w:ascii="Courier" w:hAnsi="Courier"/>
          <w:bCs/>
          <w:iCs/>
          <w:lang w:val="en"/>
        </w:rPr>
        <w:t>(-doGeno 2</w:t>
      </w:r>
      <w:r w:rsidR="00A12A7D">
        <w:rPr>
          <w:bCs/>
          <w:iCs/>
          <w:lang w:val="en"/>
        </w:rPr>
        <w:t>) in a geno file. The geno file was read into R for further filtration using the snpR package</w:t>
      </w:r>
      <w:r w:rsidR="0059667C">
        <w:rPr>
          <w:bCs/>
          <w:iCs/>
          <w:lang w:val="en"/>
        </w:rPr>
        <w:t>&lt;CITE&gt;</w:t>
      </w:r>
      <w:r w:rsidR="00A12A7D">
        <w:rPr>
          <w:bCs/>
          <w:iCs/>
          <w:lang w:val="en"/>
        </w:rPr>
        <w:t xml:space="preserve">. Within snpR we filtered SNPs that violated Hardy-Weinberg Equilibrium </w:t>
      </w:r>
      <w:r w:rsidR="0059667C">
        <w:rPr>
          <w:bCs/>
          <w:iCs/>
          <w:lang w:val="en"/>
        </w:rPr>
        <w:t>(</w:t>
      </w:r>
      <w:r w:rsidR="0059667C" w:rsidRPr="008D0E60">
        <w:rPr>
          <w:rFonts w:ascii="Courier" w:hAnsi="Courier"/>
          <w:bCs/>
          <w:iCs/>
          <w:lang w:val="en"/>
        </w:rPr>
        <w:t>HWE=0.99</w:t>
      </w:r>
      <w:r w:rsidR="0059667C">
        <w:rPr>
          <w:bCs/>
          <w:iCs/>
          <w:lang w:val="en"/>
        </w:rPr>
        <w:t xml:space="preserve">) </w:t>
      </w:r>
      <w:r w:rsidR="00A12A7D">
        <w:rPr>
          <w:bCs/>
          <w:iCs/>
          <w:lang w:val="en"/>
        </w:rPr>
        <w:t xml:space="preserve">and </w:t>
      </w:r>
      <w:r w:rsidR="0059667C">
        <w:rPr>
          <w:bCs/>
          <w:iCs/>
          <w:lang w:val="en"/>
        </w:rPr>
        <w:t>did not have read coverage in at least 75% of individuals in each year (</w:t>
      </w:r>
      <w:r w:rsidR="0059667C" w:rsidRPr="008D0E60">
        <w:rPr>
          <w:rFonts w:ascii="Courier" w:hAnsi="Courier"/>
          <w:bCs/>
          <w:iCs/>
          <w:lang w:val="en"/>
        </w:rPr>
        <w:t>min_ind=0.75</w:t>
      </w:r>
      <w:r w:rsidR="0059667C">
        <w:rPr>
          <w:bCs/>
          <w:iCs/>
          <w:lang w:val="en"/>
        </w:rPr>
        <w:t>).</w:t>
      </w:r>
    </w:p>
    <w:p w14:paraId="1DE39BAB" w14:textId="3FD7A080" w:rsidR="0059667C" w:rsidRDefault="0059667C" w:rsidP="00261AAC">
      <w:pPr>
        <w:ind w:right="270"/>
        <w:jc w:val="both"/>
        <w:rPr>
          <w:bCs/>
          <w:iCs/>
          <w:lang w:val="en"/>
        </w:rPr>
      </w:pPr>
    </w:p>
    <w:p w14:paraId="6126A677" w14:textId="58E87DA3" w:rsidR="008737E2" w:rsidRPr="003C0946" w:rsidRDefault="008737E2" w:rsidP="00261AAC">
      <w:pPr>
        <w:ind w:right="270"/>
        <w:jc w:val="both"/>
        <w:rPr>
          <w:bCs/>
          <w:iCs/>
        </w:rPr>
      </w:pPr>
      <w:r>
        <w:rPr>
          <w:bCs/>
          <w:iCs/>
          <w:lang w:val="en"/>
        </w:rPr>
        <w:t>We made one</w:t>
      </w:r>
      <w:r w:rsidR="00A85784">
        <w:rPr>
          <w:bCs/>
          <w:iCs/>
          <w:lang w:val="en"/>
        </w:rPr>
        <w:t>-</w:t>
      </w:r>
      <w:r>
        <w:rPr>
          <w:bCs/>
          <w:iCs/>
          <w:lang w:val="en"/>
        </w:rPr>
        <w:t xml:space="preserve">generation and all-by-all temporal </w:t>
      </w:r>
      <w:r w:rsidR="00386E1B">
        <w:rPr>
          <w:bCs/>
          <w:iCs/>
          <w:lang w:val="en"/>
        </w:rPr>
        <w:t xml:space="preserve">method </w:t>
      </w:r>
      <w:r>
        <w:rPr>
          <w:bCs/>
          <w:iCs/>
          <w:lang w:val="en"/>
        </w:rPr>
        <w:t xml:space="preserve">estimates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3C0946">
        <w:rPr>
          <w:bCs/>
          <w:iCs/>
          <w:lang w:val="en"/>
        </w:rPr>
        <w:t xml:space="preserve"> using three different estimators</w:t>
      </w:r>
      <w:r w:rsidR="00A85784">
        <w:rPr>
          <w:bCs/>
          <w:iCs/>
          <w:lang w:val="en"/>
        </w:rPr>
        <w:t>:</w:t>
      </w:r>
      <w:r w:rsidR="003C0946">
        <w:rPr>
          <w:bCs/>
          <w:iCs/>
          <w:lang w:val="en"/>
        </w:rPr>
        <w:t xml:space="preserve"> </w:t>
      </w:r>
      <w:proofErr w:type="spellStart"/>
      <w:r w:rsidR="003C0946" w:rsidRPr="003C0946">
        <w:rPr>
          <w:bCs/>
          <w:iCs/>
        </w:rPr>
        <w:t>Nei</w:t>
      </w:r>
      <w:proofErr w:type="spellEnd"/>
      <w:r w:rsidR="003C0946" w:rsidRPr="003C0946">
        <w:rPr>
          <w:bCs/>
          <w:iCs/>
        </w:rPr>
        <w:t xml:space="preserve"> &amp; Tajima 1981, Pollak 1983</w:t>
      </w:r>
      <w:r w:rsidR="003C0946">
        <w:rPr>
          <w:bCs/>
          <w:iCs/>
        </w:rPr>
        <w:t>,</w:t>
      </w:r>
      <w:r w:rsidR="003C0946" w:rsidRPr="003C0946">
        <w:rPr>
          <w:bCs/>
          <w:iCs/>
        </w:rPr>
        <w:t xml:space="preserve"> </w:t>
      </w:r>
      <w:r w:rsidR="003C0946">
        <w:rPr>
          <w:bCs/>
          <w:iCs/>
        </w:rPr>
        <w:t xml:space="preserve">and </w:t>
      </w:r>
      <w:proofErr w:type="spellStart"/>
      <w:r w:rsidR="003C0946" w:rsidRPr="003C0946">
        <w:rPr>
          <w:bCs/>
          <w:iCs/>
        </w:rPr>
        <w:t>Jorde</w:t>
      </w:r>
      <w:proofErr w:type="spellEnd"/>
      <w:r w:rsidR="003C0946" w:rsidRPr="003C0946">
        <w:rPr>
          <w:bCs/>
          <w:iCs/>
        </w:rPr>
        <w:t xml:space="preserve"> &amp; Ryman 2007</w:t>
      </w:r>
      <w:r>
        <w:rPr>
          <w:bCs/>
          <w:iCs/>
          <w:lang w:val="en"/>
        </w:rPr>
        <w:t xml:space="preserve">. </w:t>
      </w:r>
      <w:r w:rsidR="00386E1B">
        <w:rPr>
          <w:bCs/>
          <w:iCs/>
          <w:lang w:val="en"/>
        </w:rPr>
        <w:t>T</w:t>
      </w:r>
      <w:r>
        <w:rPr>
          <w:bCs/>
          <w:iCs/>
          <w:lang w:val="en"/>
        </w:rPr>
        <w:t>emporal estimat</w:t>
      </w:r>
      <w:r w:rsidR="00386E1B">
        <w:rPr>
          <w:bCs/>
          <w:iCs/>
          <w:lang w:val="en"/>
        </w:rPr>
        <w:t>ion</w:t>
      </w:r>
      <w:r w:rsidR="00D86096">
        <w:rPr>
          <w:bCs/>
          <w:iCs/>
          <w:lang w:val="en"/>
        </w:rPr>
        <w:t>s</w:t>
      </w:r>
      <w:r>
        <w:rPr>
          <w:bCs/>
          <w:iCs/>
          <w:lang w:val="en"/>
        </w:rPr>
        <w:t xml:space="preserve"> give the harmonic mean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D86096">
        <w:rPr>
          <w:bCs/>
          <w:iCs/>
          <w:lang w:val="en"/>
        </w:rPr>
        <w:t xml:space="preserve"> </w:t>
      </w:r>
      <w:r>
        <w:rPr>
          <w:bCs/>
          <w:iCs/>
          <w:lang w:val="en"/>
        </w:rPr>
        <w:t>between two different time points</w:t>
      </w:r>
      <w:r w:rsidR="00386E1B">
        <w:rPr>
          <w:bCs/>
          <w:iCs/>
          <w:lang w:val="en"/>
        </w:rPr>
        <w:t xml:space="preserve">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oMath>
      <w:r w:rsidR="00386E1B">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oMath>
      <w:r w:rsidR="00386E1B">
        <w:rPr>
          <w:bCs/>
          <w:iCs/>
          <w:lang w:val="en"/>
        </w:rPr>
        <w:t xml:space="preserve">). For our first </w:t>
      </w:r>
      <w:commentRangeStart w:id="12"/>
      <w:r w:rsidR="00386E1B">
        <w:rPr>
          <w:bCs/>
          <w:iCs/>
          <w:lang w:val="en"/>
        </w:rPr>
        <w:t>estimations</w:t>
      </w:r>
      <w:commentRangeEnd w:id="12"/>
      <w:r w:rsidR="00BE296A">
        <w:rPr>
          <w:rStyle w:val="CommentReference"/>
        </w:rPr>
        <w:commentReference w:id="12"/>
      </w:r>
      <w:r w:rsidR="00386E1B">
        <w:rPr>
          <w:bCs/>
          <w:iCs/>
          <w:lang w:val="en"/>
        </w:rPr>
        <w:t xml:space="preserve"> we</w:t>
      </w:r>
      <w:r>
        <w:rPr>
          <w:bCs/>
          <w:iCs/>
          <w:lang w:val="en"/>
        </w:rPr>
        <w:t xml:space="preserve"> sought to set a specific time point by using years that were separated by one</w:t>
      </w:r>
      <w:r w:rsidR="0054076A">
        <w:rPr>
          <w:bCs/>
          <w:iCs/>
          <w:lang w:val="en"/>
        </w:rPr>
        <w:t>-</w:t>
      </w:r>
      <w:r w:rsidR="00386E1B">
        <w:rPr>
          <w:bCs/>
          <w:iCs/>
          <w:lang w:val="en"/>
        </w:rPr>
        <w:t>generation</w:t>
      </w:r>
      <w:r>
        <w:rPr>
          <w:bCs/>
          <w:iCs/>
          <w:lang w:val="en"/>
        </w:rPr>
        <w:t xml:space="preserve">. </w:t>
      </w:r>
      <w:r w:rsidR="00D86096">
        <w:rPr>
          <w:bCs/>
          <w:iCs/>
          <w:lang w:val="en"/>
        </w:rPr>
        <w:t>Thus, one</w:t>
      </w:r>
      <w:r w:rsidR="00A85784">
        <w:rPr>
          <w:bCs/>
          <w:iCs/>
          <w:lang w:val="en"/>
        </w:rPr>
        <w:t>-</w:t>
      </w:r>
      <w:r>
        <w:rPr>
          <w:bCs/>
          <w:iCs/>
          <w:lang w:val="en"/>
        </w:rPr>
        <w:t xml:space="preserve">generation </w:t>
      </w:r>
      <w:r w:rsidR="00386E1B">
        <w:rPr>
          <w:bCs/>
          <w:iCs/>
          <w:lang w:val="en"/>
        </w:rPr>
        <w:t xml:space="preserve">temporal method estimates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D86096">
        <w:rPr>
          <w:bCs/>
          <w:iCs/>
          <w:lang w:val="en"/>
        </w:rPr>
        <w:t xml:space="preserve"> </w:t>
      </w:r>
      <w:r>
        <w:rPr>
          <w:bCs/>
          <w:iCs/>
          <w:lang w:val="en"/>
        </w:rPr>
        <w:t xml:space="preserve">were made between time points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r>
          <w:rPr>
            <w:rFonts w:ascii="Cambria Math" w:hAnsi="Cambria Math"/>
            <w:lang w:val="en"/>
          </w:rPr>
          <m:t>=t</m:t>
        </m:r>
      </m:oMath>
      <w:r>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r>
          <w:rPr>
            <w:rFonts w:ascii="Cambria Math" w:hAnsi="Cambria Math"/>
            <w:lang w:val="en"/>
          </w:rPr>
          <m:t>=t+1</m:t>
        </m:r>
      </m:oMath>
      <w:r>
        <w:rPr>
          <w:bCs/>
          <w:iCs/>
          <w:lang w:val="en"/>
        </w:rPr>
        <w:t xml:space="preserve"> in order to find the effective population size of generation </w:t>
      </w:r>
      <m:oMath>
        <m:r>
          <w:rPr>
            <w:rFonts w:ascii="Cambria Math" w:hAnsi="Cambria Math"/>
            <w:lang w:val="en"/>
          </w:rPr>
          <m:t>t</m:t>
        </m:r>
      </m:oMath>
      <w:r>
        <w:rPr>
          <w:bCs/>
          <w:iCs/>
          <w:lang w:val="en"/>
        </w:rPr>
        <w:t xml:space="preserve">. To do this we exported the snpR genotype data as a </w:t>
      </w:r>
      <w:proofErr w:type="spellStart"/>
      <w:r>
        <w:rPr>
          <w:bCs/>
          <w:iCs/>
          <w:lang w:val="en"/>
        </w:rPr>
        <w:t>genepop</w:t>
      </w:r>
      <w:proofErr w:type="spellEnd"/>
      <w:r>
        <w:rPr>
          <w:bCs/>
          <w:iCs/>
          <w:lang w:val="en"/>
        </w:rPr>
        <w:t xml:space="preserve"> file and imported it into NeEstimator V2 to make estimates in </w:t>
      </w:r>
      <w:r w:rsidR="00FC1607">
        <w:rPr>
          <w:bCs/>
          <w:iCs/>
          <w:lang w:val="en"/>
        </w:rPr>
        <w:t xml:space="preserve">sequential </w:t>
      </w:r>
      <w:r>
        <w:rPr>
          <w:bCs/>
          <w:iCs/>
          <w:lang w:val="en"/>
        </w:rPr>
        <w:t xml:space="preserve">years with </w:t>
      </w:r>
      <w:r w:rsidR="00FC1607">
        <w:rPr>
          <w:bCs/>
          <w:iCs/>
          <w:lang w:val="en"/>
        </w:rPr>
        <w:t>sequencing data</w:t>
      </w:r>
      <w:r>
        <w:rPr>
          <w:bCs/>
          <w:iCs/>
          <w:lang w:val="en"/>
        </w:rPr>
        <w:t xml:space="preserve">. </w:t>
      </w:r>
      <w:r w:rsidR="00FC1607">
        <w:rPr>
          <w:bCs/>
          <w:iCs/>
          <w:lang w:val="en"/>
        </w:rPr>
        <w:t xml:space="preserve">Next, to get a broad understanding of how contemporary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r>
          <w:rPr>
            <w:rFonts w:ascii="Cambria Math" w:hAnsi="Cambria Math"/>
            <w:lang w:val="en"/>
          </w:rPr>
          <m:t xml:space="preserve"> </m:t>
        </m:r>
      </m:oMath>
      <w:r w:rsidR="00FC1607">
        <w:rPr>
          <w:bCs/>
          <w:iCs/>
          <w:lang w:val="en"/>
        </w:rPr>
        <w:t>is changing through time</w:t>
      </w:r>
      <w:r w:rsidR="00BE296A">
        <w:rPr>
          <w:bCs/>
          <w:iCs/>
          <w:lang w:val="en"/>
        </w:rPr>
        <w:t>,</w:t>
      </w:r>
      <w:r w:rsidR="00FC1607">
        <w:rPr>
          <w:bCs/>
          <w:iCs/>
          <w:lang w:val="en"/>
        </w:rPr>
        <w:t xml:space="preserve"> we</w:t>
      </w:r>
      <w:r>
        <w:rPr>
          <w:bCs/>
          <w:iCs/>
          <w:lang w:val="en"/>
        </w:rPr>
        <w:t xml:space="preserve"> performed all-by-all </w:t>
      </w:r>
      <w:r w:rsidR="00D86096">
        <w:rPr>
          <w:bCs/>
          <w:iCs/>
          <w:lang w:val="en"/>
        </w:rPr>
        <w:t xml:space="preserve">generation </w:t>
      </w:r>
      <w:r>
        <w:rPr>
          <w:bCs/>
          <w:iCs/>
          <w:lang w:val="en"/>
        </w:rPr>
        <w:t>temporal method estimates</w:t>
      </w:r>
      <w:r w:rsidR="00FC1607">
        <w:rPr>
          <w:bCs/>
          <w:iCs/>
          <w:lang w:val="en"/>
        </w:rPr>
        <w:t xml:space="preserve">. In these estimates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r>
          <w:rPr>
            <w:rFonts w:ascii="Cambria Math" w:hAnsi="Cambria Math"/>
            <w:lang w:val="en"/>
          </w:rPr>
          <m:t>=t</m:t>
        </m:r>
      </m:oMath>
      <w:r w:rsidR="00FC1607">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r>
          <w:rPr>
            <w:rFonts w:ascii="Cambria Math" w:hAnsi="Cambria Math"/>
            <w:lang w:val="en"/>
          </w:rPr>
          <m:t xml:space="preserve">=t+n </m:t>
        </m:r>
      </m:oMath>
      <w:r w:rsidR="00FC1607">
        <w:rPr>
          <w:bCs/>
          <w:iCs/>
          <w:lang w:val="en"/>
        </w:rPr>
        <w:t xml:space="preserve">where </w:t>
      </w:r>
      <m:oMath>
        <m:r>
          <w:rPr>
            <w:rFonts w:ascii="Cambria Math" w:hAnsi="Cambria Math"/>
            <w:lang w:val="en"/>
          </w:rPr>
          <m:t>n</m:t>
        </m:r>
      </m:oMath>
      <w:r w:rsidR="00FC1607">
        <w:rPr>
          <w:bCs/>
          <w:iCs/>
          <w:lang w:val="en"/>
        </w:rPr>
        <w:t xml:space="preserve"> increases to represent every other year in the dataset until estimates have been made for all possible combination pairs of generations.</w:t>
      </w:r>
    </w:p>
    <w:p w14:paraId="11124D68" w14:textId="77777777" w:rsidR="00275051" w:rsidRDefault="00275051" w:rsidP="00261AAC">
      <w:pPr>
        <w:ind w:right="270"/>
        <w:jc w:val="both"/>
        <w:rPr>
          <w:bCs/>
          <w:i/>
          <w:lang w:val="en"/>
        </w:rPr>
      </w:pPr>
    </w:p>
    <w:p w14:paraId="17D80631" w14:textId="4030B2ED" w:rsidR="00DE54E4" w:rsidRDefault="00DE54E4" w:rsidP="00261AAC">
      <w:pPr>
        <w:ind w:right="270"/>
        <w:jc w:val="both"/>
        <w:rPr>
          <w:bCs/>
          <w:i/>
          <w:lang w:val="en"/>
        </w:rPr>
      </w:pPr>
      <w:r w:rsidRPr="00DE54E4">
        <w:rPr>
          <w:bCs/>
          <w:i/>
          <w:lang w:val="en"/>
        </w:rPr>
        <w:t>Results</w:t>
      </w:r>
    </w:p>
    <w:p w14:paraId="224A58CB" w14:textId="77777777" w:rsidR="006846C0" w:rsidRDefault="00F34CF3" w:rsidP="00261AAC">
      <w:pPr>
        <w:ind w:right="270"/>
        <w:jc w:val="both"/>
        <w:rPr>
          <w:bCs/>
          <w:iCs/>
          <w:lang w:val="en"/>
        </w:rPr>
      </w:pPr>
      <w:r>
        <w:rPr>
          <w:bCs/>
          <w:iCs/>
          <w:lang w:val="en"/>
        </w:rPr>
        <w:t>Birth year</w:t>
      </w:r>
      <w:r w:rsidR="00D86096">
        <w:rPr>
          <w:bCs/>
          <w:iCs/>
          <w:lang w:val="en"/>
        </w:rPr>
        <w:t>s</w:t>
      </w:r>
      <w:r>
        <w:rPr>
          <w:bCs/>
          <w:iCs/>
          <w:lang w:val="en"/>
        </w:rPr>
        <w:t xml:space="preserve"> 1993, 2000, 2007 were all removed from </w:t>
      </w:r>
      <w:r w:rsidR="00D86096">
        <w:rPr>
          <w:bCs/>
          <w:iCs/>
          <w:lang w:val="en"/>
        </w:rPr>
        <w:t xml:space="preserve">subsequent </w:t>
      </w:r>
      <w:r>
        <w:rPr>
          <w:bCs/>
          <w:iCs/>
          <w:lang w:val="en"/>
        </w:rPr>
        <w:t xml:space="preserve">analyses due to having </w:t>
      </w:r>
      <w:r w:rsidR="00D86096">
        <w:rPr>
          <w:bCs/>
          <w:iCs/>
          <w:lang w:val="en"/>
        </w:rPr>
        <w:t xml:space="preserve">an </w:t>
      </w:r>
      <w:r>
        <w:rPr>
          <w:bCs/>
          <w:iCs/>
          <w:lang w:val="en"/>
        </w:rPr>
        <w:t xml:space="preserve">insufficient </w:t>
      </w:r>
      <w:r w:rsidR="00D86096">
        <w:rPr>
          <w:bCs/>
          <w:iCs/>
          <w:lang w:val="en"/>
        </w:rPr>
        <w:t xml:space="preserve">number of </w:t>
      </w:r>
      <w:r>
        <w:rPr>
          <w:bCs/>
          <w:iCs/>
          <w:lang w:val="en"/>
        </w:rPr>
        <w:t xml:space="preserve">individuals (Table 6). A total of 27,809 loci were read into R for snpR filtration. After Hardy-Weinberg and minimum yearly individual purging a total of 911 loci remained. </w:t>
      </w:r>
    </w:p>
    <w:p w14:paraId="581552DA" w14:textId="77777777" w:rsidR="006846C0" w:rsidRDefault="006846C0" w:rsidP="00261AAC">
      <w:pPr>
        <w:ind w:right="270"/>
        <w:jc w:val="both"/>
        <w:rPr>
          <w:bCs/>
          <w:iCs/>
          <w:lang w:val="en"/>
        </w:rPr>
      </w:pPr>
    </w:p>
    <w:p w14:paraId="2A649494" w14:textId="23CE371D" w:rsidR="00454A3D" w:rsidRDefault="00F34CF3" w:rsidP="00261AAC">
      <w:pPr>
        <w:ind w:right="270"/>
        <w:jc w:val="both"/>
        <w:rPr>
          <w:bCs/>
          <w:iCs/>
          <w:lang w:val="en"/>
        </w:rPr>
      </w:pPr>
      <w:r>
        <w:rPr>
          <w:bCs/>
          <w:iCs/>
          <w:lang w:val="en"/>
        </w:rPr>
        <w:t>One</w:t>
      </w:r>
      <w:r w:rsidR="00D86096">
        <w:rPr>
          <w:bCs/>
          <w:iCs/>
          <w:lang w:val="en"/>
        </w:rPr>
        <w:t>-</w:t>
      </w:r>
      <w:r>
        <w:rPr>
          <w:bCs/>
          <w:iCs/>
          <w:lang w:val="en"/>
        </w:rPr>
        <w:t xml:space="preserve">generation </w:t>
      </w:r>
      <w:r w:rsidR="006846C0">
        <w:rPr>
          <w:bCs/>
          <w:iCs/>
          <w:lang w:val="en"/>
        </w:rPr>
        <w:t>birth year</w:t>
      </w:r>
      <w:r>
        <w:rPr>
          <w:bCs/>
          <w:iCs/>
          <w:lang w:val="en"/>
        </w:rPr>
        <w:t xml:space="preserve"> estimates were made from 1995 to 1999 and from 2008</w:t>
      </w:r>
      <w:r w:rsidR="00D33F00">
        <w:rPr>
          <w:bCs/>
          <w:iCs/>
          <w:lang w:val="en"/>
        </w:rPr>
        <w:t xml:space="preserve"> to 2019 due to the availability of samples</w:t>
      </w:r>
      <w:r w:rsidR="0054076A">
        <w:rPr>
          <w:bCs/>
          <w:iCs/>
          <w:lang w:val="en"/>
        </w:rPr>
        <w:t>.</w:t>
      </w:r>
      <w:r w:rsidR="00D33F00">
        <w:rPr>
          <w:bCs/>
          <w:iCs/>
          <w:lang w:val="en"/>
        </w:rPr>
        <w:t xml:space="preserve"> </w:t>
      </w:r>
      <w:r w:rsidR="00454A3D">
        <w:rPr>
          <w:bCs/>
          <w:iCs/>
          <w:lang w:val="en"/>
        </w:rPr>
        <w:t xml:space="preserve">All temporal-method estimations from </w:t>
      </w:r>
      <w:r w:rsidR="00454A3D">
        <w:rPr>
          <w:bCs/>
          <w:iCs/>
          <w:lang w:val="en"/>
        </w:rPr>
        <w:t>1995 to 1997, 1999, and 2008 to 2010</w:t>
      </w:r>
      <w:r w:rsidR="00454A3D">
        <w:rPr>
          <w:bCs/>
          <w:iCs/>
          <w:lang w:val="en"/>
        </w:rPr>
        <w:t xml:space="preserve"> </w:t>
      </w:r>
      <w:r w:rsidR="006846C0">
        <w:rPr>
          <w:bCs/>
          <w:iCs/>
          <w:lang w:val="en"/>
        </w:rPr>
        <w:t xml:space="preserve">show an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6846C0">
        <w:rPr>
          <w:bCs/>
          <w:iCs/>
          <w:lang w:val="en"/>
        </w:rPr>
        <w:t xml:space="preserve"> above 5,000 or infinite</w:t>
      </w:r>
      <w:r w:rsidR="006846C0">
        <w:rPr>
          <w:bCs/>
          <w:iCs/>
          <w:lang w:val="en"/>
        </w:rPr>
        <w:t xml:space="preserve">. For birth year 1998, the </w:t>
      </w:r>
      <w:proofErr w:type="spellStart"/>
      <w:r w:rsidR="006846C0">
        <w:rPr>
          <w:bCs/>
          <w:iCs/>
          <w:lang w:val="en"/>
        </w:rPr>
        <w:t>Nei</w:t>
      </w:r>
      <w:proofErr w:type="spellEnd"/>
      <w:r w:rsidR="006846C0">
        <w:rPr>
          <w:bCs/>
          <w:iCs/>
          <w:lang w:val="en"/>
        </w:rPr>
        <w:t xml:space="preserve"> &amp; Tajima, and Pollak estimators show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6846C0">
        <w:rPr>
          <w:bCs/>
          <w:iCs/>
          <w:lang w:val="en"/>
        </w:rPr>
        <w:t xml:space="preserve"> </w:t>
      </w:r>
      <w:r w:rsidR="006846C0">
        <w:rPr>
          <w:bCs/>
          <w:iCs/>
          <w:lang w:val="en"/>
        </w:rPr>
        <w:t>below 1,000</w:t>
      </w:r>
      <w:r w:rsidR="00454A3D">
        <w:rPr>
          <w:bCs/>
          <w:iCs/>
          <w:lang w:val="en"/>
        </w:rPr>
        <w:t>, however,</w:t>
      </w:r>
      <w:r w:rsidR="006846C0">
        <w:rPr>
          <w:bCs/>
          <w:iCs/>
          <w:lang w:val="en"/>
        </w:rPr>
        <w:t xml:space="preserve"> the </w:t>
      </w:r>
      <w:proofErr w:type="spellStart"/>
      <w:r w:rsidR="006846C0">
        <w:rPr>
          <w:bCs/>
          <w:iCs/>
          <w:lang w:val="en"/>
        </w:rPr>
        <w:t>Jorde</w:t>
      </w:r>
      <w:proofErr w:type="spellEnd"/>
      <w:r w:rsidR="006846C0">
        <w:rPr>
          <w:bCs/>
          <w:iCs/>
          <w:lang w:val="en"/>
        </w:rPr>
        <w:t xml:space="preserve"> &amp; Ryman </w:t>
      </w:r>
      <w:r w:rsidR="00454A3D">
        <w:rPr>
          <w:bCs/>
          <w:iCs/>
          <w:lang w:val="en"/>
        </w:rPr>
        <w:t xml:space="preserve">method estimates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454A3D">
        <w:rPr>
          <w:bCs/>
          <w:iCs/>
          <w:lang w:val="en"/>
        </w:rPr>
        <w:t xml:space="preserve"> </w:t>
      </w:r>
      <w:r w:rsidR="00454A3D">
        <w:rPr>
          <w:bCs/>
          <w:iCs/>
          <w:lang w:val="en"/>
        </w:rPr>
        <w:t>to be</w:t>
      </w:r>
      <w:r w:rsidR="006846C0">
        <w:rPr>
          <w:bCs/>
          <w:iCs/>
          <w:lang w:val="en"/>
        </w:rPr>
        <w:t xml:space="preserve"> above 5,000.</w:t>
      </w:r>
      <w:r w:rsidR="0054076A">
        <w:rPr>
          <w:bCs/>
          <w:iCs/>
          <w:lang w:val="en"/>
        </w:rPr>
        <w:t xml:space="preserve"> More recent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54076A">
        <w:rPr>
          <w:bCs/>
          <w:iCs/>
          <w:lang w:val="en"/>
        </w:rPr>
        <w:t xml:space="preserve"> estimates </w:t>
      </w:r>
      <w:r w:rsidR="006846C0">
        <w:rPr>
          <w:bCs/>
          <w:iCs/>
          <w:lang w:val="en"/>
        </w:rPr>
        <w:t xml:space="preserve">show consistently </w:t>
      </w:r>
      <w:r w:rsidR="0054076A">
        <w:rPr>
          <w:bCs/>
          <w:iCs/>
          <w:lang w:val="en"/>
        </w:rPr>
        <w:t>lower</w:t>
      </w:r>
      <w:r w:rsidR="006846C0">
        <w:rPr>
          <w:bCs/>
          <w:iCs/>
          <w:lang w:val="en"/>
        </w:rPr>
        <w:t xml:space="preserv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r>
          <w:rPr>
            <w:rFonts w:ascii="Cambria Math" w:hAnsi="Cambria Math"/>
            <w:lang w:val="en"/>
          </w:rPr>
          <m:t>,</m:t>
        </m:r>
      </m:oMath>
      <w:r w:rsidR="0054076A">
        <w:rPr>
          <w:bCs/>
          <w:iCs/>
          <w:lang w:val="en"/>
        </w:rPr>
        <w:t xml:space="preserve"> </w:t>
      </w:r>
      <w:r w:rsidR="006846C0">
        <w:rPr>
          <w:bCs/>
          <w:iCs/>
          <w:lang w:val="en"/>
        </w:rPr>
        <w:t xml:space="preserve">with </w:t>
      </w:r>
      <w:r w:rsidR="0054076A">
        <w:rPr>
          <w:bCs/>
          <w:iCs/>
          <w:lang w:val="en"/>
        </w:rPr>
        <w:t xml:space="preserve">estimations from 2011 to 2017, and 2019 having an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54076A">
        <w:rPr>
          <w:bCs/>
          <w:iCs/>
          <w:lang w:val="en"/>
        </w:rPr>
        <w:t xml:space="preserve"> of 4,000 or less for all temporal-method estimators. Additionally, most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54076A">
        <w:rPr>
          <w:bCs/>
          <w:iCs/>
          <w:lang w:val="en"/>
        </w:rPr>
        <w:t xml:space="preserve"> estimates within these years are below 1,500. Birth year 2018 shows the </w:t>
      </w:r>
      <w:proofErr w:type="spellStart"/>
      <w:r w:rsidR="0054076A">
        <w:rPr>
          <w:bCs/>
          <w:iCs/>
          <w:lang w:val="en"/>
        </w:rPr>
        <w:t>Nei</w:t>
      </w:r>
      <w:proofErr w:type="spellEnd"/>
      <w:r w:rsidR="0054076A">
        <w:rPr>
          <w:bCs/>
          <w:iCs/>
          <w:lang w:val="en"/>
        </w:rPr>
        <w:t xml:space="preserve"> and Tajima estimation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54076A">
        <w:rPr>
          <w:bCs/>
          <w:iCs/>
          <w:lang w:val="en"/>
        </w:rPr>
        <w:t xml:space="preserve"> to be above 5,000 but both the </w:t>
      </w:r>
      <w:proofErr w:type="spellStart"/>
      <w:r w:rsidR="0054076A">
        <w:rPr>
          <w:bCs/>
          <w:iCs/>
          <w:lang w:val="en"/>
        </w:rPr>
        <w:t>Jorde</w:t>
      </w:r>
      <w:proofErr w:type="spellEnd"/>
      <w:r w:rsidR="0054076A">
        <w:rPr>
          <w:bCs/>
          <w:iCs/>
          <w:lang w:val="en"/>
        </w:rPr>
        <w:t xml:space="preserve"> &amp; Ryman, and Pollak estimators </w:t>
      </w:r>
      <w:r w:rsidR="006846C0">
        <w:rPr>
          <w:bCs/>
          <w:iCs/>
          <w:lang w:val="en"/>
        </w:rPr>
        <w:t xml:space="preserve">infer an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6846C0">
        <w:rPr>
          <w:bCs/>
          <w:iCs/>
          <w:lang w:val="en"/>
        </w:rPr>
        <w:t xml:space="preserve"> below 2,500</w:t>
      </w:r>
      <w:r w:rsidR="00454A3D">
        <w:rPr>
          <w:bCs/>
          <w:iCs/>
          <w:lang w:val="en"/>
        </w:rPr>
        <w:t xml:space="preserve"> (Figure 8)</w:t>
      </w:r>
      <w:r w:rsidR="0054076A">
        <w:rPr>
          <w:bCs/>
          <w:iCs/>
          <w:lang w:val="en"/>
        </w:rPr>
        <w:t>.</w:t>
      </w:r>
      <w:r w:rsidR="003C0946">
        <w:rPr>
          <w:bCs/>
          <w:iCs/>
          <w:lang w:val="en"/>
        </w:rPr>
        <w:t xml:space="preserve"> </w:t>
      </w:r>
    </w:p>
    <w:p w14:paraId="1C1339CD" w14:textId="77777777" w:rsidR="00454A3D" w:rsidRDefault="00454A3D" w:rsidP="00261AAC">
      <w:pPr>
        <w:ind w:right="270"/>
        <w:jc w:val="both"/>
        <w:rPr>
          <w:bCs/>
          <w:iCs/>
          <w:lang w:val="en"/>
        </w:rPr>
      </w:pPr>
    </w:p>
    <w:p w14:paraId="4A70853F" w14:textId="5B94C720" w:rsidR="00DE54E4" w:rsidRDefault="003C0946" w:rsidP="00261AAC">
      <w:pPr>
        <w:ind w:right="270"/>
        <w:jc w:val="both"/>
        <w:rPr>
          <w:bCs/>
          <w:iCs/>
          <w:lang w:val="en"/>
        </w:rPr>
      </w:pPr>
      <w:r>
        <w:rPr>
          <w:bCs/>
          <w:iCs/>
          <w:lang w:val="en"/>
        </w:rPr>
        <w:t xml:space="preserve">All-by-all </w:t>
      </w:r>
      <w:r w:rsidR="00D86096">
        <w:rPr>
          <w:bCs/>
          <w:iCs/>
          <w:lang w:val="en"/>
        </w:rPr>
        <w:t xml:space="preserve">generation </w:t>
      </w:r>
      <w:r>
        <w:rPr>
          <w:bCs/>
          <w:iCs/>
          <w:lang w:val="en"/>
        </w:rPr>
        <w:t xml:space="preserve">estimates were made, and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39013A">
        <w:rPr>
          <w:bCs/>
          <w:iCs/>
          <w:lang w:val="en"/>
        </w:rPr>
        <w:t xml:space="preserve"> </w:t>
      </w:r>
      <w:r>
        <w:rPr>
          <w:bCs/>
          <w:iCs/>
          <w:lang w:val="en"/>
        </w:rPr>
        <w:t xml:space="preserve">data was plotted as a point located at the mean generation between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oMath>
      <w:r>
        <w:rPr>
          <w:bCs/>
          <w:iCs/>
          <w:lang w:val="en"/>
        </w:rPr>
        <w:t xml:space="preserve"> and </w:t>
      </w:r>
      <w:commentRangeStart w:id="13"/>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oMath>
      <w:r>
        <w:rPr>
          <w:bCs/>
          <w:iCs/>
          <w:lang w:val="en"/>
        </w:rPr>
        <w:t xml:space="preserve"> (Figure 9).</w:t>
      </w:r>
      <w:commentRangeEnd w:id="13"/>
      <w:r w:rsidR="00F01580">
        <w:rPr>
          <w:rStyle w:val="CommentReference"/>
        </w:rPr>
        <w:commentReference w:id="13"/>
      </w:r>
      <w:r w:rsidR="00C765E7">
        <w:rPr>
          <w:bCs/>
          <w:iCs/>
          <w:lang w:val="en"/>
        </w:rPr>
        <w:t xml:space="preserve"> Similar to the one-generation experiment, </w:t>
      </w:r>
      <w:r w:rsidR="00C765E7">
        <w:rPr>
          <w:bCs/>
          <w:iCs/>
          <w:lang w:val="en"/>
        </w:rPr>
        <w:lastRenderedPageBreak/>
        <w:t xml:space="preserve">estimates made further back in time are more consistently infinite or above 10,000. The more recent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C765E7">
        <w:rPr>
          <w:bCs/>
          <w:iCs/>
          <w:lang w:val="en"/>
        </w:rPr>
        <w:t xml:space="preserve"> </w:t>
      </w:r>
      <w:r w:rsidR="00C765E7">
        <w:rPr>
          <w:bCs/>
          <w:iCs/>
          <w:lang w:val="en"/>
        </w:rPr>
        <w:t>estimations, notably from 2013 to 2020, are both decreasing and below 2,500.</w:t>
      </w:r>
      <w:r w:rsidR="00C765E7">
        <w:rPr>
          <w:bCs/>
          <w:iCs/>
          <w:lang w:val="en"/>
        </w:rPr>
        <w:tab/>
      </w:r>
    </w:p>
    <w:p w14:paraId="010BFD24" w14:textId="7824018A" w:rsidR="00DE54E4" w:rsidRDefault="00DE54E4" w:rsidP="00261AAC">
      <w:pPr>
        <w:ind w:right="270"/>
        <w:jc w:val="both"/>
        <w:rPr>
          <w:bCs/>
          <w:iCs/>
          <w:lang w:val="en"/>
        </w:rPr>
      </w:pPr>
    </w:p>
    <w:p w14:paraId="185C15AE" w14:textId="77777777" w:rsidR="00BD396E" w:rsidRDefault="00BD396E" w:rsidP="00261AAC">
      <w:pPr>
        <w:ind w:right="270"/>
        <w:jc w:val="both"/>
        <w:rPr>
          <w:bCs/>
          <w:iCs/>
          <w:lang w:val="en"/>
        </w:rPr>
      </w:pPr>
    </w:p>
    <w:p w14:paraId="7026F7E7" w14:textId="109FA168" w:rsidR="00DE54E4" w:rsidRDefault="00275051" w:rsidP="00261AAC">
      <w:pPr>
        <w:pStyle w:val="Heading2"/>
        <w:jc w:val="both"/>
        <w:rPr>
          <w:lang w:val="en"/>
        </w:rPr>
      </w:pPr>
      <w:r>
        <w:rPr>
          <w:lang w:val="en"/>
        </w:rPr>
        <w:t>L</w:t>
      </w:r>
      <w:r w:rsidR="00DE54E4">
        <w:rPr>
          <w:lang w:val="en"/>
        </w:rPr>
        <w:t>ong-term genetic diversity</w:t>
      </w:r>
      <w:r>
        <w:rPr>
          <w:lang w:val="en"/>
        </w:rPr>
        <w:t xml:space="preserve"> calculation</w:t>
      </w:r>
    </w:p>
    <w:p w14:paraId="220143D8" w14:textId="77777777" w:rsidR="00DE54E4" w:rsidRPr="00DA18B8" w:rsidRDefault="00DE54E4" w:rsidP="00261AAC">
      <w:pPr>
        <w:ind w:right="270"/>
        <w:jc w:val="both"/>
        <w:rPr>
          <w:bCs/>
          <w:i/>
          <w:lang w:val="en"/>
        </w:rPr>
      </w:pPr>
      <w:r w:rsidRPr="00DA18B8">
        <w:rPr>
          <w:bCs/>
          <w:i/>
          <w:lang w:val="en"/>
        </w:rPr>
        <w:t>Methods</w:t>
      </w:r>
    </w:p>
    <w:p w14:paraId="722E1BF4" w14:textId="581DA3F8" w:rsidR="00D50E41" w:rsidRDefault="00FC1607" w:rsidP="00261AAC">
      <w:pPr>
        <w:ind w:right="270"/>
        <w:jc w:val="both"/>
        <w:rPr>
          <w:bCs/>
          <w:iCs/>
          <w:lang w:val="en"/>
        </w:rPr>
      </w:pPr>
      <w:r>
        <w:rPr>
          <w:bCs/>
          <w:iCs/>
          <w:lang w:val="en"/>
        </w:rPr>
        <w:t>Since the value of effective population size is directly related to genetic diversity through</w:t>
      </w:r>
      <w:r w:rsidR="00D86096">
        <w:rPr>
          <w:bCs/>
          <w:iCs/>
          <w:lang w:val="en"/>
        </w:rPr>
        <w:t xml:space="preserve"> the equation</w:t>
      </w:r>
      <w:r>
        <w:rPr>
          <w:bCs/>
          <w:iCs/>
          <w:lang w:val="en"/>
        </w:rPr>
        <w:t xml:space="preserve"> </w:t>
      </w:r>
      <m:oMath>
        <m:r>
          <w:rPr>
            <w:rFonts w:ascii="Cambria Math" w:hAnsi="Cambria Math"/>
            <w:lang w:val="en"/>
          </w:rPr>
          <m:t>θ=4</m:t>
        </m:r>
        <m:sSub>
          <m:sSubPr>
            <m:ctrlPr>
              <w:rPr>
                <w:rFonts w:ascii="Cambria Math" w:hAnsi="Cambria Math"/>
                <w:bCs/>
                <w:i/>
                <w:iCs/>
                <w:lang w:val="en"/>
              </w:rPr>
            </m:ctrlPr>
          </m:sSubPr>
          <m:e>
            <m:r>
              <w:rPr>
                <w:rFonts w:ascii="Cambria Math" w:hAnsi="Cambria Math"/>
                <w:lang w:val="en"/>
              </w:rPr>
              <m:t>N</m:t>
            </m:r>
          </m:e>
          <m:sub>
            <m:r>
              <w:rPr>
                <w:rFonts w:ascii="Cambria Math" w:hAnsi="Cambria Math"/>
                <w:lang w:val="en"/>
              </w:rPr>
              <m:t>E</m:t>
            </m:r>
          </m:sub>
        </m:sSub>
        <m:r>
          <w:rPr>
            <w:rFonts w:ascii="Cambria Math" w:hAnsi="Cambria Math"/>
            <w:lang w:val="en"/>
          </w:rPr>
          <m:t>μ</m:t>
        </m:r>
      </m:oMath>
      <w:r>
        <w:rPr>
          <w:bCs/>
          <w:iCs/>
          <w:lang w:val="en"/>
        </w:rPr>
        <w:t xml:space="preserve"> </w:t>
      </w:r>
      <w:r w:rsidR="000F1FC5">
        <w:rPr>
          <w:bCs/>
          <w:iCs/>
          <w:lang w:val="en"/>
        </w:rPr>
        <w:t>,</w:t>
      </w:r>
      <w:r>
        <w:rPr>
          <w:bCs/>
          <w:iCs/>
          <w:lang w:val="en"/>
        </w:rPr>
        <w:t xml:space="preserve">where </w:t>
      </w:r>
      <m:oMath>
        <m:r>
          <w:rPr>
            <w:rFonts w:ascii="Cambria Math" w:hAnsi="Cambria Math"/>
            <w:lang w:val="en"/>
          </w:rPr>
          <m:t>θ</m:t>
        </m:r>
      </m:oMath>
      <w:r>
        <w:rPr>
          <w:bCs/>
          <w:iCs/>
          <w:lang w:val="en"/>
        </w:rPr>
        <w:t>=a measure of genetic diversity</w:t>
      </w:r>
      <w:r w:rsidR="000F1FC5">
        <w:rPr>
          <w:bCs/>
          <w:iCs/>
          <w:lang w:val="en"/>
        </w:rPr>
        <w:t xml:space="preserve"> and </w:t>
      </w:r>
      <m:oMath>
        <m:r>
          <w:rPr>
            <w:rFonts w:ascii="Cambria Math" w:hAnsi="Cambria Math"/>
            <w:lang w:val="en"/>
          </w:rPr>
          <m:t>μ</m:t>
        </m:r>
      </m:oMath>
      <w:r w:rsidR="000F1FC5">
        <w:rPr>
          <w:bCs/>
          <w:iCs/>
          <w:lang w:val="en"/>
        </w:rPr>
        <w:t xml:space="preserve"> is the organism’s mutation rate, we wanted to see if the size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D86096">
        <w:rPr>
          <w:bCs/>
          <w:iCs/>
          <w:lang w:val="en"/>
        </w:rPr>
        <w:t xml:space="preserve"> </w:t>
      </w:r>
      <w:r w:rsidR="000F1FC5">
        <w:rPr>
          <w:bCs/>
          <w:iCs/>
          <w:lang w:val="en"/>
        </w:rPr>
        <w:t xml:space="preserve">translated to genetic diversity loss. </w:t>
      </w:r>
      <w:r w:rsidR="0053152E">
        <w:rPr>
          <w:bCs/>
          <w:iCs/>
          <w:lang w:val="en"/>
        </w:rPr>
        <w:t>To quantify genetic diversity in the through time we used two different estimates of the</w:t>
      </w:r>
      <w:r w:rsidR="00E76AA5">
        <w:rPr>
          <w:bCs/>
          <w:iCs/>
          <w:lang w:val="en"/>
        </w:rPr>
        <w:t>ta––</w:t>
      </w:r>
      <w:r w:rsidR="000F1FC5">
        <w:rPr>
          <w:bCs/>
          <w:iCs/>
          <w:lang w:val="en"/>
        </w:rPr>
        <w:t>the normalized number of segregating sites</w:t>
      </w:r>
      <w:r w:rsidR="00E76AA5">
        <w:rPr>
          <w:bCs/>
          <w:iCs/>
          <w:lang w:val="en"/>
        </w:rPr>
        <w:t xml:space="preserve"> (</w:t>
      </w:r>
      <w:r w:rsidR="00321F2A">
        <w:rPr>
          <w:bCs/>
          <w:iCs/>
          <w:lang w:val="en"/>
        </w:rPr>
        <w:t xml:space="preserve">Watterson,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S</m:t>
            </m:r>
          </m:sub>
        </m:sSub>
      </m:oMath>
      <w:r w:rsidR="00E76AA5">
        <w:rPr>
          <w:bCs/>
          <w:iCs/>
          <w:lang w:val="en"/>
        </w:rPr>
        <w:t xml:space="preserve">) and </w:t>
      </w:r>
      <w:r w:rsidR="000F1FC5">
        <w:rPr>
          <w:bCs/>
          <w:iCs/>
          <w:lang w:val="en"/>
        </w:rPr>
        <w:t>average pairwise nucleotide differences</w:t>
      </w:r>
      <w:r w:rsidR="00E76AA5">
        <w:rPr>
          <w:bCs/>
          <w:iCs/>
          <w:lang w:val="en"/>
        </w:rPr>
        <w:t xml:space="preserve"> (</w:t>
      </w:r>
      <w:r w:rsidR="00321F2A">
        <w:rPr>
          <w:bCs/>
          <w:iCs/>
          <w:lang w:val="en"/>
        </w:rPr>
        <w:t xml:space="preserve">Pi,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π</m:t>
            </m:r>
          </m:sub>
        </m:sSub>
      </m:oMath>
      <w:r w:rsidR="00E76AA5">
        <w:rPr>
          <w:bCs/>
          <w:iCs/>
          <w:lang w:val="en"/>
        </w:rPr>
        <w:t xml:space="preserve">). </w:t>
      </w:r>
    </w:p>
    <w:p w14:paraId="275535D7" w14:textId="77777777" w:rsidR="00E76AA5" w:rsidRDefault="00E76AA5" w:rsidP="00261AAC">
      <w:pPr>
        <w:ind w:right="270"/>
        <w:jc w:val="both"/>
        <w:rPr>
          <w:bCs/>
          <w:iCs/>
          <w:lang w:val="en"/>
        </w:rPr>
      </w:pPr>
    </w:p>
    <w:p w14:paraId="3172B73F" w14:textId="121659D2" w:rsidR="007B22E7" w:rsidRDefault="00D86096" w:rsidP="00261AAC">
      <w:pPr>
        <w:jc w:val="both"/>
        <w:rPr>
          <w:bCs/>
          <w:iCs/>
          <w:lang w:val="en"/>
        </w:rPr>
      </w:pPr>
      <w:r>
        <w:rPr>
          <w:bCs/>
          <w:iCs/>
          <w:lang w:val="en"/>
        </w:rPr>
        <w:t>To make estimates of genetic diversity (theta estimates)</w:t>
      </w:r>
      <w:r w:rsidR="007B22E7">
        <w:rPr>
          <w:bCs/>
          <w:iCs/>
          <w:lang w:val="en"/>
        </w:rPr>
        <w:t>,</w:t>
      </w:r>
      <w:r w:rsidR="00E76AA5">
        <w:rPr>
          <w:bCs/>
          <w:iCs/>
          <w:lang w:val="en"/>
        </w:rPr>
        <w:t xml:space="preserve"> </w:t>
      </w:r>
      <w:r w:rsidR="00AE7EDA">
        <w:rPr>
          <w:bCs/>
          <w:iCs/>
          <w:lang w:val="en"/>
        </w:rPr>
        <w:t>we</w:t>
      </w:r>
      <w:r w:rsidR="00E76AA5">
        <w:rPr>
          <w:bCs/>
          <w:iCs/>
          <w:lang w:val="en"/>
        </w:rPr>
        <w:t xml:space="preserve"> </w:t>
      </w:r>
      <w:r w:rsidR="007B22E7">
        <w:rPr>
          <w:bCs/>
          <w:iCs/>
          <w:lang w:val="en"/>
        </w:rPr>
        <w:t xml:space="preserve">obtained a global estimate of the </w:t>
      </w:r>
      <w:r w:rsidR="00AE7EDA">
        <w:rPr>
          <w:bCs/>
          <w:iCs/>
          <w:lang w:val="en"/>
        </w:rPr>
        <w:t xml:space="preserve">folded </w:t>
      </w:r>
      <w:r w:rsidR="007B22E7">
        <w:rPr>
          <w:bCs/>
          <w:iCs/>
          <w:lang w:val="en"/>
        </w:rPr>
        <w:t>site frequency spectrum</w:t>
      </w:r>
      <w:r w:rsidR="00AE7EDA">
        <w:rPr>
          <w:bCs/>
          <w:iCs/>
          <w:lang w:val="en"/>
        </w:rPr>
        <w:t xml:space="preserve">. </w:t>
      </w:r>
      <w:r>
        <w:rPr>
          <w:bCs/>
          <w:iCs/>
          <w:lang w:val="en"/>
        </w:rPr>
        <w:t>First</w:t>
      </w:r>
      <w:ins w:id="14" w:author="Microsoft Office User" w:date="2021-06-02T10:06:00Z">
        <w:r w:rsidR="001F58F6">
          <w:rPr>
            <w:bCs/>
            <w:iCs/>
            <w:lang w:val="en"/>
          </w:rPr>
          <w:t xml:space="preserve">, </w:t>
        </w:r>
      </w:ins>
      <w:r>
        <w:rPr>
          <w:bCs/>
          <w:iCs/>
          <w:lang w:val="en"/>
        </w:rPr>
        <w:t>we acquired</w:t>
      </w:r>
      <w:r w:rsidR="007B22E7">
        <w:rPr>
          <w:bCs/>
          <w:iCs/>
          <w:lang w:val="en"/>
        </w:rPr>
        <w:t xml:space="preserve"> site allele frequency likelihoods </w:t>
      </w:r>
      <w:r w:rsidR="00AE7EDA">
        <w:rPr>
          <w:bCs/>
          <w:iCs/>
          <w:lang w:val="en"/>
        </w:rPr>
        <w:t xml:space="preserve">using the reference genome </w:t>
      </w:r>
      <w:r w:rsidR="007B22E7">
        <w:rPr>
          <w:bCs/>
          <w:iCs/>
          <w:lang w:val="en"/>
        </w:rPr>
        <w:t xml:space="preserve">ANGSD </w:t>
      </w:r>
      <w:r w:rsidR="00AE7EDA">
        <w:rPr>
          <w:bCs/>
          <w:iCs/>
          <w:lang w:val="en"/>
        </w:rPr>
        <w:t>(</w:t>
      </w:r>
      <w:r w:rsidR="00AE7EDA" w:rsidRPr="00AE7EDA">
        <w:rPr>
          <w:rFonts w:ascii="Courier" w:hAnsi="Courier"/>
          <w:bCs/>
          <w:iCs/>
          <w:lang w:val="en"/>
        </w:rPr>
        <w:t xml:space="preserve">angsd -GL </w:t>
      </w:r>
      <w:r w:rsidR="00AE7EDA">
        <w:rPr>
          <w:rFonts w:ascii="Courier" w:hAnsi="Courier"/>
          <w:bCs/>
          <w:iCs/>
          <w:lang w:val="en"/>
        </w:rPr>
        <w:t>2</w:t>
      </w:r>
      <w:r w:rsidR="00AE7EDA" w:rsidRPr="00AE7EDA">
        <w:rPr>
          <w:rFonts w:ascii="Courier" w:hAnsi="Courier"/>
          <w:bCs/>
          <w:iCs/>
          <w:lang w:val="en"/>
        </w:rPr>
        <w:t xml:space="preserve"> -doSaf 1 -minMapQ 10 -minQ 20</w:t>
      </w:r>
      <w:r>
        <w:rPr>
          <w:bCs/>
          <w:iCs/>
          <w:lang w:val="en"/>
        </w:rPr>
        <w:t>). Next, we</w:t>
      </w:r>
      <w:r w:rsidR="007B22E7">
        <w:rPr>
          <w:bCs/>
          <w:iCs/>
          <w:lang w:val="en"/>
        </w:rPr>
        <w:t xml:space="preserve"> </w:t>
      </w:r>
      <w:r w:rsidR="00AE7EDA">
        <w:rPr>
          <w:bCs/>
          <w:iCs/>
          <w:lang w:val="en"/>
        </w:rPr>
        <w:t>estimated the</w:t>
      </w:r>
      <w:r w:rsidR="007B22E7">
        <w:rPr>
          <w:bCs/>
          <w:iCs/>
          <w:lang w:val="en"/>
        </w:rPr>
        <w:t xml:space="preserve"> maximum likelihood of the site frequency spectrum (SFS) in realSFS (</w:t>
      </w:r>
      <w:r w:rsidR="00AE7EDA" w:rsidRPr="00AE7EDA">
        <w:rPr>
          <w:rFonts w:ascii="Courier" w:hAnsi="Courier"/>
          <w:bCs/>
          <w:iCs/>
          <w:lang w:val="en"/>
        </w:rPr>
        <w:t>realSFS -maxIter 100 -fold 1</w:t>
      </w:r>
      <w:r w:rsidR="007B22E7">
        <w:rPr>
          <w:bCs/>
          <w:iCs/>
          <w:lang w:val="en"/>
        </w:rPr>
        <w:t xml:space="preserve">). </w:t>
      </w:r>
      <w:r>
        <w:rPr>
          <w:bCs/>
          <w:iCs/>
          <w:lang w:val="en"/>
        </w:rPr>
        <w:t>Finally</w:t>
      </w:r>
      <w:r w:rsidR="007B22E7">
        <w:rPr>
          <w:bCs/>
          <w:iCs/>
          <w:lang w:val="en"/>
        </w:rPr>
        <w:t xml:space="preserve">, we calculated theta for each site by </w:t>
      </w:r>
      <w:r w:rsidR="009D3BBF">
        <w:rPr>
          <w:bCs/>
          <w:iCs/>
          <w:lang w:val="en"/>
        </w:rPr>
        <w:t>using realSFS (</w:t>
      </w:r>
      <w:r w:rsidR="009D3BBF" w:rsidRPr="009D3BBF">
        <w:rPr>
          <w:rFonts w:ascii="Courier" w:hAnsi="Courier"/>
          <w:bCs/>
          <w:iCs/>
          <w:lang w:val="en"/>
        </w:rPr>
        <w:t>realSFS saf2theta</w:t>
      </w:r>
      <w:r w:rsidR="009D3BBF">
        <w:rPr>
          <w:bCs/>
          <w:iCs/>
          <w:lang w:val="en"/>
        </w:rPr>
        <w:t>) and converted those data into logscale per</w:t>
      </w:r>
      <w:r w:rsidR="00E217A2">
        <w:rPr>
          <w:bCs/>
          <w:iCs/>
          <w:lang w:val="en"/>
        </w:rPr>
        <w:t>-</w:t>
      </w:r>
      <w:r w:rsidR="009D3BBF">
        <w:rPr>
          <w:bCs/>
          <w:iCs/>
          <w:lang w:val="en"/>
        </w:rPr>
        <w:t>site theta with thetaStat (</w:t>
      </w:r>
      <w:r w:rsidR="009D3BBF" w:rsidRPr="009D3BBF">
        <w:rPr>
          <w:rFonts w:ascii="Courier" w:hAnsi="Courier"/>
          <w:bCs/>
          <w:iCs/>
          <w:lang w:val="en"/>
        </w:rPr>
        <w:t>thetaStat print</w:t>
      </w:r>
      <w:r w:rsidR="009D3BBF">
        <w:rPr>
          <w:bCs/>
          <w:iCs/>
          <w:lang w:val="en"/>
        </w:rPr>
        <w:t>)</w:t>
      </w:r>
      <w:r w:rsidR="00E217A2">
        <w:rPr>
          <w:bCs/>
          <w:iCs/>
          <w:lang w:val="en"/>
        </w:rPr>
        <w:t>.</w:t>
      </w:r>
    </w:p>
    <w:p w14:paraId="4AB5D023" w14:textId="77777777" w:rsidR="00DE54E4" w:rsidRDefault="00DE54E4" w:rsidP="00261AAC">
      <w:pPr>
        <w:ind w:right="270"/>
        <w:jc w:val="both"/>
        <w:rPr>
          <w:bCs/>
          <w:i/>
          <w:lang w:val="en"/>
        </w:rPr>
      </w:pPr>
    </w:p>
    <w:p w14:paraId="3BFEA183" w14:textId="77777777" w:rsidR="00DE54E4" w:rsidRPr="00DE54E4" w:rsidRDefault="00DE54E4" w:rsidP="00261AAC">
      <w:pPr>
        <w:ind w:right="270"/>
        <w:jc w:val="both"/>
        <w:rPr>
          <w:bCs/>
          <w:i/>
          <w:lang w:val="en"/>
        </w:rPr>
      </w:pPr>
      <w:r w:rsidRPr="00DE54E4">
        <w:rPr>
          <w:bCs/>
          <w:i/>
          <w:lang w:val="en"/>
        </w:rPr>
        <w:t>Results</w:t>
      </w:r>
    </w:p>
    <w:p w14:paraId="02BBF2E3" w14:textId="73713286" w:rsidR="00D53365" w:rsidRPr="00BD396E" w:rsidRDefault="00E217A2" w:rsidP="00261AAC">
      <w:pPr>
        <w:ind w:right="270"/>
        <w:jc w:val="both"/>
        <w:rPr>
          <w:bCs/>
          <w:iCs/>
          <w:lang w:val="en"/>
        </w:rPr>
      </w:pPr>
      <w:r>
        <w:rPr>
          <w:bCs/>
          <w:iCs/>
          <w:lang w:val="en"/>
        </w:rPr>
        <w:t xml:space="preserve">Both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S</m:t>
            </m:r>
          </m:sub>
        </m:sSub>
      </m:oMath>
      <w:r>
        <w:rPr>
          <w:bCs/>
          <w:iCs/>
          <w:lang w:val="en"/>
        </w:rPr>
        <w:t xml:space="preserve"> and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π</m:t>
            </m:r>
          </m:sub>
        </m:sSub>
      </m:oMath>
      <w:r>
        <w:rPr>
          <w:bCs/>
          <w:iCs/>
          <w:lang w:val="en"/>
        </w:rPr>
        <w:t xml:space="preserve"> decline</w:t>
      </w:r>
      <w:r w:rsidR="009B437B">
        <w:rPr>
          <w:bCs/>
          <w:iCs/>
          <w:lang w:val="en"/>
        </w:rPr>
        <w:t xml:space="preserve"> from 1995 to 2019</w:t>
      </w:r>
      <w:r>
        <w:rPr>
          <w:bCs/>
          <w:iCs/>
          <w:lang w:val="en"/>
        </w:rPr>
        <w:t xml:space="preserve">. </w:t>
      </w:r>
      <w:r w:rsidR="00D86096">
        <w:rPr>
          <w:bCs/>
          <w:iCs/>
          <w:lang w:val="en"/>
        </w:rPr>
        <w:t>Per base e</w:t>
      </w:r>
      <w:r>
        <w:rPr>
          <w:bCs/>
          <w:iCs/>
          <w:lang w:val="en"/>
        </w:rPr>
        <w:t xml:space="preserve">stimates of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S</m:t>
            </m:r>
          </m:sub>
        </m:sSub>
      </m:oMath>
      <w:r>
        <w:rPr>
          <w:bCs/>
          <w:iCs/>
          <w:lang w:val="en"/>
        </w:rPr>
        <w:t xml:space="preserve"> range from </w:t>
      </w:r>
      <w:r w:rsidR="00001B0B" w:rsidRPr="00001B0B">
        <w:rPr>
          <w:bCs/>
          <w:iCs/>
          <w:lang w:val="en"/>
        </w:rPr>
        <w:t>0.0001006325</w:t>
      </w:r>
      <w:r w:rsidR="00001B0B">
        <w:rPr>
          <w:bCs/>
          <w:iCs/>
          <w:lang w:val="en"/>
        </w:rPr>
        <w:t xml:space="preserve"> </w:t>
      </w:r>
      <w:r>
        <w:rPr>
          <w:bCs/>
          <w:iCs/>
          <w:lang w:val="en"/>
        </w:rPr>
        <w:t xml:space="preserve">to </w:t>
      </w:r>
      <w:r w:rsidR="00001B0B" w:rsidRPr="00001B0B">
        <w:rPr>
          <w:bCs/>
          <w:iCs/>
          <w:lang w:val="en"/>
        </w:rPr>
        <w:t>0.0002993705</w:t>
      </w:r>
      <w:r w:rsidR="00001B0B">
        <w:rPr>
          <w:bCs/>
          <w:iCs/>
          <w:lang w:val="en"/>
        </w:rPr>
        <w:t xml:space="preserve"> </w:t>
      </w:r>
      <w:r>
        <w:rPr>
          <w:bCs/>
          <w:iCs/>
          <w:lang w:val="en"/>
        </w:rPr>
        <w:t xml:space="preserve">and estimates of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π</m:t>
            </m:r>
          </m:sub>
        </m:sSub>
      </m:oMath>
      <w:r>
        <w:rPr>
          <w:bCs/>
          <w:iCs/>
          <w:lang w:val="en"/>
        </w:rPr>
        <w:t xml:space="preserve"> range from</w:t>
      </w:r>
      <w:r w:rsidR="0039013A">
        <w:rPr>
          <w:bCs/>
          <w:iCs/>
          <w:lang w:val="en"/>
        </w:rPr>
        <w:t xml:space="preserve"> 1.006e-4</w:t>
      </w:r>
      <w:r w:rsidR="00001B0B">
        <w:rPr>
          <w:bCs/>
          <w:iCs/>
          <w:lang w:val="en"/>
        </w:rPr>
        <w:t xml:space="preserve"> </w:t>
      </w:r>
      <w:r>
        <w:rPr>
          <w:bCs/>
          <w:iCs/>
          <w:lang w:val="en"/>
        </w:rPr>
        <w:t xml:space="preserve">to </w:t>
      </w:r>
      <w:r w:rsidR="0039013A">
        <w:rPr>
          <w:bCs/>
          <w:iCs/>
          <w:lang w:val="en"/>
        </w:rPr>
        <w:t xml:space="preserve">2.183e-4 </w:t>
      </w:r>
      <w:r w:rsidR="00001B0B">
        <w:rPr>
          <w:bCs/>
          <w:iCs/>
          <w:lang w:val="en"/>
        </w:rPr>
        <w:t>(Figure 10)</w:t>
      </w:r>
      <w:r>
        <w:rPr>
          <w:bCs/>
          <w:iCs/>
          <w:lang w:val="en"/>
        </w:rPr>
        <w:t xml:space="preserve">. </w:t>
      </w:r>
    </w:p>
    <w:p w14:paraId="6CFA63AE" w14:textId="74A64505" w:rsidR="001B4B9F" w:rsidRDefault="001B4B9F" w:rsidP="00261AAC">
      <w:pPr>
        <w:jc w:val="both"/>
      </w:pPr>
      <w:r>
        <w:br w:type="page"/>
      </w:r>
    </w:p>
    <w:p w14:paraId="5E9F7CCA" w14:textId="77777777" w:rsidR="00106145" w:rsidRDefault="00106145" w:rsidP="00261AAC">
      <w:pPr>
        <w:jc w:val="both"/>
      </w:pPr>
    </w:p>
    <w:p w14:paraId="4FABE29E" w14:textId="7042A995" w:rsidR="00106145" w:rsidRPr="007E1B09" w:rsidRDefault="00106145" w:rsidP="00261AAC">
      <w:pPr>
        <w:pStyle w:val="Heading1"/>
        <w:jc w:val="both"/>
      </w:pPr>
      <w:r w:rsidRPr="00D96AC9">
        <w:t>Task 4: Sex Marker</w:t>
      </w:r>
    </w:p>
    <w:p w14:paraId="10219999" w14:textId="77777777" w:rsidR="00106145" w:rsidRDefault="00106145" w:rsidP="00261AAC">
      <w:pPr>
        <w:pStyle w:val="Heading2"/>
        <w:jc w:val="both"/>
      </w:pPr>
      <w:r>
        <w:t>Background</w:t>
      </w:r>
    </w:p>
    <w:p w14:paraId="740E4005" w14:textId="77777777" w:rsidR="00106145" w:rsidRDefault="00106145" w:rsidP="00261AAC">
      <w:pPr>
        <w:ind w:right="270"/>
        <w:jc w:val="both"/>
        <w:rPr>
          <w:bCs/>
          <w:iCs/>
        </w:rPr>
      </w:pPr>
      <w:r w:rsidRPr="00AD4FB8">
        <w:rPr>
          <w:bCs/>
          <w:iCs/>
        </w:rPr>
        <w:t>Sex determination in fish is a highly variable trait</w:t>
      </w:r>
      <w:r w:rsidRPr="00AD4FB8">
        <w:rPr>
          <w:bCs/>
          <w:iCs/>
        </w:rPr>
        <w:fldChar w:fldCharType="begin" w:fldLock="1"/>
      </w:r>
      <w:r w:rsidRPr="00AD4FB8">
        <w:rPr>
          <w:bCs/>
          <w:iCs/>
        </w:rPr>
        <w:instrText>ADDIN CSL_CITATION {"citationItems":[{"id":"ITEM-1","itemData":{"DOI":"10.1038/sj.hdy.6800635","ISSN":"0018067X","abstract":"Teleost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N.","non-dropping-particle":"","parse-names":false,"suffix":""}],"container-title":"Heredity","id":"ITEM-1","issue":"3","issued":{"date-parts":[["2005"]]},"page":"280-294","title":"Genome evolution and biodiversity in teleost fish","type":"article-journal","volume":"94"},"uris":["http://www.mendeley.com/documents/?uuid=56b7b82a-2bfd-4eaa-ae1f-6d641aa6b290"]}],"mendeley":{"formattedCitation":"&lt;sup&gt;62&lt;/sup&gt;","plainTextFormattedCitation":"62","previouslyFormattedCitation":"&lt;sup&gt;62&lt;/sup&gt;"},"properties":{"noteIndex":0},"schema":"https://github.com/citation-style-language/schema/raw/master/csl-citation.json"}</w:instrText>
      </w:r>
      <w:r w:rsidRPr="00AD4FB8">
        <w:rPr>
          <w:bCs/>
          <w:iCs/>
        </w:rPr>
        <w:fldChar w:fldCharType="separate"/>
      </w:r>
      <w:r w:rsidRPr="00AD4FB8">
        <w:rPr>
          <w:bCs/>
          <w:iCs/>
          <w:vertAlign w:val="superscript"/>
        </w:rPr>
        <w:t>62</w:t>
      </w:r>
      <w:r w:rsidRPr="00AD4FB8">
        <w:rPr>
          <w:bCs/>
          <w:iCs/>
        </w:rPr>
        <w:fldChar w:fldCharType="end"/>
      </w:r>
      <w:r w:rsidRPr="00AD4FB8">
        <w:rPr>
          <w:bCs/>
          <w:iCs/>
        </w:rPr>
        <w:t xml:space="preserve"> and understanding its mechanisms is crucial not only for understanding the biology of the individual species of fish but</w:t>
      </w:r>
      <w:r>
        <w:rPr>
          <w:bCs/>
          <w:iCs/>
        </w:rPr>
        <w:t xml:space="preserve"> also</w:t>
      </w:r>
      <w:r w:rsidRPr="00AD4FB8">
        <w:rPr>
          <w:bCs/>
          <w:iCs/>
        </w:rPr>
        <w:t xml:space="preserve"> for gaining insight into the evolution of sex chromosomes and genetic mechanisms underlying sex determination.</w:t>
      </w:r>
      <w:r w:rsidRPr="00AD4FB8">
        <w:rPr>
          <w:bCs/>
          <w:iCs/>
        </w:rPr>
        <w:fldChar w:fldCharType="begin" w:fldLock="1"/>
      </w:r>
      <w:r w:rsidRPr="00AD4FB8">
        <w:rPr>
          <w:bCs/>
          <w:iCs/>
        </w:rPr>
        <w:instrText>ADDIN CSL_CITATION {"citationItems":[{"id":"ITEM-1","itemData":{"DOI":"10.1007/s11427-014-4797-9","ISSN":"16747305","abstract":"Aquaculture has made an enormous contribution to the world food production, especially to the sustainable supply of animal proteins. The utility of diverse reproduction strategies in fish, such as the exploiting use of unisexual gynogenesis, has created a typical case of fish genetic breeding. A number of fish species show substantial sexual dimorphism that is closely linked to multiple economic traits including growth rate and body size, and the efficient development of sex-linked genetic markers and sex control biotechnologies has provided significant approaches to increase the production and value for commercial purposes. Along with the rapid development of genomics and molecular genetic techniques, the genetic basis of sexual dimorphism has been gradually deciphered, and great progress has been made in the mechanisms of fish sex determination and identification of sex-determining genes. This review summarizes the progress to provide some directive and objective thinking for further research in this field.","author":[{"dropping-particle":"","family":"Mei","given":"Jie","non-dropping-particle":"","parse-names":false,"suffix":""},{"dropping-particle":"","family":"Gui","given":"Jian Fang","non-dropping-particle":"","parse-names":false,"suffix":""}],"container-title":"Science China Life Sciences","id":"ITEM-1","issue":"2","issued":{"date-parts":[["2015"]]},"page":"124-136","title":"Genetic basis and biotechnological manipulation of sexual dimorphism and sex determination in fish","type":"article-journal","volume":"58"},"uris":["http://www.mendeley.com/documents/?uuid=bf62f766-0bdc-4713-80eb-0c79ca8ca548"]}],"mendeley":{"formattedCitation":"&lt;sup&gt;63&lt;/sup&gt;","plainTextFormattedCitation":"63","previouslyFormattedCitation":"&lt;sup&gt;63&lt;/sup&gt;"},"properties":{"noteIndex":0},"schema":"https://github.com/citation-style-language/schema/raw/master/csl-citation.json"}</w:instrText>
      </w:r>
      <w:r w:rsidRPr="00AD4FB8">
        <w:rPr>
          <w:bCs/>
          <w:iCs/>
        </w:rPr>
        <w:fldChar w:fldCharType="separate"/>
      </w:r>
      <w:r w:rsidRPr="00AD4FB8">
        <w:rPr>
          <w:bCs/>
          <w:iCs/>
          <w:vertAlign w:val="superscript"/>
        </w:rPr>
        <w:t>63</w:t>
      </w:r>
      <w:r w:rsidRPr="00AD4FB8">
        <w:rPr>
          <w:bCs/>
          <w:iCs/>
        </w:rPr>
        <w:fldChar w:fldCharType="end"/>
      </w:r>
      <w:r w:rsidRPr="00AD4FB8">
        <w:rPr>
          <w:bCs/>
          <w:iCs/>
        </w:rPr>
        <w:t xml:space="preserve"> Fish represent the most diverse group of vertebrates </w:t>
      </w:r>
      <w:r>
        <w:rPr>
          <w:bCs/>
          <w:iCs/>
        </w:rPr>
        <w:t xml:space="preserve">on earth </w:t>
      </w:r>
      <w:r w:rsidRPr="00AD4FB8">
        <w:rPr>
          <w:bCs/>
          <w:iCs/>
        </w:rPr>
        <w:t>with over 30,000 described species.</w:t>
      </w:r>
      <w:r w:rsidRPr="00AD4FB8">
        <w:rPr>
          <w:bCs/>
          <w:iCs/>
        </w:rPr>
        <w:fldChar w:fldCharType="begin" w:fldLock="1"/>
      </w:r>
      <w:r w:rsidRPr="00AD4FB8">
        <w:rPr>
          <w:bCs/>
          <w:iCs/>
        </w:rPr>
        <w:instrText>ADDIN CSL_CITATION {"citationItems":[{"id":"ITEM-1","itemData":{"ISBN":"9781118342336","author":[{"dropping-particle":"","family":"Nelson","given":"Joseph S.","non-dropping-particle":"","parse-names":false,"suffix":""},{"dropping-particle":"","family":"Grande","given":"Terry C.","non-dropping-particle":"","parse-names":false,"suffix":""},{"dropping-particle":"","family":"Wilson","given":"Mark V. H.","non-dropping-particle":"","parse-names":false,"suffix":""}],"edition":"5th","id":"ITEM-1","issued":{"date-parts":[["2016"]]},"publisher":"John Wiley &amp; Sons","publisher-place":"Hoboken, New Jersey","title":"Fishes of the World","type":"book"},"uris":["http://www.mendeley.com/documents/?uuid=15be4d65-07bf-4803-90e6-835556babe79"]}],"mendeley":{"formattedCitation":"&lt;sup&gt;64&lt;/sup&gt;","plainTextFormattedCitation":"64","previouslyFormattedCitation":"&lt;sup&gt;64&lt;/sup&gt;"},"properties":{"noteIndex":0},"schema":"https://github.com/citation-style-language/schema/raw/master/csl-citation.json"}</w:instrText>
      </w:r>
      <w:r w:rsidRPr="00AD4FB8">
        <w:rPr>
          <w:bCs/>
          <w:iCs/>
        </w:rPr>
        <w:fldChar w:fldCharType="separate"/>
      </w:r>
      <w:r w:rsidRPr="00AD4FB8">
        <w:rPr>
          <w:bCs/>
          <w:iCs/>
          <w:vertAlign w:val="superscript"/>
        </w:rPr>
        <w:t>64</w:t>
      </w:r>
      <w:r w:rsidRPr="00AD4FB8">
        <w:rPr>
          <w:bCs/>
          <w:iCs/>
        </w:rPr>
        <w:fldChar w:fldCharType="end"/>
      </w:r>
      <w:r w:rsidRPr="00AD4FB8">
        <w:rPr>
          <w:bCs/>
          <w:iCs/>
        </w:rPr>
        <w:t xml:space="preserve"> With this diversity and constant exposure to variable environments comes a vast array of morphological, physiological, behavioral, developmental and sexual mechanisms.</w:t>
      </w:r>
      <w:r w:rsidRPr="00AD4FB8">
        <w:rPr>
          <w:bCs/>
          <w:iCs/>
        </w:rPr>
        <w:fldChar w:fldCharType="begin" w:fldLock="1"/>
      </w:r>
      <w:r w:rsidRPr="00AD4FB8">
        <w:rPr>
          <w:bCs/>
          <w:iCs/>
        </w:rPr>
        <w:instrText>ADDIN CSL_CITATION {"citationItems":[{"id":"ITEM-1","itemData":{"DOI":"10.1007/s10695-006-7590-2","ISBN":"1069500675902","ISSN":"09201742","abstract":"We have used various genetic and molecular approaches to investigate the mechanisms of sex determination and gonadal sex differentiation in fish. DMY was identified as the sex-determining gene of medaka. In tilapia, endogenous estrogens act as natural inducers of ovarian differentiation, while DMRT1 may be important for testicular differentiation. The roles of these regulators in sex determination and gonadal sex differentiation were ascertained using a gene or hormonal blockade strategy.","author":[{"dropping-particle":"","family":"Nagahama","given":"Y.","non-dropping-particle":"","parse-names":false,"suffix":""}],"container-title":"Fish Physiology and Biochemistry","id":"ITEM-1","issued":{"date-parts":[["2005"]]},"page":"105-109","title":"Molecular mechanisms of sex determination and gonadal sex differentiation in fish","type":"article-journal","volume":"31"},"uris":["http://www.mendeley.com/documents/?uuid=195dc493-418d-4e6d-89aa-e5ebfed03d1f"]},{"id":"ITEM-2","itemData":{"DOI":"10.1007/978-3-0348-7781-7_9","abstract":"This paper reviews current knowledge concerning the endocrine and environmental regulation of gonadal sex differentiation in gonochoristic fish. In gonochoristic fish, although potentially active around this period, the hypothalamo-pituitary axis is probably not involved in triggering sex differentiation. Although steroids and steroidogenic enzymes are probably not the initial triggers of sex differentiation, new data, including molecular approaches, have confirmed that they are key physiological steps in the regulation of this process. Environmental factors can strongly influence sex differentiation in gonochoristic fish. The most important environmental determinant of sex would appear to be temperature. Interactions between environmental factors and genotype have been suggested for gonochoristic fish.","author":[{"dropping-particle":"","family":"Baroiller","given":"Jean-François","non-dropping-particle":"","parse-names":false,"suffix":""},{"dropping-particle":"","family":"Guiguen","given":"Yann","non-dropping-particle":"","parse-names":false,"suffix":""},{"dropping-particle":"","family":"Fostier","given":"A","non-dropping-particle":"","parse-names":false,"suffix":""}],"container-title":"Cellular and Molecular Life Sciences","id":"ITEM-2","issued":{"date-parts":[["1999"]]},"page":"910-931","title":"Endocrine and environmental aspects of sex differentiation in fish","type":"article-journal","volume":"55"},"uris":["http://www.mendeley.com/documents/?uuid=aa8e43cc-6d00-4ef8-a00c-76b26ae61859"]},{"id":"ITEM-3","itemData":{"author":[{"dropping-particle":"","family":"Nakamura","given":"Masaru","non-dropping-particle":"","parse-names":false,"suffix":""},{"dropping-particle":"","family":"Kobayashi","given":"Tohru","non-dropping-particle":"","parse-names":false,"suffix":""},{"dropping-particle":"","family":"Chang","given":"Xiao-tian","non-dropping-particle":"","parse-names":false,"suffix":""}],"id":"ITEM-3","issue":"February","issued":{"date-parts":[["1998"]]},"page":"362-372","title":"Gonadal sex differentiation in fishes.pdf","type":"article-journal"},"uris":["http://www.mendeley.com/documents/?uuid=4a7795b5-6b5d-4ddb-8dad-f2a9fa9183f1"]},{"id":"ITEM-4","itemData":{"DOI":"10.1002/dvdy.23927","ISSN":"10588388","abstract":"Although the molecular mechanisms underlying many developmental events are conserved across vertebrate taxa, the lability at the top of the sex-determining (SD) cascade has been evident from the fact that four master SD genes have been identified: mammalian Sry; chicken DMRT1; medaka Dmy; and Xenopus laevis DM-W. This diversity is thought to be associated with the turnover of sex chromosomes, which is likely to be more frequent in fishes and other poikilotherms than in therian mammals and birds. Recently, four novel candidates for vertebrate SD genes were reported, all of them in fishes. These include amhy in the Patagonian pejerrey, Gsdf in Oryzias luzonensis, Amhr2 in fugu and sdY in rainbow trout. These studies provide a good opportunity to infer patterns from the seemingly chaotic picture of sex determination systems. Here, we review recent advances in our understanding of the master SD genes in fishes.","author":[{"dropping-particle":"","family":"Kikuchi","given":"Kiyoshi","non-dropping-particle":"","parse-names":false,"suffix":""},{"dropping-particle":"","family":"Hamaguchi","given":"Satoshi","non-dropping-particle":"","parse-names":false,"suffix":""}],"container-title":"Developmental Dynamics","id":"ITEM-4","issue":"4","issued":{"date-parts":[["2013"]]},"page":"339-353","title":"Novel sex-determining genes in fish and sex chromosome evolution","type":"article-journal","volume":"242"},"uris":["http://www.mendeley.com/documents/?uuid=31f7b719-a731-4e93-8b61-431457911517"]}],"mendeley":{"formattedCitation":"&lt;sup&gt;65–68&lt;/sup&gt;","plainTextFormattedCitation":"65–68","previouslyFormattedCitation":"&lt;sup&gt;65–68&lt;/sup&gt;"},"properties":{"noteIndex":0},"schema":"https://github.com/citation-style-language/schema/raw/master/csl-citation.json"}</w:instrText>
      </w:r>
      <w:r w:rsidRPr="00AD4FB8">
        <w:rPr>
          <w:bCs/>
          <w:iCs/>
        </w:rPr>
        <w:fldChar w:fldCharType="separate"/>
      </w:r>
      <w:r w:rsidRPr="00AD4FB8">
        <w:rPr>
          <w:bCs/>
          <w:iCs/>
          <w:vertAlign w:val="superscript"/>
        </w:rPr>
        <w:t>65–68</w:t>
      </w:r>
      <w:r w:rsidRPr="00AD4FB8">
        <w:rPr>
          <w:bCs/>
          <w:iCs/>
        </w:rPr>
        <w:fldChar w:fldCharType="end"/>
      </w:r>
      <w:r w:rsidRPr="00AD4FB8">
        <w:rPr>
          <w:bCs/>
          <w:iCs/>
        </w:rPr>
        <w:t xml:space="preserve"> In teleost fishes, sex determination can be genetic or environmental and varies </w:t>
      </w:r>
      <w:r>
        <w:rPr>
          <w:bCs/>
          <w:iCs/>
        </w:rPr>
        <w:t xml:space="preserve">even </w:t>
      </w:r>
      <w:r w:rsidRPr="00AD4FB8">
        <w:rPr>
          <w:bCs/>
          <w:iCs/>
        </w:rPr>
        <w:t>between closely related species.</w:t>
      </w:r>
      <w:r w:rsidRPr="00AD4FB8">
        <w:rPr>
          <w:bCs/>
          <w:iCs/>
        </w:rPr>
        <w:fldChar w:fldCharType="begin" w:fldLock="1"/>
      </w:r>
      <w:r w:rsidRPr="00AD4FB8">
        <w:rPr>
          <w:bCs/>
          <w:iCs/>
        </w:rPr>
        <w:instrText>ADDIN CSL_CITATION {"citationItems":[{"id":"ITEM-1","itemData":{"author":[{"dropping-particle":"","family":"Conover","given":"David O","non-dropping-particle":"","parse-names":false,"suffix":""},{"dropping-particle":"","family":"Kynard","given":"Boyd E","non-dropping-particle":"","parse-names":false,"suffix":""}],"id":"ITEM-1","issue":"4507","issued":{"date-parts":[["2013"]]},"page":"577-579","title":"Environmental Sex Determination : Interaction of Temperature and Genotype in a Fish Environmental Sex Determinaffon : Interaction of Temperature and Genotype in a Fish","type":"article-journal","volume":"213"},"uris":["http://www.mendeley.com/documents/?uuid=8b73779d-f525-48e0-ba64-b1dbd7428d63"]},{"id":"ITEM-2","itemData":{"DOI":"10.1016/S0044-8486(02)00057-1","ISBN":"0044-8486","ISSN":"00448486","abstract":"A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-2","issue":"3-4","issued":{"date-parts":[["2002"]]},"page":"191-364","title":"Sex determination and sex differentiation in fish: An overview of genetic, physiological, and environmental influences","type":"article-journal","volume":"208"},"uris":["http://www.mendeley.com/documents/?uuid=a30ee487-33a4-4c79-8bfa-367738cec317"]},{"id":"ITEM-3","itemData":{"DOI":"10.1159/000223071","ISSN":"16615425","abstract":"Sex determination, due to the obvious association with re- production and Darwinian fitness, has been traditionally as- sumed to be a relatively conserved trait. However, research on teleost fishes has shown that this need not be the case, as these animals display a remarkable diversity in the ways that they determine sex. These different mechanisms, which include constitutive genetic mechanisms on sex chromo- somes, polygenic constitutive mechanisms, environmental influences, hermaphroditism, and unisexuality have each originated numerous independent times in the teleosts. The evolutionary lability of sex determination, and the corre- sponding rapid rate of turn-over among different modes, makes the teleost clade an excellent model with which to test theories regarding the evolution of sex determining ad- aptations. Much of the plasticity in sex determination likely results from the dynamic teleost genome, and recent ad- vances in fish genetics and genomics have revealed the role of gene and genome duplication in fostering emergence and turn-over of sex determining mechanisms.","author":[{"dropping-particle":"","family":"Mank","given":"J. E.","non-dropping-particle":"","parse-names":false,"suffix":""},{"dropping-particle":"","family":"Avise","given":"J. C.","non-dropping-particle":"","parse-names":false,"suffix":""}],"container-title":"Sexual Development","id":"ITEM-3","issue":"2-3","issued":{"date-parts":[["2009"]]},"page":"60-67","title":"Evolutionary diversity and turn-over of sex determination in teleost fishes","type":"article-journal","volume":"3"},"uris":["http://www.mendeley.com/documents/?uuid=ca7bd1e9-8e27-4fa2-9b33-fd6639fafc12"]},{"id":"ITEM-4","itemData":{"DOI":"10.1038/sj.hdy.6800635","ISSN":"0018067X","abstract":"Teleost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N.","non-dropping-particle":"","parse-names":false,"suffix":""}],"container-title":"Heredity","id":"ITEM-4","issue":"3","issued":{"date-parts":[["2005"]]},"page":"280-294","title":"Genome evolution and biodiversity in teleost fish","type":"article-journal","volume":"94"},"uris":["http://www.mendeley.com/documents/?uuid=56b7b82a-2bfd-4eaa-ae1f-6d641aa6b290"]}],"mendeley":{"formattedCitation":"&lt;sup&gt;62,69–71&lt;/sup&gt;","plainTextFormattedCitation":"62,69–71","previouslyFormattedCitation":"&lt;sup&gt;62,69–71&lt;/sup&gt;"},"properties":{"noteIndex":0},"schema":"https://github.com/citation-style-language/schema/raw/master/csl-citation.json"}</w:instrText>
      </w:r>
      <w:r w:rsidRPr="00AD4FB8">
        <w:rPr>
          <w:bCs/>
          <w:iCs/>
        </w:rPr>
        <w:fldChar w:fldCharType="separate"/>
      </w:r>
      <w:r w:rsidRPr="00AD4FB8">
        <w:rPr>
          <w:bCs/>
          <w:iCs/>
          <w:vertAlign w:val="superscript"/>
        </w:rPr>
        <w:t>62,69–71</w:t>
      </w:r>
      <w:r w:rsidRPr="00AD4FB8">
        <w:rPr>
          <w:bCs/>
          <w:iCs/>
        </w:rPr>
        <w:fldChar w:fldCharType="end"/>
      </w:r>
      <w:r w:rsidRPr="00AD4FB8">
        <w:rPr>
          <w:bCs/>
          <w:iCs/>
        </w:rPr>
        <w:t xml:space="preserve"> Delta smelt are a unisexual species that do not appear to have environmental regulation of sex determination which suggests sex may be determined genetically. </w:t>
      </w:r>
      <w:r>
        <w:rPr>
          <w:bCs/>
          <w:iCs/>
        </w:rPr>
        <w:t>In teleost fishes, e</w:t>
      </w:r>
      <w:r w:rsidRPr="00AD4FB8">
        <w:rPr>
          <w:bCs/>
          <w:iCs/>
        </w:rPr>
        <w:t xml:space="preserve">ndogenous genetic sex determination mechanisms </w:t>
      </w:r>
      <w:r>
        <w:rPr>
          <w:bCs/>
          <w:iCs/>
        </w:rPr>
        <w:t xml:space="preserve"> can occur </w:t>
      </w:r>
      <w:r w:rsidRPr="00AD4FB8">
        <w:rPr>
          <w:bCs/>
          <w:iCs/>
        </w:rPr>
        <w:t>at the chromosomal level</w:t>
      </w:r>
      <w:r>
        <w:rPr>
          <w:bCs/>
          <w:iCs/>
        </w:rPr>
        <w:t>,</w:t>
      </w:r>
      <w:r w:rsidRPr="00AD4FB8">
        <w:rPr>
          <w:bCs/>
          <w:iCs/>
        </w:rPr>
        <w:t xml:space="preserve"> where heterogametic males (XY) </w:t>
      </w:r>
      <w:r>
        <w:rPr>
          <w:bCs/>
          <w:iCs/>
        </w:rPr>
        <w:t>or</w:t>
      </w:r>
      <w:r w:rsidRPr="00AD4FB8">
        <w:rPr>
          <w:bCs/>
          <w:iCs/>
        </w:rPr>
        <w:t xml:space="preserve"> females (ZW)</w:t>
      </w:r>
      <w:r>
        <w:rPr>
          <w:bCs/>
          <w:iCs/>
        </w:rPr>
        <w:t xml:space="preserve"> exist</w:t>
      </w:r>
      <w:r w:rsidRPr="00AD4FB8">
        <w:rPr>
          <w:bCs/>
          <w:iCs/>
        </w:rPr>
        <w:t xml:space="preserve">, or </w:t>
      </w:r>
      <w:r>
        <w:rPr>
          <w:bCs/>
          <w:iCs/>
        </w:rPr>
        <w:t>mechanisms</w:t>
      </w:r>
      <w:r w:rsidRPr="00AD4FB8">
        <w:rPr>
          <w:bCs/>
          <w:iCs/>
        </w:rPr>
        <w:t xml:space="preserve"> can be at the genic level where single or multiple genes influence sex determination.</w:t>
      </w:r>
      <w:r w:rsidRPr="00AD4FB8">
        <w:rPr>
          <w:bCs/>
          <w:iCs/>
        </w:rPr>
        <w:fldChar w:fldCharType="begin" w:fldLock="1"/>
      </w:r>
      <w:r w:rsidRPr="00AD4FB8">
        <w:rPr>
          <w:bCs/>
          <w:iCs/>
        </w:rPr>
        <w:instrText>ADDIN CSL_CITATION {"citationItems":[{"id":"ITEM-1","itemData":{"DOI":"10.1016/S0044-8486(02)00057-1","ISBN":"0044-8486","ISSN":"00448486","abstract":"A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-1","issue":"3-4","issued":{"date-parts":[["2002"]]},"page":"191-364","title":"Sex determination and sex differentiation in fish: An overview of genetic, physiological, and environmental influences","type":"article-journal","volume":"208"},"uris":["http://www.mendeley.com/documents/?uuid=a30ee487-33a4-4c79-8bfa-367738cec317"]}],"mendeley":{"formattedCitation":"&lt;sup&gt;70&lt;/sup&gt;","plainTextFormattedCitation":"70","previouslyFormattedCitation":"&lt;sup&gt;70&lt;/sup&gt;"},"properties":{"noteIndex":0},"schema":"https://github.com/citation-style-language/schema/raw/master/csl-citation.json"}</w:instrText>
      </w:r>
      <w:r w:rsidRPr="00AD4FB8">
        <w:rPr>
          <w:bCs/>
          <w:iCs/>
        </w:rPr>
        <w:fldChar w:fldCharType="separate"/>
      </w:r>
      <w:r w:rsidRPr="00AD4FB8">
        <w:rPr>
          <w:bCs/>
          <w:iCs/>
          <w:vertAlign w:val="superscript"/>
        </w:rPr>
        <w:t>70</w:t>
      </w:r>
      <w:r w:rsidRPr="00AD4FB8">
        <w:rPr>
          <w:bCs/>
          <w:iCs/>
        </w:rPr>
        <w:fldChar w:fldCharType="end"/>
      </w:r>
      <w:r w:rsidRPr="00AD4FB8">
        <w:rPr>
          <w:bCs/>
          <w:iCs/>
        </w:rPr>
        <w:t xml:space="preserve"> </w:t>
      </w:r>
      <w:r>
        <w:rPr>
          <w:bCs/>
          <w:iCs/>
        </w:rPr>
        <w:t>While clarifying the mechanism of sex determination in delta smelt will increase our biological knowledge, it will also allow us to identify and develop diagnostic markers for the practical management of the species.</w:t>
      </w:r>
    </w:p>
    <w:p w14:paraId="61BAFDEB" w14:textId="77777777" w:rsidR="00106145" w:rsidRPr="00AD4FB8" w:rsidRDefault="00106145" w:rsidP="00261AAC">
      <w:pPr>
        <w:ind w:right="270"/>
        <w:jc w:val="both"/>
        <w:rPr>
          <w:bCs/>
          <w:iCs/>
        </w:rPr>
      </w:pPr>
    </w:p>
    <w:p w14:paraId="5DAC152F" w14:textId="77777777" w:rsidR="00106145" w:rsidRDefault="00106145" w:rsidP="00261AAC">
      <w:pPr>
        <w:ind w:right="270"/>
        <w:jc w:val="both"/>
        <w:rPr>
          <w:bCs/>
          <w:iCs/>
        </w:rPr>
      </w:pPr>
      <w:r w:rsidRPr="00AD4FB8">
        <w:rPr>
          <w:bCs/>
          <w:iCs/>
        </w:rPr>
        <w:t>The ability to</w:t>
      </w:r>
      <w:r>
        <w:rPr>
          <w:bCs/>
          <w:iCs/>
        </w:rPr>
        <w:t xml:space="preserve"> non-invasively</w:t>
      </w:r>
      <w:r w:rsidRPr="00AD4FB8">
        <w:rPr>
          <w:bCs/>
          <w:iCs/>
        </w:rPr>
        <w:t xml:space="preserve"> identify sex in delta smelt will assist in management of the captive colony and develop</w:t>
      </w:r>
      <w:r>
        <w:rPr>
          <w:bCs/>
          <w:iCs/>
        </w:rPr>
        <w:t xml:space="preserve"> </w:t>
      </w:r>
      <w:r w:rsidRPr="00AD4FB8">
        <w:rPr>
          <w:bCs/>
          <w:iCs/>
        </w:rPr>
        <w:t xml:space="preserve">knowledge of the biology of wild delta smelt. Currently, wild fish can only be sexed </w:t>
      </w:r>
      <w:r>
        <w:rPr>
          <w:bCs/>
          <w:iCs/>
        </w:rPr>
        <w:t>by</w:t>
      </w:r>
      <w:r w:rsidRPr="00AD4FB8">
        <w:rPr>
          <w:bCs/>
          <w:iCs/>
        </w:rPr>
        <w:t xml:space="preserve"> the expression of gametes </w:t>
      </w:r>
      <w:r>
        <w:rPr>
          <w:bCs/>
          <w:iCs/>
        </w:rPr>
        <w:t>from</w:t>
      </w:r>
      <w:r w:rsidRPr="00AD4FB8">
        <w:rPr>
          <w:bCs/>
          <w:iCs/>
        </w:rPr>
        <w:t xml:space="preserve"> ripe adult fish</w:t>
      </w:r>
      <w:r>
        <w:rPr>
          <w:bCs/>
          <w:iCs/>
        </w:rPr>
        <w:t xml:space="preserve"> or through dissection, both sacrifice the life of the fish or gametes</w:t>
      </w:r>
      <w:r w:rsidRPr="00AD4FB8">
        <w:rPr>
          <w:bCs/>
          <w:iCs/>
        </w:rPr>
        <w:t xml:space="preserve">. </w:t>
      </w:r>
      <w:r>
        <w:rPr>
          <w:bCs/>
          <w:iCs/>
        </w:rPr>
        <w:t>When s</w:t>
      </w:r>
      <w:r w:rsidRPr="00AD4FB8">
        <w:rPr>
          <w:bCs/>
          <w:iCs/>
        </w:rPr>
        <w:t xml:space="preserve">ex is identified by </w:t>
      </w:r>
      <w:r>
        <w:rPr>
          <w:bCs/>
          <w:iCs/>
        </w:rPr>
        <w:t>expression, pressure is put on the</w:t>
      </w:r>
      <w:r w:rsidRPr="00AD4FB8">
        <w:rPr>
          <w:bCs/>
          <w:iCs/>
        </w:rPr>
        <w:t xml:space="preserve"> abdomen of </w:t>
      </w:r>
      <w:r>
        <w:rPr>
          <w:bCs/>
          <w:iCs/>
        </w:rPr>
        <w:t xml:space="preserve">fish until eggs are excreted (in </w:t>
      </w:r>
      <w:r w:rsidRPr="00AD4FB8">
        <w:rPr>
          <w:bCs/>
          <w:iCs/>
        </w:rPr>
        <w:t>females</w:t>
      </w:r>
      <w:r>
        <w:rPr>
          <w:bCs/>
          <w:iCs/>
        </w:rPr>
        <w:t>)</w:t>
      </w:r>
      <w:r w:rsidRPr="00AD4FB8">
        <w:rPr>
          <w:bCs/>
          <w:iCs/>
        </w:rPr>
        <w:t xml:space="preserve"> or running milt </w:t>
      </w:r>
      <w:r>
        <w:rPr>
          <w:bCs/>
          <w:iCs/>
        </w:rPr>
        <w:t>(</w:t>
      </w:r>
      <w:r w:rsidRPr="00AD4FB8">
        <w:rPr>
          <w:bCs/>
          <w:iCs/>
        </w:rPr>
        <w:t>in males</w:t>
      </w:r>
      <w:r>
        <w:rPr>
          <w:bCs/>
          <w:iCs/>
        </w:rPr>
        <w:t>)</w:t>
      </w:r>
      <w:r w:rsidRPr="00AD4FB8">
        <w:rPr>
          <w:bCs/>
          <w:iCs/>
        </w:rPr>
        <w:t>.</w:t>
      </w:r>
      <w:r w:rsidRPr="00AD4FB8">
        <w:rPr>
          <w:bCs/>
          <w:iCs/>
        </w:rPr>
        <w:fldChar w:fldCharType="begin" w:fldLock="1"/>
      </w:r>
      <w:r w:rsidRPr="00AD4FB8">
        <w:rPr>
          <w:bCs/>
          <w:iCs/>
        </w:rPr>
        <w:instrText>ADDIN CSL_CITATION {"citationItems":[{"id":"ITEM-1","itemData":{"DOI":"10.1080/15222055.2012.751942","ISSN":"15222055","abstract":"In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2012","author":[{"dropping-particle":"","family":"Lindberg","given":"Joan C.","non-dropping-particle":"","parse-names":false,"suffix":""},{"dropping-particle":"","family":"Tigan","given":"Galen","non-dropping-particle":"","parse-names":false,"suffix":""},{"dropping-particle":"","family":"Ellison","given":"Luke","non-dropping-particle":"","parse-names":false,"suffix":""},{"dropping-particle":"","family":"Rettinghouse","given":"Theresa","non-dropping-particle":"","parse-names":false,"suffix":""},{"dropping-particle":"","family":"Nagel","given":"Meredith M.","non-dropping-particle":"","parse-names":false,"suffix":""},{"dropping-particle":"","family":"Fisch","given":"Kathleen M.","non-dropping-particle":"","parse-names":false,"suffix":""}],"container-title":"North American Journal of Aquaculture","id":"ITEM-1","issue":"2","issued":{"date-parts":[["2013"]]},"page":"186-196","title":"Aquaculture methods for a genetically managed population of endangered Delta Dmelt","type":"article-journal","volume":"75"},"uris":["http://www.mendeley.com/documents/?uuid=e74e19e3-22ac-4d49-8301-3bbaf171abf9"]}],"mendeley":{"formattedCitation":"&lt;sup&gt;72&lt;/sup&gt;","plainTextFormattedCitation":"72","previouslyFormattedCitation":"&lt;sup&gt;72&lt;/sup&gt;"},"properties":{"noteIndex":0},"schema":"https://github.com/citation-style-language/schema/raw/master/csl-citation.json"}</w:instrText>
      </w:r>
      <w:r w:rsidRPr="00AD4FB8">
        <w:rPr>
          <w:bCs/>
          <w:iCs/>
        </w:rPr>
        <w:fldChar w:fldCharType="separate"/>
      </w:r>
      <w:r w:rsidRPr="00AD4FB8">
        <w:rPr>
          <w:bCs/>
          <w:iCs/>
          <w:vertAlign w:val="superscript"/>
        </w:rPr>
        <w:t>72</w:t>
      </w:r>
      <w:r w:rsidRPr="00AD4FB8">
        <w:rPr>
          <w:bCs/>
          <w:iCs/>
        </w:rPr>
        <w:fldChar w:fldCharType="end"/>
      </w:r>
      <w:r w:rsidRPr="00AD4FB8">
        <w:rPr>
          <w:bCs/>
          <w:iCs/>
        </w:rPr>
        <w:t xml:space="preserve"> Because </w:t>
      </w:r>
      <w:r>
        <w:rPr>
          <w:bCs/>
          <w:iCs/>
        </w:rPr>
        <w:t xml:space="preserve">sexual </w:t>
      </w:r>
      <w:r w:rsidRPr="00AD4FB8">
        <w:rPr>
          <w:bCs/>
          <w:iCs/>
        </w:rPr>
        <w:t xml:space="preserve">identification </w:t>
      </w:r>
      <w:r>
        <w:rPr>
          <w:bCs/>
          <w:iCs/>
        </w:rPr>
        <w:t xml:space="preserve">of wild fish primarily </w:t>
      </w:r>
      <w:r w:rsidRPr="00AD4FB8">
        <w:rPr>
          <w:bCs/>
          <w:iCs/>
        </w:rPr>
        <w:t>relies on the physiological status of an individual fish, only about two-thirds of wild adult delta smelt sampled can be sexed (Hammock pers. comm.). Knowledge of the genetic underpinnings of sex determination in fishes</w:t>
      </w:r>
      <w:r>
        <w:rPr>
          <w:bCs/>
          <w:iCs/>
        </w:rPr>
        <w:t xml:space="preserve"> is a vital asset to the better </w:t>
      </w:r>
      <w:r w:rsidRPr="00AD4FB8">
        <w:rPr>
          <w:bCs/>
          <w:iCs/>
        </w:rPr>
        <w:t>management of captive populations, basic knowledge of life history characteristics of the species, ecological surveys and management regarding population metrics, species modeling, demographic inference, and sex-based survival.</w:t>
      </w:r>
      <w:r w:rsidRPr="00AD4FB8">
        <w:rPr>
          <w:bCs/>
          <w:iCs/>
        </w:rPr>
        <w:fldChar w:fldCharType="begin" w:fldLock="1"/>
      </w:r>
      <w:r w:rsidRPr="00AD4FB8">
        <w:rPr>
          <w:bCs/>
          <w:iCs/>
        </w:rPr>
        <w:instrText>ADDIN CSL_CITATION {"citationItems":[{"id":"ITEM-1","itemData":{"DOI":"10.3389/fgene.2014.00340","ISSN":"16648021","abstract":"Controlling the sex ratio is essential in finfish farming. A balanced sex ratio is usually good for broodstock management, since it enables to develop appropriate breeding schemes. However, in some species the production of monosex populations is desirable because the existence of sexual dimorphism, primarily in growth or first time of sexual maturation, but also in color or shape, can render one sex more valuable. The knowledge of the genetic architecture of sex determination (SD) is convenient for controlling sex ratio and for the implementation of breeding programs. Unlike mammals and birds, which show highly conserved master genes that control a conserved genetic network responsible for gonad differentiation (GD), a huge diversity of SD mechanisms has been reported in fish. Despite theory predictions, more than one gene is in many cases involved in fish SD and genetic differences have been observed in the GD network. Environmental factors also play a relevant role and epigenetic mechanisms are becoming increasingly recognized for the establishment and maintenance of the GD pathways. Although major genetic factors are frequently involved in fish SD, these observations strongly suggest that SD in this group resembles a complex trait. Accordingly, the application of quantitative genetics combined with genomic tools is desirable to address its study and in fact, when applied, it has frequently demonstrated a multigene trait interacting with environmental factors in model and cultured fish species. This scenario has notable implications for aquaculture and, depending upon the species, from chromosome manipulation or environmental control techniques up to classical selection or marker assisted selection programs, are being applied. In this review, we selected four relevant species or fish groups to illustrate this diversity and hence the technologies that can be used by the industry for the control of sex ratio: turbot and European sea bass, two reference species of the European aquaculture, and salmonids and tilapia, representing the fish for which there are well established breeding programs.","author":[{"dropping-particle":"","family":"Martínez","given":"Paulino","non-dropping-particle":"","parse-names":false,"suffix":""},{"dropping-particle":"","family":"Viñas","given":"Ana M.","non-dropping-particle":"","parse-names":false,"suffix":""},{"dropping-particle":"","family":"Sánchez","given":"Laura","non-dropping-particle":"","parse-names":false,"suffix":""},{"dropping-particle":"","family":"Díaz","given":"Noelia","non-dropping-particle":"","parse-names":false,"suffix":""},{"dropping-particle":"","family":"Ribas","given":"Laia","non-dropping-particle":"","parse-names":false,"suffix":""},{"dropping-particle":"","family":"Piferrer","given":"Francesc","non-dropping-particle":"","parse-names":false,"suffix":""}],"container-title":"Frontiers in Genetics","id":"ITEM-1","issue":"SEP","issued":{"date-parts":[["2014"]]},"page":"1-13","title":"Genetic architecture of sex determination in fish: Applications to sex ratio control in aquaculture","type":"article-journal","volume":"5"},"uris":["http://www.mendeley.com/documents/?uuid=3af4d83b-2c36-4da1-8342-03a91ca7e55d"]}],"mendeley":{"formattedCitation":"&lt;sup&gt;73&lt;/sup&gt;","plainTextFormattedCitation":"73","previouslyFormattedCitation":"&lt;sup&gt;73&lt;/sup&gt;"},"properties":{"noteIndex":0},"schema":"https://github.com/citation-style-language/schema/raw/master/csl-citation.json"}</w:instrText>
      </w:r>
      <w:r w:rsidRPr="00AD4FB8">
        <w:rPr>
          <w:bCs/>
          <w:iCs/>
        </w:rPr>
        <w:fldChar w:fldCharType="separate"/>
      </w:r>
      <w:r w:rsidRPr="00AD4FB8">
        <w:rPr>
          <w:bCs/>
          <w:iCs/>
          <w:vertAlign w:val="superscript"/>
        </w:rPr>
        <w:t>73</w:t>
      </w:r>
      <w:r w:rsidRPr="00AD4FB8">
        <w:rPr>
          <w:bCs/>
          <w:iCs/>
        </w:rPr>
        <w:fldChar w:fldCharType="end"/>
      </w:r>
    </w:p>
    <w:p w14:paraId="2DB58CBC" w14:textId="77777777" w:rsidR="00106145" w:rsidRDefault="00106145" w:rsidP="00261AAC">
      <w:pPr>
        <w:ind w:right="270"/>
        <w:jc w:val="both"/>
        <w:rPr>
          <w:bCs/>
          <w:iCs/>
        </w:rPr>
      </w:pPr>
    </w:p>
    <w:p w14:paraId="28E4C7EA" w14:textId="77777777" w:rsidR="00106145" w:rsidRPr="00AD4FB8" w:rsidRDefault="00106145" w:rsidP="00261AAC">
      <w:pPr>
        <w:ind w:right="270"/>
        <w:jc w:val="both"/>
        <w:rPr>
          <w:bCs/>
          <w:iCs/>
        </w:rPr>
      </w:pPr>
      <w:r>
        <w:t>In order to non-invasively identify the sex of wild and captive delta smelt, we sought to identify potential candidate allele(s) which could be used as genetic diagnostics for classifications of sex.</w:t>
      </w:r>
    </w:p>
    <w:p w14:paraId="5D032B10" w14:textId="5D97E64B" w:rsidR="00BD396E" w:rsidRDefault="00BD396E" w:rsidP="00261AAC">
      <w:pPr>
        <w:ind w:right="270"/>
        <w:jc w:val="both"/>
        <w:rPr>
          <w:b/>
          <w:i/>
        </w:rPr>
      </w:pPr>
    </w:p>
    <w:p w14:paraId="276AB127" w14:textId="77777777" w:rsidR="00BD396E" w:rsidRDefault="00BD396E" w:rsidP="00261AAC">
      <w:pPr>
        <w:ind w:right="270"/>
        <w:jc w:val="both"/>
        <w:rPr>
          <w:b/>
          <w:i/>
        </w:rPr>
      </w:pPr>
    </w:p>
    <w:p w14:paraId="0F562BA0" w14:textId="77777777" w:rsidR="00106145" w:rsidRPr="00836372" w:rsidRDefault="00106145" w:rsidP="00261AAC">
      <w:pPr>
        <w:ind w:right="270"/>
        <w:jc w:val="both"/>
        <w:rPr>
          <w:b/>
          <w:i/>
        </w:rPr>
      </w:pPr>
      <w:r w:rsidRPr="00836372">
        <w:rPr>
          <w:b/>
          <w:i/>
        </w:rPr>
        <w:t>DNA sampling &amp; sequencing</w:t>
      </w:r>
    </w:p>
    <w:p w14:paraId="77D45763" w14:textId="77777777" w:rsidR="00106145" w:rsidRDefault="00106145" w:rsidP="00261AAC">
      <w:pPr>
        <w:ind w:right="270"/>
        <w:jc w:val="both"/>
        <w:rPr>
          <w:i/>
        </w:rPr>
      </w:pPr>
      <w:r>
        <w:rPr>
          <w:i/>
        </w:rPr>
        <w:t>Methods</w:t>
      </w:r>
    </w:p>
    <w:p w14:paraId="28296EFF" w14:textId="77777777" w:rsidR="00106145" w:rsidRDefault="00106145" w:rsidP="00261AAC">
      <w:pPr>
        <w:jc w:val="both"/>
      </w:pPr>
      <w:r>
        <w:t>To identify a sex specific marker or markers for delta smelt, we</w:t>
      </w:r>
      <w:r w:rsidRPr="00D417D1">
        <w:t xml:space="preserve"> sampled adipose fin clips from 24 female and 24 male </w:t>
      </w:r>
      <w:r>
        <w:t xml:space="preserve">captive-bred </w:t>
      </w:r>
      <w:r w:rsidRPr="00D417D1">
        <w:t>individuals</w:t>
      </w:r>
      <w:r>
        <w:t xml:space="preserve"> taken from the FCCL and</w:t>
      </w:r>
      <w:r w:rsidRPr="00D417D1">
        <w:t xml:space="preserve"> sexually identified through either dissection or gametic </w:t>
      </w:r>
      <w:r>
        <w:t>expression</w:t>
      </w:r>
      <w:r w:rsidRPr="00D417D1">
        <w:t xml:space="preserve">. DNA was extracted </w:t>
      </w:r>
      <w:r>
        <w:t>using</w:t>
      </w:r>
      <w:r w:rsidRPr="00D417D1">
        <w:t xml:space="preserve"> the Qiagen </w:t>
      </w:r>
      <w:proofErr w:type="spellStart"/>
      <w:r w:rsidRPr="00D417D1">
        <w:t>DNEasy</w:t>
      </w:r>
      <w:proofErr w:type="spellEnd"/>
      <w:r w:rsidRPr="00D417D1">
        <w:t xml:space="preserve"> 96 Blood &amp; Tissue Kit with a modification of elution in100uL of H</w:t>
      </w:r>
      <w:r w:rsidRPr="00D417D1">
        <w:rPr>
          <w:vertAlign w:val="subscript"/>
        </w:rPr>
        <w:t>2</w:t>
      </w:r>
      <w:r w:rsidRPr="00D417D1">
        <w:t>O rather than the</w:t>
      </w:r>
      <w:r>
        <w:t xml:space="preserve"> proprietary</w:t>
      </w:r>
      <w:r w:rsidRPr="00D417D1">
        <w:t xml:space="preserve"> AE Buffer included with the kit. </w:t>
      </w:r>
    </w:p>
    <w:p w14:paraId="5893F431" w14:textId="77777777" w:rsidR="00106145" w:rsidRDefault="00106145" w:rsidP="00261AAC">
      <w:pPr>
        <w:jc w:val="both"/>
      </w:pPr>
    </w:p>
    <w:p w14:paraId="3F0BE78C" w14:textId="77777777" w:rsidR="00106145" w:rsidRDefault="00106145" w:rsidP="00261AAC">
      <w:pPr>
        <w:jc w:val="both"/>
      </w:pPr>
      <w:r>
        <w:lastRenderedPageBreak/>
        <w:t xml:space="preserve">Prior analyses that attempted to determine sex markers in delta smelt used the </w:t>
      </w:r>
      <w:r w:rsidRPr="007D1EBF">
        <w:rPr>
          <w:i/>
        </w:rPr>
        <w:t xml:space="preserve">Sbf1 </w:t>
      </w:r>
      <w:r>
        <w:t xml:space="preserve">restriction enzyme, which cuts DNA approximately every 65,000 base pairs, but no sex markers were identified. For this library preparation we sought to </w:t>
      </w:r>
      <w:r w:rsidRPr="00D417D1">
        <w:t>maximize the number of restriction enzyme cut sites and acquire reads from more locations throughout the genome</w:t>
      </w:r>
      <w:r>
        <w:t xml:space="preserve">. To do this </w:t>
      </w:r>
      <w:r w:rsidRPr="00D417D1">
        <w:t xml:space="preserve">we digested extracted DNA using the </w:t>
      </w:r>
      <w:r w:rsidRPr="00D417D1">
        <w:rPr>
          <w:i/>
        </w:rPr>
        <w:t xml:space="preserve">Pst1 </w:t>
      </w:r>
      <w:r w:rsidRPr="00D417D1">
        <w:t>restriction enzyme, which shears DNA sixteen times as often</w:t>
      </w:r>
      <w:r>
        <w:t xml:space="preserve"> </w:t>
      </w:r>
      <w:r w:rsidRPr="00D417D1">
        <w:t xml:space="preserve">as the </w:t>
      </w:r>
      <w:r w:rsidRPr="00D417D1">
        <w:rPr>
          <w:i/>
        </w:rPr>
        <w:t>Sbf1</w:t>
      </w:r>
      <w:r w:rsidRPr="00D417D1">
        <w:t xml:space="preserve"> restriction enzyme</w:t>
      </w:r>
      <w:r>
        <w:t>, or roughly once every 4,100 base pairs</w:t>
      </w:r>
      <w:r w:rsidRPr="00D417D1">
        <w:t>. RAD sequencing libraries were prepared at the GVL according to Ali et al (</w:t>
      </w:r>
      <w:proofErr w:type="gramStart"/>
      <w:r w:rsidRPr="00D417D1">
        <w:t>2016)</w:t>
      </w:r>
      <w:r>
        <w:t>&lt;</w:t>
      </w:r>
      <w:proofErr w:type="gramEnd"/>
      <w:r>
        <w:t>CITE&gt;</w:t>
      </w:r>
      <w:r w:rsidRPr="00D417D1">
        <w:t xml:space="preserve">, and sequenced at the UC Davis Sequencing Center with 150 bp paired-end reads on an Illumina </w:t>
      </w:r>
      <w:proofErr w:type="spellStart"/>
      <w:r w:rsidRPr="00D417D1">
        <w:t>HiSeq</w:t>
      </w:r>
      <w:proofErr w:type="spellEnd"/>
      <w:r w:rsidRPr="00D417D1">
        <w:t xml:space="preserve">. </w:t>
      </w:r>
    </w:p>
    <w:p w14:paraId="46BEC757" w14:textId="77777777" w:rsidR="00106145" w:rsidRPr="00D417D1" w:rsidRDefault="00106145" w:rsidP="00261AAC">
      <w:pPr>
        <w:jc w:val="both"/>
      </w:pPr>
    </w:p>
    <w:p w14:paraId="1FF23A83" w14:textId="77777777" w:rsidR="00106145" w:rsidRPr="00D417D1" w:rsidRDefault="00106145" w:rsidP="00261AAC">
      <w:pPr>
        <w:jc w:val="both"/>
        <w:rPr>
          <w:i/>
        </w:rPr>
      </w:pPr>
    </w:p>
    <w:p w14:paraId="2ABB6844" w14:textId="77777777" w:rsidR="00106145" w:rsidRPr="00836372" w:rsidRDefault="00106145" w:rsidP="00261AAC">
      <w:pPr>
        <w:pStyle w:val="Heading2"/>
        <w:jc w:val="both"/>
      </w:pPr>
      <w:r w:rsidRPr="00836372">
        <w:t>Genome wide association study</w:t>
      </w:r>
    </w:p>
    <w:p w14:paraId="729BC6C7" w14:textId="77777777" w:rsidR="00106145" w:rsidRDefault="00106145" w:rsidP="00261AAC">
      <w:pPr>
        <w:jc w:val="both"/>
        <w:rPr>
          <w:i/>
        </w:rPr>
      </w:pPr>
      <w:r w:rsidRPr="00836372">
        <w:rPr>
          <w:i/>
        </w:rPr>
        <w:t>Methods</w:t>
      </w:r>
    </w:p>
    <w:p w14:paraId="5D25A478" w14:textId="77777777" w:rsidR="00106145" w:rsidRPr="0058255B" w:rsidRDefault="00106145" w:rsidP="00261AAC">
      <w:pPr>
        <w:jc w:val="both"/>
      </w:pPr>
      <w:r>
        <w:t xml:space="preserve">We performed two rounds of a genome wide association study (GWAS) using the new male and female reference genomes. For each GWAS, we first aligned raw RAD sequencing data from 24 male and 24 female sexed fish to the reference genome. Next, we looked for the association of an allele at any location in the genome with sex classification by carrying out </w:t>
      </w:r>
      <w:r w:rsidRPr="00D417D1">
        <w:t xml:space="preserve">a dominant model case-control GWAS </w:t>
      </w:r>
      <w:r>
        <w:t>using</w:t>
      </w:r>
      <w:r w:rsidRPr="00D417D1">
        <w:t xml:space="preserve"> male</w:t>
      </w:r>
      <w:r>
        <w:t>s as controls (0)</w:t>
      </w:r>
      <w:r w:rsidRPr="00D417D1">
        <w:t xml:space="preserve"> and female</w:t>
      </w:r>
      <w:r>
        <w:t xml:space="preserve"> as cases (1) in</w:t>
      </w:r>
      <w:r w:rsidRPr="00D417D1">
        <w:t xml:space="preserve"> the program ANGSD</w:t>
      </w:r>
      <w:r w:rsidRPr="00D417D1">
        <w:fldChar w:fldCharType="begin" w:fldLock="1"/>
      </w:r>
      <w:r>
        <w:instrText>ADDIN CSL_CITATION {"citationItems":[{"id":"ITEM-1","itemData":{"DOI":"10.1186/s12859-014-0356-4","ISBN":"9783319072111","ISSN":"14712105","PMID":"25420514","abstract":"BACKGROUND: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uris":["http://www.mendeley.com/documents/?uuid=46f586f0-ecac-4bdd-8896-3541f7bbbfd8"]}],"mendeley":{"formattedCitation":"&lt;sup&gt;12&lt;/sup&gt;","plainTextFormattedCitation":"12","previouslyFormattedCitation":"&lt;sup&gt;12&lt;/sup&gt;"},"properties":{"noteIndex":0},"schema":"https://github.com/citation-style-language/schema/raw/master/csl-citation.json"}</w:instrText>
      </w:r>
      <w:r w:rsidRPr="00D417D1">
        <w:fldChar w:fldCharType="separate"/>
      </w:r>
      <w:r w:rsidRPr="008434CB">
        <w:rPr>
          <w:noProof/>
          <w:vertAlign w:val="superscript"/>
        </w:rPr>
        <w:t>12</w:t>
      </w:r>
      <w:r w:rsidRPr="00D417D1">
        <w:fldChar w:fldCharType="end"/>
      </w:r>
      <w:r>
        <w:t xml:space="preserve">. If we found alleles that associate with a particular sex that locus could be used as a diagnostic for genetically identifying sex. </w:t>
      </w:r>
      <w:r w:rsidRPr="00D417D1">
        <w:t xml:space="preserve">The association of a particular allele with sex category was reported as likelihood ratio test (LRT) statistic and is chi square distributed with one degree of freedom. </w:t>
      </w:r>
      <w:r>
        <w:t>We applied a conservative s</w:t>
      </w:r>
      <w:r w:rsidRPr="00D417D1">
        <w:t>ignificance</w:t>
      </w:r>
      <w:r>
        <w:t xml:space="preserve"> cutoff with</w:t>
      </w:r>
      <w:r w:rsidRPr="00D417D1">
        <w:t xml:space="preserve"> a Bonferroni corrected p</w:t>
      </w:r>
      <w:r>
        <w:t>-</w:t>
      </w:r>
      <w:r w:rsidRPr="00D417D1">
        <w:t xml:space="preserve">value of 0.05 using the formula </w:t>
      </w:r>
      <m:oMath>
        <m:r>
          <w:rPr>
            <w:rFonts w:ascii="Cambria Math" w:hAnsi="Cambria Math"/>
          </w:rPr>
          <m:t>p=</m:t>
        </m:r>
        <m:f>
          <m:fPr>
            <m:ctrlPr>
              <w:rPr>
                <w:rFonts w:ascii="Cambria Math" w:hAnsi="Cambria Math"/>
                <w:i/>
              </w:rPr>
            </m:ctrlPr>
          </m:fPr>
          <m:num>
            <m:r>
              <w:rPr>
                <w:rFonts w:ascii="Cambria Math" w:hAnsi="Cambria Math"/>
              </w:rPr>
              <m:t>α</m:t>
            </m:r>
          </m:num>
          <m:den>
            <m:r>
              <w:rPr>
                <w:rFonts w:ascii="Cambria Math" w:hAnsi="Cambria Math"/>
              </w:rPr>
              <m:t>n</m:t>
            </m:r>
          </m:den>
        </m:f>
      </m:oMath>
      <w:r w:rsidRPr="00D417D1">
        <w:t xml:space="preserve"> where </w:t>
      </w:r>
      <m:oMath>
        <m:r>
          <w:rPr>
            <w:rFonts w:ascii="Cambria Math" w:hAnsi="Cambria Math"/>
          </w:rPr>
          <m:t>n</m:t>
        </m:r>
      </m:oMath>
      <w:r w:rsidRPr="00D417D1">
        <w:t xml:space="preserve"> is the number of loci analyzed</w:t>
      </w:r>
      <w:r>
        <w:t>,</w:t>
      </w:r>
      <w:r w:rsidRPr="0080450F">
        <w:t xml:space="preserve"> </w:t>
      </w:r>
      <m:oMath>
        <m:r>
          <w:rPr>
            <w:rFonts w:ascii="Cambria Math" w:hAnsi="Cambria Math"/>
          </w:rPr>
          <m:t>α</m:t>
        </m:r>
      </m:oMath>
      <w:r>
        <w:t xml:space="preserve"> is the desired p-value or significance threshold (0.05), and </w:t>
      </w:r>
      <m:oMath>
        <m:r>
          <w:rPr>
            <w:rFonts w:ascii="Cambria Math" w:hAnsi="Cambria Math"/>
          </w:rPr>
          <m:t>p</m:t>
        </m:r>
      </m:oMath>
      <w:r>
        <w:t xml:space="preserve"> is the adjusted p-value given the number of loci used in the analysis</w:t>
      </w:r>
      <w:r w:rsidRPr="00D417D1">
        <w:t>.</w:t>
      </w:r>
    </w:p>
    <w:p w14:paraId="08238A41" w14:textId="77777777" w:rsidR="00106145" w:rsidRDefault="00106145" w:rsidP="00261AAC">
      <w:pPr>
        <w:jc w:val="both"/>
      </w:pPr>
    </w:p>
    <w:p w14:paraId="567BA05A" w14:textId="77777777" w:rsidR="00106145" w:rsidRDefault="00106145" w:rsidP="00261AAC">
      <w:pPr>
        <w:jc w:val="both"/>
        <w:rPr>
          <w:i/>
        </w:rPr>
      </w:pPr>
      <w:r>
        <w:rPr>
          <w:i/>
        </w:rPr>
        <w:t>Results</w:t>
      </w:r>
    </w:p>
    <w:p w14:paraId="5FC37423" w14:textId="4E1E2BC0" w:rsidR="00106145" w:rsidRPr="00F01A65" w:rsidRDefault="00106145" w:rsidP="00261AAC">
      <w:pPr>
        <w:jc w:val="both"/>
      </w:pPr>
      <w:r w:rsidRPr="00D417D1">
        <w:t xml:space="preserve">We analyzed </w:t>
      </w:r>
      <w:r w:rsidRPr="004F4DE1">
        <w:t>848</w:t>
      </w:r>
      <w:r>
        <w:t>,</w:t>
      </w:r>
      <w:r w:rsidRPr="004F4DE1">
        <w:t>444</w:t>
      </w:r>
      <w:r>
        <w:t xml:space="preserve"> and </w:t>
      </w:r>
      <w:r w:rsidRPr="00403975">
        <w:t>922</w:t>
      </w:r>
      <w:r>
        <w:t>,</w:t>
      </w:r>
      <w:r w:rsidRPr="00403975">
        <w:t>975</w:t>
      </w:r>
      <w:r>
        <w:t xml:space="preserve"> </w:t>
      </w:r>
      <w:r w:rsidRPr="00D417D1">
        <w:t xml:space="preserve">loci </w:t>
      </w:r>
      <w:r>
        <w:t xml:space="preserve">spread across the male and female genome assemblies, respectively. These loci correspond to a Bonferroni corrected p-value cutoff of </w:t>
      </w:r>
      <w:r w:rsidRPr="004F4DE1">
        <w:t>5.893141e-08</w:t>
      </w:r>
      <w:r>
        <w:t xml:space="preserve"> in loci found within the male reference genome and </w:t>
      </w:r>
      <w:r w:rsidRPr="00403975">
        <w:t>5.417265e-08</w:t>
      </w:r>
      <w:r>
        <w:t xml:space="preserve"> in loci analyzed within the female reference genome. No significant association in sex was found using the female reference genome. Two loci located in the male reference genome on Chromosome 5 were significantly associated with sex in delta smelt (Figure </w:t>
      </w:r>
      <w:r w:rsidR="00D17773">
        <w:t>11</w:t>
      </w:r>
      <w:r>
        <w:t xml:space="preserve">). </w:t>
      </w:r>
      <w:r w:rsidRPr="00D417D1">
        <w:t xml:space="preserve">The </w:t>
      </w:r>
      <w:r>
        <w:t xml:space="preserve">two SNPs most associated with sex in delta smelt had an </w:t>
      </w:r>
      <w:r w:rsidRPr="00D417D1">
        <w:t>LRT score</w:t>
      </w:r>
      <w:r>
        <w:t xml:space="preserve">s of </w:t>
      </w:r>
      <w:r w:rsidRPr="00F01A65">
        <w:t>37.854854</w:t>
      </w:r>
      <w:r>
        <w:t xml:space="preserve"> and </w:t>
      </w:r>
      <w:r w:rsidRPr="00F01A65">
        <w:t>35.802804</w:t>
      </w:r>
      <w:r>
        <w:t xml:space="preserve"> </w:t>
      </w:r>
      <w:r w:rsidRPr="00D417D1">
        <w:t>which correspond to p</w:t>
      </w:r>
      <w:r>
        <w:t>-</w:t>
      </w:r>
      <w:r w:rsidRPr="00D417D1">
        <w:t>value</w:t>
      </w:r>
      <w:r>
        <w:t>s</w:t>
      </w:r>
      <w:r w:rsidRPr="00D417D1">
        <w:t xml:space="preserve"> of </w:t>
      </w:r>
      <w:r w:rsidRPr="00F01A65">
        <w:t>7.621e-10</w:t>
      </w:r>
      <w:r>
        <w:t xml:space="preserve"> and </w:t>
      </w:r>
      <w:r w:rsidRPr="00F01A65">
        <w:t>2.183e-9</w:t>
      </w:r>
      <w:r>
        <w:t>, respectively</w:t>
      </w:r>
      <w:r w:rsidRPr="00D417D1">
        <w:t xml:space="preserve">. </w:t>
      </w:r>
    </w:p>
    <w:p w14:paraId="684B3B94" w14:textId="77777777" w:rsidR="00106145" w:rsidRDefault="00106145" w:rsidP="00261AAC">
      <w:pPr>
        <w:jc w:val="both"/>
      </w:pPr>
    </w:p>
    <w:p w14:paraId="0D1E47BE" w14:textId="77777777" w:rsidR="00106145" w:rsidRPr="00D417D1" w:rsidRDefault="00106145" w:rsidP="00261AAC">
      <w:pPr>
        <w:jc w:val="both"/>
      </w:pPr>
    </w:p>
    <w:p w14:paraId="5DB2F0D4" w14:textId="77777777" w:rsidR="00106145" w:rsidRPr="00A85974" w:rsidRDefault="00106145" w:rsidP="00261AAC">
      <w:pPr>
        <w:pStyle w:val="Heading2"/>
        <w:jc w:val="both"/>
      </w:pPr>
      <w:r w:rsidRPr="00A85974">
        <w:t>Depth analysis</w:t>
      </w:r>
    </w:p>
    <w:p w14:paraId="34CDE6AF" w14:textId="77777777" w:rsidR="00106145" w:rsidRDefault="00106145" w:rsidP="00261AAC">
      <w:pPr>
        <w:jc w:val="both"/>
        <w:rPr>
          <w:i/>
        </w:rPr>
      </w:pPr>
      <w:r>
        <w:rPr>
          <w:i/>
        </w:rPr>
        <w:t>Methods</w:t>
      </w:r>
    </w:p>
    <w:p w14:paraId="5A17901B" w14:textId="77777777" w:rsidR="00106145" w:rsidRDefault="00106145" w:rsidP="00261AAC">
      <w:pPr>
        <w:jc w:val="both"/>
      </w:pPr>
      <w:r>
        <w:t>If sex determination in delta smelt were caused by chromosomal differences, it would be expected that the heterogametic sex (</w:t>
      </w:r>
      <w:proofErr w:type="gramStart"/>
      <w:r>
        <w:t>i.e.</w:t>
      </w:r>
      <w:proofErr w:type="gramEnd"/>
      <w:r>
        <w:t xml:space="preserve"> XY) would have roughly half the sequencing depth of the homogametic sex (i.e. XX) at the large region that determines sex in the fish. Additionally, the heterogametic sex would be expected to have novel sequence content. To look for signs of sex specific sequencing depth differences, we looked for male and female differences in the presence and depth of RAD markers spread throughout the genome. To do this we performed two experiments, one using the male genome as a reference and another using the female genome as a reference. Each experiment used the 24 male and 24 female alignment files from the previous GWAS. First, we acquired the depth of aligned reads at each location in the reference genome </w:t>
      </w:r>
      <w:r>
        <w:lastRenderedPageBreak/>
        <w:t xml:space="preserve">using </w:t>
      </w:r>
      <w:proofErr w:type="spellStart"/>
      <w:r>
        <w:rPr>
          <w:rFonts w:ascii="Courier" w:hAnsi="Courier"/>
        </w:rPr>
        <w:t>samtools</w:t>
      </w:r>
      <w:proofErr w:type="spellEnd"/>
      <w:r>
        <w:rPr>
          <w:rFonts w:ascii="Courier" w:hAnsi="Courier"/>
        </w:rPr>
        <w:t xml:space="preserve"> depth</w:t>
      </w:r>
      <w:r>
        <w:t xml:space="preserve">. Next, using custom bash and </w:t>
      </w:r>
      <w:proofErr w:type="spellStart"/>
      <w:r>
        <w:t>perl</w:t>
      </w:r>
      <w:proofErr w:type="spellEnd"/>
      <w:r>
        <w:t xml:space="preserve"> scripts we threw out all locations where no male or female RAD sequencing data aligned, and we totaled the number of male alignments and gathered the total coverage for each sex </w:t>
      </w:r>
      <w:r w:rsidRPr="00D417D1">
        <w:t>(</w:t>
      </w:r>
      <w:hyperlink r:id="rId19" w:history="1">
        <w:r w:rsidRPr="00D417D1">
          <w:rPr>
            <w:rStyle w:val="Hyperlink"/>
          </w:rPr>
          <w:t>https://github.com/shannonekj/DS_sex-marker/blob/master/analysis/</w:t>
        </w:r>
      </w:hyperlink>
      <w:r w:rsidRPr="00D417D1">
        <w:t>)</w:t>
      </w:r>
      <w:r>
        <w:t xml:space="preserve">. Finally, we sorted the coverage difference files and looked for locations in the genome where one sex had high and consistent coverage and the other sex had </w:t>
      </w:r>
      <w:r w:rsidRPr="00383ED6">
        <w:t>shallow or no coverage</w:t>
      </w:r>
      <w:r>
        <w:t>.</w:t>
      </w:r>
    </w:p>
    <w:p w14:paraId="55002F0E" w14:textId="77777777" w:rsidR="00106145" w:rsidRDefault="00106145" w:rsidP="00261AAC">
      <w:pPr>
        <w:jc w:val="both"/>
        <w:rPr>
          <w:i/>
        </w:rPr>
      </w:pPr>
    </w:p>
    <w:p w14:paraId="0319FE5C" w14:textId="77777777" w:rsidR="00106145" w:rsidRDefault="00106145" w:rsidP="00261AAC">
      <w:pPr>
        <w:jc w:val="both"/>
        <w:rPr>
          <w:i/>
        </w:rPr>
      </w:pPr>
      <w:r>
        <w:rPr>
          <w:i/>
        </w:rPr>
        <w:t>Results</w:t>
      </w:r>
    </w:p>
    <w:p w14:paraId="173FD3D6" w14:textId="77777777" w:rsidR="00106145" w:rsidRPr="00C30DD1" w:rsidRDefault="00106145" w:rsidP="00261AAC">
      <w:pPr>
        <w:jc w:val="both"/>
        <w:rPr>
          <w:i/>
        </w:rPr>
      </w:pPr>
      <w:r>
        <w:t xml:space="preserve">We </w:t>
      </w:r>
      <w:r w:rsidRPr="00383ED6">
        <w:t>found no large areas that corresponded to an inflation of any one particular sex having higher depth of coverage</w:t>
      </w:r>
      <w:r>
        <w:t xml:space="preserve"> compared to the sex and could not identify any sex specific loci in this analysis. </w:t>
      </w:r>
    </w:p>
    <w:p w14:paraId="06AE6601" w14:textId="77777777" w:rsidR="00106145" w:rsidRDefault="00106145" w:rsidP="00261AAC">
      <w:pPr>
        <w:jc w:val="both"/>
      </w:pPr>
    </w:p>
    <w:p w14:paraId="6B8BF3C0" w14:textId="77777777" w:rsidR="00106145" w:rsidRDefault="00106145" w:rsidP="00261AAC">
      <w:pPr>
        <w:jc w:val="both"/>
      </w:pPr>
    </w:p>
    <w:p w14:paraId="73130036" w14:textId="77777777" w:rsidR="00106145" w:rsidRDefault="00106145" w:rsidP="00261AAC">
      <w:pPr>
        <w:pStyle w:val="Heading2"/>
        <w:jc w:val="both"/>
      </w:pPr>
      <w:r>
        <w:t>K-mer</w:t>
      </w:r>
      <w:r w:rsidRPr="00836372">
        <w:t xml:space="preserve"> analysis</w:t>
      </w:r>
    </w:p>
    <w:p w14:paraId="3AFC1460" w14:textId="77777777" w:rsidR="00106145" w:rsidRDefault="00106145" w:rsidP="00261AAC">
      <w:pPr>
        <w:jc w:val="both"/>
        <w:rPr>
          <w:i/>
        </w:rPr>
      </w:pPr>
      <w:r>
        <w:rPr>
          <w:i/>
        </w:rPr>
        <w:t>Methods</w:t>
      </w:r>
    </w:p>
    <w:p w14:paraId="73A66AFB" w14:textId="77777777" w:rsidR="00106145" w:rsidRDefault="00106145" w:rsidP="00261AAC">
      <w:pPr>
        <w:jc w:val="both"/>
      </w:pPr>
      <w:r>
        <w:t xml:space="preserve">In our k-mer analysis we sought to identify unique differences of sequence content in males versus females. To do this, we used 10X Genomics linked-read data from one male and one female. First, we created a signature of all k-mers belonging to each sex with </w:t>
      </w:r>
      <w:proofErr w:type="spellStart"/>
      <w:r w:rsidRPr="00562D8C">
        <w:rPr>
          <w:rFonts w:ascii="Courier" w:hAnsi="Courier"/>
        </w:rPr>
        <w:t>sourmash</w:t>
      </w:r>
      <w:proofErr w:type="spellEnd"/>
      <w:r w:rsidRPr="00562D8C">
        <w:rPr>
          <w:rFonts w:ascii="Courier" w:hAnsi="Courier"/>
        </w:rPr>
        <w:t xml:space="preserve"> compute</w:t>
      </w:r>
      <w:r>
        <w:rPr>
          <w:rFonts w:ascii="Courier" w:hAnsi="Courier"/>
        </w:rPr>
        <w:t xml:space="preserve"> -scaled 1000</w:t>
      </w:r>
      <w:r>
        <w:t xml:space="preserve"> to sample one k-mer from ever 1000 base pairs. The signature compute step was followed by </w:t>
      </w:r>
      <w:proofErr w:type="spellStart"/>
      <w:r w:rsidRPr="00562D8C">
        <w:rPr>
          <w:rFonts w:ascii="Courier" w:hAnsi="Courier"/>
        </w:rPr>
        <w:t>sourmash</w:t>
      </w:r>
      <w:proofErr w:type="spellEnd"/>
      <w:r w:rsidRPr="00562D8C">
        <w:rPr>
          <w:rFonts w:ascii="Courier" w:hAnsi="Courier"/>
        </w:rPr>
        <w:t xml:space="preserve"> sig</w:t>
      </w:r>
      <w:r>
        <w:rPr>
          <w:rFonts w:ascii="Courier" w:hAnsi="Courier"/>
        </w:rPr>
        <w:t>nature</w:t>
      </w:r>
      <w:r w:rsidRPr="00562D8C">
        <w:rPr>
          <w:rFonts w:ascii="Courier" w:hAnsi="Courier"/>
        </w:rPr>
        <w:t xml:space="preserve"> merge</w:t>
      </w:r>
      <w:r>
        <w:t xml:space="preserve"> to incorporate all data from the R1 and R2 files for each sex. We purged the signature files of low abundance k-mers (abundance &lt; 5) to eliminate k-mers that are more likely sequencing errors and threw out k-mers that were shared between male and females to only leave sex-specific k-mers. The resulting high abundance, single sex k-mers were used in our analysis. </w:t>
      </w:r>
    </w:p>
    <w:p w14:paraId="526323A8" w14:textId="77777777" w:rsidR="00106145" w:rsidRDefault="00106145" w:rsidP="00261AAC">
      <w:pPr>
        <w:jc w:val="both"/>
      </w:pPr>
    </w:p>
    <w:p w14:paraId="405BC344" w14:textId="77777777" w:rsidR="00106145" w:rsidRDefault="00106145" w:rsidP="00261AAC">
      <w:pPr>
        <w:jc w:val="both"/>
      </w:pPr>
      <w:r>
        <w:t>First, we plotted and compared k-mer abundance for each sex to determine if there were observable differences between sexes. A difference in k-mer abundance could correspond to a sex determining regions within a sex (</w:t>
      </w:r>
      <w:proofErr w:type="gramStart"/>
      <w:r>
        <w:t>i.e.</w:t>
      </w:r>
      <w:proofErr w:type="gramEnd"/>
      <w:r>
        <w:t xml:space="preserve"> sex chromosome). Next, we extracted contigs which contain five or more k-mers within one contig which corresponds to a contig length of roughly 5,000bp. We then compared the abundance of male and female k-mers found within those contigs. After, we took the median abundance of k-mers within a contig to find the contigs abundance in each sex. We compared the male contig abundance to the female contig abundance and isolated male-only contigs deemed “putative Y” sequences for further validation.</w:t>
      </w:r>
    </w:p>
    <w:p w14:paraId="1B5EDC60" w14:textId="77777777" w:rsidR="00106145" w:rsidRDefault="00106145" w:rsidP="00261AAC">
      <w:pPr>
        <w:jc w:val="both"/>
      </w:pPr>
    </w:p>
    <w:p w14:paraId="21390C18" w14:textId="77777777" w:rsidR="00106145" w:rsidRDefault="00106145" w:rsidP="00261AAC">
      <w:pPr>
        <w:jc w:val="both"/>
      </w:pPr>
      <w:r>
        <w:t xml:space="preserve">To validate our results, we mapped RAD sequencing data to the putative Y sequences and ran a depth analysis. In order to ensure the putative Y reads were indeed mapping to one location in the genome, we performed a stringent end-to-end alignment of the putative Y sequencing data using bowtie2. Only reads that entirely aligned to regions in the genome were used in the subsequent analysis. To find depth locations, we aligned the RAD sequencing data to the male reference genome using </w:t>
      </w:r>
      <w:proofErr w:type="spellStart"/>
      <w:r>
        <w:t>samtools</w:t>
      </w:r>
      <w:proofErr w:type="spellEnd"/>
      <w:r>
        <w:t xml:space="preserve"> &lt;CITE&gt;. We then pulled RAD alignment depth information from all of the locations where the putative Y sequencing data had also aligned using the software </w:t>
      </w:r>
      <w:proofErr w:type="spellStart"/>
      <w:r>
        <w:t>bedtools</w:t>
      </w:r>
      <w:proofErr w:type="spellEnd"/>
      <w:r>
        <w:t xml:space="preserve">&lt;CITE&gt; and custom bash and </w:t>
      </w:r>
      <w:proofErr w:type="spellStart"/>
      <w:r>
        <w:t>perl</w:t>
      </w:r>
      <w:proofErr w:type="spellEnd"/>
      <w:r>
        <w:t xml:space="preserve"> scripts. After we obtained depth information across all of the putative Y regions, we ran the same depth analysis as above.</w:t>
      </w:r>
    </w:p>
    <w:p w14:paraId="2491B78F" w14:textId="77777777" w:rsidR="00106145" w:rsidRPr="00762A89" w:rsidRDefault="00106145" w:rsidP="00261AAC">
      <w:pPr>
        <w:jc w:val="both"/>
      </w:pPr>
      <w:r>
        <w:t xml:space="preserve"> </w:t>
      </w:r>
    </w:p>
    <w:p w14:paraId="053B9D54" w14:textId="77777777" w:rsidR="00106145" w:rsidRDefault="00106145" w:rsidP="00261AAC">
      <w:pPr>
        <w:jc w:val="both"/>
        <w:rPr>
          <w:i/>
        </w:rPr>
      </w:pPr>
      <w:r>
        <w:rPr>
          <w:i/>
        </w:rPr>
        <w:t>Results</w:t>
      </w:r>
    </w:p>
    <w:p w14:paraId="5B0F51B7" w14:textId="1A15BE78" w:rsidR="00106145" w:rsidRDefault="00106145" w:rsidP="00261AAC">
      <w:pPr>
        <w:jc w:val="both"/>
      </w:pPr>
      <w:r>
        <w:t xml:space="preserve">After abundance filtration, there were approximately 118,191,000 male-only k-mers and 494,251,000 female-only k-mers. There was a clear distinction between the distribution of male </w:t>
      </w:r>
      <w:r>
        <w:lastRenderedPageBreak/>
        <w:t xml:space="preserve">and female abundances, where males had more high abundance k-mers compared to females (Figure </w:t>
      </w:r>
      <w:r w:rsidR="00D17773">
        <w:t>12</w:t>
      </w:r>
      <w:r>
        <w:t xml:space="preserve">). Upon filtering k-mers for those found on long contigs (contigs containing 5 k-mers or more) there was a clear increase of male-specific k-mers at half the abundance of the female and male peak on the right (Figure </w:t>
      </w:r>
      <w:r w:rsidR="00D17773">
        <w:t>13</w:t>
      </w:r>
      <w:r>
        <w:t xml:space="preserve">). We found 44 contigs with k-mer mean abundance in the male sequencing data that had zero abundance in the female sequencing data (Figure </w:t>
      </w:r>
      <w:r w:rsidR="00D17773">
        <w:t>14</w:t>
      </w:r>
      <w:r>
        <w:t xml:space="preserve">). </w:t>
      </w:r>
    </w:p>
    <w:p w14:paraId="75BECE24" w14:textId="77777777" w:rsidR="00106145" w:rsidRDefault="00106145" w:rsidP="00261AAC">
      <w:pPr>
        <w:jc w:val="both"/>
      </w:pPr>
    </w:p>
    <w:p w14:paraId="2D98F71E" w14:textId="654961D8" w:rsidR="00106145" w:rsidRDefault="00106145" w:rsidP="00261AAC">
      <w:pPr>
        <w:jc w:val="both"/>
      </w:pPr>
      <w:r>
        <w:t xml:space="preserve">We mapped the putative Y data back to the male reference genome and found the reads mapped to multiple regions within the genome (Table </w:t>
      </w:r>
      <w:r w:rsidR="00D17773">
        <w:t>7</w:t>
      </w:r>
      <w:r>
        <w:t>). We did not find a significant difference in male versus female read depth at locations across the putative Y regions.</w:t>
      </w:r>
    </w:p>
    <w:p w14:paraId="0DBAF849" w14:textId="77777777" w:rsidR="00DE273D" w:rsidRDefault="00DE273D" w:rsidP="00261AAC">
      <w:pPr>
        <w:ind w:right="270"/>
        <w:jc w:val="both"/>
      </w:pPr>
    </w:p>
    <w:p w14:paraId="3F5E4941" w14:textId="42015367" w:rsidR="00B65A33" w:rsidRDefault="00B65A33" w:rsidP="00261AAC">
      <w:pPr>
        <w:jc w:val="both"/>
        <w:rPr>
          <w:rFonts w:ascii="Times" w:hAnsi="Times"/>
        </w:rPr>
      </w:pPr>
      <w:r>
        <w:rPr>
          <w:rFonts w:ascii="Times" w:hAnsi="Times"/>
        </w:rPr>
        <w:br w:type="page"/>
      </w:r>
    </w:p>
    <w:p w14:paraId="6C513AC2" w14:textId="77777777" w:rsidR="00FC7342" w:rsidRDefault="00FC7342" w:rsidP="00FC7342">
      <w:pPr>
        <w:pStyle w:val="Heading1"/>
      </w:pPr>
      <w:r>
        <w:lastRenderedPageBreak/>
        <w:t>Discussion</w:t>
      </w:r>
    </w:p>
    <w:p w14:paraId="03480909" w14:textId="77777777" w:rsidR="00FC7342" w:rsidRDefault="00FC7342" w:rsidP="00FC7342"/>
    <w:p w14:paraId="7D8F48C0" w14:textId="77777777" w:rsidR="00FC7342" w:rsidRDefault="00FC7342" w:rsidP="00FC7342">
      <w:r>
        <w:t xml:space="preserve">As the refuge population of delta smelt become increasingly important for the preservation of the species </w:t>
      </w:r>
      <w:r w:rsidRPr="00A47DDA">
        <w:t xml:space="preserve">it is essential that genetic resources and </w:t>
      </w:r>
      <w:r>
        <w:t>sequencing</w:t>
      </w:r>
      <w:r w:rsidRPr="00A47DDA">
        <w:t xml:space="preserve"> data are available to inform population management and improve reintroduction planning. In this study, we utili</w:t>
      </w:r>
      <w:r>
        <w:t>z</w:t>
      </w:r>
      <w:r w:rsidRPr="00A47DDA">
        <w:t>ed third</w:t>
      </w:r>
      <w:r>
        <w:t xml:space="preserve"> and next</w:t>
      </w:r>
      <w:r w:rsidRPr="00A47DDA">
        <w:t>-generation sequencing technologies to generate a chromosomal-level genome assembly</w:t>
      </w:r>
      <w:r>
        <w:t xml:space="preserve">. We combined this assembly with multi-generational </w:t>
      </w:r>
      <w:proofErr w:type="spellStart"/>
      <w:r>
        <w:t>RADseq</w:t>
      </w:r>
      <w:proofErr w:type="spellEnd"/>
      <w:r>
        <w:t xml:space="preserve"> data to make demographic inferences of effective population size, observe genetic diversity through time, observe the genetic effects of domestication selection and interrogate the genome for sex specific markers.</w:t>
      </w:r>
    </w:p>
    <w:p w14:paraId="7CE6ED94" w14:textId="77777777" w:rsidR="00FC7342" w:rsidRDefault="00FC7342" w:rsidP="00FC7342"/>
    <w:p w14:paraId="4235330A" w14:textId="77777777" w:rsidR="00FC7342" w:rsidRDefault="00FC7342" w:rsidP="00FC7342">
      <w:pPr>
        <w:rPr>
          <w:b/>
          <w:bCs/>
          <w:i/>
          <w:iCs/>
        </w:rPr>
      </w:pPr>
      <w:r>
        <w:rPr>
          <w:b/>
          <w:bCs/>
          <w:i/>
          <w:iCs/>
        </w:rPr>
        <w:t>Genome Assembly</w:t>
      </w:r>
    </w:p>
    <w:p w14:paraId="0DF3CC3F" w14:textId="7C4262B1" w:rsidR="00FC7342" w:rsidRDefault="00FC7342" w:rsidP="00FC7342">
      <w:r>
        <w:t>The primary objective of this study was to create a highly contiguous genome assembly for use within and beyond the scope of this project. We have achieved the gold-standard for constructing reference genome and have assembled a chromosome-level reference genome for delta smelt. To do this we combined PacBio long reads, 10X Chromium linked-reads, Phase hi-c chromatin conformation capture and a linkage map&lt;CITE&gt; to create two sex-specific reference assemblies for male and female fish. The final male and female total assembly lengths were 0.47Gb and 0.44Gb, respectively which is similar to the pond smelt genome (</w:t>
      </w:r>
      <w:proofErr w:type="spellStart"/>
      <w:r>
        <w:rPr>
          <w:i/>
          <w:iCs/>
        </w:rPr>
        <w:t>Hypomesus</w:t>
      </w:r>
      <w:proofErr w:type="spellEnd"/>
      <w:r>
        <w:rPr>
          <w:i/>
          <w:iCs/>
        </w:rPr>
        <w:t xml:space="preserve"> </w:t>
      </w:r>
      <w:proofErr w:type="spellStart"/>
      <w:r>
        <w:rPr>
          <w:i/>
          <w:iCs/>
        </w:rPr>
        <w:t>nipponensis</w:t>
      </w:r>
      <w:proofErr w:type="spellEnd"/>
      <w:r>
        <w:t>, &lt;CITE&gt;) which has a total length of 0.50Gb. Our final male and female assemblies had 376 and 549 contigs with N50’s of 0.12Gb and 0.15Gb, respectively. The first 28 contigs, representing number of haplo</w:t>
      </w:r>
      <w:r w:rsidR="00DB73CB">
        <w:t>i</w:t>
      </w:r>
      <w:r>
        <w:t xml:space="preserve">d chromosomes confirmed by cytogenetic karyotyping contain TKTKTKT of the sequencing data of total assemblies in male and females, respectively. Our final genome assemblies are roughly 25-30 times more contiguous that the newly published pond smelt assembly. The final assemblies contained 88.4% and 89.3% of core genes expected in the </w:t>
      </w:r>
      <w:r w:rsidRPr="0097144D">
        <w:rPr>
          <w:i/>
          <w:iCs/>
        </w:rPr>
        <w:t>Actinopterygii</w:t>
      </w:r>
      <w:r>
        <w:t xml:space="preserve"> BUSCO database.</w:t>
      </w:r>
    </w:p>
    <w:p w14:paraId="5CEF368C" w14:textId="77777777" w:rsidR="00FC7342" w:rsidRDefault="00FC7342" w:rsidP="00FC7342"/>
    <w:p w14:paraId="600C7266" w14:textId="77777777" w:rsidR="00FC7342" w:rsidRDefault="00FC7342" w:rsidP="00FC7342">
      <w:pPr>
        <w:rPr>
          <w:b/>
          <w:bCs/>
          <w:i/>
          <w:iCs/>
        </w:rPr>
      </w:pPr>
      <w:r>
        <w:rPr>
          <w:b/>
          <w:bCs/>
          <w:i/>
          <w:iCs/>
        </w:rPr>
        <w:t>Effective Population Size &amp; Genetic Diversity</w:t>
      </w:r>
    </w:p>
    <w:p w14:paraId="588D8F37" w14:textId="77777777" w:rsidR="00FC7342" w:rsidRDefault="00FC7342" w:rsidP="00FC7342">
      <w:r>
        <w:t xml:space="preserve">In this study we removed non-neutral loci in order to make unbiased temporal Ne estimates. Our results show a broad decline of delta smelt effective population size from 1995 to 2020. In general, estimates made in birth year cohorts from the 1990’s and early 2000’s were more varied and more frequently infinite, negative (indicating Ne is too large to accurately be estimated) or larger than 5000. More recent estimates show less variation, and narrower confidence intervals. </w:t>
      </w:r>
    </w:p>
    <w:p w14:paraId="49BC1ADB" w14:textId="77777777" w:rsidR="00FC7342" w:rsidRDefault="00FC7342" w:rsidP="00FC7342"/>
    <w:p w14:paraId="505F1049" w14:textId="77777777" w:rsidR="00FC7342" w:rsidRDefault="00FC7342" w:rsidP="00FC7342">
      <w:r>
        <w:t xml:space="preserve">We then validated our observation of a decline in Ne by observing genetic diversity within the species through the estimation of theta for each birth year cohort used in our temporal Ne estimations. We quantified genetic diversity through two theta statistics––average pairwise nucleotide difference (pi) and the normalized number of segregating sites. We found both parameters to be declining with pi to be slightly more stable. This is expected as low frequency alleles are more rapidly lost as populations decline. Our diversity estimates are consistent with our Ne estimates that show an overall decline over the past 25 years. </w:t>
      </w:r>
    </w:p>
    <w:p w14:paraId="6A009A5B" w14:textId="77777777" w:rsidR="00FC7342" w:rsidRDefault="00FC7342" w:rsidP="00FC7342"/>
    <w:p w14:paraId="342E8D18" w14:textId="41E700E9" w:rsidR="00FC7342" w:rsidRDefault="00FC7342" w:rsidP="00FC7342">
      <w:pPr>
        <w:rPr>
          <w:b/>
          <w:bCs/>
          <w:i/>
          <w:iCs/>
        </w:rPr>
      </w:pPr>
      <w:r>
        <w:rPr>
          <w:b/>
          <w:bCs/>
          <w:i/>
          <w:iCs/>
        </w:rPr>
        <w:t>Domestication Sele</w:t>
      </w:r>
      <w:r w:rsidR="0054076A">
        <w:rPr>
          <w:b/>
          <w:bCs/>
          <w:i/>
          <w:iCs/>
        </w:rPr>
        <w:t>c</w:t>
      </w:r>
      <w:r>
        <w:rPr>
          <w:b/>
          <w:bCs/>
          <w:i/>
          <w:iCs/>
        </w:rPr>
        <w:t>tion</w:t>
      </w:r>
    </w:p>
    <w:p w14:paraId="78E7AB1B" w14:textId="77777777" w:rsidR="00FC7342" w:rsidRDefault="00FC7342" w:rsidP="00FC7342">
      <w:r>
        <w:t>&lt;INSERT ENSI’S DISCUSSION&gt;</w:t>
      </w:r>
    </w:p>
    <w:p w14:paraId="6A9C1F65" w14:textId="77777777" w:rsidR="00FC7342" w:rsidRDefault="00FC7342" w:rsidP="00FC7342"/>
    <w:p w14:paraId="026D57D0" w14:textId="77777777" w:rsidR="00FC7342" w:rsidRPr="008B461C" w:rsidRDefault="00FC7342" w:rsidP="00FC7342">
      <w:pPr>
        <w:rPr>
          <w:b/>
          <w:bCs/>
          <w:i/>
          <w:iCs/>
        </w:rPr>
      </w:pPr>
      <w:r>
        <w:rPr>
          <w:b/>
          <w:bCs/>
          <w:i/>
          <w:iCs/>
        </w:rPr>
        <w:t>Sex Specific Markers</w:t>
      </w:r>
    </w:p>
    <w:p w14:paraId="15FE204F" w14:textId="77777777" w:rsidR="00A93D19" w:rsidRDefault="00FC7342" w:rsidP="00FC7342">
      <w:r>
        <w:lastRenderedPageBreak/>
        <w:t xml:space="preserve">Our study probed the genome in multiple ways to identify sex-specific markers. While we did not find diagnostic SNPs, we did find candidate loci via GWAS and k-mer analysis. </w:t>
      </w:r>
    </w:p>
    <w:p w14:paraId="5D07CAD5" w14:textId="77777777" w:rsidR="00A93D19" w:rsidRDefault="00FC7342" w:rsidP="00FC7342">
      <w:r>
        <w:t xml:space="preserve">The genome wide association study found two markers on Chromosome 5 that were significantly associated with sex but did not have alleles that correlated with sex. </w:t>
      </w:r>
    </w:p>
    <w:p w14:paraId="235D23EB" w14:textId="77777777" w:rsidR="00A93D19" w:rsidRDefault="00A93D19" w:rsidP="00FC7342"/>
    <w:p w14:paraId="5562E861" w14:textId="600612A9" w:rsidR="00A93D19" w:rsidRDefault="00FC7342" w:rsidP="00FC7342">
      <w:r>
        <w:t xml:space="preserve">K-mer analysis showed sequencing data </w:t>
      </w:r>
      <w:r w:rsidR="00A93D19">
        <w:t>which</w:t>
      </w:r>
      <w:r>
        <w:t xml:space="preserve"> was only found within the male </w:t>
      </w:r>
      <w:r w:rsidR="00A93D19">
        <w:t>individual’s linked-read sequencing data</w:t>
      </w:r>
      <w:r>
        <w:t xml:space="preserve"> but could not identify </w:t>
      </w:r>
      <w:r w:rsidR="00A93D19">
        <w:t xml:space="preserve">or confirm </w:t>
      </w:r>
      <w:r>
        <w:t xml:space="preserve">sex-specific markers with the </w:t>
      </w:r>
      <w:proofErr w:type="spellStart"/>
      <w:r>
        <w:t>RADseq</w:t>
      </w:r>
      <w:proofErr w:type="spellEnd"/>
      <w:r>
        <w:t xml:space="preserve"> data generated for this project.</w:t>
      </w:r>
      <w:r w:rsidR="00A93D19">
        <w:t xml:space="preserve"> An increase in male specific k-mers at half the abundance of the normally distributed peak of female k-mer abundance is consistent </w:t>
      </w:r>
      <w:r w:rsidR="00A93D19">
        <w:t>with the male sequencing data potentially having heterogametic regions in its genome.</w:t>
      </w:r>
      <w:r w:rsidR="005E5D5E">
        <w:t xml:space="preserve"> </w:t>
      </w:r>
      <w:r w:rsidR="005E5D5E">
        <w:t xml:space="preserve">Interestingly, many </w:t>
      </w:r>
      <w:r w:rsidR="005E5D5E">
        <w:t>contigs containing male-specific k-mers</w:t>
      </w:r>
      <w:r w:rsidR="005E5D5E">
        <w:t xml:space="preserve"> were located on chromosome 9. While there is a clear </w:t>
      </w:r>
      <w:r w:rsidR="005E5D5E">
        <w:t>increase</w:t>
      </w:r>
      <w:r w:rsidR="005E5D5E">
        <w:t xml:space="preserve"> in associated SNPs on chromosome 9, no</w:t>
      </w:r>
      <w:r w:rsidR="005E5D5E">
        <w:t xml:space="preserve">ne </w:t>
      </w:r>
      <w:r w:rsidR="005E5D5E">
        <w:t>met the significance threshold or were found to be diagnostic of sex.</w:t>
      </w:r>
    </w:p>
    <w:p w14:paraId="2CE42D18" w14:textId="77777777" w:rsidR="00A93D19" w:rsidRDefault="00A93D19" w:rsidP="00FC7342"/>
    <w:p w14:paraId="40FD3D51" w14:textId="6EC976FF" w:rsidR="00A93D19" w:rsidRDefault="0054076A" w:rsidP="00FC7342">
      <w:r>
        <w:t>Our</w:t>
      </w:r>
      <w:r w:rsidR="003A1F46">
        <w:t xml:space="preserve"> work shows a need for</w:t>
      </w:r>
      <w:r w:rsidR="00FC7342">
        <w:t xml:space="preserve"> further investigation using </w:t>
      </w:r>
      <w:r w:rsidR="00762D42">
        <w:t xml:space="preserve">high-coverage </w:t>
      </w:r>
      <w:r w:rsidR="00FC7342">
        <w:t>whole</w:t>
      </w:r>
      <w:r w:rsidR="003A1F46">
        <w:t>-</w:t>
      </w:r>
      <w:r w:rsidR="00FC7342">
        <w:t xml:space="preserve">genome </w:t>
      </w:r>
      <w:r w:rsidR="003A1F46">
        <w:t>re</w:t>
      </w:r>
      <w:r w:rsidR="00FC7342">
        <w:t>sequencing</w:t>
      </w:r>
      <w:r w:rsidR="003A1F46">
        <w:t xml:space="preserve"> (WGS)</w:t>
      </w:r>
      <w:r w:rsidR="00FC7342">
        <w:t xml:space="preserve"> data from </w:t>
      </w:r>
      <w:r w:rsidR="00A93D19">
        <w:t xml:space="preserve">a cohort of </w:t>
      </w:r>
      <w:r w:rsidR="00FC7342">
        <w:t xml:space="preserve">male and female fish to more evenly survey the genome </w:t>
      </w:r>
      <w:r w:rsidR="00A93D19">
        <w:t>in hopes of</w:t>
      </w:r>
      <w:r w:rsidR="00FC7342">
        <w:t xml:space="preserve"> identify</w:t>
      </w:r>
      <w:r w:rsidR="00A93D19">
        <w:t>ing</w:t>
      </w:r>
      <w:r w:rsidR="00FC7342">
        <w:t xml:space="preserve"> sex-specific markers. WGS data may better survey the region and potentially contain diagnostic markers. Additionally, the k-mer analysis revealed male specific 10X sequencing data from an individual male aligned to multiple regions throughout the genome. This may indicate that sex determination in delta smelt is polygenic but further sequencing and analysis is needed to test this hypothesis.</w:t>
      </w:r>
    </w:p>
    <w:p w14:paraId="4720D57E" w14:textId="12019414" w:rsidR="00FC7342" w:rsidRDefault="00FC7342" w:rsidP="00FC7342">
      <w:r>
        <w:br w:type="page"/>
      </w:r>
    </w:p>
    <w:p w14:paraId="259F51F5" w14:textId="77777777" w:rsidR="00FC7342" w:rsidRDefault="00FC7342" w:rsidP="00FC7342">
      <w:pPr>
        <w:pStyle w:val="Heading1"/>
      </w:pPr>
      <w:r>
        <w:lastRenderedPageBreak/>
        <w:t>Conclusion</w:t>
      </w:r>
    </w:p>
    <w:p w14:paraId="6C17F094" w14:textId="1110EEDD" w:rsidR="00FC7342" w:rsidRDefault="00FC7342" w:rsidP="00FC7342">
      <w:r>
        <w:t>Mandi</w:t>
      </w:r>
      <w:r w:rsidR="003A1F46">
        <w:t>,</w:t>
      </w:r>
      <w:r>
        <w:t xml:space="preserve"> I know Shawn mentioned wanting something written for how our findings should and shouldn’t be used for management… I’m not well versed in what to say re: management of the wild or captive populations and thought you might want to add in your thoughts/</w:t>
      </w:r>
    </w:p>
    <w:p w14:paraId="2A369E93" w14:textId="0C6E3304" w:rsidR="00FC7342" w:rsidRDefault="00FC7342">
      <w:r>
        <w:br w:type="page"/>
      </w:r>
    </w:p>
    <w:p w14:paraId="7AA7CA1C" w14:textId="77777777" w:rsidR="00FC7342" w:rsidRPr="008B461C" w:rsidRDefault="00FC7342" w:rsidP="00FC7342"/>
    <w:p w14:paraId="63A3E3F2" w14:textId="21B598AB" w:rsidR="006F47E9" w:rsidRDefault="00B65A33" w:rsidP="00261AAC">
      <w:pPr>
        <w:pStyle w:val="Heading1"/>
        <w:jc w:val="both"/>
      </w:pPr>
      <w:r w:rsidRPr="00B65A33">
        <w:t>Glossary</w:t>
      </w:r>
    </w:p>
    <w:p w14:paraId="533049C1" w14:textId="7E8A4A59" w:rsidR="00A07BB9" w:rsidRDefault="00B65A33" w:rsidP="00261AAC">
      <w:pPr>
        <w:ind w:left="720" w:hanging="720"/>
        <w:jc w:val="both"/>
        <w:rPr>
          <w:rFonts w:ascii="Times" w:hAnsi="Times"/>
          <w:bCs/>
        </w:rPr>
      </w:pPr>
      <w:r w:rsidRPr="00A07BB9">
        <w:rPr>
          <w:rFonts w:ascii="Times" w:hAnsi="Times"/>
          <w:b/>
        </w:rPr>
        <w:t>BUSCO</w:t>
      </w:r>
      <w:r w:rsidR="005A63B7" w:rsidRPr="00A07BB9">
        <w:rPr>
          <w:rFonts w:ascii="Times" w:hAnsi="Times"/>
          <w:b/>
        </w:rPr>
        <w:t xml:space="preserve"> score</w:t>
      </w:r>
      <w:r w:rsidR="005A63B7">
        <w:rPr>
          <w:rFonts w:ascii="Times" w:hAnsi="Times"/>
          <w:bCs/>
        </w:rPr>
        <w:t xml:space="preserve"> – the percent of highly conserved universal single copy orthologs found within an assembly. Percentage derived from assigned lineage (</w:t>
      </w:r>
      <w:proofErr w:type="gramStart"/>
      <w:r w:rsidR="005A63B7">
        <w:rPr>
          <w:rFonts w:ascii="Times" w:hAnsi="Times"/>
          <w:bCs/>
        </w:rPr>
        <w:t>e.g.</w:t>
      </w:r>
      <w:proofErr w:type="gramEnd"/>
      <w:r w:rsidR="005A63B7">
        <w:rPr>
          <w:rFonts w:ascii="Times" w:hAnsi="Times"/>
          <w:bCs/>
        </w:rPr>
        <w:t xml:space="preserve"> Actinopterygii)</w:t>
      </w:r>
    </w:p>
    <w:p w14:paraId="1A53455A" w14:textId="77777777" w:rsidR="00A07BB9" w:rsidRDefault="00A07BB9" w:rsidP="00261AAC">
      <w:pPr>
        <w:ind w:left="720" w:hanging="720"/>
        <w:jc w:val="both"/>
        <w:rPr>
          <w:rFonts w:ascii="Times" w:hAnsi="Times"/>
          <w:bCs/>
        </w:rPr>
      </w:pPr>
      <w:r w:rsidRPr="00A07BB9">
        <w:rPr>
          <w:rFonts w:ascii="Times" w:hAnsi="Times"/>
          <w:b/>
        </w:rPr>
        <w:t>CABA</w:t>
      </w:r>
      <w:r>
        <w:rPr>
          <w:rFonts w:ascii="Times" w:hAnsi="Times"/>
          <w:bCs/>
        </w:rPr>
        <w:t xml:space="preserve"> – </w:t>
      </w:r>
      <w:r w:rsidRPr="005A63B7">
        <w:rPr>
          <w:rFonts w:ascii="Times" w:hAnsi="Times"/>
          <w:bCs/>
        </w:rPr>
        <w:t>Center for Aquatic Biology and Aquaculture</w:t>
      </w:r>
    </w:p>
    <w:p w14:paraId="20DCDAAE" w14:textId="43A2E092" w:rsidR="005A63B7" w:rsidRDefault="005A63B7" w:rsidP="00261AAC">
      <w:pPr>
        <w:ind w:left="720" w:hanging="720"/>
        <w:jc w:val="both"/>
        <w:rPr>
          <w:rFonts w:ascii="Times" w:hAnsi="Times"/>
          <w:bCs/>
        </w:rPr>
      </w:pPr>
      <w:r w:rsidRPr="00A07BB9">
        <w:rPr>
          <w:rFonts w:ascii="Times" w:hAnsi="Times"/>
          <w:b/>
        </w:rPr>
        <w:t>contig</w:t>
      </w:r>
      <w:r>
        <w:rPr>
          <w:rFonts w:ascii="Times" w:hAnsi="Times"/>
          <w:bCs/>
        </w:rPr>
        <w:t xml:space="preserve"> – </w:t>
      </w:r>
      <w:r w:rsidRPr="005A63B7">
        <w:rPr>
          <w:rFonts w:ascii="Times" w:hAnsi="Times"/>
          <w:bCs/>
        </w:rPr>
        <w:t>a continuous stretch of DNA sequence created from a consensus of reads</w:t>
      </w:r>
    </w:p>
    <w:p w14:paraId="199E506C" w14:textId="77777777" w:rsidR="00A07BB9" w:rsidRDefault="00A07BB9" w:rsidP="00261AAC">
      <w:pPr>
        <w:ind w:left="720" w:hanging="720"/>
        <w:jc w:val="both"/>
        <w:rPr>
          <w:rFonts w:ascii="Times" w:hAnsi="Times"/>
          <w:bCs/>
        </w:rPr>
      </w:pPr>
      <w:r w:rsidRPr="00A07BB9">
        <w:rPr>
          <w:rFonts w:ascii="Times" w:hAnsi="Times"/>
          <w:b/>
        </w:rPr>
        <w:t>DNA</w:t>
      </w:r>
      <w:r>
        <w:rPr>
          <w:rFonts w:ascii="Times" w:hAnsi="Times"/>
          <w:bCs/>
        </w:rPr>
        <w:t xml:space="preserve"> – deoxyribonucleic acid</w:t>
      </w:r>
    </w:p>
    <w:p w14:paraId="762E907B" w14:textId="77777777" w:rsidR="00A07BB9" w:rsidRDefault="00A07BB9" w:rsidP="00261AAC">
      <w:pPr>
        <w:ind w:left="720" w:hanging="720"/>
        <w:jc w:val="both"/>
        <w:rPr>
          <w:rFonts w:ascii="Times" w:hAnsi="Times"/>
          <w:bCs/>
        </w:rPr>
      </w:pPr>
      <w:r w:rsidRPr="00A07BB9">
        <w:rPr>
          <w:rFonts w:ascii="Times" w:hAnsi="Times"/>
          <w:b/>
        </w:rPr>
        <w:t>FCCL</w:t>
      </w:r>
      <w:r>
        <w:rPr>
          <w:rFonts w:ascii="Times" w:hAnsi="Times"/>
          <w:bCs/>
        </w:rPr>
        <w:t xml:space="preserve"> – Fish Conservation &amp; Culture Laboratory</w:t>
      </w:r>
    </w:p>
    <w:p w14:paraId="5A8E213F" w14:textId="3E340533" w:rsidR="00A07BB9" w:rsidRDefault="00A07BB9" w:rsidP="00261AAC">
      <w:pPr>
        <w:ind w:left="720" w:hanging="720"/>
        <w:jc w:val="both"/>
        <w:rPr>
          <w:rFonts w:ascii="Times" w:hAnsi="Times"/>
          <w:bCs/>
        </w:rPr>
      </w:pPr>
      <w:r w:rsidRPr="00A07BB9">
        <w:rPr>
          <w:rFonts w:ascii="Times" w:hAnsi="Times"/>
          <w:b/>
        </w:rPr>
        <w:t>genetic</w:t>
      </w:r>
      <w:r>
        <w:rPr>
          <w:rFonts w:ascii="Times" w:hAnsi="Times"/>
          <w:bCs/>
        </w:rPr>
        <w:t xml:space="preserve"> </w:t>
      </w:r>
      <w:r w:rsidRPr="00A07BB9">
        <w:rPr>
          <w:rFonts w:ascii="Times" w:hAnsi="Times"/>
          <w:b/>
        </w:rPr>
        <w:t>marker</w:t>
      </w:r>
      <w:r>
        <w:rPr>
          <w:rFonts w:ascii="Times" w:hAnsi="Times"/>
          <w:bCs/>
        </w:rPr>
        <w:t xml:space="preserve"> – </w:t>
      </w:r>
      <w:r w:rsidRPr="005D61BE">
        <w:rPr>
          <w:rFonts w:ascii="Times" w:hAnsi="Times"/>
          <w:bCs/>
        </w:rPr>
        <w:t xml:space="preserve">a </w:t>
      </w:r>
      <w:r>
        <w:rPr>
          <w:rFonts w:ascii="Times" w:hAnsi="Times"/>
          <w:bCs/>
        </w:rPr>
        <w:t>location in the genome with a SNP that can be used for analysis</w:t>
      </w:r>
    </w:p>
    <w:p w14:paraId="7F2D4990" w14:textId="571645FA" w:rsidR="00A07BB9" w:rsidRDefault="00A07BB9" w:rsidP="00261AAC">
      <w:pPr>
        <w:ind w:left="720" w:hanging="720"/>
        <w:jc w:val="both"/>
        <w:rPr>
          <w:rFonts w:ascii="Times" w:hAnsi="Times"/>
          <w:bCs/>
        </w:rPr>
      </w:pPr>
      <w:r w:rsidRPr="00A07BB9">
        <w:rPr>
          <w:rFonts w:ascii="Times" w:hAnsi="Times"/>
          <w:b/>
        </w:rPr>
        <w:t>HMW</w:t>
      </w:r>
      <w:r>
        <w:rPr>
          <w:rFonts w:ascii="Times" w:hAnsi="Times"/>
          <w:bCs/>
        </w:rPr>
        <w:t xml:space="preserve"> – high molecular weight</w:t>
      </w:r>
    </w:p>
    <w:p w14:paraId="3181CD00" w14:textId="1356ACBB" w:rsidR="00B65A33" w:rsidRDefault="00B65A33" w:rsidP="00261AAC">
      <w:pPr>
        <w:ind w:left="720" w:hanging="720"/>
        <w:jc w:val="both"/>
        <w:rPr>
          <w:rFonts w:ascii="Times" w:hAnsi="Times"/>
          <w:bCs/>
        </w:rPr>
      </w:pPr>
      <w:r w:rsidRPr="00A07BB9">
        <w:rPr>
          <w:rFonts w:ascii="Times" w:hAnsi="Times"/>
          <w:b/>
        </w:rPr>
        <w:t>movie</w:t>
      </w:r>
      <w:r>
        <w:rPr>
          <w:rFonts w:ascii="Times" w:hAnsi="Times"/>
          <w:bCs/>
        </w:rPr>
        <w:t xml:space="preserve"> </w:t>
      </w:r>
      <w:r w:rsidR="005A63B7">
        <w:rPr>
          <w:rFonts w:ascii="Times" w:hAnsi="Times"/>
          <w:bCs/>
        </w:rPr>
        <w:t>– the time specified for collecting sequencing data from a SMRT Cell</w:t>
      </w:r>
    </w:p>
    <w:p w14:paraId="25859E47" w14:textId="77777777" w:rsidR="00A07BB9" w:rsidRDefault="00A07BB9" w:rsidP="00261AAC">
      <w:pPr>
        <w:ind w:left="720" w:hanging="720"/>
        <w:jc w:val="both"/>
        <w:rPr>
          <w:rFonts w:ascii="Times" w:hAnsi="Times"/>
          <w:bCs/>
        </w:rPr>
      </w:pPr>
      <w:r w:rsidRPr="00A07BB9">
        <w:rPr>
          <w:rFonts w:ascii="Times" w:hAnsi="Times"/>
          <w:b/>
        </w:rPr>
        <w:t>PBS</w:t>
      </w:r>
      <w:r>
        <w:rPr>
          <w:rFonts w:ascii="Times" w:hAnsi="Times"/>
          <w:bCs/>
        </w:rPr>
        <w:t xml:space="preserve"> – p</w:t>
      </w:r>
      <w:r w:rsidRPr="005A63B7">
        <w:rPr>
          <w:rFonts w:ascii="Times" w:hAnsi="Times"/>
          <w:bCs/>
        </w:rPr>
        <w:t>hosphate-buffered saline</w:t>
      </w:r>
    </w:p>
    <w:p w14:paraId="3B87C2E3" w14:textId="77777777" w:rsidR="00A07BB9" w:rsidRDefault="00A07BB9" w:rsidP="00261AAC">
      <w:pPr>
        <w:ind w:left="720" w:hanging="720"/>
        <w:jc w:val="both"/>
        <w:rPr>
          <w:rFonts w:ascii="Times" w:hAnsi="Times"/>
          <w:bCs/>
        </w:rPr>
      </w:pPr>
      <w:r w:rsidRPr="00A07BB9">
        <w:rPr>
          <w:rFonts w:ascii="Times" w:hAnsi="Times"/>
          <w:b/>
        </w:rPr>
        <w:t>QC</w:t>
      </w:r>
      <w:r>
        <w:rPr>
          <w:rFonts w:ascii="Times" w:hAnsi="Times"/>
          <w:bCs/>
        </w:rPr>
        <w:t xml:space="preserve"> – quality control</w:t>
      </w:r>
    </w:p>
    <w:p w14:paraId="29F1A626" w14:textId="4A31DCFF" w:rsidR="005A63B7" w:rsidRDefault="005A63B7" w:rsidP="00261AAC">
      <w:pPr>
        <w:ind w:left="720" w:hanging="720"/>
        <w:jc w:val="both"/>
        <w:rPr>
          <w:rFonts w:ascii="Times" w:hAnsi="Times"/>
          <w:bCs/>
        </w:rPr>
      </w:pPr>
      <w:r w:rsidRPr="00A07BB9">
        <w:rPr>
          <w:rFonts w:ascii="Times" w:hAnsi="Times"/>
          <w:b/>
        </w:rPr>
        <w:t>scaffold</w:t>
      </w:r>
      <w:r>
        <w:rPr>
          <w:rFonts w:ascii="Times" w:hAnsi="Times"/>
          <w:bCs/>
        </w:rPr>
        <w:t xml:space="preserve"> – </w:t>
      </w:r>
      <w:r w:rsidRPr="005A63B7">
        <w:rPr>
          <w:rFonts w:ascii="Times" w:hAnsi="Times"/>
          <w:bCs/>
        </w:rPr>
        <w:t>a string of DNA sequences with potential gaps created from chaining contigs together.</w:t>
      </w:r>
      <w:r>
        <w:rPr>
          <w:rFonts w:ascii="Times" w:hAnsi="Times"/>
          <w:bCs/>
        </w:rPr>
        <w:t xml:space="preserve"> </w:t>
      </w:r>
      <w:r w:rsidRPr="005A63B7">
        <w:rPr>
          <w:rFonts w:ascii="Times" w:hAnsi="Times"/>
          <w:bCs/>
        </w:rPr>
        <w:t>Created by using sequence data and relative position and orientation data</w:t>
      </w:r>
      <w:r>
        <w:rPr>
          <w:rFonts w:ascii="Times" w:hAnsi="Times"/>
          <w:bCs/>
        </w:rPr>
        <w:t>. May contain gaps, which are denoted by the letter N.</w:t>
      </w:r>
    </w:p>
    <w:p w14:paraId="71EAD3E5" w14:textId="77777777" w:rsidR="00A07BB9" w:rsidRDefault="00A07BB9" w:rsidP="00261AAC">
      <w:pPr>
        <w:ind w:left="720" w:hanging="720"/>
        <w:jc w:val="both"/>
        <w:rPr>
          <w:rFonts w:ascii="Times" w:hAnsi="Times"/>
          <w:bCs/>
        </w:rPr>
      </w:pPr>
      <w:r w:rsidRPr="00A07BB9">
        <w:rPr>
          <w:rFonts w:ascii="Times" w:hAnsi="Times"/>
          <w:b/>
        </w:rPr>
        <w:t>SNP</w:t>
      </w:r>
      <w:r>
        <w:rPr>
          <w:rFonts w:ascii="Times" w:hAnsi="Times"/>
          <w:bCs/>
        </w:rPr>
        <w:t xml:space="preserve"> – single nucleotide polymorphism </w:t>
      </w:r>
    </w:p>
    <w:p w14:paraId="27819847" w14:textId="52524EA4" w:rsidR="005A63B7" w:rsidRDefault="005A63B7" w:rsidP="00261AAC">
      <w:pPr>
        <w:ind w:left="720" w:hanging="720"/>
        <w:jc w:val="both"/>
        <w:rPr>
          <w:rFonts w:ascii="Times" w:hAnsi="Times"/>
          <w:bCs/>
        </w:rPr>
      </w:pPr>
      <w:r w:rsidRPr="00A07BB9">
        <w:rPr>
          <w:rFonts w:ascii="Times" w:hAnsi="Times"/>
          <w:b/>
        </w:rPr>
        <w:t>UC Davis Sequencing Center</w:t>
      </w:r>
      <w:r>
        <w:rPr>
          <w:rFonts w:ascii="Times" w:hAnsi="Times"/>
          <w:bCs/>
        </w:rPr>
        <w:t xml:space="preserve"> – UC Davis DNA Technologies &amp; Expression Analysis Core</w:t>
      </w:r>
    </w:p>
    <w:p w14:paraId="540AAD99" w14:textId="77777777" w:rsidR="008413EC" w:rsidRDefault="008413EC" w:rsidP="00261AAC">
      <w:pPr>
        <w:jc w:val="both"/>
        <w:rPr>
          <w:rFonts w:ascii="Times" w:hAnsi="Times"/>
          <w:bCs/>
        </w:rPr>
      </w:pPr>
    </w:p>
    <w:p w14:paraId="1D98B3A1" w14:textId="7347428F" w:rsidR="00B65A33" w:rsidRPr="008413EC" w:rsidRDefault="00B65A33" w:rsidP="00261AAC">
      <w:pPr>
        <w:pStyle w:val="Heading1"/>
        <w:jc w:val="both"/>
      </w:pPr>
      <w:r w:rsidRPr="008413EC">
        <w:t>Software Versions</w:t>
      </w:r>
    </w:p>
    <w:p w14:paraId="0FD154E6" w14:textId="13BEE252" w:rsidR="00B65A33" w:rsidRDefault="00B65A33" w:rsidP="00261AAC">
      <w:pPr>
        <w:jc w:val="both"/>
        <w:rPr>
          <w:rFonts w:ascii="Times" w:hAnsi="Times"/>
          <w:bCs/>
        </w:rPr>
      </w:pPr>
      <w:r>
        <w:rPr>
          <w:rFonts w:ascii="Times" w:hAnsi="Times"/>
          <w:bCs/>
        </w:rPr>
        <w:t>BUSCO</w:t>
      </w:r>
    </w:p>
    <w:p w14:paraId="1CFD2B33" w14:textId="0AD92676" w:rsidR="00B65A33" w:rsidRDefault="00B65A33" w:rsidP="00261AAC">
      <w:pPr>
        <w:jc w:val="both"/>
        <w:rPr>
          <w:rFonts w:ascii="Times" w:hAnsi="Times"/>
          <w:bCs/>
        </w:rPr>
      </w:pPr>
      <w:proofErr w:type="spellStart"/>
      <w:r>
        <w:rPr>
          <w:rFonts w:ascii="Times" w:hAnsi="Times"/>
          <w:bCs/>
        </w:rPr>
        <w:t>samtools</w:t>
      </w:r>
      <w:proofErr w:type="spellEnd"/>
      <w:r w:rsidR="00626F2D">
        <w:rPr>
          <w:rFonts w:ascii="Times" w:hAnsi="Times"/>
          <w:bCs/>
        </w:rPr>
        <w:t>=1.10</w:t>
      </w:r>
    </w:p>
    <w:p w14:paraId="7448F7A2" w14:textId="54712C66" w:rsidR="00B65A33" w:rsidRDefault="00B65A33" w:rsidP="00261AAC">
      <w:pPr>
        <w:jc w:val="both"/>
        <w:rPr>
          <w:rFonts w:ascii="Times" w:hAnsi="Times"/>
          <w:bCs/>
        </w:rPr>
      </w:pPr>
      <w:r>
        <w:rPr>
          <w:rFonts w:ascii="Times" w:hAnsi="Times"/>
          <w:bCs/>
        </w:rPr>
        <w:t>bwa</w:t>
      </w:r>
      <w:r w:rsidR="00626F2D">
        <w:rPr>
          <w:rFonts w:ascii="Times" w:hAnsi="Times"/>
          <w:bCs/>
        </w:rPr>
        <w:t>=0.7.17-r1188</w:t>
      </w:r>
    </w:p>
    <w:p w14:paraId="179A7BE1" w14:textId="6A8DA58F" w:rsidR="00B65A33" w:rsidRDefault="00B65A33" w:rsidP="00261AAC">
      <w:pPr>
        <w:jc w:val="both"/>
        <w:rPr>
          <w:rFonts w:ascii="Times" w:hAnsi="Times"/>
          <w:bCs/>
        </w:rPr>
      </w:pPr>
      <w:proofErr w:type="spellStart"/>
      <w:r>
        <w:rPr>
          <w:rFonts w:ascii="Times" w:hAnsi="Times"/>
          <w:bCs/>
        </w:rPr>
        <w:t>bedtools</w:t>
      </w:r>
      <w:proofErr w:type="spellEnd"/>
    </w:p>
    <w:p w14:paraId="57155436" w14:textId="47A53BF5" w:rsidR="00B65A33" w:rsidRDefault="00B65A33" w:rsidP="00261AAC">
      <w:pPr>
        <w:jc w:val="both"/>
        <w:rPr>
          <w:rFonts w:ascii="Times" w:hAnsi="Times"/>
          <w:bCs/>
        </w:rPr>
      </w:pPr>
      <w:proofErr w:type="spellStart"/>
      <w:r>
        <w:rPr>
          <w:rFonts w:ascii="Times" w:hAnsi="Times"/>
          <w:bCs/>
        </w:rPr>
        <w:t>chromonomer</w:t>
      </w:r>
      <w:proofErr w:type="spellEnd"/>
    </w:p>
    <w:p w14:paraId="28F9FD99" w14:textId="0A877BCA" w:rsidR="00626F2D" w:rsidRDefault="00626F2D" w:rsidP="00261AAC">
      <w:pPr>
        <w:jc w:val="both"/>
        <w:rPr>
          <w:rFonts w:ascii="Times" w:hAnsi="Times"/>
          <w:bCs/>
        </w:rPr>
      </w:pPr>
      <w:proofErr w:type="spellStart"/>
      <w:r>
        <w:rPr>
          <w:rFonts w:ascii="Times" w:hAnsi="Times"/>
          <w:bCs/>
        </w:rPr>
        <w:t>htslib</w:t>
      </w:r>
      <w:proofErr w:type="spellEnd"/>
      <w:r>
        <w:rPr>
          <w:rFonts w:ascii="Times" w:hAnsi="Times"/>
          <w:bCs/>
        </w:rPr>
        <w:t>=1.10.2</w:t>
      </w:r>
    </w:p>
    <w:p w14:paraId="3EF17AD1" w14:textId="50F0D31C" w:rsidR="00B65A33" w:rsidRDefault="00B65A33" w:rsidP="00261AAC">
      <w:pPr>
        <w:jc w:val="both"/>
        <w:rPr>
          <w:rFonts w:ascii="Times" w:hAnsi="Times"/>
          <w:bCs/>
        </w:rPr>
      </w:pPr>
      <w:r>
        <w:rPr>
          <w:rFonts w:ascii="Times" w:hAnsi="Times"/>
          <w:bCs/>
        </w:rPr>
        <w:t>SALSA2</w:t>
      </w:r>
    </w:p>
    <w:p w14:paraId="41DFC67E" w14:textId="28E6DA06" w:rsidR="00B65A33" w:rsidRDefault="00B65A33" w:rsidP="00261AAC">
      <w:pPr>
        <w:jc w:val="both"/>
        <w:rPr>
          <w:rFonts w:ascii="Times" w:hAnsi="Times"/>
          <w:bCs/>
        </w:rPr>
      </w:pPr>
      <w:r>
        <w:rPr>
          <w:rFonts w:ascii="Times" w:hAnsi="Times"/>
          <w:bCs/>
        </w:rPr>
        <w:t>scaff10x</w:t>
      </w:r>
    </w:p>
    <w:p w14:paraId="0DBE5827" w14:textId="6203B2B1" w:rsidR="00B65A33" w:rsidRDefault="00B65A33" w:rsidP="00261AAC">
      <w:pPr>
        <w:jc w:val="both"/>
        <w:rPr>
          <w:rFonts w:ascii="Times" w:hAnsi="Times"/>
          <w:bCs/>
        </w:rPr>
      </w:pPr>
      <w:r>
        <w:rPr>
          <w:rFonts w:ascii="Times" w:hAnsi="Times"/>
          <w:bCs/>
        </w:rPr>
        <w:t>kat</w:t>
      </w:r>
    </w:p>
    <w:p w14:paraId="42EB1767" w14:textId="1F00FA67" w:rsidR="00B65A33" w:rsidRDefault="00B65A33" w:rsidP="00261AAC">
      <w:pPr>
        <w:jc w:val="both"/>
        <w:rPr>
          <w:rFonts w:ascii="Times" w:hAnsi="Times"/>
          <w:bCs/>
        </w:rPr>
      </w:pPr>
      <w:r>
        <w:rPr>
          <w:rFonts w:ascii="Times" w:hAnsi="Times"/>
          <w:bCs/>
        </w:rPr>
        <w:t>ccs</w:t>
      </w:r>
    </w:p>
    <w:p w14:paraId="03930AC7" w14:textId="1F05A9DF" w:rsidR="00B65A33" w:rsidRDefault="00B65A33" w:rsidP="00261AAC">
      <w:pPr>
        <w:jc w:val="both"/>
        <w:rPr>
          <w:rFonts w:ascii="Times" w:hAnsi="Times"/>
          <w:bCs/>
        </w:rPr>
      </w:pPr>
      <w:proofErr w:type="spellStart"/>
      <w:r>
        <w:rPr>
          <w:rFonts w:ascii="Times" w:hAnsi="Times"/>
          <w:bCs/>
        </w:rPr>
        <w:t>picard</w:t>
      </w:r>
      <w:proofErr w:type="spellEnd"/>
    </w:p>
    <w:p w14:paraId="37529300" w14:textId="0007D862" w:rsidR="00B65A33" w:rsidRDefault="00B65A33" w:rsidP="00261AAC">
      <w:pPr>
        <w:jc w:val="both"/>
        <w:rPr>
          <w:rFonts w:ascii="Times" w:hAnsi="Times"/>
          <w:bCs/>
        </w:rPr>
      </w:pPr>
      <w:r>
        <w:rPr>
          <w:rFonts w:ascii="Times" w:hAnsi="Times"/>
          <w:bCs/>
        </w:rPr>
        <w:t>IPA</w:t>
      </w:r>
    </w:p>
    <w:p w14:paraId="4804CC17" w14:textId="6181AC95" w:rsidR="00724753" w:rsidRDefault="00724753" w:rsidP="00261AAC">
      <w:pPr>
        <w:jc w:val="both"/>
        <w:rPr>
          <w:rFonts w:ascii="Times" w:hAnsi="Times"/>
          <w:bCs/>
        </w:rPr>
      </w:pPr>
      <w:proofErr w:type="spellStart"/>
      <w:r>
        <w:rPr>
          <w:rFonts w:ascii="Times" w:hAnsi="Times"/>
          <w:bCs/>
        </w:rPr>
        <w:t>Genomescope</w:t>
      </w:r>
      <w:proofErr w:type="spellEnd"/>
    </w:p>
    <w:p w14:paraId="46C6C8D7" w14:textId="77777777" w:rsidR="00626F2D" w:rsidRDefault="00626F2D" w:rsidP="00261AAC">
      <w:pPr>
        <w:jc w:val="both"/>
        <w:rPr>
          <w:rFonts w:ascii="Times" w:hAnsi="Times"/>
          <w:bCs/>
        </w:rPr>
      </w:pPr>
    </w:p>
    <w:p w14:paraId="28B42637" w14:textId="222AC800" w:rsidR="00055A61" w:rsidRDefault="00055A61" w:rsidP="00261AAC">
      <w:pPr>
        <w:jc w:val="both"/>
        <w:rPr>
          <w:rFonts w:ascii="Times" w:hAnsi="Times"/>
          <w:bCs/>
        </w:rPr>
      </w:pPr>
    </w:p>
    <w:p w14:paraId="5E476E6E" w14:textId="75646845" w:rsidR="00055A61" w:rsidRDefault="00055A61" w:rsidP="00261AAC">
      <w:pPr>
        <w:jc w:val="both"/>
        <w:rPr>
          <w:rFonts w:ascii="Times" w:hAnsi="Times"/>
          <w:bCs/>
        </w:rPr>
      </w:pPr>
      <w:r>
        <w:rPr>
          <w:rFonts w:ascii="Times" w:hAnsi="Times"/>
          <w:bCs/>
        </w:rPr>
        <w:br w:type="page"/>
      </w:r>
    </w:p>
    <w:p w14:paraId="28011801" w14:textId="32A99533" w:rsidR="00055A61" w:rsidRPr="00055A61" w:rsidRDefault="00055A61" w:rsidP="00261AAC">
      <w:pPr>
        <w:jc w:val="both"/>
        <w:rPr>
          <w:rFonts w:ascii="Times" w:hAnsi="Times"/>
          <w:b/>
          <w:u w:val="single"/>
        </w:rPr>
      </w:pPr>
      <w:r w:rsidRPr="00055A61">
        <w:rPr>
          <w:rFonts w:ascii="Times" w:hAnsi="Times"/>
          <w:b/>
          <w:u w:val="single"/>
        </w:rPr>
        <w:lastRenderedPageBreak/>
        <w:t>Works Cited</w:t>
      </w:r>
    </w:p>
    <w:p w14:paraId="2ECDA058" w14:textId="218D0924" w:rsidR="00055A61" w:rsidRDefault="00055A61" w:rsidP="00261AAC">
      <w:pPr>
        <w:jc w:val="both"/>
        <w:rPr>
          <w:rFonts w:ascii="Times" w:hAnsi="Times"/>
          <w:bCs/>
        </w:rPr>
      </w:pPr>
    </w:p>
    <w:p w14:paraId="3AA47442" w14:textId="037BF275" w:rsidR="00055A61" w:rsidRDefault="00055A61" w:rsidP="00261AAC">
      <w:pPr>
        <w:jc w:val="both"/>
        <w:rPr>
          <w:rFonts w:ascii="Times" w:hAnsi="Times"/>
          <w:bCs/>
        </w:rPr>
      </w:pPr>
    </w:p>
    <w:p w14:paraId="45111845" w14:textId="3BDCD786" w:rsidR="00BD396E" w:rsidRDefault="00BD396E" w:rsidP="00261AAC">
      <w:pPr>
        <w:jc w:val="both"/>
        <w:rPr>
          <w:rFonts w:ascii="Times" w:hAnsi="Times"/>
          <w:bCs/>
        </w:rPr>
      </w:pPr>
    </w:p>
    <w:p w14:paraId="2244FBF5" w14:textId="3FF278D0" w:rsidR="00BD396E" w:rsidRPr="00B65A33" w:rsidRDefault="00BD396E" w:rsidP="00261AAC">
      <w:pPr>
        <w:jc w:val="both"/>
        <w:rPr>
          <w:rFonts w:ascii="Times" w:hAnsi="Times"/>
          <w:bCs/>
        </w:rPr>
      </w:pPr>
    </w:p>
    <w:sectPr w:rsidR="00BD396E" w:rsidRPr="00B65A33" w:rsidSect="00372DDA">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rosoft Office User" w:date="2021-04-07T13:24:00Z" w:initials="MOU">
    <w:p w14:paraId="649C6909" w14:textId="083975F4" w:rsidR="00A001C6" w:rsidRDefault="00A001C6">
      <w:pPr>
        <w:pStyle w:val="CommentText"/>
      </w:pPr>
      <w:r>
        <w:rPr>
          <w:rStyle w:val="CommentReference"/>
        </w:rPr>
        <w:annotationRef/>
      </w:r>
      <w:r>
        <w:t>Just a Q – why discrete? Are they unlinked? Independent? Abundant?</w:t>
      </w:r>
    </w:p>
  </w:comment>
  <w:comment w:id="1" w:author="Shannon Erica Kendal Joslin" w:date="2021-04-30T13:22:00Z" w:initials="SEKJ">
    <w:p w14:paraId="271A1CC2" w14:textId="67EDB18C" w:rsidR="00381212" w:rsidRDefault="00381212">
      <w:pPr>
        <w:pStyle w:val="CommentText"/>
      </w:pPr>
      <w:r>
        <w:rPr>
          <w:rStyle w:val="CommentReference"/>
        </w:rPr>
        <w:annotationRef/>
      </w:r>
      <w:r>
        <w:t>That question is from Shannon K, I will leave for Ensi to answer.</w:t>
      </w:r>
    </w:p>
  </w:comment>
  <w:comment w:id="2" w:author="Microsoft Office User" w:date="2021-04-07T13:31:00Z" w:initials="MOU">
    <w:p w14:paraId="2F237C43" w14:textId="76BD9589" w:rsidR="00A001C6" w:rsidRDefault="00A001C6">
      <w:pPr>
        <w:pStyle w:val="CommentText"/>
      </w:pPr>
      <w:r>
        <w:rPr>
          <w:rStyle w:val="CommentReference"/>
        </w:rPr>
        <w:annotationRef/>
      </w:r>
      <w:r>
        <w:t>POP-OUT BOX: what is a “genetic marker”? What makes it “informative” and why does a genome increase our ability to find and use “informative” markers?</w:t>
      </w:r>
    </w:p>
  </w:comment>
  <w:comment w:id="3" w:author="Shannon Erica Kendal Joslin" w:date="2021-04-30T16:08:00Z" w:initials="SEKJ">
    <w:p w14:paraId="49889201" w14:textId="1AD34D40" w:rsidR="00D46F6C" w:rsidRDefault="00D46F6C">
      <w:pPr>
        <w:pStyle w:val="CommentText"/>
      </w:pPr>
      <w:r>
        <w:rPr>
          <w:rStyle w:val="CommentReference"/>
        </w:rPr>
        <w:annotationRef/>
      </w:r>
      <w:r>
        <w:t>I’m not sure I need to define marker so in-depth, so I didn’t make a box but what do you think Mandi?</w:t>
      </w:r>
    </w:p>
  </w:comment>
  <w:comment w:id="5" w:author="Microsoft Office User" w:date="2021-06-02T09:23:00Z" w:initials="MOU">
    <w:p w14:paraId="69CEC437" w14:textId="1B32450C" w:rsidR="00DD4878" w:rsidRDefault="00DD4878">
      <w:pPr>
        <w:pStyle w:val="CommentText"/>
      </w:pPr>
      <w:r>
        <w:rPr>
          <w:rStyle w:val="CommentReference"/>
        </w:rPr>
        <w:annotationRef/>
      </w:r>
      <w:r>
        <w:t>Does your audience need to know why adding neutral marker would increase the power to estimate Ne? Maybe not, just asking.</w:t>
      </w:r>
    </w:p>
  </w:comment>
  <w:comment w:id="6" w:author="Microsoft Office User" w:date="2021-06-02T09:29:00Z" w:initials="MOU">
    <w:p w14:paraId="45CB2E1F" w14:textId="742EF4C1" w:rsidR="00DD4878" w:rsidRDefault="00DD4878">
      <w:pPr>
        <w:pStyle w:val="CommentText"/>
      </w:pPr>
      <w:r>
        <w:rPr>
          <w:rStyle w:val="CommentReference"/>
        </w:rPr>
        <w:annotationRef/>
      </w:r>
      <w:r>
        <w:t xml:space="preserve">I like this sentence. I am known to like sentence that are actually like, three independent clauses strung together begging for the sweet release of death. I strongly suspect this should be restructured into a couple of </w:t>
      </w:r>
      <w:proofErr w:type="gramStart"/>
      <w:r>
        <w:t>sentence</w:t>
      </w:r>
      <w:proofErr w:type="gramEnd"/>
      <w:r>
        <w:t xml:space="preserve"> that more broadly describe the two types of Ne, but to me this reads just fine.</w:t>
      </w:r>
    </w:p>
  </w:comment>
  <w:comment w:id="7" w:author="Microsoft Office User" w:date="2021-06-02T09:33:00Z" w:initials="MOU">
    <w:p w14:paraId="36DB0CAA" w14:textId="213385D7" w:rsidR="00A85784" w:rsidRDefault="00A85784">
      <w:pPr>
        <w:pStyle w:val="CommentText"/>
      </w:pPr>
      <w:r>
        <w:rPr>
          <w:rStyle w:val="CommentReference"/>
        </w:rPr>
        <w:annotationRef/>
      </w:r>
      <w:r>
        <w:t xml:space="preserve">This sentence got chopped or confused somehow. I tried to reconfigure </w:t>
      </w:r>
      <w:proofErr w:type="gramStart"/>
      <w:r>
        <w:t>it</w:t>
      </w:r>
      <w:proofErr w:type="gramEnd"/>
      <w:r>
        <w:t xml:space="preserve"> but it may need more work.</w:t>
      </w:r>
    </w:p>
  </w:comment>
  <w:comment w:id="8" w:author="Microsoft Office User" w:date="2021-06-02T09:34:00Z" w:initials="MOU">
    <w:p w14:paraId="0667F8B9" w14:textId="48006EB5" w:rsidR="00A85784" w:rsidRDefault="00A85784">
      <w:pPr>
        <w:pStyle w:val="CommentText"/>
      </w:pPr>
      <w:r>
        <w:rPr>
          <w:rStyle w:val="CommentReference"/>
        </w:rPr>
        <w:annotationRef/>
      </w:r>
      <w:r>
        <w:t>Not sure where this sentence goes!</w:t>
      </w:r>
    </w:p>
  </w:comment>
  <w:comment w:id="10" w:author="Microsoft Office User" w:date="2021-06-02T09:40:00Z" w:initials="MOU">
    <w:p w14:paraId="0B03252A" w14:textId="18ED9777" w:rsidR="00A85784" w:rsidRDefault="00A85784">
      <w:pPr>
        <w:pStyle w:val="CommentText"/>
      </w:pPr>
      <w:r>
        <w:rPr>
          <w:rStyle w:val="CommentReference"/>
        </w:rPr>
        <w:annotationRef/>
      </w:r>
      <w:r>
        <w:t xml:space="preserve">No read </w:t>
      </w:r>
      <w:proofErr w:type="gramStart"/>
      <w:r>
        <w:t>numbers?</w:t>
      </w:r>
      <w:proofErr w:type="gramEnd"/>
      <w:r>
        <w:t xml:space="preserve"> Or depth or anything? </w:t>
      </w:r>
    </w:p>
  </w:comment>
  <w:comment w:id="12" w:author="Microsoft Office User" w:date="2021-06-02T09:46:00Z" w:initials="MOU">
    <w:p w14:paraId="7274C2F4" w14:textId="0CB62007" w:rsidR="00BE296A" w:rsidRDefault="00BE296A">
      <w:pPr>
        <w:pStyle w:val="CommentText"/>
      </w:pPr>
      <w:r>
        <w:rPr>
          <w:rStyle w:val="CommentReference"/>
        </w:rPr>
        <w:annotationRef/>
      </w:r>
      <w:r>
        <w:t>I am very proud of you for correctly placing estimates/estimations. Respect.</w:t>
      </w:r>
    </w:p>
  </w:comment>
  <w:comment w:id="13" w:author="Microsoft Office User" w:date="2021-06-02T10:00:00Z" w:initials="MOU">
    <w:p w14:paraId="5559BB7E" w14:textId="4D7F8E6C" w:rsidR="00F01580" w:rsidRDefault="00F01580">
      <w:pPr>
        <w:pStyle w:val="CommentText"/>
      </w:pPr>
      <w:r>
        <w:rPr>
          <w:rStyle w:val="CommentReference"/>
        </w:rPr>
        <w:annotationRef/>
      </w:r>
      <w:r>
        <w:t xml:space="preserve">I just want to note that this does not actually include your Ne results in any text form, leaving me hanging. I’m also having some trouble interpreting the figure. While I know that the results section isn’t really the place for interpretation, there’s really no description of the results in either the figure caption or the text, and I think there definitely needs to be some kind of description of what we’re seeing in these figures. </w:t>
      </w:r>
      <w:proofErr w:type="gramStart"/>
      <w:r>
        <w:t>So</w:t>
      </w:r>
      <w:proofErr w:type="gramEnd"/>
      <w:r>
        <w:t xml:space="preserve"> your </w:t>
      </w:r>
      <w:r w:rsidR="001F58F6">
        <w:t xml:space="preserve">range appears to be from 0 to 10,000, without a ton of temporal patterning seem like a reasonable interpretation of that figure? I can’t tell if that’s correct or not. I would probably include the range of values for each estimator </w:t>
      </w:r>
      <w:proofErr w:type="gramStart"/>
      <w:r w:rsidR="001F58F6">
        <w:t>maybe?</w:t>
      </w:r>
      <w:proofErr w:type="gramEnd"/>
      <w:r w:rsidR="001F58F6">
        <w:t xml:space="preserve"> Or each birth year? Some kind of text summary or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9C6909" w15:done="0"/>
  <w15:commentEx w15:paraId="271A1CC2" w15:paraIdParent="649C6909" w15:done="0"/>
  <w15:commentEx w15:paraId="2F237C43" w15:done="0"/>
  <w15:commentEx w15:paraId="49889201" w15:paraIdParent="2F237C43" w15:done="0"/>
  <w15:commentEx w15:paraId="69CEC437" w15:done="0"/>
  <w15:commentEx w15:paraId="45CB2E1F" w15:done="0"/>
  <w15:commentEx w15:paraId="36DB0CAA" w15:done="0"/>
  <w15:commentEx w15:paraId="0667F8B9" w15:done="0"/>
  <w15:commentEx w15:paraId="0B03252A" w15:done="0"/>
  <w15:commentEx w15:paraId="7274C2F4" w15:done="0"/>
  <w15:commentEx w15:paraId="5559BB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8311F" w16cex:dateUtc="2021-04-07T20:24:00Z"/>
  <w16cex:commentExtensible w16cex:durableId="243682FF" w16cex:dateUtc="2021-04-30T20:22:00Z"/>
  <w16cex:commentExtensible w16cex:durableId="241832A6" w16cex:dateUtc="2021-04-07T20:31:00Z"/>
  <w16cex:commentExtensible w16cex:durableId="2436A9E1" w16cex:dateUtc="2021-04-30T23:08:00Z"/>
  <w16cex:commentExtensible w16cex:durableId="2461CCA3" w16cex:dateUtc="2021-06-02T16:23:00Z"/>
  <w16cex:commentExtensible w16cex:durableId="2461CE01" w16cex:dateUtc="2021-06-02T16:29:00Z"/>
  <w16cex:commentExtensible w16cex:durableId="2461CEED" w16cex:dateUtc="2021-06-02T16:33:00Z"/>
  <w16cex:commentExtensible w16cex:durableId="2461CF34" w16cex:dateUtc="2021-06-02T16:34:00Z"/>
  <w16cex:commentExtensible w16cex:durableId="2461D0A6" w16cex:dateUtc="2021-06-02T16:40:00Z"/>
  <w16cex:commentExtensible w16cex:durableId="2461D1E0" w16cex:dateUtc="2021-06-02T16:46:00Z"/>
  <w16cex:commentExtensible w16cex:durableId="2461D527" w16cex:dateUtc="2021-06-02T1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9C6909" w16cid:durableId="2418311F"/>
  <w16cid:commentId w16cid:paraId="271A1CC2" w16cid:durableId="243682FF"/>
  <w16cid:commentId w16cid:paraId="2F237C43" w16cid:durableId="241832A6"/>
  <w16cid:commentId w16cid:paraId="49889201" w16cid:durableId="2436A9E1"/>
  <w16cid:commentId w16cid:paraId="69CEC437" w16cid:durableId="2461CCA3"/>
  <w16cid:commentId w16cid:paraId="45CB2E1F" w16cid:durableId="2461CE01"/>
  <w16cid:commentId w16cid:paraId="36DB0CAA" w16cid:durableId="2461CEED"/>
  <w16cid:commentId w16cid:paraId="0667F8B9" w16cid:durableId="2461CF34"/>
  <w16cid:commentId w16cid:paraId="0B03252A" w16cid:durableId="2461D0A6"/>
  <w16cid:commentId w16cid:paraId="7274C2F4" w16cid:durableId="2461D1E0"/>
  <w16cid:commentId w16cid:paraId="5559BB7E" w16cid:durableId="2461D5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E73300" w14:textId="77777777" w:rsidR="00982B4E" w:rsidRDefault="00982B4E" w:rsidP="00372DDA">
      <w:r>
        <w:separator/>
      </w:r>
    </w:p>
  </w:endnote>
  <w:endnote w:type="continuationSeparator" w:id="0">
    <w:p w14:paraId="51FF60FB" w14:textId="77777777" w:rsidR="00982B4E" w:rsidRDefault="00982B4E" w:rsidP="0037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ĝ"/>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l Bayan Plain">
    <w:altName w:val="﷽﷽﷽﷽﷽﷽﷽﷽ PLAIN"/>
    <w:panose1 w:val="00000000000000000000"/>
    <w:charset w:val="B2"/>
    <w:family w:val="auto"/>
    <w:pitch w:val="variable"/>
    <w:sig w:usb0="00002001" w:usb1="0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5BE1FC" w14:textId="77777777" w:rsidR="00982B4E" w:rsidRDefault="00982B4E" w:rsidP="00372DDA">
      <w:r>
        <w:separator/>
      </w:r>
    </w:p>
  </w:footnote>
  <w:footnote w:type="continuationSeparator" w:id="0">
    <w:p w14:paraId="36A25088" w14:textId="77777777" w:rsidR="00982B4E" w:rsidRDefault="00982B4E" w:rsidP="00372D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D0DE9"/>
    <w:multiLevelType w:val="hybridMultilevel"/>
    <w:tmpl w:val="9CB69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C11377"/>
    <w:multiLevelType w:val="hybridMultilevel"/>
    <w:tmpl w:val="9B101A94"/>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rson w15:author="Shannon Erica Kendal Joslin">
    <w15:presenceInfo w15:providerId="AD" w15:userId="S::sejoslin@ucdavis.edu::fba5f07c-7645-477e-8024-5109d1824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E9"/>
    <w:rsid w:val="00000717"/>
    <w:rsid w:val="00001B0B"/>
    <w:rsid w:val="00004F98"/>
    <w:rsid w:val="000176C2"/>
    <w:rsid w:val="000353C3"/>
    <w:rsid w:val="000532D5"/>
    <w:rsid w:val="00055A61"/>
    <w:rsid w:val="00080EDD"/>
    <w:rsid w:val="00081E62"/>
    <w:rsid w:val="000B0F0D"/>
    <w:rsid w:val="000F0F82"/>
    <w:rsid w:val="000F1FC5"/>
    <w:rsid w:val="00106145"/>
    <w:rsid w:val="0014278B"/>
    <w:rsid w:val="0015704C"/>
    <w:rsid w:val="001846C6"/>
    <w:rsid w:val="00186B91"/>
    <w:rsid w:val="00197A1C"/>
    <w:rsid w:val="001A304A"/>
    <w:rsid w:val="001B4B9F"/>
    <w:rsid w:val="001F58F6"/>
    <w:rsid w:val="00216B07"/>
    <w:rsid w:val="00237860"/>
    <w:rsid w:val="00261AAC"/>
    <w:rsid w:val="00275051"/>
    <w:rsid w:val="002B44FA"/>
    <w:rsid w:val="002C4E60"/>
    <w:rsid w:val="00321F2A"/>
    <w:rsid w:val="003273B3"/>
    <w:rsid w:val="00337FAD"/>
    <w:rsid w:val="00372DDA"/>
    <w:rsid w:val="00381212"/>
    <w:rsid w:val="00386E1B"/>
    <w:rsid w:val="0039013A"/>
    <w:rsid w:val="003976C8"/>
    <w:rsid w:val="003A1F46"/>
    <w:rsid w:val="003A7140"/>
    <w:rsid w:val="003C0946"/>
    <w:rsid w:val="003E196B"/>
    <w:rsid w:val="003F5C9B"/>
    <w:rsid w:val="003F70AA"/>
    <w:rsid w:val="00454A3D"/>
    <w:rsid w:val="00457C75"/>
    <w:rsid w:val="004D5944"/>
    <w:rsid w:val="004E0DAE"/>
    <w:rsid w:val="0053152E"/>
    <w:rsid w:val="005333C0"/>
    <w:rsid w:val="0054076A"/>
    <w:rsid w:val="00553E10"/>
    <w:rsid w:val="005738DD"/>
    <w:rsid w:val="00581917"/>
    <w:rsid w:val="0059546B"/>
    <w:rsid w:val="0059667C"/>
    <w:rsid w:val="005A63B7"/>
    <w:rsid w:val="005A6A32"/>
    <w:rsid w:val="005D61BE"/>
    <w:rsid w:val="005E5D5E"/>
    <w:rsid w:val="006202C1"/>
    <w:rsid w:val="006216B1"/>
    <w:rsid w:val="00621B1C"/>
    <w:rsid w:val="00626F2D"/>
    <w:rsid w:val="006846C0"/>
    <w:rsid w:val="006A3C5E"/>
    <w:rsid w:val="006A7615"/>
    <w:rsid w:val="006C4E78"/>
    <w:rsid w:val="006C520D"/>
    <w:rsid w:val="006D3EAD"/>
    <w:rsid w:val="006D5D27"/>
    <w:rsid w:val="006F47E9"/>
    <w:rsid w:val="0070701F"/>
    <w:rsid w:val="00716E7C"/>
    <w:rsid w:val="007178A1"/>
    <w:rsid w:val="00724753"/>
    <w:rsid w:val="00725F4D"/>
    <w:rsid w:val="00737C2F"/>
    <w:rsid w:val="00741136"/>
    <w:rsid w:val="00744B37"/>
    <w:rsid w:val="007521D6"/>
    <w:rsid w:val="00762092"/>
    <w:rsid w:val="00762D42"/>
    <w:rsid w:val="007809DC"/>
    <w:rsid w:val="007B22E7"/>
    <w:rsid w:val="007B4DA2"/>
    <w:rsid w:val="007E1B09"/>
    <w:rsid w:val="00827ACB"/>
    <w:rsid w:val="008413EC"/>
    <w:rsid w:val="008673C5"/>
    <w:rsid w:val="00867C19"/>
    <w:rsid w:val="008737E2"/>
    <w:rsid w:val="008D0E60"/>
    <w:rsid w:val="008E544E"/>
    <w:rsid w:val="008F2E25"/>
    <w:rsid w:val="0092079B"/>
    <w:rsid w:val="00927DF1"/>
    <w:rsid w:val="009659A7"/>
    <w:rsid w:val="009809EF"/>
    <w:rsid w:val="00982B4E"/>
    <w:rsid w:val="00984AE7"/>
    <w:rsid w:val="009916B4"/>
    <w:rsid w:val="009B437B"/>
    <w:rsid w:val="009B52DF"/>
    <w:rsid w:val="009C5BB2"/>
    <w:rsid w:val="009D3BBF"/>
    <w:rsid w:val="009D62D5"/>
    <w:rsid w:val="00A001C6"/>
    <w:rsid w:val="00A07BB9"/>
    <w:rsid w:val="00A11F46"/>
    <w:rsid w:val="00A12A7D"/>
    <w:rsid w:val="00A14B4E"/>
    <w:rsid w:val="00A20406"/>
    <w:rsid w:val="00A579CB"/>
    <w:rsid w:val="00A850BB"/>
    <w:rsid w:val="00A85784"/>
    <w:rsid w:val="00A85974"/>
    <w:rsid w:val="00A93D19"/>
    <w:rsid w:val="00A95B39"/>
    <w:rsid w:val="00A97ADC"/>
    <w:rsid w:val="00AB1FB6"/>
    <w:rsid w:val="00AB4990"/>
    <w:rsid w:val="00AB5D48"/>
    <w:rsid w:val="00AC07B7"/>
    <w:rsid w:val="00AD49E9"/>
    <w:rsid w:val="00AE7EDA"/>
    <w:rsid w:val="00AF1705"/>
    <w:rsid w:val="00B17865"/>
    <w:rsid w:val="00B65A33"/>
    <w:rsid w:val="00B96B7C"/>
    <w:rsid w:val="00BA7437"/>
    <w:rsid w:val="00BD396E"/>
    <w:rsid w:val="00BE296A"/>
    <w:rsid w:val="00BF7CCD"/>
    <w:rsid w:val="00C23189"/>
    <w:rsid w:val="00C36CA7"/>
    <w:rsid w:val="00C66CDA"/>
    <w:rsid w:val="00C76238"/>
    <w:rsid w:val="00C765E7"/>
    <w:rsid w:val="00CC0A40"/>
    <w:rsid w:val="00D06CD4"/>
    <w:rsid w:val="00D17773"/>
    <w:rsid w:val="00D20B38"/>
    <w:rsid w:val="00D33F00"/>
    <w:rsid w:val="00D4439A"/>
    <w:rsid w:val="00D46F6C"/>
    <w:rsid w:val="00D50E41"/>
    <w:rsid w:val="00D53365"/>
    <w:rsid w:val="00D86096"/>
    <w:rsid w:val="00D875FB"/>
    <w:rsid w:val="00DA18B8"/>
    <w:rsid w:val="00DB42D9"/>
    <w:rsid w:val="00DB73CB"/>
    <w:rsid w:val="00DD4878"/>
    <w:rsid w:val="00DE0AED"/>
    <w:rsid w:val="00DE273D"/>
    <w:rsid w:val="00DE54E4"/>
    <w:rsid w:val="00DE7590"/>
    <w:rsid w:val="00DF4329"/>
    <w:rsid w:val="00E217A2"/>
    <w:rsid w:val="00E37454"/>
    <w:rsid w:val="00E458FD"/>
    <w:rsid w:val="00E76AA5"/>
    <w:rsid w:val="00E853B9"/>
    <w:rsid w:val="00EC7D9F"/>
    <w:rsid w:val="00ED075F"/>
    <w:rsid w:val="00ED0CBB"/>
    <w:rsid w:val="00ED2C76"/>
    <w:rsid w:val="00ED522B"/>
    <w:rsid w:val="00EE1601"/>
    <w:rsid w:val="00EE1C5D"/>
    <w:rsid w:val="00EE3EC3"/>
    <w:rsid w:val="00F01580"/>
    <w:rsid w:val="00F2470E"/>
    <w:rsid w:val="00F34CF3"/>
    <w:rsid w:val="00F6668B"/>
    <w:rsid w:val="00F750C6"/>
    <w:rsid w:val="00F77965"/>
    <w:rsid w:val="00F948DB"/>
    <w:rsid w:val="00FA57A1"/>
    <w:rsid w:val="00FC1607"/>
    <w:rsid w:val="00FC7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7C7377"/>
  <w15:chartTrackingRefBased/>
  <w15:docId w15:val="{C4CC02AC-32EB-B94A-A26A-067158429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2E7"/>
    <w:rPr>
      <w:rFonts w:ascii="Times New Roman" w:eastAsia="Times New Roman" w:hAnsi="Times New Roman" w:cs="Times New Roman"/>
    </w:rPr>
  </w:style>
  <w:style w:type="paragraph" w:styleId="Heading1">
    <w:name w:val="heading 1"/>
    <w:basedOn w:val="Normal"/>
    <w:next w:val="Normal"/>
    <w:link w:val="Heading1Char"/>
    <w:uiPriority w:val="9"/>
    <w:qFormat/>
    <w:rsid w:val="00ED2C76"/>
    <w:pPr>
      <w:keepNext/>
      <w:keepLines/>
      <w:spacing w:before="240"/>
      <w:outlineLvl w:val="0"/>
    </w:pPr>
    <w:rPr>
      <w:rFonts w:eastAsiaTheme="majorEastAsia" w:cstheme="majorBidi"/>
      <w:b/>
      <w:color w:val="000000" w:themeColor="text1"/>
      <w:szCs w:val="32"/>
      <w:u w:val="single"/>
    </w:rPr>
  </w:style>
  <w:style w:type="paragraph" w:styleId="Heading2">
    <w:name w:val="heading 2"/>
    <w:basedOn w:val="Normal"/>
    <w:next w:val="Normal"/>
    <w:link w:val="Heading2Char"/>
    <w:uiPriority w:val="9"/>
    <w:unhideWhenUsed/>
    <w:qFormat/>
    <w:rsid w:val="00A85974"/>
    <w:pPr>
      <w:keepNext/>
      <w:keepLines/>
      <w:spacing w:before="40"/>
      <w:outlineLvl w:val="1"/>
    </w:pPr>
    <w:rPr>
      <w:rFonts w:eastAsiaTheme="majorEastAsia" w:cstheme="majorBidi"/>
      <w:b/>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sid w:val="006F47E9"/>
    <w:rPr>
      <w:sz w:val="20"/>
      <w:szCs w:val="20"/>
    </w:rPr>
  </w:style>
  <w:style w:type="paragraph" w:styleId="CommentText">
    <w:name w:val="annotation text"/>
    <w:basedOn w:val="Normal"/>
    <w:link w:val="CommentTextChar"/>
    <w:uiPriority w:val="99"/>
    <w:semiHidden/>
    <w:unhideWhenUsed/>
    <w:qFormat/>
    <w:rsid w:val="006F47E9"/>
    <w:rPr>
      <w:sz w:val="20"/>
      <w:szCs w:val="20"/>
    </w:rPr>
  </w:style>
  <w:style w:type="character" w:customStyle="1" w:styleId="CommentSubjectChar">
    <w:name w:val="Comment Subject Char"/>
    <w:basedOn w:val="CommentTextChar"/>
    <w:link w:val="CommentSubject"/>
    <w:uiPriority w:val="99"/>
    <w:semiHidden/>
    <w:rsid w:val="006F47E9"/>
    <w:rPr>
      <w:b/>
      <w:bCs/>
      <w:sz w:val="20"/>
      <w:szCs w:val="20"/>
    </w:rPr>
  </w:style>
  <w:style w:type="paragraph" w:styleId="CommentSubject">
    <w:name w:val="annotation subject"/>
    <w:basedOn w:val="CommentText"/>
    <w:next w:val="CommentText"/>
    <w:link w:val="CommentSubjectChar"/>
    <w:uiPriority w:val="99"/>
    <w:semiHidden/>
    <w:unhideWhenUsed/>
    <w:rsid w:val="006F47E9"/>
    <w:rPr>
      <w:b/>
      <w:bCs/>
    </w:rPr>
  </w:style>
  <w:style w:type="character" w:styleId="CommentReference">
    <w:name w:val="annotation reference"/>
    <w:basedOn w:val="DefaultParagraphFont"/>
    <w:uiPriority w:val="99"/>
    <w:semiHidden/>
    <w:unhideWhenUsed/>
    <w:qFormat/>
    <w:rsid w:val="006F47E9"/>
    <w:rPr>
      <w:sz w:val="16"/>
      <w:szCs w:val="16"/>
    </w:rPr>
  </w:style>
  <w:style w:type="character" w:styleId="Hyperlink">
    <w:name w:val="Hyperlink"/>
    <w:basedOn w:val="DefaultParagraphFont"/>
    <w:uiPriority w:val="99"/>
    <w:unhideWhenUsed/>
    <w:rsid w:val="006F47E9"/>
    <w:rPr>
      <w:color w:val="0000FF"/>
      <w:u w:val="single"/>
    </w:rPr>
  </w:style>
  <w:style w:type="paragraph" w:styleId="Revision">
    <w:name w:val="Revision"/>
    <w:hidden/>
    <w:uiPriority w:val="99"/>
    <w:semiHidden/>
    <w:rsid w:val="00C36CA7"/>
  </w:style>
  <w:style w:type="paragraph" w:styleId="Header">
    <w:name w:val="header"/>
    <w:basedOn w:val="Normal"/>
    <w:link w:val="HeaderChar"/>
    <w:uiPriority w:val="99"/>
    <w:unhideWhenUsed/>
    <w:rsid w:val="00372DDA"/>
    <w:pPr>
      <w:tabs>
        <w:tab w:val="center" w:pos="4680"/>
        <w:tab w:val="right" w:pos="9360"/>
      </w:tabs>
    </w:pPr>
  </w:style>
  <w:style w:type="character" w:customStyle="1" w:styleId="HeaderChar">
    <w:name w:val="Header Char"/>
    <w:basedOn w:val="DefaultParagraphFont"/>
    <w:link w:val="Header"/>
    <w:uiPriority w:val="99"/>
    <w:rsid w:val="00372DDA"/>
    <w:rPr>
      <w:rFonts w:ascii="Times New Roman" w:eastAsia="Times New Roman" w:hAnsi="Times New Roman" w:cs="Times New Roman"/>
    </w:rPr>
  </w:style>
  <w:style w:type="paragraph" w:styleId="Footer">
    <w:name w:val="footer"/>
    <w:basedOn w:val="Normal"/>
    <w:link w:val="FooterChar"/>
    <w:uiPriority w:val="99"/>
    <w:unhideWhenUsed/>
    <w:rsid w:val="00372DDA"/>
    <w:pPr>
      <w:tabs>
        <w:tab w:val="center" w:pos="4680"/>
        <w:tab w:val="right" w:pos="9360"/>
      </w:tabs>
    </w:pPr>
  </w:style>
  <w:style w:type="character" w:customStyle="1" w:styleId="FooterChar">
    <w:name w:val="Footer Char"/>
    <w:basedOn w:val="DefaultParagraphFont"/>
    <w:link w:val="Footer"/>
    <w:uiPriority w:val="99"/>
    <w:rsid w:val="00372DD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ED2C76"/>
    <w:rPr>
      <w:rFonts w:ascii="Times New Roman" w:eastAsiaTheme="majorEastAsia" w:hAnsi="Times New Roman" w:cstheme="majorBidi"/>
      <w:b/>
      <w:color w:val="000000" w:themeColor="text1"/>
      <w:szCs w:val="32"/>
      <w:u w:val="single"/>
    </w:rPr>
  </w:style>
  <w:style w:type="character" w:customStyle="1" w:styleId="Heading2Char">
    <w:name w:val="Heading 2 Char"/>
    <w:basedOn w:val="DefaultParagraphFont"/>
    <w:link w:val="Heading2"/>
    <w:uiPriority w:val="9"/>
    <w:rsid w:val="00A85974"/>
    <w:rPr>
      <w:rFonts w:ascii="Times New Roman" w:eastAsiaTheme="majorEastAsia" w:hAnsi="Times New Roman" w:cstheme="majorBidi"/>
      <w:b/>
      <w:i/>
      <w:color w:val="000000" w:themeColor="text1"/>
      <w:szCs w:val="26"/>
    </w:rPr>
  </w:style>
  <w:style w:type="paragraph" w:styleId="HTMLPreformatted">
    <w:name w:val="HTML Preformatted"/>
    <w:basedOn w:val="Normal"/>
    <w:link w:val="HTMLPreformattedChar"/>
    <w:uiPriority w:val="99"/>
    <w:semiHidden/>
    <w:unhideWhenUsed/>
    <w:rsid w:val="00626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26F2D"/>
    <w:rPr>
      <w:rFonts w:ascii="Courier New" w:eastAsia="Times New Roman" w:hAnsi="Courier New" w:cs="Courier New"/>
      <w:sz w:val="20"/>
      <w:szCs w:val="20"/>
    </w:rPr>
  </w:style>
  <w:style w:type="paragraph" w:styleId="ListParagraph">
    <w:name w:val="List Paragraph"/>
    <w:basedOn w:val="Normal"/>
    <w:uiPriority w:val="34"/>
    <w:qFormat/>
    <w:rsid w:val="00275051"/>
    <w:pPr>
      <w:ind w:left="720"/>
      <w:contextualSpacing/>
    </w:pPr>
  </w:style>
  <w:style w:type="character" w:styleId="PlaceholderText">
    <w:name w:val="Placeholder Text"/>
    <w:basedOn w:val="DefaultParagraphFont"/>
    <w:uiPriority w:val="99"/>
    <w:semiHidden/>
    <w:rsid w:val="00E76A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06435">
      <w:bodyDiv w:val="1"/>
      <w:marLeft w:val="0"/>
      <w:marRight w:val="0"/>
      <w:marTop w:val="0"/>
      <w:marBottom w:val="0"/>
      <w:divBdr>
        <w:top w:val="none" w:sz="0" w:space="0" w:color="auto"/>
        <w:left w:val="none" w:sz="0" w:space="0" w:color="auto"/>
        <w:bottom w:val="none" w:sz="0" w:space="0" w:color="auto"/>
        <w:right w:val="none" w:sz="0" w:space="0" w:color="auto"/>
      </w:divBdr>
    </w:div>
    <w:div w:id="459693284">
      <w:bodyDiv w:val="1"/>
      <w:marLeft w:val="0"/>
      <w:marRight w:val="0"/>
      <w:marTop w:val="0"/>
      <w:marBottom w:val="0"/>
      <w:divBdr>
        <w:top w:val="none" w:sz="0" w:space="0" w:color="auto"/>
        <w:left w:val="none" w:sz="0" w:space="0" w:color="auto"/>
        <w:bottom w:val="none" w:sz="0" w:space="0" w:color="auto"/>
        <w:right w:val="none" w:sz="0" w:space="0" w:color="auto"/>
      </w:divBdr>
    </w:div>
    <w:div w:id="503591890">
      <w:bodyDiv w:val="1"/>
      <w:marLeft w:val="0"/>
      <w:marRight w:val="0"/>
      <w:marTop w:val="0"/>
      <w:marBottom w:val="0"/>
      <w:divBdr>
        <w:top w:val="none" w:sz="0" w:space="0" w:color="auto"/>
        <w:left w:val="none" w:sz="0" w:space="0" w:color="auto"/>
        <w:bottom w:val="none" w:sz="0" w:space="0" w:color="auto"/>
        <w:right w:val="none" w:sz="0" w:space="0" w:color="auto"/>
      </w:divBdr>
    </w:div>
    <w:div w:id="554052650">
      <w:bodyDiv w:val="1"/>
      <w:marLeft w:val="0"/>
      <w:marRight w:val="0"/>
      <w:marTop w:val="0"/>
      <w:marBottom w:val="0"/>
      <w:divBdr>
        <w:top w:val="none" w:sz="0" w:space="0" w:color="auto"/>
        <w:left w:val="none" w:sz="0" w:space="0" w:color="auto"/>
        <w:bottom w:val="none" w:sz="0" w:space="0" w:color="auto"/>
        <w:right w:val="none" w:sz="0" w:space="0" w:color="auto"/>
      </w:divBdr>
    </w:div>
    <w:div w:id="677582173">
      <w:bodyDiv w:val="1"/>
      <w:marLeft w:val="0"/>
      <w:marRight w:val="0"/>
      <w:marTop w:val="0"/>
      <w:marBottom w:val="0"/>
      <w:divBdr>
        <w:top w:val="none" w:sz="0" w:space="0" w:color="auto"/>
        <w:left w:val="none" w:sz="0" w:space="0" w:color="auto"/>
        <w:bottom w:val="none" w:sz="0" w:space="0" w:color="auto"/>
        <w:right w:val="none" w:sz="0" w:space="0" w:color="auto"/>
      </w:divBdr>
    </w:div>
    <w:div w:id="862942803">
      <w:bodyDiv w:val="1"/>
      <w:marLeft w:val="0"/>
      <w:marRight w:val="0"/>
      <w:marTop w:val="0"/>
      <w:marBottom w:val="0"/>
      <w:divBdr>
        <w:top w:val="none" w:sz="0" w:space="0" w:color="auto"/>
        <w:left w:val="none" w:sz="0" w:space="0" w:color="auto"/>
        <w:bottom w:val="none" w:sz="0" w:space="0" w:color="auto"/>
        <w:right w:val="none" w:sz="0" w:space="0" w:color="auto"/>
      </w:divBdr>
    </w:div>
    <w:div w:id="878516040">
      <w:bodyDiv w:val="1"/>
      <w:marLeft w:val="0"/>
      <w:marRight w:val="0"/>
      <w:marTop w:val="0"/>
      <w:marBottom w:val="0"/>
      <w:divBdr>
        <w:top w:val="none" w:sz="0" w:space="0" w:color="auto"/>
        <w:left w:val="none" w:sz="0" w:space="0" w:color="auto"/>
        <w:bottom w:val="none" w:sz="0" w:space="0" w:color="auto"/>
        <w:right w:val="none" w:sz="0" w:space="0" w:color="auto"/>
      </w:divBdr>
    </w:div>
    <w:div w:id="931277243">
      <w:bodyDiv w:val="1"/>
      <w:marLeft w:val="0"/>
      <w:marRight w:val="0"/>
      <w:marTop w:val="0"/>
      <w:marBottom w:val="0"/>
      <w:divBdr>
        <w:top w:val="none" w:sz="0" w:space="0" w:color="auto"/>
        <w:left w:val="none" w:sz="0" w:space="0" w:color="auto"/>
        <w:bottom w:val="none" w:sz="0" w:space="0" w:color="auto"/>
        <w:right w:val="none" w:sz="0" w:space="0" w:color="auto"/>
      </w:divBdr>
    </w:div>
    <w:div w:id="937516946">
      <w:bodyDiv w:val="1"/>
      <w:marLeft w:val="0"/>
      <w:marRight w:val="0"/>
      <w:marTop w:val="0"/>
      <w:marBottom w:val="0"/>
      <w:divBdr>
        <w:top w:val="none" w:sz="0" w:space="0" w:color="auto"/>
        <w:left w:val="none" w:sz="0" w:space="0" w:color="auto"/>
        <w:bottom w:val="none" w:sz="0" w:space="0" w:color="auto"/>
        <w:right w:val="none" w:sz="0" w:space="0" w:color="auto"/>
      </w:divBdr>
    </w:div>
    <w:div w:id="940187374">
      <w:bodyDiv w:val="1"/>
      <w:marLeft w:val="0"/>
      <w:marRight w:val="0"/>
      <w:marTop w:val="0"/>
      <w:marBottom w:val="0"/>
      <w:divBdr>
        <w:top w:val="none" w:sz="0" w:space="0" w:color="auto"/>
        <w:left w:val="none" w:sz="0" w:space="0" w:color="auto"/>
        <w:bottom w:val="none" w:sz="0" w:space="0" w:color="auto"/>
        <w:right w:val="none" w:sz="0" w:space="0" w:color="auto"/>
      </w:divBdr>
    </w:div>
    <w:div w:id="1016466468">
      <w:bodyDiv w:val="1"/>
      <w:marLeft w:val="0"/>
      <w:marRight w:val="0"/>
      <w:marTop w:val="0"/>
      <w:marBottom w:val="0"/>
      <w:divBdr>
        <w:top w:val="none" w:sz="0" w:space="0" w:color="auto"/>
        <w:left w:val="none" w:sz="0" w:space="0" w:color="auto"/>
        <w:bottom w:val="none" w:sz="0" w:space="0" w:color="auto"/>
        <w:right w:val="none" w:sz="0" w:space="0" w:color="auto"/>
      </w:divBdr>
    </w:div>
    <w:div w:id="1200971484">
      <w:bodyDiv w:val="1"/>
      <w:marLeft w:val="0"/>
      <w:marRight w:val="0"/>
      <w:marTop w:val="0"/>
      <w:marBottom w:val="0"/>
      <w:divBdr>
        <w:top w:val="none" w:sz="0" w:space="0" w:color="auto"/>
        <w:left w:val="none" w:sz="0" w:space="0" w:color="auto"/>
        <w:bottom w:val="none" w:sz="0" w:space="0" w:color="auto"/>
        <w:right w:val="none" w:sz="0" w:space="0" w:color="auto"/>
      </w:divBdr>
    </w:div>
    <w:div w:id="1230532031">
      <w:bodyDiv w:val="1"/>
      <w:marLeft w:val="0"/>
      <w:marRight w:val="0"/>
      <w:marTop w:val="0"/>
      <w:marBottom w:val="0"/>
      <w:divBdr>
        <w:top w:val="none" w:sz="0" w:space="0" w:color="auto"/>
        <w:left w:val="none" w:sz="0" w:space="0" w:color="auto"/>
        <w:bottom w:val="none" w:sz="0" w:space="0" w:color="auto"/>
        <w:right w:val="none" w:sz="0" w:space="0" w:color="auto"/>
      </w:divBdr>
    </w:div>
    <w:div w:id="1281381922">
      <w:bodyDiv w:val="1"/>
      <w:marLeft w:val="0"/>
      <w:marRight w:val="0"/>
      <w:marTop w:val="0"/>
      <w:marBottom w:val="0"/>
      <w:divBdr>
        <w:top w:val="none" w:sz="0" w:space="0" w:color="auto"/>
        <w:left w:val="none" w:sz="0" w:space="0" w:color="auto"/>
        <w:bottom w:val="none" w:sz="0" w:space="0" w:color="auto"/>
        <w:right w:val="none" w:sz="0" w:space="0" w:color="auto"/>
      </w:divBdr>
    </w:div>
    <w:div w:id="1311717477">
      <w:bodyDiv w:val="1"/>
      <w:marLeft w:val="0"/>
      <w:marRight w:val="0"/>
      <w:marTop w:val="0"/>
      <w:marBottom w:val="0"/>
      <w:divBdr>
        <w:top w:val="none" w:sz="0" w:space="0" w:color="auto"/>
        <w:left w:val="none" w:sz="0" w:space="0" w:color="auto"/>
        <w:bottom w:val="none" w:sz="0" w:space="0" w:color="auto"/>
        <w:right w:val="none" w:sz="0" w:space="0" w:color="auto"/>
      </w:divBdr>
    </w:div>
    <w:div w:id="1363360114">
      <w:bodyDiv w:val="1"/>
      <w:marLeft w:val="0"/>
      <w:marRight w:val="0"/>
      <w:marTop w:val="0"/>
      <w:marBottom w:val="0"/>
      <w:divBdr>
        <w:top w:val="none" w:sz="0" w:space="0" w:color="auto"/>
        <w:left w:val="none" w:sz="0" w:space="0" w:color="auto"/>
        <w:bottom w:val="none" w:sz="0" w:space="0" w:color="auto"/>
        <w:right w:val="none" w:sz="0" w:space="0" w:color="auto"/>
      </w:divBdr>
    </w:div>
    <w:div w:id="1405176776">
      <w:bodyDiv w:val="1"/>
      <w:marLeft w:val="0"/>
      <w:marRight w:val="0"/>
      <w:marTop w:val="0"/>
      <w:marBottom w:val="0"/>
      <w:divBdr>
        <w:top w:val="none" w:sz="0" w:space="0" w:color="auto"/>
        <w:left w:val="none" w:sz="0" w:space="0" w:color="auto"/>
        <w:bottom w:val="none" w:sz="0" w:space="0" w:color="auto"/>
        <w:right w:val="none" w:sz="0" w:space="0" w:color="auto"/>
      </w:divBdr>
    </w:div>
    <w:div w:id="1592737524">
      <w:bodyDiv w:val="1"/>
      <w:marLeft w:val="0"/>
      <w:marRight w:val="0"/>
      <w:marTop w:val="0"/>
      <w:marBottom w:val="0"/>
      <w:divBdr>
        <w:top w:val="none" w:sz="0" w:space="0" w:color="auto"/>
        <w:left w:val="none" w:sz="0" w:space="0" w:color="auto"/>
        <w:bottom w:val="none" w:sz="0" w:space="0" w:color="auto"/>
        <w:right w:val="none" w:sz="0" w:space="0" w:color="auto"/>
      </w:divBdr>
    </w:div>
    <w:div w:id="1597640360">
      <w:bodyDiv w:val="1"/>
      <w:marLeft w:val="0"/>
      <w:marRight w:val="0"/>
      <w:marTop w:val="0"/>
      <w:marBottom w:val="0"/>
      <w:divBdr>
        <w:top w:val="none" w:sz="0" w:space="0" w:color="auto"/>
        <w:left w:val="none" w:sz="0" w:space="0" w:color="auto"/>
        <w:bottom w:val="none" w:sz="0" w:space="0" w:color="auto"/>
        <w:right w:val="none" w:sz="0" w:space="0" w:color="auto"/>
      </w:divBdr>
    </w:div>
    <w:div w:id="1599407148">
      <w:bodyDiv w:val="1"/>
      <w:marLeft w:val="0"/>
      <w:marRight w:val="0"/>
      <w:marTop w:val="0"/>
      <w:marBottom w:val="0"/>
      <w:divBdr>
        <w:top w:val="none" w:sz="0" w:space="0" w:color="auto"/>
        <w:left w:val="none" w:sz="0" w:space="0" w:color="auto"/>
        <w:bottom w:val="none" w:sz="0" w:space="0" w:color="auto"/>
        <w:right w:val="none" w:sz="0" w:space="0" w:color="auto"/>
      </w:divBdr>
    </w:div>
    <w:div w:id="1681858555">
      <w:bodyDiv w:val="1"/>
      <w:marLeft w:val="0"/>
      <w:marRight w:val="0"/>
      <w:marTop w:val="0"/>
      <w:marBottom w:val="0"/>
      <w:divBdr>
        <w:top w:val="none" w:sz="0" w:space="0" w:color="auto"/>
        <w:left w:val="none" w:sz="0" w:space="0" w:color="auto"/>
        <w:bottom w:val="none" w:sz="0" w:space="0" w:color="auto"/>
        <w:right w:val="none" w:sz="0" w:space="0" w:color="auto"/>
      </w:divBdr>
    </w:div>
    <w:div w:id="1716276819">
      <w:bodyDiv w:val="1"/>
      <w:marLeft w:val="0"/>
      <w:marRight w:val="0"/>
      <w:marTop w:val="0"/>
      <w:marBottom w:val="0"/>
      <w:divBdr>
        <w:top w:val="none" w:sz="0" w:space="0" w:color="auto"/>
        <w:left w:val="none" w:sz="0" w:space="0" w:color="auto"/>
        <w:bottom w:val="none" w:sz="0" w:space="0" w:color="auto"/>
        <w:right w:val="none" w:sz="0" w:space="0" w:color="auto"/>
      </w:divBdr>
    </w:div>
    <w:div w:id="1729769045">
      <w:bodyDiv w:val="1"/>
      <w:marLeft w:val="0"/>
      <w:marRight w:val="0"/>
      <w:marTop w:val="0"/>
      <w:marBottom w:val="0"/>
      <w:divBdr>
        <w:top w:val="none" w:sz="0" w:space="0" w:color="auto"/>
        <w:left w:val="none" w:sz="0" w:space="0" w:color="auto"/>
        <w:bottom w:val="none" w:sz="0" w:space="0" w:color="auto"/>
        <w:right w:val="none" w:sz="0" w:space="0" w:color="auto"/>
      </w:divBdr>
    </w:div>
    <w:div w:id="1739354637">
      <w:bodyDiv w:val="1"/>
      <w:marLeft w:val="0"/>
      <w:marRight w:val="0"/>
      <w:marTop w:val="0"/>
      <w:marBottom w:val="0"/>
      <w:divBdr>
        <w:top w:val="none" w:sz="0" w:space="0" w:color="auto"/>
        <w:left w:val="none" w:sz="0" w:space="0" w:color="auto"/>
        <w:bottom w:val="none" w:sz="0" w:space="0" w:color="auto"/>
        <w:right w:val="none" w:sz="0" w:space="0" w:color="auto"/>
      </w:divBdr>
    </w:div>
    <w:div w:id="1777215208">
      <w:bodyDiv w:val="1"/>
      <w:marLeft w:val="0"/>
      <w:marRight w:val="0"/>
      <w:marTop w:val="0"/>
      <w:marBottom w:val="0"/>
      <w:divBdr>
        <w:top w:val="none" w:sz="0" w:space="0" w:color="auto"/>
        <w:left w:val="none" w:sz="0" w:space="0" w:color="auto"/>
        <w:bottom w:val="none" w:sz="0" w:space="0" w:color="auto"/>
        <w:right w:val="none" w:sz="0" w:space="0" w:color="auto"/>
      </w:divBdr>
    </w:div>
    <w:div w:id="1791897172">
      <w:bodyDiv w:val="1"/>
      <w:marLeft w:val="0"/>
      <w:marRight w:val="0"/>
      <w:marTop w:val="0"/>
      <w:marBottom w:val="0"/>
      <w:divBdr>
        <w:top w:val="none" w:sz="0" w:space="0" w:color="auto"/>
        <w:left w:val="none" w:sz="0" w:space="0" w:color="auto"/>
        <w:bottom w:val="none" w:sz="0" w:space="0" w:color="auto"/>
        <w:right w:val="none" w:sz="0" w:space="0" w:color="auto"/>
      </w:divBdr>
    </w:div>
    <w:div w:id="1900096560">
      <w:bodyDiv w:val="1"/>
      <w:marLeft w:val="0"/>
      <w:marRight w:val="0"/>
      <w:marTop w:val="0"/>
      <w:marBottom w:val="0"/>
      <w:divBdr>
        <w:top w:val="none" w:sz="0" w:space="0" w:color="auto"/>
        <w:left w:val="none" w:sz="0" w:space="0" w:color="auto"/>
        <w:bottom w:val="none" w:sz="0" w:space="0" w:color="auto"/>
        <w:right w:val="none" w:sz="0" w:space="0" w:color="auto"/>
      </w:divBdr>
    </w:div>
    <w:div w:id="1930460354">
      <w:bodyDiv w:val="1"/>
      <w:marLeft w:val="0"/>
      <w:marRight w:val="0"/>
      <w:marTop w:val="0"/>
      <w:marBottom w:val="0"/>
      <w:divBdr>
        <w:top w:val="none" w:sz="0" w:space="0" w:color="auto"/>
        <w:left w:val="none" w:sz="0" w:space="0" w:color="auto"/>
        <w:bottom w:val="none" w:sz="0" w:space="0" w:color="auto"/>
        <w:right w:val="none" w:sz="0" w:space="0" w:color="auto"/>
      </w:divBdr>
    </w:div>
    <w:div w:id="1972318105">
      <w:bodyDiv w:val="1"/>
      <w:marLeft w:val="0"/>
      <w:marRight w:val="0"/>
      <w:marTop w:val="0"/>
      <w:marBottom w:val="0"/>
      <w:divBdr>
        <w:top w:val="none" w:sz="0" w:space="0" w:color="auto"/>
        <w:left w:val="none" w:sz="0" w:space="0" w:color="auto"/>
        <w:bottom w:val="none" w:sz="0" w:space="0" w:color="auto"/>
        <w:right w:val="none" w:sz="0" w:space="0" w:color="auto"/>
      </w:divBdr>
    </w:div>
    <w:div w:id="2025089052">
      <w:bodyDiv w:val="1"/>
      <w:marLeft w:val="0"/>
      <w:marRight w:val="0"/>
      <w:marTop w:val="0"/>
      <w:marBottom w:val="0"/>
      <w:divBdr>
        <w:top w:val="none" w:sz="0" w:space="0" w:color="auto"/>
        <w:left w:val="none" w:sz="0" w:space="0" w:color="auto"/>
        <w:bottom w:val="none" w:sz="0" w:space="0" w:color="auto"/>
        <w:right w:val="none" w:sz="0" w:space="0" w:color="auto"/>
      </w:divBdr>
    </w:div>
    <w:div w:id="2042242406">
      <w:bodyDiv w:val="1"/>
      <w:marLeft w:val="0"/>
      <w:marRight w:val="0"/>
      <w:marTop w:val="0"/>
      <w:marBottom w:val="0"/>
      <w:divBdr>
        <w:top w:val="none" w:sz="0" w:space="0" w:color="auto"/>
        <w:left w:val="none" w:sz="0" w:space="0" w:color="auto"/>
        <w:bottom w:val="none" w:sz="0" w:space="0" w:color="auto"/>
        <w:right w:val="none" w:sz="0" w:space="0" w:color="auto"/>
      </w:divBdr>
    </w:div>
    <w:div w:id="2045591018">
      <w:bodyDiv w:val="1"/>
      <w:marLeft w:val="0"/>
      <w:marRight w:val="0"/>
      <w:marTop w:val="0"/>
      <w:marBottom w:val="0"/>
      <w:divBdr>
        <w:top w:val="none" w:sz="0" w:space="0" w:color="auto"/>
        <w:left w:val="none" w:sz="0" w:space="0" w:color="auto"/>
        <w:bottom w:val="none" w:sz="0" w:space="0" w:color="auto"/>
        <w:right w:val="none" w:sz="0" w:space="0" w:color="auto"/>
      </w:divBdr>
    </w:div>
    <w:div w:id="205862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4.jpe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github.com/PacificBiosciences/ccs" TargetMode="External"/><Relationship Id="rId2" Type="http://schemas.openxmlformats.org/officeDocument/2006/relationships/numbering" Target="numbering.xml"/><Relationship Id="rId16" Type="http://schemas.openxmlformats.org/officeDocument/2006/relationships/hyperlink" Target="https://www.10xgenomics.com/technolog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pacb.com/" TargetMode="External"/><Relationship Id="rId10" Type="http://schemas.microsoft.com/office/2016/09/relationships/commentsIds" Target="commentsIds.xml"/><Relationship Id="rId19" Type="http://schemas.openxmlformats.org/officeDocument/2006/relationships/hyperlink" Target="https://github.com/shannonekj/DS_sex-marker/blob/master/analysi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716C7-64CC-1446-B1B8-81613F1DA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23</Pages>
  <Words>23860</Words>
  <Characters>136004</Characters>
  <Application>Microsoft Office Word</Application>
  <DocSecurity>0</DocSecurity>
  <Lines>1133</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9</cp:revision>
  <cp:lastPrinted>2021-06-01T13:43:00Z</cp:lastPrinted>
  <dcterms:created xsi:type="dcterms:W3CDTF">2021-06-04T14:07:00Z</dcterms:created>
  <dcterms:modified xsi:type="dcterms:W3CDTF">2021-06-09T15:02:00Z</dcterms:modified>
</cp:coreProperties>
</file>