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61AAC">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61AAC">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261AAC">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61AAC">
      <w:pPr>
        <w:ind w:right="270"/>
        <w:jc w:val="center"/>
      </w:pPr>
      <w:r w:rsidRPr="00D417D1">
        <w:t>University of California, Davis</w:t>
      </w:r>
    </w:p>
    <w:p w14:paraId="37DEEC3B" w14:textId="77777777" w:rsidR="006F47E9" w:rsidRPr="00D417D1" w:rsidRDefault="006F47E9" w:rsidP="00261AAC">
      <w:pPr>
        <w:ind w:right="270"/>
        <w:jc w:val="both"/>
      </w:pPr>
      <w:r w:rsidRPr="00D417D1">
        <w:t xml:space="preserve"> </w:t>
      </w:r>
    </w:p>
    <w:p w14:paraId="7E1977AF" w14:textId="77777777" w:rsidR="006F47E9" w:rsidRPr="00D417D1" w:rsidRDefault="006F47E9" w:rsidP="00261AAC">
      <w:pPr>
        <w:ind w:right="270"/>
        <w:jc w:val="both"/>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261AAC">
      <w:pPr>
        <w:jc w:val="both"/>
        <w:rPr>
          <w:rFonts w:ascii="Times" w:hAnsi="Times"/>
          <w:b/>
          <w:bCs/>
          <w:u w:val="single"/>
        </w:rPr>
      </w:pPr>
    </w:p>
    <w:p w14:paraId="62ED85B6" w14:textId="77777777" w:rsidR="006F47E9" w:rsidRDefault="006F47E9" w:rsidP="00261AAC">
      <w:pPr>
        <w:jc w:val="both"/>
        <w:rPr>
          <w:rFonts w:ascii="Times" w:hAnsi="Times"/>
          <w:b/>
          <w:bCs/>
          <w:u w:val="single"/>
        </w:rPr>
      </w:pPr>
    </w:p>
    <w:p w14:paraId="4D2F7A06" w14:textId="24E28B5E" w:rsidR="006F47E9" w:rsidRPr="00ED2C76" w:rsidRDefault="00ED2C76" w:rsidP="00261AAC">
      <w:pPr>
        <w:pStyle w:val="Heading1"/>
        <w:jc w:val="both"/>
      </w:pPr>
      <w:r w:rsidRPr="00ED2C76">
        <w:t xml:space="preserve">Project </w:t>
      </w:r>
      <w:r w:rsidR="006F47E9" w:rsidRPr="00ED2C76">
        <w:t>Background</w:t>
      </w:r>
    </w:p>
    <w:p w14:paraId="31690907" w14:textId="77777777" w:rsidR="006F47E9" w:rsidRDefault="006F47E9" w:rsidP="00261AAC">
      <w:pPr>
        <w:ind w:right="270"/>
        <w:jc w:val="both"/>
        <w:rPr>
          <w:u w:val="single"/>
        </w:rPr>
      </w:pPr>
    </w:p>
    <w:p w14:paraId="258C2B02" w14:textId="6904FF65" w:rsidR="006F47E9" w:rsidRDefault="006F47E9" w:rsidP="00261AAC">
      <w:pPr>
        <w:ind w:right="270"/>
        <w:jc w:val="both"/>
        <w:rPr>
          <w:u w:val="single"/>
        </w:rPr>
      </w:pPr>
      <w:r>
        <w:rPr>
          <w:color w:val="00000A"/>
        </w:rPr>
        <w:t xml:space="preserve">For this project we are assembling a reference genome for delta smelt in order to </w:t>
      </w:r>
      <w:r w:rsidRPr="000C7089">
        <w:t xml:space="preserve">1) </w:t>
      </w:r>
      <w:r>
        <w:t xml:space="preserve">calculate </w:t>
      </w:r>
      <w:r w:rsidRPr="000C7089">
        <w:t>estima</w:t>
      </w:r>
      <w:r w:rsidRPr="000C7089">
        <w:t>t</w:t>
      </w:r>
      <w:r w:rsidR="00A001C6">
        <w:t>e</w:t>
      </w:r>
      <w:r w:rsidR="00DE0AED">
        <w:t>s</w:t>
      </w:r>
      <w:r w:rsidR="00A001C6">
        <w:t xml:space="preserve"> </w:t>
      </w:r>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0"/>
      <w:commentRangeStart w:id="1"/>
      <w:r w:rsidRPr="000C7089">
        <w:t xml:space="preserve">discrete </w:t>
      </w:r>
      <w:commentRangeEnd w:id="0"/>
      <w:r w:rsidR="00A001C6">
        <w:rPr>
          <w:rStyle w:val="CommentReference"/>
        </w:rPr>
        <w:commentReference w:id="0"/>
      </w:r>
      <w:commentRangeEnd w:id="1"/>
      <w:r w:rsidR="00381212">
        <w:rPr>
          <w:rStyle w:val="CommentReference"/>
        </w:rPr>
        <w:commentReference w:id="1"/>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261AAC">
      <w:pPr>
        <w:ind w:right="270"/>
        <w:jc w:val="both"/>
        <w:rPr>
          <w:u w:val="single"/>
        </w:rPr>
      </w:pPr>
    </w:p>
    <w:p w14:paraId="6DA7E55D" w14:textId="73E94728" w:rsidR="006F47E9" w:rsidRPr="006E1A97" w:rsidRDefault="006F47E9" w:rsidP="00261AAC">
      <w:pPr>
        <w:ind w:right="270"/>
        <w:jc w:val="both"/>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2"/>
      <w:commentRangeStart w:id="3"/>
      <w:r>
        <w:rPr>
          <w:color w:val="00000A"/>
        </w:rPr>
        <w:t>markers</w:t>
      </w:r>
      <w:commentRangeEnd w:id="2"/>
      <w:r w:rsidR="00A001C6">
        <w:rPr>
          <w:rStyle w:val="CommentReference"/>
        </w:rPr>
        <w:commentReference w:id="2"/>
      </w:r>
      <w:commentRangeEnd w:id="3"/>
      <w:r w:rsidR="00D46F6C">
        <w:rPr>
          <w:rStyle w:val="CommentReference"/>
          <w:rFonts w:asciiTheme="minorHAnsi" w:eastAsiaTheme="minorHAnsi" w:hAnsiTheme="minorHAnsi" w:cstheme="minorBidi"/>
        </w:rPr>
        <w:commentReference w:id="3"/>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261AAC">
      <w:pPr>
        <w:ind w:right="270" w:firstLine="720"/>
        <w:jc w:val="both"/>
      </w:pPr>
    </w:p>
    <w:p w14:paraId="744BFBD5" w14:textId="77777777" w:rsidR="00261AAC" w:rsidRDefault="006F47E9" w:rsidP="00261AAC">
      <w:pPr>
        <w:ind w:right="270"/>
        <w:jc w:val="both"/>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 xml:space="preserve">reference </w:t>
      </w:r>
      <w:r w:rsidRPr="000C7089">
        <w:rPr>
          <w:color w:val="00000A"/>
        </w:rPr>
        <w:lastRenderedPageBreak/>
        <w:t>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261AAC">
      <w:pPr>
        <w:ind w:right="270"/>
        <w:jc w:val="both"/>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7F304E09" w:rsidR="000B0F0D" w:rsidRDefault="000B0F0D" w:rsidP="00261AAC">
      <w:pPr>
        <w:ind w:right="270"/>
        <w:jc w:val="both"/>
        <w:rPr>
          <w:color w:val="00000A"/>
        </w:rPr>
      </w:pPr>
    </w:p>
    <w:p w14:paraId="1F72D21A" w14:textId="7E46C586"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p>
    <w:p w14:paraId="37172382" w14:textId="2505B963"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261AAC">
      <w:pPr>
        <w:ind w:right="270"/>
        <w:jc w:val="both"/>
        <w:rPr>
          <w:color w:val="00000A"/>
        </w:rPr>
      </w:pPr>
    </w:p>
    <w:p w14:paraId="39921F42" w14:textId="1C7C7023"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261AAC">
      <w:pPr>
        <w:ind w:right="270"/>
        <w:jc w:val="both"/>
        <w:rPr>
          <w:color w:val="00000A"/>
        </w:rPr>
      </w:pPr>
    </w:p>
    <w:p w14:paraId="630CB558" w14:textId="77777777" w:rsidR="00E37454" w:rsidRDefault="00E37454" w:rsidP="00261AAC">
      <w:pPr>
        <w:ind w:right="270"/>
        <w:jc w:val="both"/>
        <w:rPr>
          <w:color w:val="00000A"/>
        </w:rPr>
      </w:pPr>
    </w:p>
    <w:p w14:paraId="28EF7F71" w14:textId="1FC11ECB" w:rsidR="00E37454"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261AAC">
      <w:pPr>
        <w:jc w:val="both"/>
        <w:rPr>
          <w:rFonts w:ascii="Times" w:hAnsi="Times"/>
          <w:b/>
          <w:bCs/>
          <w:u w:val="single"/>
        </w:rPr>
      </w:pPr>
    </w:p>
    <w:p w14:paraId="746011D8" w14:textId="20105411" w:rsidR="006F47E9" w:rsidRDefault="006F47E9" w:rsidP="00261AAC">
      <w:pPr>
        <w:jc w:val="both"/>
        <w:rPr>
          <w:rFonts w:ascii="Times" w:hAnsi="Times"/>
          <w:b/>
          <w:bCs/>
          <w:u w:val="single"/>
        </w:rPr>
      </w:pPr>
    </w:p>
    <w:p w14:paraId="0D2A8AA3" w14:textId="500DB8B8" w:rsidR="000B0F0D" w:rsidRPr="000B0F0D" w:rsidRDefault="000B0F0D" w:rsidP="00261AAC">
      <w:pPr>
        <w:jc w:val="both"/>
      </w:pPr>
    </w:p>
    <w:p w14:paraId="20B7B80A" w14:textId="77777777" w:rsidR="00372DDA" w:rsidRDefault="00372DDA" w:rsidP="00261AAC">
      <w:pPr>
        <w:jc w:val="both"/>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261AAC">
      <w:pPr>
        <w:pStyle w:val="Heading1"/>
        <w:jc w:val="both"/>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261AAC">
      <w:pPr>
        <w:ind w:right="270"/>
        <w:jc w:val="both"/>
        <w:rPr>
          <w:b/>
          <w:i/>
        </w:rPr>
      </w:pPr>
    </w:p>
    <w:p w14:paraId="3BEA2E0B" w14:textId="77777777" w:rsidR="006F47E9" w:rsidRPr="00D96AC9" w:rsidRDefault="006F47E9" w:rsidP="00261AAC">
      <w:pPr>
        <w:pStyle w:val="Heading2"/>
        <w:jc w:val="both"/>
        <w:rPr>
          <w:b w:val="0"/>
          <w:i w:val="0"/>
        </w:rPr>
      </w:pPr>
      <w:r w:rsidRPr="00490077">
        <w:t>Sample collection</w:t>
      </w:r>
      <w:r>
        <w:t xml:space="preserve"> (Figure 1A)</w:t>
      </w:r>
    </w:p>
    <w:p w14:paraId="21F524D4" w14:textId="77777777" w:rsidR="006F47E9" w:rsidRPr="000D71F5" w:rsidRDefault="006F47E9" w:rsidP="00261AAC">
      <w:pPr>
        <w:ind w:right="270"/>
        <w:jc w:val="both"/>
        <w:rPr>
          <w:i/>
        </w:rPr>
      </w:pPr>
      <w:r w:rsidRPr="000D71F5">
        <w:rPr>
          <w:i/>
        </w:rPr>
        <w:t>Methods</w:t>
      </w:r>
    </w:p>
    <w:p w14:paraId="68F6B5EB" w14:textId="77777777" w:rsidR="007B4DA2" w:rsidRDefault="006F47E9" w:rsidP="00261AAC">
      <w:pPr>
        <w:ind w:right="270"/>
        <w:jc w:val="both"/>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261AAC">
      <w:pPr>
        <w:ind w:right="270"/>
        <w:jc w:val="both"/>
      </w:pPr>
    </w:p>
    <w:p w14:paraId="5492A1C5" w14:textId="3C173A81" w:rsidR="006F47E9" w:rsidRDefault="006F47E9" w:rsidP="00261AAC">
      <w:pPr>
        <w:ind w:right="270"/>
        <w:jc w:val="both"/>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261AAC">
      <w:pPr>
        <w:ind w:right="270"/>
        <w:jc w:val="both"/>
        <w:rPr>
          <w:i/>
        </w:rPr>
      </w:pPr>
    </w:p>
    <w:p w14:paraId="0CBD5AC1" w14:textId="310D132D" w:rsidR="006F47E9" w:rsidRDefault="006F47E9" w:rsidP="00261AAC">
      <w:pPr>
        <w:ind w:right="270"/>
        <w:jc w:val="both"/>
        <w:rPr>
          <w:i/>
        </w:rPr>
      </w:pPr>
      <w:r>
        <w:rPr>
          <w:i/>
        </w:rPr>
        <w:t>Results</w:t>
      </w:r>
    </w:p>
    <w:p w14:paraId="574F63A5" w14:textId="7F32EA3E" w:rsidR="006F47E9" w:rsidRPr="00C30DD1" w:rsidRDefault="006F47E9" w:rsidP="00261AAC">
      <w:pPr>
        <w:ind w:right="270"/>
        <w:jc w:val="both"/>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261AAC">
      <w:pPr>
        <w:ind w:right="270"/>
        <w:jc w:val="both"/>
        <w:rPr>
          <w:ins w:id="4" w:author="Microsoft Office User" w:date="2021-04-07T13:51:00Z"/>
        </w:rPr>
      </w:pPr>
    </w:p>
    <w:p w14:paraId="35B46BE7" w14:textId="77777777" w:rsidR="006F47E9" w:rsidRDefault="006F47E9" w:rsidP="00261AAC">
      <w:pPr>
        <w:ind w:right="270"/>
        <w:jc w:val="both"/>
        <w:rPr>
          <w:b/>
          <w:i/>
        </w:rPr>
      </w:pPr>
    </w:p>
    <w:p w14:paraId="659C5E3F" w14:textId="77777777" w:rsidR="006F47E9" w:rsidRDefault="006F47E9" w:rsidP="00261AAC">
      <w:pPr>
        <w:pStyle w:val="Heading2"/>
        <w:jc w:val="both"/>
      </w:pPr>
      <w:r w:rsidRPr="00490077">
        <w:lastRenderedPageBreak/>
        <w:t>Isolation of high molecular weight genomic DNA</w:t>
      </w:r>
      <w:r>
        <w:t xml:space="preserve"> (Figure 1B)</w:t>
      </w:r>
    </w:p>
    <w:p w14:paraId="3AD89537" w14:textId="77777777" w:rsidR="006F47E9" w:rsidRDefault="006F47E9" w:rsidP="00261AAC">
      <w:pPr>
        <w:ind w:right="270"/>
        <w:jc w:val="both"/>
        <w:rPr>
          <w:i/>
        </w:rPr>
      </w:pPr>
      <w:r>
        <w:rPr>
          <w:i/>
        </w:rPr>
        <w:t>Methods</w:t>
      </w:r>
    </w:p>
    <w:p w14:paraId="21E14243" w14:textId="3A74F11C" w:rsidR="006F47E9" w:rsidRPr="00AB5D48" w:rsidRDefault="00081E62" w:rsidP="00261AAC">
      <w:pPr>
        <w:ind w:right="270"/>
        <w:jc w:val="both"/>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261AAC">
      <w:pPr>
        <w:ind w:right="270"/>
        <w:jc w:val="both"/>
      </w:pPr>
    </w:p>
    <w:p w14:paraId="7BF351FA" w14:textId="2B497178" w:rsidR="006F47E9" w:rsidRDefault="006C520D" w:rsidP="00261AAC">
      <w:pPr>
        <w:ind w:right="270"/>
        <w:jc w:val="both"/>
        <w:rPr>
          <w:i/>
        </w:rPr>
      </w:pPr>
      <w:r>
        <w:rPr>
          <w:i/>
        </w:rPr>
        <w:t>R</w:t>
      </w:r>
      <w:r w:rsidR="006F47E9">
        <w:rPr>
          <w:i/>
        </w:rPr>
        <w:t>esults</w:t>
      </w:r>
    </w:p>
    <w:p w14:paraId="409CE140" w14:textId="3D00382B" w:rsidR="006F47E9" w:rsidRPr="006E1A97" w:rsidRDefault="006F47E9" w:rsidP="00261AAC">
      <w:pPr>
        <w:ind w:right="270"/>
        <w:jc w:val="both"/>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261AAC">
      <w:pPr>
        <w:ind w:right="270" w:firstLine="720"/>
        <w:jc w:val="both"/>
      </w:pPr>
    </w:p>
    <w:p w14:paraId="33AE755F" w14:textId="25D9891C" w:rsidR="006F47E9" w:rsidRDefault="006F47E9" w:rsidP="00261AAC">
      <w:pPr>
        <w:ind w:right="270"/>
        <w:jc w:val="both"/>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261AAC">
      <w:pPr>
        <w:ind w:right="270"/>
        <w:jc w:val="both"/>
      </w:pPr>
    </w:p>
    <w:p w14:paraId="44F233EF" w14:textId="52010C59" w:rsidR="006C520D" w:rsidRDefault="006F47E9" w:rsidP="00261AAC">
      <w:pPr>
        <w:ind w:right="270"/>
        <w:jc w:val="both"/>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261AAC">
      <w:pPr>
        <w:ind w:right="270"/>
        <w:jc w:val="both"/>
      </w:pPr>
    </w:p>
    <w:p w14:paraId="07A0D19B" w14:textId="6E12D7B7" w:rsidR="00621B1C" w:rsidRPr="00C30DD1" w:rsidRDefault="00621B1C" w:rsidP="00261AAC">
      <w:pPr>
        <w:ind w:right="270"/>
        <w:jc w:val="both"/>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261AAC">
      <w:pPr>
        <w:ind w:right="270"/>
        <w:jc w:val="both"/>
      </w:pPr>
    </w:p>
    <w:p w14:paraId="7C2F39F0" w14:textId="77777777" w:rsidR="006F47E9" w:rsidRPr="00D417D1" w:rsidRDefault="006F47E9" w:rsidP="00261AAC">
      <w:pPr>
        <w:ind w:right="270"/>
        <w:jc w:val="both"/>
        <w:rPr>
          <w:color w:val="FF0000"/>
        </w:rPr>
      </w:pPr>
    </w:p>
    <w:p w14:paraId="3ACEB2C2" w14:textId="77777777" w:rsidR="006F47E9" w:rsidRPr="00E05524" w:rsidRDefault="006F47E9" w:rsidP="00261AAC">
      <w:pPr>
        <w:pStyle w:val="Heading2"/>
        <w:jc w:val="both"/>
      </w:pPr>
      <w:r w:rsidRPr="00E05524">
        <w:t>Long-read library prep &amp; sequencing</w:t>
      </w:r>
      <w:r>
        <w:t xml:space="preserve"> (Figure 1C)</w:t>
      </w:r>
    </w:p>
    <w:p w14:paraId="26AC9F02" w14:textId="77777777" w:rsidR="006F47E9" w:rsidRDefault="006F47E9" w:rsidP="00261AAC">
      <w:pPr>
        <w:ind w:right="270"/>
        <w:jc w:val="both"/>
        <w:rPr>
          <w:i/>
        </w:rPr>
      </w:pPr>
      <w:r>
        <w:rPr>
          <w:i/>
        </w:rPr>
        <w:t>Methods</w:t>
      </w:r>
    </w:p>
    <w:p w14:paraId="475CE418" w14:textId="08959946" w:rsidR="006F47E9" w:rsidRDefault="006F47E9" w:rsidP="00261AAC">
      <w:pPr>
        <w:ind w:right="270"/>
        <w:jc w:val="both"/>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261AAC">
      <w:pPr>
        <w:ind w:right="270"/>
        <w:jc w:val="both"/>
      </w:pPr>
    </w:p>
    <w:p w14:paraId="4F4FFCF6" w14:textId="0B4829DA" w:rsidR="00F750C6" w:rsidRDefault="006C520D" w:rsidP="00261AAC">
      <w:pPr>
        <w:jc w:val="both"/>
      </w:pPr>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261AAC">
      <w:pPr>
        <w:ind w:right="270"/>
        <w:jc w:val="both"/>
      </w:pPr>
    </w:p>
    <w:p w14:paraId="54CEE120" w14:textId="77777777" w:rsidR="00553E10" w:rsidRDefault="00553E10" w:rsidP="00261AAC">
      <w:pPr>
        <w:ind w:right="270"/>
        <w:jc w:val="both"/>
      </w:pPr>
      <w:r w:rsidRPr="00CA16F0">
        <w:rPr>
          <w:i/>
        </w:rPr>
        <w:t>Results</w:t>
      </w:r>
    </w:p>
    <w:p w14:paraId="1DA818DF" w14:textId="08F572F8" w:rsidR="00553E10" w:rsidRDefault="00F750C6" w:rsidP="00261AAC">
      <w:pPr>
        <w:ind w:right="270"/>
        <w:jc w:val="both"/>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261AAC">
      <w:pPr>
        <w:ind w:right="270"/>
        <w:jc w:val="both"/>
      </w:pPr>
    </w:p>
    <w:p w14:paraId="211C76D7" w14:textId="77777777" w:rsidR="007809DC" w:rsidRDefault="007809DC" w:rsidP="00261AAC">
      <w:pPr>
        <w:ind w:right="270"/>
        <w:jc w:val="both"/>
      </w:pPr>
    </w:p>
    <w:p w14:paraId="5553AD60" w14:textId="77777777" w:rsidR="00ED075F" w:rsidRDefault="00ED075F" w:rsidP="00261AAC">
      <w:pPr>
        <w:pStyle w:val="Heading2"/>
        <w:jc w:val="both"/>
      </w:pPr>
      <w:r>
        <w:t>Linked-read</w:t>
      </w:r>
      <w:r w:rsidRPr="00490077">
        <w:t xml:space="preserve"> library prep &amp; sequencing</w:t>
      </w:r>
      <w:r>
        <w:t xml:space="preserve"> (Figure 1C)</w:t>
      </w:r>
    </w:p>
    <w:p w14:paraId="062F315E" w14:textId="77777777" w:rsidR="00ED075F" w:rsidRDefault="00ED075F" w:rsidP="00261AAC">
      <w:pPr>
        <w:ind w:right="270"/>
        <w:jc w:val="both"/>
        <w:rPr>
          <w:i/>
        </w:rPr>
      </w:pPr>
      <w:r>
        <w:rPr>
          <w:i/>
        </w:rPr>
        <w:t>Methods</w:t>
      </w:r>
    </w:p>
    <w:p w14:paraId="5B858F6E" w14:textId="77777777" w:rsidR="00ED075F" w:rsidRPr="006C520D" w:rsidRDefault="00ED075F" w:rsidP="00261AAC">
      <w:pPr>
        <w:ind w:right="270"/>
        <w:jc w:val="both"/>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261AAC">
      <w:pPr>
        <w:ind w:right="270"/>
        <w:jc w:val="both"/>
      </w:pPr>
    </w:p>
    <w:p w14:paraId="78E43AFE" w14:textId="77777777" w:rsidR="00ED075F" w:rsidRPr="003F70AA" w:rsidRDefault="00ED075F" w:rsidP="00261AAC">
      <w:pPr>
        <w:ind w:right="270"/>
        <w:jc w:val="both"/>
        <w:rPr>
          <w:i/>
        </w:rPr>
      </w:pPr>
      <w:r>
        <w:rPr>
          <w:i/>
        </w:rPr>
        <w:t>R</w:t>
      </w:r>
      <w:r w:rsidRPr="00CB5BF7">
        <w:rPr>
          <w:i/>
        </w:rPr>
        <w:t>esults</w:t>
      </w:r>
    </w:p>
    <w:p w14:paraId="66B81942" w14:textId="77777777" w:rsidR="00ED075F" w:rsidRPr="0092079B" w:rsidRDefault="00ED075F" w:rsidP="00261AAC">
      <w:pPr>
        <w:ind w:right="270"/>
        <w:jc w:val="both"/>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261AAC">
      <w:pPr>
        <w:ind w:right="270"/>
        <w:jc w:val="both"/>
      </w:pPr>
    </w:p>
    <w:p w14:paraId="658B3FA7" w14:textId="77777777" w:rsidR="007809DC" w:rsidRDefault="007809DC" w:rsidP="00261AAC">
      <w:pPr>
        <w:ind w:right="270"/>
        <w:jc w:val="both"/>
      </w:pPr>
    </w:p>
    <w:p w14:paraId="085016C4" w14:textId="4A4EA24B" w:rsidR="00ED075F" w:rsidRDefault="00ED075F" w:rsidP="00261AAC">
      <w:pPr>
        <w:pStyle w:val="Heading2"/>
        <w:jc w:val="both"/>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261AAC">
      <w:pPr>
        <w:ind w:right="270"/>
        <w:jc w:val="both"/>
        <w:rPr>
          <w:i/>
        </w:rPr>
      </w:pPr>
      <w:r>
        <w:rPr>
          <w:i/>
        </w:rPr>
        <w:t>Methods</w:t>
      </w:r>
    </w:p>
    <w:p w14:paraId="32F971F2" w14:textId="3BD3A08D" w:rsidR="00744B37" w:rsidRDefault="003E196B" w:rsidP="00261AAC">
      <w:pPr>
        <w:ind w:right="270"/>
        <w:jc w:val="both"/>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w:t>
      </w:r>
      <w:r w:rsidR="00744B37">
        <w:lastRenderedPageBreak/>
        <w:t xml:space="preserve">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261AAC">
      <w:pPr>
        <w:ind w:right="270"/>
        <w:jc w:val="both"/>
      </w:pPr>
    </w:p>
    <w:p w14:paraId="65298862" w14:textId="65AF53B2" w:rsidR="00ED075F" w:rsidRDefault="00ED075F" w:rsidP="00261AAC">
      <w:pPr>
        <w:ind w:right="270"/>
        <w:jc w:val="both"/>
        <w:rPr>
          <w:i/>
        </w:rPr>
      </w:pPr>
      <w:r>
        <w:rPr>
          <w:i/>
        </w:rPr>
        <w:t>Results</w:t>
      </w:r>
    </w:p>
    <w:p w14:paraId="7ECEF8BE" w14:textId="40C3167E" w:rsidR="00ED075F" w:rsidRDefault="00ED075F" w:rsidP="00261AAC">
      <w:pPr>
        <w:ind w:right="270"/>
        <w:jc w:val="both"/>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261AAC">
      <w:pPr>
        <w:ind w:right="270"/>
        <w:jc w:val="both"/>
      </w:pPr>
    </w:p>
    <w:p w14:paraId="12E31764" w14:textId="77777777" w:rsidR="007809DC" w:rsidRDefault="007809DC" w:rsidP="00261AAC">
      <w:pPr>
        <w:ind w:right="270"/>
        <w:jc w:val="both"/>
      </w:pPr>
    </w:p>
    <w:p w14:paraId="6EB95429" w14:textId="710EC926" w:rsidR="002C4E60" w:rsidRDefault="002C4E60"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261AAC">
      <w:pPr>
        <w:ind w:right="270"/>
        <w:jc w:val="both"/>
        <w:rPr>
          <w:b/>
          <w:i/>
        </w:rPr>
      </w:pPr>
    </w:p>
    <w:p w14:paraId="3299419F" w14:textId="77777777" w:rsidR="007809DC" w:rsidRDefault="007809DC" w:rsidP="00261AAC">
      <w:pPr>
        <w:ind w:right="270"/>
        <w:jc w:val="both"/>
        <w:rPr>
          <w:b/>
          <w:i/>
        </w:rPr>
      </w:pPr>
    </w:p>
    <w:p w14:paraId="6D15DC34" w14:textId="703D4C70" w:rsidR="006F47E9" w:rsidRDefault="006F47E9" w:rsidP="00261AAC">
      <w:pPr>
        <w:pStyle w:val="Heading2"/>
        <w:jc w:val="both"/>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261AAC">
      <w:pPr>
        <w:ind w:right="270"/>
        <w:jc w:val="both"/>
        <w:rPr>
          <w:i/>
        </w:rPr>
      </w:pPr>
      <w:r w:rsidRPr="00E05524">
        <w:rPr>
          <w:i/>
        </w:rPr>
        <w:t>Methods</w:t>
      </w:r>
    </w:p>
    <w:p w14:paraId="72BDE343" w14:textId="2D05026A" w:rsidR="006F47E9" w:rsidRDefault="006F47E9" w:rsidP="00261AAC">
      <w:pPr>
        <w:jc w:val="both"/>
      </w:pPr>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261AAC">
      <w:pPr>
        <w:jc w:val="both"/>
      </w:pPr>
    </w:p>
    <w:p w14:paraId="0B9B1AA6" w14:textId="2EE1CD5A" w:rsidR="00EC7D9F" w:rsidRDefault="00EC7D9F" w:rsidP="00261AAC">
      <w:pPr>
        <w:ind w:right="270"/>
        <w:jc w:val="both"/>
        <w:rPr>
          <w:i/>
        </w:rPr>
      </w:pPr>
      <w:r>
        <w:rPr>
          <w:i/>
        </w:rPr>
        <w:t>Results</w:t>
      </w:r>
    </w:p>
    <w:p w14:paraId="33F1E8BA" w14:textId="6AB62537" w:rsidR="00EC7D9F" w:rsidRPr="0092079B" w:rsidRDefault="000176C2" w:rsidP="00261AAC">
      <w:pPr>
        <w:ind w:right="270"/>
        <w:jc w:val="both"/>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261AAC">
      <w:pPr>
        <w:jc w:val="both"/>
      </w:pPr>
    </w:p>
    <w:p w14:paraId="03051395" w14:textId="77777777" w:rsidR="00457C75" w:rsidRPr="00D417D1" w:rsidRDefault="00457C75" w:rsidP="00261AAC">
      <w:pPr>
        <w:ind w:right="270"/>
        <w:jc w:val="both"/>
      </w:pPr>
    </w:p>
    <w:p w14:paraId="74CCFB44" w14:textId="3C7D5DC5" w:rsidR="00457C75" w:rsidRPr="00ED5520" w:rsidRDefault="00457C75" w:rsidP="00261AAC">
      <w:pPr>
        <w:pStyle w:val="Heading2"/>
        <w:jc w:val="both"/>
      </w:pPr>
      <w:r w:rsidRPr="00ED5520">
        <w:t>Linked-read post-sequencing quality control</w:t>
      </w:r>
      <w:r>
        <w:t xml:space="preserve"> (Figure 1</w:t>
      </w:r>
      <w:r w:rsidR="00D875FB">
        <w:t>C</w:t>
      </w:r>
      <w:r>
        <w:t>)</w:t>
      </w:r>
    </w:p>
    <w:p w14:paraId="76D059C7" w14:textId="77777777" w:rsidR="00457C75" w:rsidRPr="00ED5520" w:rsidRDefault="00457C75" w:rsidP="00261AAC">
      <w:pPr>
        <w:ind w:right="270"/>
        <w:jc w:val="both"/>
        <w:rPr>
          <w:i/>
        </w:rPr>
      </w:pPr>
      <w:r>
        <w:rPr>
          <w:i/>
        </w:rPr>
        <w:t>Methods</w:t>
      </w:r>
    </w:p>
    <w:p w14:paraId="32111BA8" w14:textId="72892593" w:rsidR="00457C75" w:rsidRDefault="00457C75" w:rsidP="00261AAC">
      <w:pPr>
        <w:ind w:right="270"/>
        <w:jc w:val="both"/>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261AAC">
      <w:pPr>
        <w:ind w:right="270" w:firstLine="720"/>
        <w:jc w:val="both"/>
      </w:pPr>
    </w:p>
    <w:p w14:paraId="7E70A220" w14:textId="423DFA18" w:rsidR="00457C75" w:rsidRPr="0014278B" w:rsidRDefault="003F70AA" w:rsidP="00261AAC">
      <w:pPr>
        <w:ind w:right="270"/>
        <w:jc w:val="both"/>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Uncontaminated samples are expected to have a single peak with a surplus of k-mers at a very low frequency </w:t>
      </w:r>
      <w:r w:rsidR="007521D6">
        <w:lastRenderedPageBreak/>
        <w:t>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261AAC">
      <w:pPr>
        <w:ind w:right="270"/>
        <w:jc w:val="both"/>
      </w:pPr>
    </w:p>
    <w:p w14:paraId="24B2C36C" w14:textId="648181BE" w:rsidR="005738DD" w:rsidRPr="00D96AC9" w:rsidRDefault="005738DD" w:rsidP="00261AAC">
      <w:pPr>
        <w:ind w:right="270"/>
        <w:jc w:val="both"/>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261AAC">
      <w:pPr>
        <w:ind w:right="270"/>
        <w:jc w:val="both"/>
        <w:rPr>
          <w:i/>
        </w:rPr>
      </w:pPr>
    </w:p>
    <w:p w14:paraId="71EDBEE3" w14:textId="2B23550C" w:rsidR="003F70AA" w:rsidRDefault="003F70AA" w:rsidP="00261AAC">
      <w:pPr>
        <w:ind w:right="270"/>
        <w:jc w:val="both"/>
        <w:rPr>
          <w:i/>
        </w:rPr>
      </w:pPr>
      <w:r>
        <w:rPr>
          <w:i/>
        </w:rPr>
        <w:t>Results</w:t>
      </w:r>
    </w:p>
    <w:p w14:paraId="580FA42B" w14:textId="2ADEBE87" w:rsidR="003F70AA" w:rsidRPr="00D96AC9" w:rsidRDefault="003F70AA" w:rsidP="00261AAC">
      <w:pPr>
        <w:ind w:right="270"/>
        <w:jc w:val="both"/>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261AAC">
      <w:pPr>
        <w:ind w:right="270"/>
        <w:jc w:val="both"/>
      </w:pPr>
    </w:p>
    <w:p w14:paraId="035F8A7D" w14:textId="77777777" w:rsidR="00457C75" w:rsidRDefault="00457C75" w:rsidP="00261AAC">
      <w:pPr>
        <w:jc w:val="both"/>
      </w:pPr>
    </w:p>
    <w:p w14:paraId="230E25BB" w14:textId="3C0374A8" w:rsidR="00457C75" w:rsidRPr="00E05524" w:rsidRDefault="00457C75" w:rsidP="00261AAC">
      <w:pPr>
        <w:pStyle w:val="Heading2"/>
        <w:jc w:val="both"/>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261AAC">
      <w:pPr>
        <w:ind w:right="270"/>
        <w:jc w:val="both"/>
        <w:rPr>
          <w:i/>
        </w:rPr>
      </w:pPr>
      <w:r w:rsidRPr="00E05524">
        <w:rPr>
          <w:i/>
        </w:rPr>
        <w:t>Methods</w:t>
      </w:r>
    </w:p>
    <w:p w14:paraId="7E57F4FF" w14:textId="33694909" w:rsidR="004E0DAE" w:rsidRDefault="004E0DAE" w:rsidP="00261AAC">
      <w:pPr>
        <w:ind w:right="270"/>
        <w:jc w:val="both"/>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261AAC">
      <w:pPr>
        <w:ind w:right="270"/>
        <w:jc w:val="both"/>
      </w:pPr>
      <w:r>
        <w:t xml:space="preserve"> </w:t>
      </w:r>
    </w:p>
    <w:p w14:paraId="263F83B5" w14:textId="67A466E0" w:rsidR="00457C75" w:rsidRPr="00E05524" w:rsidRDefault="00867C19" w:rsidP="00261AAC">
      <w:pPr>
        <w:ind w:right="270"/>
        <w:jc w:val="both"/>
        <w:rPr>
          <w:i/>
        </w:rPr>
      </w:pPr>
      <w:r>
        <w:rPr>
          <w:i/>
        </w:rPr>
        <w:t>Results</w:t>
      </w:r>
    </w:p>
    <w:p w14:paraId="6DAC8799" w14:textId="3FC71822" w:rsidR="00457C75" w:rsidRDefault="00867C19" w:rsidP="00261AAC">
      <w:pPr>
        <w:ind w:right="270"/>
        <w:jc w:val="both"/>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261AAC">
      <w:pPr>
        <w:jc w:val="both"/>
      </w:pPr>
    </w:p>
    <w:p w14:paraId="4B7AE63E" w14:textId="77777777" w:rsidR="00457C75" w:rsidRPr="00D417D1" w:rsidRDefault="00457C75" w:rsidP="00261AAC">
      <w:pPr>
        <w:ind w:right="270"/>
        <w:jc w:val="both"/>
      </w:pPr>
    </w:p>
    <w:p w14:paraId="018B102E" w14:textId="02C91B92" w:rsidR="006F47E9" w:rsidRPr="00E05524" w:rsidRDefault="00867C19" w:rsidP="00261AAC">
      <w:pPr>
        <w:pStyle w:val="Heading2"/>
        <w:jc w:val="both"/>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261AAC">
      <w:pPr>
        <w:ind w:right="270"/>
        <w:jc w:val="both"/>
        <w:rPr>
          <w:i/>
        </w:rPr>
      </w:pPr>
      <w:r>
        <w:rPr>
          <w:i/>
        </w:rPr>
        <w:t xml:space="preserve">Methods </w:t>
      </w:r>
    </w:p>
    <w:p w14:paraId="4429CB29" w14:textId="7A74DE0B" w:rsidR="0070701F" w:rsidRDefault="0070701F" w:rsidP="00261AAC">
      <w:pPr>
        <w:ind w:right="270"/>
        <w:jc w:val="both"/>
      </w:pPr>
      <w:r>
        <w:t>Step 1: Use long-read sequencing data to create Draft Assembly A</w:t>
      </w:r>
    </w:p>
    <w:p w14:paraId="7D25CCEB" w14:textId="31DDD751" w:rsidR="0070701F" w:rsidRDefault="00237860" w:rsidP="00261AAC">
      <w:pPr>
        <w:ind w:right="270"/>
        <w:jc w:val="both"/>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xml:space="preserve">, and phased into primary and alternative </w:t>
      </w:r>
      <w:r w:rsidR="00927DF1">
        <w:lastRenderedPageBreak/>
        <w:t>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261AAC">
      <w:pPr>
        <w:ind w:right="270"/>
        <w:jc w:val="both"/>
      </w:pPr>
    </w:p>
    <w:p w14:paraId="7F87BDD6" w14:textId="42A0E77F" w:rsidR="0070701F" w:rsidRDefault="0070701F" w:rsidP="00261AAC">
      <w:pPr>
        <w:ind w:right="270"/>
        <w:jc w:val="both"/>
      </w:pPr>
      <w:r>
        <w:t>Step 2: Incorporate linked-reads into Draft Assembly A to produce Draft Assembly B</w:t>
      </w:r>
    </w:p>
    <w:p w14:paraId="08D6C878" w14:textId="0A071F36" w:rsidR="0070701F" w:rsidRDefault="00927DF1" w:rsidP="00261AAC">
      <w:pPr>
        <w:ind w:right="270"/>
        <w:jc w:val="both"/>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261AAC">
      <w:pPr>
        <w:ind w:right="270"/>
        <w:jc w:val="both"/>
      </w:pPr>
    </w:p>
    <w:p w14:paraId="676EFBB5" w14:textId="0DFEFB8A" w:rsidR="0070701F" w:rsidRDefault="0070701F" w:rsidP="00261AAC">
      <w:pPr>
        <w:ind w:right="270"/>
        <w:jc w:val="both"/>
      </w:pPr>
      <w:r>
        <w:t>Step 3: Incorporate hi-c data into Draft Assembly B to produce Draft Assembly C</w:t>
      </w:r>
    </w:p>
    <w:p w14:paraId="3360C633" w14:textId="6642389F" w:rsidR="001846C6" w:rsidRDefault="00A20406" w:rsidP="00261AAC">
      <w:pPr>
        <w:ind w:right="270"/>
        <w:jc w:val="both"/>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261AAC">
      <w:pPr>
        <w:ind w:right="270"/>
        <w:jc w:val="both"/>
      </w:pPr>
    </w:p>
    <w:p w14:paraId="0EE4B812" w14:textId="1B5B53F0" w:rsidR="0070701F" w:rsidRDefault="0070701F" w:rsidP="00261AAC">
      <w:pPr>
        <w:ind w:right="270"/>
        <w:jc w:val="both"/>
      </w:pPr>
      <w:r>
        <w:t>Step 4: Use linkage map with Draft Assembly C to produce Final Assembly</w:t>
      </w:r>
    </w:p>
    <w:p w14:paraId="3BE1766A" w14:textId="105DF43C" w:rsidR="008E544E" w:rsidRDefault="00A20406" w:rsidP="00261AAC">
      <w:pPr>
        <w:ind w:right="270"/>
        <w:jc w:val="both"/>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261AAC">
      <w:pPr>
        <w:ind w:right="270"/>
        <w:jc w:val="both"/>
      </w:pPr>
    </w:p>
    <w:p w14:paraId="154F37AD" w14:textId="7555560E" w:rsidR="009D62D5" w:rsidRDefault="009D62D5" w:rsidP="00261AAC">
      <w:pPr>
        <w:ind w:right="270"/>
        <w:jc w:val="both"/>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261AAC">
      <w:pPr>
        <w:ind w:right="270"/>
        <w:jc w:val="both"/>
        <w:rPr>
          <w:color w:val="FF0000"/>
        </w:rPr>
      </w:pPr>
    </w:p>
    <w:p w14:paraId="1249177A" w14:textId="53D962F5" w:rsidR="00867C19" w:rsidRDefault="00867C19" w:rsidP="00261AAC">
      <w:pPr>
        <w:ind w:right="270"/>
        <w:jc w:val="both"/>
        <w:rPr>
          <w:i/>
        </w:rPr>
      </w:pPr>
      <w:r>
        <w:rPr>
          <w:i/>
        </w:rPr>
        <w:t>Results</w:t>
      </w:r>
    </w:p>
    <w:p w14:paraId="48A46166" w14:textId="22394A05" w:rsidR="00AB4990" w:rsidRDefault="008673C5" w:rsidP="00261AAC">
      <w:pPr>
        <w:ind w:right="270"/>
        <w:jc w:val="both"/>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261AAC">
      <w:pPr>
        <w:ind w:right="270"/>
        <w:jc w:val="both"/>
      </w:pPr>
    </w:p>
    <w:p w14:paraId="75757E52" w14:textId="729F32F9" w:rsidR="00D46F6C" w:rsidRDefault="00D46F6C" w:rsidP="00261AAC">
      <w:pPr>
        <w:ind w:right="270"/>
        <w:jc w:val="both"/>
      </w:pPr>
    </w:p>
    <w:p w14:paraId="60736A9F" w14:textId="77777777" w:rsidR="00261AAC" w:rsidRDefault="00261AAC" w:rsidP="00261AAC">
      <w:pPr>
        <w:ind w:right="270"/>
        <w:jc w:val="both"/>
      </w:pPr>
    </w:p>
    <w:p w14:paraId="5FCB745E" w14:textId="77777777"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85974">
        <w:rPr>
          <w:b/>
          <w:bCs/>
          <w:u w:val="single"/>
        </w:rPr>
        <w:lastRenderedPageBreak/>
        <w:t>BOX 4</w:t>
      </w:r>
      <w:r>
        <w:t>: Assembly statistics</w:t>
      </w:r>
    </w:p>
    <w:p w14:paraId="1D893BF0" w14:textId="3C36D5C0"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sz w:val="10"/>
          <w:szCs w:val="10"/>
        </w:rPr>
      </w:pPr>
      <w:r w:rsidRPr="00D46F6C">
        <w:rPr>
          <w:sz w:val="10"/>
          <w:szCs w:val="10"/>
        </w:rPr>
        <w:t>Figure taken from: https://www.molecularecologist.com/2017/03/29/whats-n50/</w:t>
      </w:r>
    </w:p>
    <w:p w14:paraId="13476037" w14:textId="3442E936" w:rsidR="003A7140" w:rsidRDefault="003A7140" w:rsidP="00261AAC">
      <w:pPr>
        <w:ind w:right="270"/>
        <w:jc w:val="both"/>
      </w:pPr>
    </w:p>
    <w:p w14:paraId="434450C9" w14:textId="7C947755" w:rsidR="003A7140" w:rsidRPr="003A7140" w:rsidRDefault="00A11F46" w:rsidP="00261AAC">
      <w:pPr>
        <w:pStyle w:val="Heading2"/>
        <w:jc w:val="both"/>
      </w:pPr>
      <w:r w:rsidRPr="003A7140">
        <w:t>Cytogenic</w:t>
      </w:r>
      <w:r w:rsidR="003A7140">
        <w:t xml:space="preserve"> (Karyotype)</w:t>
      </w:r>
      <w:r w:rsidR="003A7140" w:rsidRPr="003A7140">
        <w:t xml:space="preserve"> Chromosome Validation</w:t>
      </w:r>
    </w:p>
    <w:p w14:paraId="2EDC15F9" w14:textId="3A860F4C" w:rsidR="003A7140" w:rsidRDefault="003A7140" w:rsidP="00261AAC">
      <w:pPr>
        <w:jc w:val="both"/>
      </w:pPr>
      <w:r>
        <w:rPr>
          <w:i/>
          <w:iCs/>
        </w:rPr>
        <w:t>Methods</w:t>
      </w:r>
    </w:p>
    <w:p w14:paraId="59AF609A" w14:textId="674E660A" w:rsidR="003A7140" w:rsidRDefault="00A11F46" w:rsidP="00261AAC">
      <w:pPr>
        <w:jc w:val="both"/>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261AAC">
      <w:pPr>
        <w:jc w:val="both"/>
        <w:rPr>
          <w:rFonts w:ascii="Times" w:hAnsi="Times"/>
        </w:rPr>
      </w:pPr>
    </w:p>
    <w:p w14:paraId="4C43BAF6" w14:textId="3C8F625F" w:rsidR="003A7140" w:rsidRDefault="003A7140" w:rsidP="00261AAC">
      <w:pPr>
        <w:jc w:val="both"/>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261AAC">
      <w:pPr>
        <w:ind w:right="270"/>
        <w:jc w:val="both"/>
      </w:pPr>
    </w:p>
    <w:p w14:paraId="3A78772E" w14:textId="77777777" w:rsidR="0015704C" w:rsidRDefault="00A11F46" w:rsidP="00261AAC">
      <w:pPr>
        <w:jc w:val="both"/>
      </w:pPr>
      <w:r>
        <w:rPr>
          <w:i/>
          <w:iCs/>
        </w:rPr>
        <w:t>Results</w:t>
      </w:r>
    </w:p>
    <w:p w14:paraId="1BE23904" w14:textId="474AB536" w:rsidR="00A11F46" w:rsidRDefault="00A11F46" w:rsidP="00261AAC">
      <w:pPr>
        <w:jc w:val="both"/>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261AAC">
      <w:pPr>
        <w:ind w:right="270"/>
        <w:jc w:val="both"/>
      </w:pPr>
    </w:p>
    <w:p w14:paraId="278328C0" w14:textId="3C97D572" w:rsidR="001B4B9F" w:rsidRPr="00D96AC9" w:rsidRDefault="00106145" w:rsidP="00261AAC">
      <w:pPr>
        <w:pStyle w:val="Heading1"/>
        <w:jc w:val="both"/>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261AAC">
      <w:pPr>
        <w:ind w:right="270"/>
        <w:jc w:val="both"/>
        <w:rPr>
          <w:b/>
        </w:rPr>
      </w:pPr>
    </w:p>
    <w:p w14:paraId="582DEB3C" w14:textId="52086DA3" w:rsidR="001B4B9F" w:rsidRDefault="00A85974" w:rsidP="00261AAC">
      <w:pPr>
        <w:pStyle w:val="Heading2"/>
        <w:jc w:val="both"/>
      </w:pPr>
      <w:r>
        <w:t>Background</w:t>
      </w:r>
    </w:p>
    <w:p w14:paraId="7C1008FB" w14:textId="384E09B2" w:rsidR="001B4B9F" w:rsidRDefault="001B4B9F" w:rsidP="00261AAC">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w:t>
      </w:r>
      <w:r w:rsidR="00A14B4E">
        <w:rPr>
          <w:bCs/>
          <w:iCs/>
          <w:lang w:val="en"/>
        </w:rPr>
        <w:t>provides</w:t>
      </w:r>
      <w:r w:rsidRPr="001B4B9F">
        <w:rPr>
          <w:bCs/>
          <w:iCs/>
          <w:lang w:val="en"/>
        </w:rPr>
        <w:t xml:space="preserve"> more power to make precise estimates by increasing the number of </w:t>
      </w:r>
      <w:commentRangeStart w:id="5"/>
      <w:r w:rsidRPr="001B4B9F">
        <w:rPr>
          <w:bCs/>
          <w:iCs/>
          <w:lang w:val="en"/>
        </w:rPr>
        <w:t>putatively neutral markers</w:t>
      </w:r>
      <w:commentRangeEnd w:id="5"/>
      <w:r w:rsidR="00DD4878">
        <w:rPr>
          <w:rStyle w:val="CommentReference"/>
        </w:rPr>
        <w:commentReference w:id="5"/>
      </w:r>
      <w:r w:rsidRPr="001B4B9F">
        <w:rPr>
          <w:bCs/>
          <w:iCs/>
          <w:lang w:val="en"/>
        </w:rPr>
        <w:t>.</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261AAC">
      <w:pPr>
        <w:ind w:right="270"/>
        <w:jc w:val="both"/>
        <w:rPr>
          <w:bCs/>
          <w:iCs/>
        </w:rPr>
      </w:pPr>
    </w:p>
    <w:p w14:paraId="45F0E79F" w14:textId="6FF4F246" w:rsidR="000532D5" w:rsidRDefault="006A7615" w:rsidP="00261AAC">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w:t>
      </w:r>
      <w:r w:rsidR="00DD4878">
        <w:rPr>
          <w:bCs/>
          <w:iCs/>
          <w:lang w:val="en"/>
        </w:rPr>
        <w:t>for</w:t>
      </w:r>
      <w:r w:rsidR="001B4B9F" w:rsidRPr="001B4B9F">
        <w:rPr>
          <w:bCs/>
          <w:iCs/>
          <w:lang w:val="en"/>
        </w:rPr>
        <w:t xml:space="preserve"> monitoring endangered populations as it can inform </w:t>
      </w:r>
      <w:r w:rsidR="00DD4878">
        <w:rPr>
          <w:bCs/>
          <w:iCs/>
          <w:lang w:val="en"/>
        </w:rPr>
        <w:t xml:space="preserve">the likelihood of a given allele </w:t>
      </w:r>
      <w:r w:rsidR="001B4B9F" w:rsidRPr="001B4B9F">
        <w:rPr>
          <w:bCs/>
          <w:iCs/>
          <w:lang w:val="en"/>
        </w:rPr>
        <w:t>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w:t>
      </w:r>
      <w:r w:rsidR="00DD4878">
        <w:rPr>
          <w:bCs/>
          <w:iCs/>
          <w:lang w:val="en"/>
        </w:rPr>
        <w:t>-</w:t>
      </w:r>
      <w:r w:rsidR="001B4B9F" w:rsidRPr="001B4B9F">
        <w:rPr>
          <w:bCs/>
          <w:iCs/>
          <w:lang w:val="en"/>
        </w:rPr>
        <w:t>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0532D5">
        <w:rPr>
          <w:bCs/>
          <w:iCs/>
          <w:lang w:val="en"/>
        </w:rPr>
        <w:t xml:space="preserve"> Estimat</w:t>
      </w:r>
      <w:r w:rsidR="00DD4878">
        <w:rPr>
          <w:bCs/>
          <w:iCs/>
          <w:lang w:val="en"/>
        </w:rPr>
        <w:t>es</w:t>
      </w:r>
      <w:r w:rsidR="000532D5">
        <w:rPr>
          <w:bCs/>
          <w:iCs/>
          <w:lang w:val="en"/>
        </w:rPr>
        <w:t xml:space="preserve"> can be highly variable depending on statistical priors and may not be useful as an absolute value taken alone and without further modeling. Therefore, the purpose of this study is to observe trends in the delta smelt population</w:t>
      </w:r>
      <w:r w:rsidR="00D17773">
        <w:rPr>
          <w:bCs/>
          <w:iCs/>
          <w:lang w:val="en"/>
        </w:rPr>
        <w:t xml:space="preserve"> through </w:t>
      </w:r>
      <w:r w:rsidR="00A14B4E">
        <w:rPr>
          <w:bCs/>
          <w:iCs/>
          <w:lang w:val="en"/>
        </w:rPr>
        <w:t>rather than to define a single absolute value</w:t>
      </w:r>
      <w:r w:rsidR="000532D5">
        <w:rPr>
          <w:bCs/>
          <w:iCs/>
          <w:lang w:val="en"/>
        </w:rPr>
        <w:t>.</w:t>
      </w:r>
    </w:p>
    <w:p w14:paraId="7885BF33" w14:textId="77777777" w:rsidR="000532D5" w:rsidRDefault="000532D5" w:rsidP="00261AAC">
      <w:pPr>
        <w:ind w:right="270"/>
        <w:jc w:val="both"/>
        <w:rPr>
          <w:bCs/>
          <w:iCs/>
          <w:lang w:val="en"/>
        </w:rPr>
      </w:pPr>
    </w:p>
    <w:p w14:paraId="0FF9D580" w14:textId="506240DE" w:rsidR="001B4B9F" w:rsidRPr="001B4B9F" w:rsidRDefault="001B4B9F" w:rsidP="0039013A">
      <w:pPr>
        <w:ind w:right="270"/>
        <w:jc w:val="both"/>
        <w:rPr>
          <w:bCs/>
          <w:iCs/>
          <w:lang w:val="en"/>
        </w:rPr>
      </w:pPr>
      <w:commentRangeStart w:id="6"/>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w:t>
      </w:r>
      <w:r w:rsidR="00A14B4E">
        <w:rPr>
          <w:bCs/>
          <w:iCs/>
          <w:lang w:val="en"/>
        </w:rPr>
        <w:t xml:space="preserve">broad </w:t>
      </w:r>
      <w:r w:rsidRPr="001B4B9F">
        <w:rPr>
          <w:bCs/>
          <w:iCs/>
          <w:lang w:val="en"/>
        </w:rPr>
        <w:t xml:space="preserve">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w:t>
      </w:r>
      <w:r w:rsidR="00A14B4E">
        <w:rPr>
          <w:bCs/>
          <w:iCs/>
          <w:lang w:val="en"/>
        </w:rPr>
        <w:t>which</w:t>
      </w:r>
      <w:r w:rsidRPr="001B4B9F">
        <w:rPr>
          <w:bCs/>
          <w:iCs/>
          <w:lang w:val="en"/>
        </w:rPr>
        <w:t xml:space="preserve">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commentRangeEnd w:id="6"/>
      <w:r w:rsidR="00DD4878">
        <w:rPr>
          <w:rStyle w:val="CommentReference"/>
        </w:rPr>
        <w:commentReference w:id="6"/>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w:t>
      </w:r>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w:t>
      </w:r>
      <w:commentRangeStart w:id="7"/>
      <w:r w:rsidRPr="001B4B9F">
        <w:rPr>
          <w:bCs/>
          <w:iCs/>
          <w:lang w:val="en"/>
        </w:rPr>
        <w:t>important</w:t>
      </w:r>
      <w:r w:rsidR="00A85784">
        <w:rPr>
          <w:bCs/>
          <w:iCs/>
          <w:lang w:val="en"/>
        </w:rPr>
        <w:t>.</w:t>
      </w:r>
      <w:r w:rsidRPr="001B4B9F">
        <w:rPr>
          <w:bCs/>
          <w:iCs/>
          <w:lang w:val="en"/>
        </w:rPr>
        <w:t xml:space="preserve"> </w:t>
      </w:r>
      <w:r w:rsidR="00A85784">
        <w:rPr>
          <w:bCs/>
          <w:iCs/>
          <w:lang w:val="en"/>
        </w:rPr>
        <w:t>W</w:t>
      </w:r>
      <w:r w:rsidRPr="001B4B9F">
        <w:rPr>
          <w:bCs/>
          <w:iCs/>
          <w:lang w:val="en"/>
        </w:rPr>
        <w:t xml:space="preserve">hen </w:t>
      </w:r>
      <w:commentRangeEnd w:id="7"/>
      <w:r w:rsidR="00A85784">
        <w:rPr>
          <w:rStyle w:val="CommentReference"/>
        </w:rPr>
        <w:commentReference w:id="7"/>
      </w:r>
      <w:r w:rsidRPr="001B4B9F">
        <w:rPr>
          <w:bCs/>
          <w:iCs/>
          <w:lang w:val="en"/>
        </w:rPr>
        <w:t>protecting endangered species</w:t>
      </w:r>
      <w:r w:rsidR="00A85784">
        <w:rPr>
          <w:bCs/>
          <w:iCs/>
          <w:lang w:val="en"/>
        </w:rPr>
        <w:t>, it is often critical</w:t>
      </w:r>
      <w:r w:rsidRPr="001B4B9F">
        <w:rPr>
          <w:bCs/>
          <w:iCs/>
          <w:lang w:val="en"/>
        </w:rPr>
        <w:t xml:space="preserve"> </w:t>
      </w:r>
      <w:r w:rsidR="006A7615">
        <w:rPr>
          <w:bCs/>
          <w:iCs/>
          <w:lang w:val="en"/>
        </w:rPr>
        <w:t>to</w:t>
      </w:r>
      <w:r w:rsidRPr="001B4B9F">
        <w:rPr>
          <w:bCs/>
          <w:iCs/>
          <w:lang w:val="en"/>
        </w:rPr>
        <w:t xml:space="preserve"> seek to increase or maintain genetic diversity, as </w:t>
      </w:r>
      <w:r w:rsidR="00A85784">
        <w:rPr>
          <w:bCs/>
          <w:iCs/>
          <w:lang w:val="en"/>
        </w:rPr>
        <w:t xml:space="preserve">genetic variation </w:t>
      </w:r>
      <w:r w:rsidRPr="001B4B9F">
        <w:rPr>
          <w:bCs/>
          <w:iCs/>
          <w:lang w:val="en"/>
        </w:rPr>
        <w:t xml:space="preserve">is the raw component </w:t>
      </w:r>
      <w:r w:rsidR="00A85784">
        <w:rPr>
          <w:bCs/>
          <w:iCs/>
          <w:lang w:val="en"/>
        </w:rPr>
        <w:t>that</w:t>
      </w:r>
      <w:r w:rsidRPr="001B4B9F">
        <w:rPr>
          <w:bCs/>
          <w:iCs/>
          <w:lang w:val="en"/>
        </w:rPr>
        <w:t xml:space="preserve"> natural selection act</w:t>
      </w:r>
      <w:r w:rsidR="00A85784">
        <w:rPr>
          <w:bCs/>
          <w:iCs/>
          <w:lang w:val="en"/>
        </w:rPr>
        <w:t>s</w:t>
      </w:r>
      <w:r w:rsidRPr="001B4B9F">
        <w:rPr>
          <w:bCs/>
          <w:iCs/>
          <w:lang w:val="en"/>
        </w:rPr>
        <w:t xml:space="preserve"> </w:t>
      </w:r>
      <w:r w:rsidR="00A85784">
        <w:rPr>
          <w:bCs/>
          <w:iCs/>
          <w:lang w:val="en"/>
        </w:rPr>
        <w:t>up</w:t>
      </w:r>
      <w:r w:rsidRPr="001B4B9F">
        <w:rPr>
          <w:bCs/>
          <w:iCs/>
          <w:lang w:val="en"/>
        </w:rPr>
        <w:t>on</w:t>
      </w:r>
      <w:r w:rsidR="00A85784">
        <w:rPr>
          <w:bCs/>
          <w:iCs/>
          <w:lang w:val="en"/>
        </w:rPr>
        <w:t xml:space="preserve">. </w:t>
      </w:r>
      <w:commentRangeStart w:id="8"/>
      <w:r w:rsidR="006A7615">
        <w:rPr>
          <w:bCs/>
          <w:iCs/>
          <w:lang w:val="en"/>
        </w:rPr>
        <w:t xml:space="preserve">and better </w:t>
      </w:r>
      <w:r w:rsidR="00D17773">
        <w:rPr>
          <w:bCs/>
          <w:iCs/>
          <w:lang w:val="en"/>
        </w:rPr>
        <w:t>understand</w:t>
      </w:r>
      <w:r w:rsidR="006A7615">
        <w:rPr>
          <w:bCs/>
          <w:iCs/>
          <w:lang w:val="en"/>
        </w:rPr>
        <w:t xml:space="preserve"> how management practices may be effecting the genetic diversity of </w:t>
      </w:r>
      <w:r w:rsidR="00D17773">
        <w:rPr>
          <w:bCs/>
          <w:iCs/>
          <w:lang w:val="en"/>
        </w:rPr>
        <w:t>populations</w:t>
      </w:r>
      <w:r w:rsidRPr="001B4B9F">
        <w:rPr>
          <w:bCs/>
          <w:iCs/>
          <w:lang w:val="en"/>
        </w:rPr>
        <w:t xml:space="preserve">. </w:t>
      </w:r>
      <w:commentRangeEnd w:id="8"/>
      <w:r w:rsidR="00A85784">
        <w:rPr>
          <w:rStyle w:val="CommentReference"/>
        </w:rPr>
        <w:commentReference w:id="8"/>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261AAC">
      <w:pPr>
        <w:ind w:right="270"/>
        <w:jc w:val="both"/>
        <w:rPr>
          <w:bCs/>
          <w:iCs/>
          <w:lang w:val="en"/>
        </w:rPr>
      </w:pPr>
      <w:r w:rsidRPr="001B4B9F">
        <w:rPr>
          <w:bCs/>
          <w:iCs/>
          <w:lang w:val="en"/>
        </w:rPr>
        <w:t xml:space="preserve"> </w:t>
      </w:r>
    </w:p>
    <w:p w14:paraId="1D143A46" w14:textId="645F617C" w:rsidR="001B4B9F" w:rsidRPr="001B4B9F" w:rsidRDefault="001B4B9F" w:rsidP="00261AAC">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9"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r w:rsidR="00D17773">
        <w:rPr>
          <w:bCs/>
          <w:iCs/>
          <w:lang w:val="en"/>
        </w:rPr>
        <w:t>––and using more markers</w:t>
      </w:r>
      <w:r w:rsidR="006A7615">
        <w:rPr>
          <w:bCs/>
          <w:iCs/>
          <w:lang w:val="en"/>
        </w:rPr>
        <w:t>.</w:t>
      </w:r>
    </w:p>
    <w:p w14:paraId="77D8C357" w14:textId="6C429A2F" w:rsidR="001B4B9F" w:rsidRDefault="001B4B9F" w:rsidP="00261AAC">
      <w:pPr>
        <w:ind w:right="270"/>
        <w:jc w:val="both"/>
        <w:rPr>
          <w:bCs/>
          <w:iCs/>
        </w:rPr>
      </w:pPr>
    </w:p>
    <w:p w14:paraId="026803A4" w14:textId="1521FD10" w:rsidR="00984AE7" w:rsidRPr="00D96AC9" w:rsidRDefault="00984AE7" w:rsidP="00261AAC">
      <w:pPr>
        <w:ind w:right="270"/>
        <w:jc w:val="both"/>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261AAC">
      <w:pPr>
        <w:ind w:right="270"/>
        <w:jc w:val="both"/>
        <w:rPr>
          <w:i/>
        </w:rPr>
      </w:pPr>
      <w:r w:rsidRPr="000D71F5">
        <w:rPr>
          <w:i/>
        </w:rPr>
        <w:t>Methods</w:t>
      </w:r>
    </w:p>
    <w:p w14:paraId="2802C450" w14:textId="491321DC" w:rsidR="001B4B9F" w:rsidRPr="001B4B9F" w:rsidRDefault="001B4B9F" w:rsidP="00261AAC">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261AAC">
      <w:pPr>
        <w:ind w:right="270"/>
        <w:jc w:val="both"/>
        <w:rPr>
          <w:bCs/>
          <w:iCs/>
          <w:lang w:val="en"/>
        </w:rPr>
      </w:pPr>
      <w:r w:rsidRPr="001B4B9F">
        <w:rPr>
          <w:bCs/>
          <w:iCs/>
          <w:lang w:val="en"/>
        </w:rPr>
        <w:t xml:space="preserve"> </w:t>
      </w:r>
    </w:p>
    <w:p w14:paraId="1BD1876E" w14:textId="109CF804" w:rsidR="00A85974" w:rsidRPr="00DA18B8" w:rsidRDefault="00A85974" w:rsidP="00261AAC">
      <w:pPr>
        <w:ind w:right="270"/>
        <w:jc w:val="both"/>
        <w:rPr>
          <w:bCs/>
          <w:i/>
          <w:lang w:val="en"/>
        </w:rPr>
      </w:pPr>
      <w:r w:rsidRPr="00DA18B8">
        <w:rPr>
          <w:bCs/>
          <w:i/>
          <w:lang w:val="en"/>
        </w:rPr>
        <w:t>Results</w:t>
      </w:r>
    </w:p>
    <w:p w14:paraId="70E36573" w14:textId="008A3A47" w:rsidR="00A85974" w:rsidRDefault="00A85974" w:rsidP="00261AAC">
      <w:pPr>
        <w:ind w:right="270"/>
        <w:jc w:val="both"/>
        <w:rPr>
          <w:bCs/>
          <w:iCs/>
          <w:lang w:val="en"/>
        </w:rPr>
      </w:pPr>
      <w:r>
        <w:rPr>
          <w:bCs/>
          <w:iCs/>
          <w:lang w:val="en"/>
        </w:rPr>
        <w:t>A total of 2,976 samples from 24 years spanning 27 generations were sequenced</w:t>
      </w:r>
      <w:commentRangeStart w:id="10"/>
      <w:r>
        <w:rPr>
          <w:bCs/>
          <w:iCs/>
          <w:lang w:val="en"/>
        </w:rPr>
        <w:t>.</w:t>
      </w:r>
      <w:commentRangeEnd w:id="10"/>
      <w:r w:rsidR="00A85784">
        <w:rPr>
          <w:rStyle w:val="CommentReference"/>
        </w:rPr>
        <w:commentReference w:id="10"/>
      </w:r>
      <w:r>
        <w:rPr>
          <w:bCs/>
          <w:iCs/>
          <w:lang w:val="en"/>
        </w:rPr>
        <w:t xml:space="preserve"> </w:t>
      </w:r>
    </w:p>
    <w:p w14:paraId="51EA74BB" w14:textId="26D0ED35" w:rsidR="00DA18B8" w:rsidRDefault="00DA18B8" w:rsidP="00261AAC">
      <w:pPr>
        <w:ind w:right="270"/>
        <w:jc w:val="both"/>
        <w:rPr>
          <w:bCs/>
          <w:iCs/>
          <w:lang w:val="en"/>
        </w:rPr>
      </w:pPr>
    </w:p>
    <w:p w14:paraId="3828D9E7" w14:textId="77777777" w:rsidR="00BD396E" w:rsidRDefault="00BD396E" w:rsidP="00261AAC">
      <w:pPr>
        <w:ind w:right="270"/>
        <w:jc w:val="both"/>
        <w:rPr>
          <w:bCs/>
          <w:iCs/>
          <w:lang w:val="en"/>
        </w:rPr>
      </w:pPr>
    </w:p>
    <w:p w14:paraId="022979CA" w14:textId="14C115FB" w:rsidR="00DA18B8" w:rsidRDefault="00DA18B8" w:rsidP="00261AAC">
      <w:pPr>
        <w:pStyle w:val="Heading2"/>
        <w:jc w:val="both"/>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261AAC">
      <w:pPr>
        <w:ind w:right="270"/>
        <w:jc w:val="both"/>
        <w:rPr>
          <w:bCs/>
          <w:i/>
          <w:lang w:val="en"/>
        </w:rPr>
      </w:pPr>
      <w:r w:rsidRPr="00DA18B8">
        <w:rPr>
          <w:bCs/>
          <w:i/>
          <w:lang w:val="en"/>
        </w:rPr>
        <w:t>Methods</w:t>
      </w:r>
    </w:p>
    <w:p w14:paraId="0E010D19" w14:textId="4AF671D8" w:rsidR="003273B3" w:rsidRDefault="00DA18B8" w:rsidP="00261AAC">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files</w:t>
      </w:r>
      <w:r w:rsidR="00E458FD">
        <w:rPr>
          <w:bCs/>
          <w:iCs/>
          <w:lang w:val="en"/>
        </w:rPr>
        <w:t xml:space="preserve"> corresponding to single individuals</w:t>
      </w:r>
      <w:r w:rsidR="003273B3">
        <w:rPr>
          <w:bCs/>
          <w:iCs/>
          <w:lang w:val="en"/>
        </w:rPr>
        <w:t>,</w:t>
      </w:r>
      <w:r>
        <w:rPr>
          <w:bCs/>
          <w:iCs/>
          <w:lang w:val="en"/>
        </w:rPr>
        <w:t xml:space="preserve"> </w:t>
      </w:r>
      <w:r w:rsidR="00E458FD">
        <w:rPr>
          <w:bCs/>
          <w:iCs/>
          <w:lang w:val="en"/>
        </w:rPr>
        <w:t xml:space="preserve">each individual sequencing file must be </w:t>
      </w:r>
      <w:r>
        <w:rPr>
          <w:bCs/>
          <w:iCs/>
          <w:lang w:val="en"/>
        </w:rPr>
        <w:t xml:space="preserve">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w:t>
      </w:r>
      <w:r w:rsidR="00E458FD">
        <w:rPr>
          <w:bCs/>
          <w:iCs/>
          <w:lang w:val="en"/>
        </w:rPr>
        <w:t xml:space="preserve"> for all individuals</w:t>
      </w:r>
      <w:r>
        <w:rPr>
          <w:bCs/>
          <w:iCs/>
          <w:lang w:val="en"/>
        </w:rPr>
        <w:t>.</w:t>
      </w:r>
    </w:p>
    <w:p w14:paraId="5B3A0A30" w14:textId="77777777" w:rsidR="003273B3" w:rsidRDefault="003273B3" w:rsidP="00261AAC">
      <w:pPr>
        <w:ind w:right="270"/>
        <w:jc w:val="both"/>
        <w:rPr>
          <w:bCs/>
          <w:iCs/>
          <w:lang w:val="en"/>
        </w:rPr>
      </w:pPr>
    </w:p>
    <w:p w14:paraId="4579C3DF" w14:textId="3A2BADE9" w:rsidR="00626F2D" w:rsidRDefault="00DA18B8" w:rsidP="00261AAC">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w:t>
      </w:r>
      <w:r w:rsidR="00E458FD">
        <w:rPr>
          <w:bCs/>
          <w:iCs/>
          <w:lang w:val="en"/>
        </w:rPr>
        <w:t xml:space="preserve"> according to read name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sort)</w:t>
      </w:r>
      <w:r w:rsidR="00626F2D">
        <w:rPr>
          <w:bCs/>
          <w:iCs/>
          <w:lang w:val="en"/>
        </w:rPr>
        <w:t>,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xml:space="preserve">) and indexing the resulting files </w:t>
      </w:r>
      <w:ins w:id="11" w:author="Microsoft Office User" w:date="2021-06-02T09:40:00Z">
        <w:r w:rsidR="00A85784">
          <w:rPr>
            <w:bCs/>
            <w:iCs/>
            <w:lang w:val="en"/>
          </w:rPr>
          <w:t xml:space="preserve">to </w:t>
        </w:r>
      </w:ins>
      <w:r w:rsidR="00626F2D">
        <w:rPr>
          <w:bCs/>
          <w:iCs/>
          <w:lang w:val="en"/>
        </w:rPr>
        <w:t>create binary alignment map (BAM) files</w:t>
      </w:r>
      <w:r w:rsidR="00E458FD">
        <w:rPr>
          <w:bCs/>
          <w:iCs/>
          <w:lang w:val="en"/>
        </w:rPr>
        <w:t xml:space="preserv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index</w:t>
      </w:r>
      <w:r w:rsidR="00E458FD">
        <w:rPr>
          <w:bCs/>
          <w:iCs/>
          <w:lang w:val="en"/>
        </w:rPr>
        <w:t>)</w:t>
      </w:r>
      <w:r w:rsidR="00626F2D">
        <w:rPr>
          <w:bCs/>
          <w:iCs/>
          <w:lang w:val="en"/>
        </w:rPr>
        <w:t>.</w:t>
      </w:r>
    </w:p>
    <w:p w14:paraId="49883624" w14:textId="4E204A27" w:rsidR="00626F2D" w:rsidRDefault="00626F2D" w:rsidP="00261AAC">
      <w:pPr>
        <w:ind w:right="270"/>
        <w:jc w:val="both"/>
        <w:rPr>
          <w:bCs/>
          <w:iCs/>
          <w:lang w:val="en"/>
        </w:rPr>
      </w:pPr>
    </w:p>
    <w:p w14:paraId="47C9931C" w14:textId="77777777" w:rsidR="00BD396E" w:rsidRDefault="00BD396E" w:rsidP="00261AAC">
      <w:pPr>
        <w:ind w:right="270"/>
        <w:jc w:val="both"/>
        <w:rPr>
          <w:bCs/>
          <w:iCs/>
          <w:lang w:val="en"/>
        </w:rPr>
      </w:pPr>
    </w:p>
    <w:p w14:paraId="3F2CBD2F" w14:textId="07596E9E" w:rsidR="00626F2D" w:rsidRDefault="00626F2D" w:rsidP="00261AAC">
      <w:pPr>
        <w:pStyle w:val="Heading2"/>
        <w:jc w:val="both"/>
        <w:rPr>
          <w:lang w:val="en"/>
        </w:rPr>
      </w:pPr>
      <w:r>
        <w:rPr>
          <w:lang w:val="en"/>
        </w:rPr>
        <w:t>Principle component analysis for hybrid detection</w:t>
      </w:r>
    </w:p>
    <w:p w14:paraId="326286DF" w14:textId="77777777" w:rsidR="00626F2D" w:rsidRPr="00DA18B8" w:rsidRDefault="00626F2D" w:rsidP="00261AAC">
      <w:pPr>
        <w:ind w:right="270"/>
        <w:jc w:val="both"/>
        <w:rPr>
          <w:bCs/>
          <w:i/>
          <w:lang w:val="en"/>
        </w:rPr>
      </w:pPr>
      <w:r w:rsidRPr="00DA18B8">
        <w:rPr>
          <w:bCs/>
          <w:i/>
          <w:lang w:val="en"/>
        </w:rPr>
        <w:t>Methods</w:t>
      </w:r>
    </w:p>
    <w:p w14:paraId="209C8273" w14:textId="1B549935" w:rsidR="00080EDD" w:rsidRDefault="00F948DB" w:rsidP="00261AAC">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261AAC">
      <w:pPr>
        <w:ind w:right="270"/>
        <w:jc w:val="both"/>
        <w:rPr>
          <w:bCs/>
          <w:iCs/>
          <w:lang w:val="en"/>
        </w:rPr>
      </w:pPr>
    </w:p>
    <w:p w14:paraId="58B72624" w14:textId="7F0913B4" w:rsidR="00DA18B8" w:rsidRDefault="00080EDD" w:rsidP="00261AAC">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we removed outlier individuals.</w:t>
      </w:r>
    </w:p>
    <w:p w14:paraId="7272B109" w14:textId="34FE8B93" w:rsidR="00DE54E4" w:rsidRDefault="00DE54E4" w:rsidP="00261AAC">
      <w:pPr>
        <w:ind w:right="270"/>
        <w:jc w:val="both"/>
        <w:rPr>
          <w:bCs/>
          <w:iCs/>
          <w:lang w:val="en"/>
        </w:rPr>
      </w:pPr>
    </w:p>
    <w:p w14:paraId="243D500F" w14:textId="6E510749" w:rsidR="00DE54E4" w:rsidRPr="00DE54E4" w:rsidRDefault="00DE54E4" w:rsidP="00261AAC">
      <w:pPr>
        <w:ind w:right="270"/>
        <w:jc w:val="both"/>
        <w:rPr>
          <w:bCs/>
          <w:i/>
          <w:lang w:val="en"/>
        </w:rPr>
      </w:pPr>
      <w:r w:rsidRPr="00DE54E4">
        <w:rPr>
          <w:bCs/>
          <w:i/>
          <w:lang w:val="en"/>
        </w:rPr>
        <w:t>Results</w:t>
      </w:r>
    </w:p>
    <w:p w14:paraId="359173A1" w14:textId="05363F70" w:rsidR="00DE54E4" w:rsidRDefault="008D0E60" w:rsidP="00261AAC">
      <w:pPr>
        <w:ind w:right="270"/>
        <w:jc w:val="both"/>
        <w:rPr>
          <w:bCs/>
          <w:iCs/>
          <w:lang w:val="en"/>
        </w:rPr>
      </w:pPr>
      <w:r>
        <w:rPr>
          <w:bCs/>
          <w:iCs/>
          <w:lang w:val="en"/>
        </w:rPr>
        <w:t>We identified and removed individuals with a PC1</w:t>
      </w:r>
      <w:r w:rsidR="009C5BB2">
        <w:rPr>
          <w:bCs/>
          <w:iCs/>
          <w:lang w:val="en"/>
        </w:rPr>
        <w:t xml:space="preserve"> </w:t>
      </w:r>
      <w:r>
        <w:rPr>
          <w:bCs/>
          <w:iCs/>
          <w:lang w:val="en"/>
        </w:rPr>
        <w:t xml:space="preserve">&lt; 0.01 and/or PC2 &gt; -0.01 from 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rsidP="00261AAC">
      <w:pPr>
        <w:ind w:right="270"/>
        <w:jc w:val="both"/>
        <w:rPr>
          <w:bCs/>
          <w:iCs/>
          <w:lang w:val="en"/>
        </w:rPr>
      </w:pPr>
    </w:p>
    <w:p w14:paraId="7F99E62D" w14:textId="77777777" w:rsidR="00BD396E" w:rsidRDefault="00BD396E" w:rsidP="00261AAC">
      <w:pPr>
        <w:ind w:right="270"/>
        <w:jc w:val="both"/>
        <w:rPr>
          <w:bCs/>
          <w:iCs/>
          <w:lang w:val="en"/>
        </w:rPr>
      </w:pPr>
    </w:p>
    <w:p w14:paraId="019FEA2A" w14:textId="05E42B5C" w:rsidR="00DE54E4" w:rsidRDefault="00DE54E4" w:rsidP="00261AAC">
      <w:pPr>
        <w:pStyle w:val="Heading2"/>
        <w:jc w:val="both"/>
        <w:rPr>
          <w:lang w:val="en"/>
        </w:rPr>
      </w:pPr>
      <w:r>
        <w:rPr>
          <w:lang w:val="en"/>
        </w:rPr>
        <w:lastRenderedPageBreak/>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261AAC">
      <w:pPr>
        <w:ind w:right="270"/>
        <w:jc w:val="both"/>
        <w:rPr>
          <w:bCs/>
          <w:i/>
          <w:lang w:val="en"/>
        </w:rPr>
      </w:pPr>
      <w:r w:rsidRPr="00DA18B8">
        <w:rPr>
          <w:bCs/>
          <w:i/>
          <w:lang w:val="en"/>
        </w:rPr>
        <w:t>Methods</w:t>
      </w:r>
    </w:p>
    <w:p w14:paraId="47162635" w14:textId="0F9038B4" w:rsidR="00275051" w:rsidRDefault="00275051" w:rsidP="00261AAC">
      <w:pPr>
        <w:ind w:right="270"/>
        <w:jc w:val="both"/>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261AAC">
      <w:pPr>
        <w:ind w:right="270"/>
        <w:jc w:val="both"/>
        <w:rPr>
          <w:bCs/>
          <w:iCs/>
          <w:lang w:val="en"/>
        </w:rPr>
      </w:pPr>
    </w:p>
    <w:p w14:paraId="6126A677" w14:textId="2D40A2BB" w:rsidR="008737E2" w:rsidRPr="003C0946" w:rsidRDefault="008737E2" w:rsidP="00261AAC">
      <w:pPr>
        <w:ind w:right="270"/>
        <w:jc w:val="both"/>
        <w:rPr>
          <w:bCs/>
          <w:iCs/>
        </w:rPr>
      </w:pPr>
      <w:r>
        <w:rPr>
          <w:bCs/>
          <w:iCs/>
          <w:lang w:val="en"/>
        </w:rPr>
        <w:t xml:space="preserve">We made </w:t>
      </w:r>
      <w:commentRangeStart w:id="12"/>
      <w:r>
        <w:rPr>
          <w:bCs/>
          <w:iCs/>
          <w:lang w:val="en"/>
        </w:rPr>
        <w:t>one</w:t>
      </w:r>
      <w:r w:rsidR="00A85784">
        <w:rPr>
          <w:bCs/>
          <w:iCs/>
          <w:lang w:val="en"/>
        </w:rPr>
        <w:t>-</w:t>
      </w:r>
      <w:r>
        <w:rPr>
          <w:bCs/>
          <w:iCs/>
          <w:lang w:val="en"/>
        </w:rPr>
        <w:t xml:space="preserve">generation </w:t>
      </w:r>
      <w:commentRangeEnd w:id="12"/>
      <w:r w:rsidR="00A85784">
        <w:rPr>
          <w:rStyle w:val="CommentReference"/>
        </w:rPr>
        <w:commentReference w:id="12"/>
      </w:r>
      <w:r>
        <w:rPr>
          <w:bCs/>
          <w:iCs/>
          <w:lang w:val="en"/>
        </w:rPr>
        <w:t xml:space="preserve">and all-by-all 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xml:space="preserve">). For our first </w:t>
      </w:r>
      <w:commentRangeStart w:id="13"/>
      <w:r w:rsidR="00386E1B">
        <w:rPr>
          <w:bCs/>
          <w:iCs/>
          <w:lang w:val="en"/>
        </w:rPr>
        <w:t>estimations</w:t>
      </w:r>
      <w:commentRangeEnd w:id="13"/>
      <w:r w:rsidR="00BE296A">
        <w:rPr>
          <w:rStyle w:val="CommentReference"/>
        </w:rPr>
        <w:commentReference w:id="13"/>
      </w:r>
      <w:r w:rsidR="00386E1B">
        <w:rPr>
          <w:bCs/>
          <w:iCs/>
          <w:lang w:val="en"/>
        </w:rPr>
        <w:t xml:space="preserve"> we</w:t>
      </w:r>
      <w:r>
        <w:rPr>
          <w:bCs/>
          <w:iCs/>
          <w:lang w:val="en"/>
        </w:rPr>
        <w:t xml:space="preserve"> sought to set a specific time point by using years that were separated by one </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261AAC">
      <w:pPr>
        <w:ind w:right="270"/>
        <w:jc w:val="both"/>
        <w:rPr>
          <w:bCs/>
          <w:i/>
          <w:lang w:val="en"/>
        </w:rPr>
      </w:pPr>
    </w:p>
    <w:p w14:paraId="17D80631" w14:textId="4030B2ED" w:rsidR="00DE54E4" w:rsidRDefault="00DE54E4" w:rsidP="00261AAC">
      <w:pPr>
        <w:ind w:right="270"/>
        <w:jc w:val="both"/>
        <w:rPr>
          <w:bCs/>
          <w:i/>
          <w:lang w:val="en"/>
        </w:rPr>
      </w:pPr>
      <w:r w:rsidRPr="00DE54E4">
        <w:rPr>
          <w:bCs/>
          <w:i/>
          <w:lang w:val="en"/>
        </w:rPr>
        <w:t>Results</w:t>
      </w:r>
    </w:p>
    <w:p w14:paraId="4A70853F" w14:textId="716D8864" w:rsidR="00DE54E4" w:rsidRDefault="00F34CF3" w:rsidP="00261AAC">
      <w:pPr>
        <w:ind w:right="270"/>
        <w:jc w:val="both"/>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individuals (Table 6). A total of 27,809 loci were read into R for snpR filtration. After Hardy-Weinberg and minimum yearly individual purging a total of 911 loci remained. One</w:t>
      </w:r>
      <w:r w:rsidR="00D86096">
        <w:rPr>
          <w:bCs/>
          <w:iCs/>
          <w:lang w:val="en"/>
        </w:rPr>
        <w:t>-</w:t>
      </w:r>
      <w:r>
        <w:rPr>
          <w:bCs/>
          <w:iCs/>
          <w:lang w:val="en"/>
        </w:rPr>
        <w:t>generation yearly estimates were made from 1995 to 1999 and from 2008</w:t>
      </w:r>
      <w:r w:rsidR="00D33F00">
        <w:rPr>
          <w:bCs/>
          <w:iCs/>
          <w:lang w:val="en"/>
        </w:rPr>
        <w:t xml:space="preserve"> to 2019 due to the availability of samples (Figure 8)</w:t>
      </w:r>
      <w:r w:rsidR="003C0946">
        <w:rPr>
          <w:bCs/>
          <w:iCs/>
          <w:lang w:val="en"/>
        </w:rPr>
        <w:t xml:space="preserve">. All-by-all </w:t>
      </w:r>
      <w:r w:rsidR="00D86096">
        <w:rPr>
          <w:bCs/>
          <w:iCs/>
          <w:lang w:val="en"/>
        </w:rPr>
        <w:t xml:space="preserve">generation </w:t>
      </w:r>
      <w:r w:rsidR="003C0946">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sidR="003C0946">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C0946">
        <w:rPr>
          <w:bCs/>
          <w:iCs/>
          <w:lang w:val="en"/>
        </w:rPr>
        <w:t xml:space="preserve"> and </w:t>
      </w:r>
      <w:commentRangeStart w:id="14"/>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C0946">
        <w:rPr>
          <w:bCs/>
          <w:iCs/>
          <w:lang w:val="en"/>
        </w:rPr>
        <w:t xml:space="preserve"> (Figure 9).</w:t>
      </w:r>
      <w:commentRangeEnd w:id="14"/>
      <w:r w:rsidR="00F01580">
        <w:rPr>
          <w:rStyle w:val="CommentReference"/>
        </w:rPr>
        <w:commentReference w:id="14"/>
      </w:r>
    </w:p>
    <w:p w14:paraId="010BFD24" w14:textId="7824018A" w:rsidR="00DE54E4" w:rsidRDefault="00DE54E4" w:rsidP="00261AAC">
      <w:pPr>
        <w:ind w:right="270"/>
        <w:jc w:val="both"/>
        <w:rPr>
          <w:bCs/>
          <w:iCs/>
          <w:lang w:val="en"/>
        </w:rPr>
      </w:pPr>
    </w:p>
    <w:p w14:paraId="185C15AE" w14:textId="77777777" w:rsidR="00BD396E" w:rsidRDefault="00BD396E" w:rsidP="00261AAC">
      <w:pPr>
        <w:ind w:right="270"/>
        <w:jc w:val="both"/>
        <w:rPr>
          <w:bCs/>
          <w:iCs/>
          <w:lang w:val="en"/>
        </w:rPr>
      </w:pPr>
    </w:p>
    <w:p w14:paraId="7026F7E7" w14:textId="109FA168" w:rsidR="00DE54E4" w:rsidRDefault="00275051" w:rsidP="00261AAC">
      <w:pPr>
        <w:pStyle w:val="Heading2"/>
        <w:jc w:val="both"/>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261AAC">
      <w:pPr>
        <w:ind w:right="270"/>
        <w:jc w:val="both"/>
        <w:rPr>
          <w:bCs/>
          <w:i/>
          <w:lang w:val="en"/>
        </w:rPr>
      </w:pPr>
      <w:r w:rsidRPr="00DA18B8">
        <w:rPr>
          <w:bCs/>
          <w:i/>
          <w:lang w:val="en"/>
        </w:rPr>
        <w:t>Methods</w:t>
      </w:r>
    </w:p>
    <w:p w14:paraId="722E1BF4" w14:textId="581DA3F8" w:rsidR="00D50E41" w:rsidRDefault="00FC1607" w:rsidP="00261AAC">
      <w:pPr>
        <w:ind w:right="270"/>
        <w:jc w:val="both"/>
        <w:rPr>
          <w:bCs/>
          <w:iCs/>
          <w:lang w:val="en"/>
        </w:rPr>
      </w:pPr>
      <w:r>
        <w:rPr>
          <w:bCs/>
          <w:iCs/>
          <w:lang w:val="en"/>
        </w:rPr>
        <w:t>Since the value of effective population size 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To quantify genetic diversity in the through time we used two different estimates of the</w:t>
      </w:r>
      <w:r w:rsidR="00E76AA5">
        <w:rPr>
          <w:bCs/>
          <w:iCs/>
          <w:lang w:val="en"/>
        </w:rPr>
        <w:t>ta––</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261AAC">
      <w:pPr>
        <w:ind w:right="270"/>
        <w:jc w:val="both"/>
        <w:rPr>
          <w:bCs/>
          <w:iCs/>
          <w:lang w:val="en"/>
        </w:rPr>
      </w:pPr>
    </w:p>
    <w:p w14:paraId="3172B73F" w14:textId="121659D2" w:rsidR="007B22E7" w:rsidRDefault="00D86096" w:rsidP="00261AAC">
      <w:pPr>
        <w:jc w:val="both"/>
        <w:rPr>
          <w:bCs/>
          <w:iCs/>
          <w:lang w:val="en"/>
        </w:rPr>
      </w:pPr>
      <w:r>
        <w:rPr>
          <w:bCs/>
          <w:iCs/>
          <w:lang w:val="en"/>
        </w:rPr>
        <w:lastRenderedPageBreak/>
        <w:t>To make estimates of genetic diversity (theta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ins w:id="15" w:author="Microsoft Office User" w:date="2021-06-02T10:06:00Z">
        <w:r w:rsidR="001F58F6">
          <w:rPr>
            <w:bCs/>
            <w:iCs/>
            <w:lang w:val="en"/>
          </w:rPr>
          <w:t xml:space="preserve">, </w:t>
        </w:r>
      </w:ins>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theta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site theta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261AAC">
      <w:pPr>
        <w:ind w:right="270"/>
        <w:jc w:val="both"/>
        <w:rPr>
          <w:bCs/>
          <w:i/>
          <w:lang w:val="en"/>
        </w:rPr>
      </w:pPr>
    </w:p>
    <w:p w14:paraId="3BFEA183" w14:textId="77777777" w:rsidR="00DE54E4" w:rsidRPr="00DE54E4" w:rsidRDefault="00DE54E4" w:rsidP="00261AAC">
      <w:pPr>
        <w:ind w:right="270"/>
        <w:jc w:val="both"/>
        <w:rPr>
          <w:bCs/>
          <w:i/>
          <w:lang w:val="en"/>
        </w:rPr>
      </w:pPr>
      <w:r w:rsidRPr="00DE54E4">
        <w:rPr>
          <w:bCs/>
          <w:i/>
          <w:lang w:val="en"/>
        </w:rPr>
        <w:t>Results</w:t>
      </w:r>
    </w:p>
    <w:p w14:paraId="02BBF2E3" w14:textId="73713286" w:rsidR="00D53365" w:rsidRPr="00BD396E" w:rsidRDefault="00E217A2" w:rsidP="00261AAC">
      <w:pPr>
        <w:ind w:right="270"/>
        <w:jc w:val="both"/>
        <w:rPr>
          <w:bCs/>
          <w:iCs/>
          <w:lang w:val="en"/>
        </w:rPr>
      </w:pPr>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w:t>
      </w:r>
      <w:r w:rsidR="0039013A">
        <w:rPr>
          <w:bCs/>
          <w:iCs/>
          <w:lang w:val="en"/>
        </w:rPr>
        <w:t xml:space="preserve"> 1.006e-4</w:t>
      </w:r>
      <w:r w:rsidR="00001B0B">
        <w:rPr>
          <w:bCs/>
          <w:iCs/>
          <w:lang w:val="en"/>
        </w:rPr>
        <w:t xml:space="preserve"> </w:t>
      </w:r>
      <w:r>
        <w:rPr>
          <w:bCs/>
          <w:iCs/>
          <w:lang w:val="en"/>
        </w:rPr>
        <w:t xml:space="preserve">to </w:t>
      </w:r>
      <w:r w:rsidR="0039013A">
        <w:rPr>
          <w:bCs/>
          <w:iCs/>
          <w:lang w:val="en"/>
        </w:rPr>
        <w:t xml:space="preserve">2.183e-4 </w:t>
      </w:r>
      <w:r w:rsidR="00001B0B">
        <w:rPr>
          <w:bCs/>
          <w:iCs/>
          <w:lang w:val="en"/>
        </w:rPr>
        <w:t>(Figure 10)</w:t>
      </w:r>
      <w:r>
        <w:rPr>
          <w:bCs/>
          <w:iCs/>
          <w:lang w:val="en"/>
        </w:rPr>
        <w:t xml:space="preserve">. </w:t>
      </w:r>
    </w:p>
    <w:p w14:paraId="6CFA63AE" w14:textId="74A64505" w:rsidR="001B4B9F" w:rsidRDefault="001B4B9F" w:rsidP="00261AAC">
      <w:pPr>
        <w:jc w:val="both"/>
      </w:pPr>
      <w:r>
        <w:br w:type="page"/>
      </w:r>
    </w:p>
    <w:p w14:paraId="5E9F7CCA" w14:textId="77777777" w:rsidR="00106145" w:rsidRDefault="00106145" w:rsidP="00261AAC">
      <w:pPr>
        <w:jc w:val="both"/>
      </w:pPr>
    </w:p>
    <w:p w14:paraId="4FABE29E" w14:textId="7042A995" w:rsidR="00106145" w:rsidRPr="007E1B09" w:rsidRDefault="00106145" w:rsidP="00261AAC">
      <w:pPr>
        <w:pStyle w:val="Heading1"/>
        <w:jc w:val="both"/>
      </w:pPr>
      <w:r w:rsidRPr="00D96AC9">
        <w:t>Task 4: Sex Marker</w:t>
      </w:r>
    </w:p>
    <w:p w14:paraId="10219999" w14:textId="77777777" w:rsidR="00106145" w:rsidRDefault="00106145" w:rsidP="00261AAC">
      <w:pPr>
        <w:pStyle w:val="Heading2"/>
        <w:jc w:val="both"/>
      </w:pPr>
      <w:r>
        <w:t>Background</w:t>
      </w:r>
    </w:p>
    <w:p w14:paraId="740E4005" w14:textId="77777777" w:rsidR="00106145" w:rsidRDefault="00106145" w:rsidP="00261AAC">
      <w:pPr>
        <w:ind w:right="270"/>
        <w:jc w:val="both"/>
        <w:rPr>
          <w:bCs/>
          <w:iCs/>
        </w:rPr>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261AAC">
      <w:pPr>
        <w:ind w:right="270"/>
        <w:jc w:val="both"/>
        <w:rPr>
          <w:bCs/>
          <w:iCs/>
        </w:rPr>
      </w:pPr>
    </w:p>
    <w:p w14:paraId="5DAC152F" w14:textId="77777777" w:rsidR="00106145" w:rsidRDefault="00106145" w:rsidP="00261AAC">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261AAC">
      <w:pPr>
        <w:ind w:right="270"/>
        <w:jc w:val="both"/>
        <w:rPr>
          <w:bCs/>
          <w:iCs/>
        </w:rPr>
      </w:pPr>
    </w:p>
    <w:p w14:paraId="28E4C7EA" w14:textId="77777777" w:rsidR="00106145" w:rsidRPr="00AD4FB8" w:rsidRDefault="00106145" w:rsidP="00261AAC">
      <w:pPr>
        <w:ind w:right="270"/>
        <w:jc w:val="both"/>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261AAC">
      <w:pPr>
        <w:ind w:right="270"/>
        <w:jc w:val="both"/>
        <w:rPr>
          <w:b/>
          <w:i/>
        </w:rPr>
      </w:pPr>
    </w:p>
    <w:p w14:paraId="276AB127" w14:textId="77777777" w:rsidR="00BD396E" w:rsidRDefault="00BD396E" w:rsidP="00261AAC">
      <w:pPr>
        <w:ind w:right="270"/>
        <w:jc w:val="both"/>
        <w:rPr>
          <w:b/>
          <w:i/>
        </w:rPr>
      </w:pPr>
    </w:p>
    <w:p w14:paraId="0F562BA0" w14:textId="77777777" w:rsidR="00106145" w:rsidRPr="00836372" w:rsidRDefault="00106145" w:rsidP="00261AAC">
      <w:pPr>
        <w:ind w:right="270"/>
        <w:jc w:val="both"/>
        <w:rPr>
          <w:b/>
          <w:i/>
        </w:rPr>
      </w:pPr>
      <w:r w:rsidRPr="00836372">
        <w:rPr>
          <w:b/>
          <w:i/>
        </w:rPr>
        <w:t>DNA sampling &amp; sequencing</w:t>
      </w:r>
    </w:p>
    <w:p w14:paraId="77D45763" w14:textId="77777777" w:rsidR="00106145" w:rsidRDefault="00106145" w:rsidP="00261AAC">
      <w:pPr>
        <w:ind w:right="270"/>
        <w:jc w:val="both"/>
        <w:rPr>
          <w:i/>
        </w:rPr>
      </w:pPr>
      <w:r>
        <w:rPr>
          <w:i/>
        </w:rPr>
        <w:t>Methods</w:t>
      </w:r>
    </w:p>
    <w:p w14:paraId="28296EFF" w14:textId="77777777" w:rsidR="00106145" w:rsidRDefault="00106145" w:rsidP="00261AAC">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261AAC">
      <w:pPr>
        <w:jc w:val="both"/>
      </w:pPr>
    </w:p>
    <w:p w14:paraId="3F0BE78C" w14:textId="77777777" w:rsidR="00106145" w:rsidRDefault="00106145" w:rsidP="00261AAC">
      <w:pPr>
        <w:jc w:val="both"/>
      </w:pPr>
      <w:r>
        <w:lastRenderedPageBreak/>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261AAC">
      <w:pPr>
        <w:jc w:val="both"/>
      </w:pPr>
    </w:p>
    <w:p w14:paraId="1FF23A83" w14:textId="77777777" w:rsidR="00106145" w:rsidRPr="00D417D1" w:rsidRDefault="00106145" w:rsidP="00261AAC">
      <w:pPr>
        <w:jc w:val="both"/>
        <w:rPr>
          <w:i/>
        </w:rPr>
      </w:pPr>
    </w:p>
    <w:p w14:paraId="2ABB6844" w14:textId="77777777" w:rsidR="00106145" w:rsidRPr="00836372" w:rsidRDefault="00106145" w:rsidP="00261AAC">
      <w:pPr>
        <w:pStyle w:val="Heading2"/>
        <w:jc w:val="both"/>
      </w:pPr>
      <w:r w:rsidRPr="00836372">
        <w:t>Genome wide association study</w:t>
      </w:r>
    </w:p>
    <w:p w14:paraId="729BC6C7" w14:textId="77777777" w:rsidR="00106145" w:rsidRDefault="00106145" w:rsidP="00261AAC">
      <w:pPr>
        <w:jc w:val="both"/>
        <w:rPr>
          <w:i/>
        </w:rPr>
      </w:pPr>
      <w:r w:rsidRPr="00836372">
        <w:rPr>
          <w:i/>
        </w:rPr>
        <w:t>Methods</w:t>
      </w:r>
    </w:p>
    <w:p w14:paraId="5D25A478" w14:textId="77777777" w:rsidR="00106145" w:rsidRPr="0058255B" w:rsidRDefault="00106145" w:rsidP="00261AAC">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261AAC">
      <w:pPr>
        <w:jc w:val="both"/>
      </w:pPr>
    </w:p>
    <w:p w14:paraId="567BA05A" w14:textId="77777777" w:rsidR="00106145" w:rsidRDefault="00106145" w:rsidP="00261AAC">
      <w:pPr>
        <w:jc w:val="both"/>
        <w:rPr>
          <w:i/>
        </w:rPr>
      </w:pPr>
      <w:r>
        <w:rPr>
          <w:i/>
        </w:rPr>
        <w:t>Results</w:t>
      </w:r>
    </w:p>
    <w:p w14:paraId="5FC37423" w14:textId="4E1E2BC0" w:rsidR="00106145" w:rsidRPr="00F01A65" w:rsidRDefault="00106145" w:rsidP="00261AAC">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261AAC">
      <w:pPr>
        <w:jc w:val="both"/>
      </w:pPr>
    </w:p>
    <w:p w14:paraId="0D1E47BE" w14:textId="77777777" w:rsidR="00106145" w:rsidRPr="00D417D1" w:rsidRDefault="00106145" w:rsidP="00261AAC">
      <w:pPr>
        <w:jc w:val="both"/>
      </w:pPr>
    </w:p>
    <w:p w14:paraId="5DB2F0D4" w14:textId="77777777" w:rsidR="00106145" w:rsidRPr="00A85974" w:rsidRDefault="00106145" w:rsidP="00261AAC">
      <w:pPr>
        <w:pStyle w:val="Heading2"/>
        <w:jc w:val="both"/>
      </w:pPr>
      <w:r w:rsidRPr="00A85974">
        <w:t>Depth analysis</w:t>
      </w:r>
    </w:p>
    <w:p w14:paraId="34CDE6AF" w14:textId="77777777" w:rsidR="00106145" w:rsidRDefault="00106145" w:rsidP="00261AAC">
      <w:pPr>
        <w:jc w:val="both"/>
        <w:rPr>
          <w:i/>
        </w:rPr>
      </w:pPr>
      <w:r>
        <w:rPr>
          <w:i/>
        </w:rPr>
        <w:t>Methods</w:t>
      </w:r>
    </w:p>
    <w:p w14:paraId="5A17901B" w14:textId="77777777" w:rsidR="00106145" w:rsidRDefault="00106145" w:rsidP="00261AAC">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261AAC">
      <w:pPr>
        <w:jc w:val="both"/>
        <w:rPr>
          <w:i/>
        </w:rPr>
      </w:pPr>
    </w:p>
    <w:p w14:paraId="0319FE5C" w14:textId="77777777" w:rsidR="00106145" w:rsidRDefault="00106145" w:rsidP="00261AAC">
      <w:pPr>
        <w:jc w:val="both"/>
        <w:rPr>
          <w:i/>
        </w:rPr>
      </w:pPr>
      <w:r>
        <w:rPr>
          <w:i/>
        </w:rPr>
        <w:t>Results</w:t>
      </w:r>
    </w:p>
    <w:p w14:paraId="173FD3D6" w14:textId="77777777" w:rsidR="00106145" w:rsidRPr="00C30DD1" w:rsidRDefault="00106145" w:rsidP="00261AAC">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261AAC">
      <w:pPr>
        <w:jc w:val="both"/>
      </w:pPr>
    </w:p>
    <w:p w14:paraId="6B8BF3C0" w14:textId="77777777" w:rsidR="00106145" w:rsidRDefault="00106145" w:rsidP="00261AAC">
      <w:pPr>
        <w:jc w:val="both"/>
      </w:pPr>
    </w:p>
    <w:p w14:paraId="73130036" w14:textId="77777777" w:rsidR="00106145" w:rsidRDefault="00106145" w:rsidP="00261AAC">
      <w:pPr>
        <w:pStyle w:val="Heading2"/>
        <w:jc w:val="both"/>
      </w:pPr>
      <w:r>
        <w:t>K-mer</w:t>
      </w:r>
      <w:r w:rsidRPr="00836372">
        <w:t xml:space="preserve"> analysis</w:t>
      </w:r>
    </w:p>
    <w:p w14:paraId="3AFC1460" w14:textId="77777777" w:rsidR="00106145" w:rsidRDefault="00106145" w:rsidP="00261AAC">
      <w:pPr>
        <w:jc w:val="both"/>
        <w:rPr>
          <w:i/>
        </w:rPr>
      </w:pPr>
      <w:r>
        <w:rPr>
          <w:i/>
        </w:rPr>
        <w:t>Methods</w:t>
      </w:r>
    </w:p>
    <w:p w14:paraId="73A66AFB" w14:textId="77777777" w:rsidR="00106145" w:rsidRDefault="00106145" w:rsidP="00261AAC">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261AAC">
      <w:pPr>
        <w:jc w:val="both"/>
      </w:pPr>
    </w:p>
    <w:p w14:paraId="405BC344" w14:textId="77777777" w:rsidR="00106145" w:rsidRDefault="00106145" w:rsidP="00261AAC">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261AAC">
      <w:pPr>
        <w:jc w:val="both"/>
      </w:pPr>
    </w:p>
    <w:p w14:paraId="21390C18" w14:textId="77777777" w:rsidR="00106145" w:rsidRDefault="00106145" w:rsidP="00261AAC">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261AAC">
      <w:pPr>
        <w:jc w:val="both"/>
      </w:pPr>
      <w:r>
        <w:t xml:space="preserve"> </w:t>
      </w:r>
    </w:p>
    <w:p w14:paraId="053B9D54" w14:textId="77777777" w:rsidR="00106145" w:rsidRDefault="00106145" w:rsidP="00261AAC">
      <w:pPr>
        <w:jc w:val="both"/>
        <w:rPr>
          <w:i/>
        </w:rPr>
      </w:pPr>
      <w:r>
        <w:rPr>
          <w:i/>
        </w:rPr>
        <w:t>Results</w:t>
      </w:r>
    </w:p>
    <w:p w14:paraId="5B0F51B7" w14:textId="1A15BE78" w:rsidR="00106145" w:rsidRDefault="00106145" w:rsidP="00261AAC">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261AAC">
      <w:pPr>
        <w:jc w:val="both"/>
      </w:pPr>
    </w:p>
    <w:p w14:paraId="2D98F71E" w14:textId="654961D8" w:rsidR="00106145" w:rsidRDefault="00106145" w:rsidP="00261AAC">
      <w:pPr>
        <w:jc w:val="both"/>
      </w:pPr>
      <w:r>
        <w:t xml:space="preserve">We mapped the putative Y data back to the male reference genome and found the reads mapped to multiple regions within the genome (Table </w:t>
      </w:r>
      <w:r w:rsidR="00D17773">
        <w:t>7</w:t>
      </w:r>
      <w:r>
        <w:t>). We did not find a significant difference in male versus female read depth at locations across the putative Y regions.</w:t>
      </w:r>
    </w:p>
    <w:p w14:paraId="0DBAF849" w14:textId="77777777" w:rsidR="00DE273D" w:rsidRDefault="00DE273D" w:rsidP="00261AAC">
      <w:pPr>
        <w:ind w:right="270"/>
        <w:jc w:val="both"/>
      </w:pPr>
    </w:p>
    <w:p w14:paraId="3F5E4941" w14:textId="42015367" w:rsidR="00B65A33" w:rsidRDefault="00B65A33" w:rsidP="00261AAC">
      <w:pPr>
        <w:jc w:val="both"/>
        <w:rPr>
          <w:rFonts w:ascii="Times" w:hAnsi="Times"/>
        </w:rPr>
      </w:pPr>
      <w:r>
        <w:rPr>
          <w:rFonts w:ascii="Times" w:hAnsi="Times"/>
        </w:rPr>
        <w:br w:type="page"/>
      </w:r>
    </w:p>
    <w:p w14:paraId="6C513AC2" w14:textId="77777777" w:rsidR="00FC7342" w:rsidRDefault="00FC7342" w:rsidP="00FC7342">
      <w:pPr>
        <w:pStyle w:val="Heading1"/>
      </w:pPr>
      <w:r>
        <w:lastRenderedPageBreak/>
        <w:t>Discussion</w:t>
      </w:r>
    </w:p>
    <w:p w14:paraId="03480909" w14:textId="77777777" w:rsidR="00FC7342" w:rsidRDefault="00FC7342" w:rsidP="00FC7342"/>
    <w:p w14:paraId="7D8F48C0" w14:textId="77777777" w:rsidR="00FC7342" w:rsidRDefault="00FC7342" w:rsidP="00FC7342">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7CE6ED94" w14:textId="77777777" w:rsidR="00FC7342" w:rsidRDefault="00FC7342" w:rsidP="00FC7342"/>
    <w:p w14:paraId="4235330A" w14:textId="77777777" w:rsidR="00FC7342" w:rsidRDefault="00FC7342" w:rsidP="00FC7342">
      <w:pPr>
        <w:rPr>
          <w:b/>
          <w:bCs/>
          <w:i/>
          <w:iCs/>
        </w:rPr>
      </w:pPr>
      <w:r>
        <w:rPr>
          <w:b/>
          <w:bCs/>
          <w:i/>
          <w:iCs/>
        </w:rPr>
        <w:t>Genome Assembly</w:t>
      </w:r>
    </w:p>
    <w:p w14:paraId="0DF3CC3F" w14:textId="7C4262B1" w:rsidR="00FC7342" w:rsidRDefault="00FC7342" w:rsidP="00FC7342">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&lt;CITE&gt;) which has a total length of 0.50Gb. Our final male and female assemblies had 376 and 549 contigs with N50’s of 0.12Gb and 0.15Gb, respectively. The first 28 contigs, representing number of haplo</w:t>
      </w:r>
      <w:r w:rsidR="00DB73CB">
        <w:t>i</w:t>
      </w:r>
      <w:r>
        <w:t xml:space="preserve">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Pr>
          <w:i/>
          <w:iCs/>
        </w:rPr>
        <w:t>Actinopterygii</w:t>
      </w:r>
      <w:r>
        <w:t xml:space="preserve"> BUSCO database.</w:t>
      </w:r>
    </w:p>
    <w:p w14:paraId="5CEF368C" w14:textId="77777777" w:rsidR="00FC7342" w:rsidRDefault="00FC7342" w:rsidP="00FC7342"/>
    <w:p w14:paraId="600C7266" w14:textId="77777777" w:rsidR="00FC7342" w:rsidRDefault="00FC7342" w:rsidP="00FC7342">
      <w:pPr>
        <w:rPr>
          <w:b/>
          <w:bCs/>
          <w:i/>
          <w:iCs/>
        </w:rPr>
      </w:pPr>
      <w:r>
        <w:rPr>
          <w:b/>
          <w:bCs/>
          <w:i/>
          <w:iCs/>
        </w:rPr>
        <w:t>Effective Population Size &amp; Genetic Diversity</w:t>
      </w:r>
    </w:p>
    <w:p w14:paraId="588D8F37" w14:textId="77777777" w:rsidR="00FC7342" w:rsidRDefault="00FC7342" w:rsidP="00FC7342">
      <w:r>
        <w:t xml:space="preserve">In this study we removed non-neutral loci in order to make unbiased temporal Ne estimates. Our results show a broad decline of delta smelt effective population size from 1995 to 2020. In general, estimates made in birth year cohorts from the 1990’s and early 2000’s were more varied and more frequently infinite, negative (indicating Ne is too large to accurately be estimated) or larger than 5000. More recent estimates show less variation, and narrower confidence intervals. </w:t>
      </w:r>
    </w:p>
    <w:p w14:paraId="49BC1ADB" w14:textId="77777777" w:rsidR="00FC7342" w:rsidRDefault="00FC7342" w:rsidP="00FC7342"/>
    <w:p w14:paraId="505F1049" w14:textId="77777777" w:rsidR="00FC7342" w:rsidRDefault="00FC7342" w:rsidP="00FC7342">
      <w:r>
        <w:t xml:space="preserve">We then validated our observation of a decline in Ne by observing genetic diversity within the species through the estimation of theta for each birth year cohort used in our temporal Ne estimations. We quantified genetic diversity through two theta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years. </w:t>
      </w:r>
    </w:p>
    <w:p w14:paraId="6A009A5B" w14:textId="77777777" w:rsidR="00FC7342" w:rsidRDefault="00FC7342" w:rsidP="00FC7342"/>
    <w:p w14:paraId="342E8D18" w14:textId="77777777" w:rsidR="00FC7342" w:rsidRDefault="00FC7342" w:rsidP="00FC7342">
      <w:pPr>
        <w:rPr>
          <w:b/>
          <w:bCs/>
          <w:i/>
          <w:iCs/>
        </w:rPr>
      </w:pPr>
      <w:r>
        <w:rPr>
          <w:b/>
          <w:bCs/>
          <w:i/>
          <w:iCs/>
        </w:rPr>
        <w:t xml:space="preserve">Domestication </w:t>
      </w:r>
      <w:proofErr w:type="spellStart"/>
      <w:r>
        <w:rPr>
          <w:b/>
          <w:bCs/>
          <w:i/>
          <w:iCs/>
        </w:rPr>
        <w:t>Seletion</w:t>
      </w:r>
      <w:proofErr w:type="spellEnd"/>
    </w:p>
    <w:p w14:paraId="78E7AB1B" w14:textId="77777777" w:rsidR="00FC7342" w:rsidRDefault="00FC7342" w:rsidP="00FC7342">
      <w:r>
        <w:t>&lt;INSERT ENSI’S DISCUSSION&gt;</w:t>
      </w:r>
    </w:p>
    <w:p w14:paraId="6A9C1F65" w14:textId="77777777" w:rsidR="00FC7342" w:rsidRDefault="00FC7342" w:rsidP="00FC7342"/>
    <w:p w14:paraId="026D57D0" w14:textId="77777777" w:rsidR="00FC7342" w:rsidRPr="008B461C" w:rsidRDefault="00FC7342" w:rsidP="00FC7342">
      <w:pPr>
        <w:rPr>
          <w:b/>
          <w:bCs/>
          <w:i/>
          <w:iCs/>
        </w:rPr>
      </w:pPr>
      <w:r>
        <w:rPr>
          <w:b/>
          <w:bCs/>
          <w:i/>
          <w:iCs/>
        </w:rPr>
        <w:t>Sex Specific Markers</w:t>
      </w:r>
    </w:p>
    <w:p w14:paraId="15FE204F" w14:textId="77777777" w:rsidR="00A93D19" w:rsidRDefault="00FC7342" w:rsidP="00FC7342">
      <w:r>
        <w:lastRenderedPageBreak/>
        <w:t xml:space="preserve">Our study probed the genome in multiple ways to identify sex-specific markers. While we did not find diagnostic SNPs, we did find candidate loci via GWAS and k-mer analysis. </w:t>
      </w:r>
    </w:p>
    <w:p w14:paraId="5D07CAD5" w14:textId="77777777" w:rsidR="00A93D19" w:rsidRDefault="00FC7342" w:rsidP="00FC7342">
      <w:r>
        <w:t xml:space="preserve">The genome wide association study found two markers on Chromosome 5 that were significantly associated with sex but did not have alleles that correlated with sex. </w:t>
      </w:r>
    </w:p>
    <w:p w14:paraId="235D23EB" w14:textId="77777777" w:rsidR="00A93D19" w:rsidRDefault="00A93D19" w:rsidP="00FC7342"/>
    <w:p w14:paraId="5562E861" w14:textId="600612A9" w:rsidR="00A93D19" w:rsidRDefault="00FC7342" w:rsidP="00FC7342">
      <w:r>
        <w:t xml:space="preserve">K-mer analysis showed sequencing data </w:t>
      </w:r>
      <w:r w:rsidR="00A93D19">
        <w:t>which</w:t>
      </w:r>
      <w:r>
        <w:t xml:space="preserve"> was only found within the male </w:t>
      </w:r>
      <w:r w:rsidR="00A93D19">
        <w:t>individual’s linked-read sequencing data</w:t>
      </w:r>
      <w:r>
        <w:t xml:space="preserve"> but could not identify </w:t>
      </w:r>
      <w:r w:rsidR="00A93D19">
        <w:t xml:space="preserve">or confirm </w:t>
      </w:r>
      <w:r>
        <w:t xml:space="preserve">sex-specific markers with the </w:t>
      </w:r>
      <w:proofErr w:type="spellStart"/>
      <w:r>
        <w:t>RADseq</w:t>
      </w:r>
      <w:proofErr w:type="spellEnd"/>
      <w:r>
        <w:t xml:space="preserve"> data generated for this project.</w:t>
      </w:r>
      <w:r w:rsidR="00A93D19">
        <w:t xml:space="preserve"> An increase in male specific k-mers at half the abundance of the normally distributed peak of female k-mer abundance is consistent </w:t>
      </w:r>
      <w:r w:rsidR="00A93D19">
        <w:t>with the male sequencing data potentially having heterogametic regions in its genome.</w:t>
      </w:r>
      <w:r w:rsidR="005E5D5E">
        <w:t xml:space="preserve"> </w:t>
      </w:r>
      <w:r w:rsidR="005E5D5E">
        <w:t xml:space="preserve">Interestingly, many </w:t>
      </w:r>
      <w:r w:rsidR="005E5D5E">
        <w:t>contigs containing male-specific k-mers</w:t>
      </w:r>
      <w:r w:rsidR="005E5D5E">
        <w:t xml:space="preserve"> were located on chromosome 9. While there is a clear </w:t>
      </w:r>
      <w:r w:rsidR="005E5D5E">
        <w:t>increase</w:t>
      </w:r>
      <w:r w:rsidR="005E5D5E">
        <w:t xml:space="preserve"> in associated SNPs on chromosome 9, no</w:t>
      </w:r>
      <w:r w:rsidR="005E5D5E">
        <w:t xml:space="preserve">ne </w:t>
      </w:r>
      <w:r w:rsidR="005E5D5E">
        <w:t>met the significance threshold or were found to be diagnostic of sex.</w:t>
      </w:r>
    </w:p>
    <w:p w14:paraId="2CE42D18" w14:textId="77777777" w:rsidR="00A93D19" w:rsidRDefault="00A93D19" w:rsidP="00FC7342"/>
    <w:p w14:paraId="40FD3D51" w14:textId="42FD97D6" w:rsidR="00A93D19" w:rsidRDefault="003A1F46" w:rsidP="00FC7342">
      <w:r>
        <w:t>This work shows a need for</w:t>
      </w:r>
      <w:r w:rsidR="00FC7342">
        <w:t xml:space="preserve"> further investigation using </w:t>
      </w:r>
      <w:r w:rsidR="00762D42">
        <w:t xml:space="preserve">high-coverage </w:t>
      </w:r>
      <w:r w:rsidR="00FC7342">
        <w:t>whole</w:t>
      </w:r>
      <w:r>
        <w:t>-</w:t>
      </w:r>
      <w:r w:rsidR="00FC7342">
        <w:t xml:space="preserve">genome </w:t>
      </w:r>
      <w:r>
        <w:t>re</w:t>
      </w:r>
      <w:r w:rsidR="00FC7342">
        <w:t>sequencing</w:t>
      </w:r>
      <w:r>
        <w:t xml:space="preserve"> (WGS)</w:t>
      </w:r>
      <w:r w:rsidR="00FC7342">
        <w:t xml:space="preserve"> data from </w:t>
      </w:r>
      <w:r w:rsidR="00A93D19">
        <w:t xml:space="preserve">a cohort of </w:t>
      </w:r>
      <w:r w:rsidR="00FC7342">
        <w:t xml:space="preserve">male and female fish to more evenly survey the genome </w:t>
      </w:r>
      <w:r w:rsidR="00A93D19">
        <w:t>in hopes of</w:t>
      </w:r>
      <w:r w:rsidR="00FC7342">
        <w:t xml:space="preserve"> identify</w:t>
      </w:r>
      <w:r w:rsidR="00A93D19">
        <w:t>ing</w:t>
      </w:r>
      <w:r w:rsidR="00FC7342">
        <w:t xml:space="preserve"> sex-specific markers. WGS data may better survey the region and potentially contain diagnostic markers. Additionally, the k-mer analysis revealed male specific 10X sequencing data from an individual male aligned to multiple regions throughout the genome. This may indicate that sex determination in delta smelt is polygenic but further sequencing and analysis is needed to test this hypothesis.</w:t>
      </w:r>
    </w:p>
    <w:p w14:paraId="4720D57E" w14:textId="12019414" w:rsidR="00FC7342" w:rsidRDefault="00FC7342" w:rsidP="00FC7342">
      <w:r>
        <w:br w:type="page"/>
      </w:r>
    </w:p>
    <w:p w14:paraId="259F51F5" w14:textId="77777777" w:rsidR="00FC7342" w:rsidRDefault="00FC7342" w:rsidP="00FC7342">
      <w:pPr>
        <w:pStyle w:val="Heading1"/>
      </w:pPr>
      <w:r>
        <w:lastRenderedPageBreak/>
        <w:t>Conclusion</w:t>
      </w:r>
    </w:p>
    <w:p w14:paraId="6C17F094" w14:textId="1110EEDD" w:rsidR="00FC7342" w:rsidRDefault="00FC7342" w:rsidP="00FC7342">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rsidP="00FC7342"/>
    <w:p w14:paraId="63A3E3F2" w14:textId="21B598AB" w:rsidR="006F47E9" w:rsidRDefault="00B65A33" w:rsidP="00261AAC">
      <w:pPr>
        <w:pStyle w:val="Heading1"/>
        <w:jc w:val="both"/>
      </w:pPr>
      <w:r w:rsidRPr="00B65A33">
        <w:t>Glossary</w:t>
      </w:r>
    </w:p>
    <w:p w14:paraId="533049C1" w14:textId="7E8A4A59" w:rsidR="00A07BB9" w:rsidRDefault="00B65A33" w:rsidP="00261AAC">
      <w:pPr>
        <w:ind w:left="720" w:hanging="720"/>
        <w:jc w:val="both"/>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261AAC">
      <w:pPr>
        <w:ind w:left="720" w:hanging="720"/>
        <w:jc w:val="both"/>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261AAC">
      <w:pPr>
        <w:ind w:left="720" w:hanging="720"/>
        <w:jc w:val="both"/>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261AAC">
      <w:pPr>
        <w:ind w:left="720" w:hanging="720"/>
        <w:jc w:val="both"/>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261AAC">
      <w:pPr>
        <w:ind w:left="720" w:hanging="720"/>
        <w:jc w:val="both"/>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261AAC">
      <w:pPr>
        <w:ind w:left="720" w:hanging="720"/>
        <w:jc w:val="both"/>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261AAC">
      <w:pPr>
        <w:ind w:left="720" w:hanging="720"/>
        <w:jc w:val="both"/>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261AAC">
      <w:pPr>
        <w:ind w:left="720" w:hanging="720"/>
        <w:jc w:val="both"/>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261AAC">
      <w:pPr>
        <w:ind w:left="720" w:hanging="720"/>
        <w:jc w:val="both"/>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261AAC">
      <w:pPr>
        <w:ind w:left="720" w:hanging="720"/>
        <w:jc w:val="both"/>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261AAC">
      <w:pPr>
        <w:ind w:left="720" w:hanging="720"/>
        <w:jc w:val="both"/>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261AAC">
      <w:pPr>
        <w:ind w:left="720" w:hanging="720"/>
        <w:jc w:val="both"/>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261AAC">
      <w:pPr>
        <w:ind w:left="720" w:hanging="720"/>
        <w:jc w:val="both"/>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261AAC">
      <w:pPr>
        <w:jc w:val="both"/>
        <w:rPr>
          <w:rFonts w:ascii="Times" w:hAnsi="Times"/>
          <w:bCs/>
        </w:rPr>
      </w:pPr>
    </w:p>
    <w:p w14:paraId="1D98B3A1" w14:textId="7347428F" w:rsidR="00B65A33" w:rsidRPr="008413EC" w:rsidRDefault="00B65A33" w:rsidP="00261AAC">
      <w:pPr>
        <w:pStyle w:val="Heading1"/>
        <w:jc w:val="both"/>
      </w:pPr>
      <w:r w:rsidRPr="008413EC">
        <w:t>Software Versions</w:t>
      </w:r>
    </w:p>
    <w:p w14:paraId="0FD154E6" w14:textId="13BEE252" w:rsidR="00B65A33" w:rsidRDefault="00B65A33" w:rsidP="00261AAC">
      <w:pPr>
        <w:jc w:val="both"/>
        <w:rPr>
          <w:rFonts w:ascii="Times" w:hAnsi="Times"/>
          <w:bCs/>
        </w:rPr>
      </w:pPr>
      <w:r>
        <w:rPr>
          <w:rFonts w:ascii="Times" w:hAnsi="Times"/>
          <w:bCs/>
        </w:rPr>
        <w:t>BUSCO</w:t>
      </w:r>
    </w:p>
    <w:p w14:paraId="1CFD2B33" w14:textId="0AD92676" w:rsidR="00B65A33" w:rsidRDefault="00B65A33" w:rsidP="00261AAC">
      <w:pPr>
        <w:jc w:val="both"/>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261AAC">
      <w:pPr>
        <w:jc w:val="both"/>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261AAC">
      <w:pPr>
        <w:jc w:val="both"/>
        <w:rPr>
          <w:rFonts w:ascii="Times" w:hAnsi="Times"/>
          <w:bCs/>
        </w:rPr>
      </w:pPr>
      <w:proofErr w:type="spellStart"/>
      <w:r>
        <w:rPr>
          <w:rFonts w:ascii="Times" w:hAnsi="Times"/>
          <w:bCs/>
        </w:rPr>
        <w:t>bedtools</w:t>
      </w:r>
      <w:proofErr w:type="spellEnd"/>
    </w:p>
    <w:p w14:paraId="57155436" w14:textId="47A53BF5" w:rsidR="00B65A33" w:rsidRDefault="00B65A33" w:rsidP="00261AAC">
      <w:pPr>
        <w:jc w:val="both"/>
        <w:rPr>
          <w:rFonts w:ascii="Times" w:hAnsi="Times"/>
          <w:bCs/>
        </w:rPr>
      </w:pPr>
      <w:proofErr w:type="spellStart"/>
      <w:r>
        <w:rPr>
          <w:rFonts w:ascii="Times" w:hAnsi="Times"/>
          <w:bCs/>
        </w:rPr>
        <w:t>chromonomer</w:t>
      </w:r>
      <w:proofErr w:type="spellEnd"/>
    </w:p>
    <w:p w14:paraId="28F9FD99" w14:textId="0A877BCA" w:rsidR="00626F2D" w:rsidRDefault="00626F2D" w:rsidP="00261AAC">
      <w:pPr>
        <w:jc w:val="both"/>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261AAC">
      <w:pPr>
        <w:jc w:val="both"/>
        <w:rPr>
          <w:rFonts w:ascii="Times" w:hAnsi="Times"/>
          <w:bCs/>
        </w:rPr>
      </w:pPr>
      <w:r>
        <w:rPr>
          <w:rFonts w:ascii="Times" w:hAnsi="Times"/>
          <w:bCs/>
        </w:rPr>
        <w:t>SALSA2</w:t>
      </w:r>
    </w:p>
    <w:p w14:paraId="41DFC67E" w14:textId="28E6DA06" w:rsidR="00B65A33" w:rsidRDefault="00B65A33" w:rsidP="00261AAC">
      <w:pPr>
        <w:jc w:val="both"/>
        <w:rPr>
          <w:rFonts w:ascii="Times" w:hAnsi="Times"/>
          <w:bCs/>
        </w:rPr>
      </w:pPr>
      <w:r>
        <w:rPr>
          <w:rFonts w:ascii="Times" w:hAnsi="Times"/>
          <w:bCs/>
        </w:rPr>
        <w:t>scaff10x</w:t>
      </w:r>
    </w:p>
    <w:p w14:paraId="0DBE5827" w14:textId="6203B2B1" w:rsidR="00B65A33" w:rsidRDefault="00B65A33" w:rsidP="00261AAC">
      <w:pPr>
        <w:jc w:val="both"/>
        <w:rPr>
          <w:rFonts w:ascii="Times" w:hAnsi="Times"/>
          <w:bCs/>
        </w:rPr>
      </w:pPr>
      <w:r>
        <w:rPr>
          <w:rFonts w:ascii="Times" w:hAnsi="Times"/>
          <w:bCs/>
        </w:rPr>
        <w:t>kat</w:t>
      </w:r>
    </w:p>
    <w:p w14:paraId="42EB1767" w14:textId="1F00FA67" w:rsidR="00B65A33" w:rsidRDefault="00B65A33" w:rsidP="00261AAC">
      <w:pPr>
        <w:jc w:val="both"/>
        <w:rPr>
          <w:rFonts w:ascii="Times" w:hAnsi="Times"/>
          <w:bCs/>
        </w:rPr>
      </w:pPr>
      <w:r>
        <w:rPr>
          <w:rFonts w:ascii="Times" w:hAnsi="Times"/>
          <w:bCs/>
        </w:rPr>
        <w:t>ccs</w:t>
      </w:r>
    </w:p>
    <w:p w14:paraId="03930AC7" w14:textId="1F05A9DF" w:rsidR="00B65A33" w:rsidRDefault="00B65A33" w:rsidP="00261AAC">
      <w:pPr>
        <w:jc w:val="both"/>
        <w:rPr>
          <w:rFonts w:ascii="Times" w:hAnsi="Times"/>
          <w:bCs/>
        </w:rPr>
      </w:pPr>
      <w:proofErr w:type="spellStart"/>
      <w:r>
        <w:rPr>
          <w:rFonts w:ascii="Times" w:hAnsi="Times"/>
          <w:bCs/>
        </w:rPr>
        <w:t>picard</w:t>
      </w:r>
      <w:proofErr w:type="spellEnd"/>
    </w:p>
    <w:p w14:paraId="37529300" w14:textId="0007D862" w:rsidR="00B65A33" w:rsidRDefault="00B65A33" w:rsidP="00261AAC">
      <w:pPr>
        <w:jc w:val="both"/>
        <w:rPr>
          <w:rFonts w:ascii="Times" w:hAnsi="Times"/>
          <w:bCs/>
        </w:rPr>
      </w:pPr>
      <w:r>
        <w:rPr>
          <w:rFonts w:ascii="Times" w:hAnsi="Times"/>
          <w:bCs/>
        </w:rPr>
        <w:t>IPA</w:t>
      </w:r>
    </w:p>
    <w:p w14:paraId="4804CC17" w14:textId="6181AC95" w:rsidR="00724753" w:rsidRDefault="00724753" w:rsidP="00261AAC">
      <w:pPr>
        <w:jc w:val="both"/>
        <w:rPr>
          <w:rFonts w:ascii="Times" w:hAnsi="Times"/>
          <w:bCs/>
        </w:rPr>
      </w:pPr>
      <w:proofErr w:type="spellStart"/>
      <w:r>
        <w:rPr>
          <w:rFonts w:ascii="Times" w:hAnsi="Times"/>
          <w:bCs/>
        </w:rPr>
        <w:t>Genomescope</w:t>
      </w:r>
      <w:proofErr w:type="spellEnd"/>
    </w:p>
    <w:p w14:paraId="46C6C8D7" w14:textId="77777777" w:rsidR="00626F2D" w:rsidRDefault="00626F2D" w:rsidP="00261AAC">
      <w:pPr>
        <w:jc w:val="both"/>
        <w:rPr>
          <w:rFonts w:ascii="Times" w:hAnsi="Times"/>
          <w:bCs/>
        </w:rPr>
      </w:pPr>
    </w:p>
    <w:p w14:paraId="28B42637" w14:textId="222AC800" w:rsidR="00055A61" w:rsidRDefault="00055A61" w:rsidP="00261AAC">
      <w:pPr>
        <w:jc w:val="both"/>
        <w:rPr>
          <w:rFonts w:ascii="Times" w:hAnsi="Times"/>
          <w:bCs/>
        </w:rPr>
      </w:pPr>
    </w:p>
    <w:p w14:paraId="5E476E6E" w14:textId="75646845" w:rsidR="00055A61" w:rsidRDefault="00055A61" w:rsidP="00261AAC">
      <w:pPr>
        <w:jc w:val="both"/>
        <w:rPr>
          <w:rFonts w:ascii="Times" w:hAnsi="Times"/>
          <w:bCs/>
        </w:rPr>
      </w:pPr>
      <w:r>
        <w:rPr>
          <w:rFonts w:ascii="Times" w:hAnsi="Times"/>
          <w:bCs/>
        </w:rPr>
        <w:br w:type="page"/>
      </w:r>
    </w:p>
    <w:p w14:paraId="28011801" w14:textId="32A99533" w:rsidR="00055A61" w:rsidRPr="00055A61" w:rsidRDefault="00055A61" w:rsidP="00261AAC">
      <w:pPr>
        <w:jc w:val="both"/>
        <w:rPr>
          <w:rFonts w:ascii="Times" w:hAnsi="Times"/>
          <w:b/>
          <w:u w:val="single"/>
        </w:rPr>
      </w:pPr>
      <w:r w:rsidRPr="00055A61">
        <w:rPr>
          <w:rFonts w:ascii="Times" w:hAnsi="Times"/>
          <w:b/>
          <w:u w:val="single"/>
        </w:rPr>
        <w:lastRenderedPageBreak/>
        <w:t>Works Cited</w:t>
      </w:r>
    </w:p>
    <w:p w14:paraId="2ECDA058" w14:textId="218D0924" w:rsidR="00055A61" w:rsidRDefault="00055A61" w:rsidP="00261AAC">
      <w:pPr>
        <w:jc w:val="both"/>
        <w:rPr>
          <w:rFonts w:ascii="Times" w:hAnsi="Times"/>
          <w:bCs/>
        </w:rPr>
      </w:pPr>
    </w:p>
    <w:p w14:paraId="3AA47442" w14:textId="037BF275" w:rsidR="00055A61" w:rsidRDefault="00055A61" w:rsidP="00261AAC">
      <w:pPr>
        <w:jc w:val="both"/>
        <w:rPr>
          <w:rFonts w:ascii="Times" w:hAnsi="Times"/>
          <w:bCs/>
        </w:rPr>
      </w:pPr>
    </w:p>
    <w:p w14:paraId="45111845" w14:textId="3BDCD786" w:rsidR="00BD396E" w:rsidRDefault="00BD396E" w:rsidP="00261AAC">
      <w:pPr>
        <w:jc w:val="both"/>
        <w:rPr>
          <w:rFonts w:ascii="Times" w:hAnsi="Times"/>
          <w:bCs/>
        </w:rPr>
      </w:pPr>
    </w:p>
    <w:p w14:paraId="2244FBF5" w14:textId="3FF278D0" w:rsidR="00BD396E" w:rsidRPr="00B65A33" w:rsidRDefault="00BD396E" w:rsidP="00261AAC">
      <w:pPr>
        <w:jc w:val="both"/>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1"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2"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3"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5"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6" w:author="Microsoft Office User" w:date="2021-06-02T09:29:00Z" w:initials="MOU">
    <w:p w14:paraId="45CB2E1F" w14:textId="742EF4C1" w:rsidR="00DD4878" w:rsidRDefault="00DD4878">
      <w:pPr>
        <w:pStyle w:val="CommentText"/>
      </w:pPr>
      <w:r>
        <w:rPr>
          <w:rStyle w:val="CommentReference"/>
        </w:rPr>
        <w:annotationRef/>
      </w:r>
      <w:r>
        <w:t xml:space="preserve">I like this sentence. I am known to like sentence that are actually like, three independent clauses strung together begging for the sweet release of death. I strongly suspect this should be restructured into a couple of </w:t>
      </w:r>
      <w:proofErr w:type="gramStart"/>
      <w:r>
        <w:t>sentence</w:t>
      </w:r>
      <w:proofErr w:type="gramEnd"/>
      <w:r>
        <w:t xml:space="preserve"> that more broadly describe the two types of Ne, but to me this reads just fine.</w:t>
      </w:r>
    </w:p>
  </w:comment>
  <w:comment w:id="7" w:author="Microsoft Office User" w:date="2021-06-02T09:33:00Z" w:initials="MOU">
    <w:p w14:paraId="36DB0CAA" w14:textId="213385D7" w:rsidR="00A85784" w:rsidRDefault="00A85784">
      <w:pPr>
        <w:pStyle w:val="CommentText"/>
      </w:pPr>
      <w:r>
        <w:rPr>
          <w:rStyle w:val="CommentReference"/>
        </w:rPr>
        <w:annotationRef/>
      </w:r>
      <w:r>
        <w:t xml:space="preserve">This sentence got chopped or confused somehow. I tried to reconfigure </w:t>
      </w:r>
      <w:proofErr w:type="gramStart"/>
      <w:r>
        <w:t>it</w:t>
      </w:r>
      <w:proofErr w:type="gramEnd"/>
      <w:r>
        <w:t xml:space="preserve"> but it may need more work.</w:t>
      </w:r>
    </w:p>
  </w:comment>
  <w:comment w:id="8" w:author="Microsoft Office User" w:date="2021-06-02T09:34:00Z" w:initials="MOU">
    <w:p w14:paraId="0667F8B9" w14:textId="48006EB5" w:rsidR="00A85784" w:rsidRDefault="00A85784">
      <w:pPr>
        <w:pStyle w:val="CommentText"/>
      </w:pPr>
      <w:r>
        <w:rPr>
          <w:rStyle w:val="CommentReference"/>
        </w:rPr>
        <w:annotationRef/>
      </w:r>
      <w:r>
        <w:t>Not sure where this sentence goes!</w:t>
      </w:r>
    </w:p>
  </w:comment>
  <w:comment w:id="10" w:author="Microsoft Office User" w:date="2021-06-02T09:40:00Z" w:initials="MOU">
    <w:p w14:paraId="0B03252A" w14:textId="18ED9777" w:rsidR="00A85784" w:rsidRDefault="00A85784">
      <w:pPr>
        <w:pStyle w:val="CommentText"/>
      </w:pPr>
      <w:r>
        <w:rPr>
          <w:rStyle w:val="CommentReference"/>
        </w:rPr>
        <w:annotationRef/>
      </w:r>
      <w:r>
        <w:t xml:space="preserve">No read </w:t>
      </w:r>
      <w:proofErr w:type="gramStart"/>
      <w:r>
        <w:t>numbers?</w:t>
      </w:r>
      <w:proofErr w:type="gramEnd"/>
      <w:r>
        <w:t xml:space="preserve"> Or depth or anything? </w:t>
      </w:r>
    </w:p>
  </w:comment>
  <w:comment w:id="12" w:author="Microsoft Office User" w:date="2021-06-02T09:42:00Z" w:initials="MOU">
    <w:p w14:paraId="6D9E89B5" w14:textId="7386BC28" w:rsidR="00A85784" w:rsidRDefault="00A85784">
      <w:pPr>
        <w:pStyle w:val="CommentText"/>
      </w:pPr>
      <w:r>
        <w:rPr>
          <w:rStyle w:val="CommentReference"/>
        </w:rPr>
        <w:annotationRef/>
      </w:r>
      <w:r>
        <w:t>I recommend either one-generation (with a hyphen) or</w:t>
      </w:r>
      <w:r w:rsidR="00BE296A">
        <w:t xml:space="preserve"> even</w:t>
      </w:r>
      <w:r>
        <w:t xml:space="preserve"> single</w:t>
      </w:r>
      <w:r w:rsidR="00BE296A">
        <w:t>-</w:t>
      </w:r>
      <w:r>
        <w:t xml:space="preserve">generation to clarify that </w:t>
      </w:r>
      <w:r w:rsidR="00BE296A">
        <w:t xml:space="preserve">you’re not </w:t>
      </w:r>
      <w:proofErr w:type="gramStart"/>
      <w:r w:rsidR="00BE296A">
        <w:t>saying</w:t>
      </w:r>
      <w:proofErr w:type="gramEnd"/>
      <w:r w:rsidR="00BE296A">
        <w:t xml:space="preserve"> “we made a generation and an all-by-all”, this is also true later when you say “thus, one generation temporal method” which can just be such a tough thing to parse because you can parse generation as a verb (you can “generate” these things) or they can refer to a generation. Hyphens just make it totally clear that it’s a compound noun. But I also totally understand that these things have specific analysis </w:t>
      </w:r>
      <w:proofErr w:type="gramStart"/>
      <w:r w:rsidR="00BE296A">
        <w:t>terms</w:t>
      </w:r>
      <w:proofErr w:type="gramEnd"/>
      <w:r w:rsidR="00BE296A">
        <w:t xml:space="preserve"> and you can’t really deviate from those</w:t>
      </w:r>
      <w:r w:rsidR="001F58F6">
        <w:t xml:space="preserve">. </w:t>
      </w:r>
      <w:proofErr w:type="gramStart"/>
      <w:r w:rsidR="001F58F6">
        <w:t>Also</w:t>
      </w:r>
      <w:proofErr w:type="gramEnd"/>
      <w:r w:rsidR="001F58F6">
        <w:t xml:space="preserve"> if you decide on one, make sure to change it in your Figure 8 caption too.</w:t>
      </w:r>
    </w:p>
  </w:comment>
  <w:comment w:id="13" w:author="Microsoft Office User" w:date="2021-06-02T09:46:00Z" w:initials="MOU">
    <w:p w14:paraId="7274C2F4" w14:textId="0CB62007" w:rsidR="00BE296A" w:rsidRDefault="00BE296A">
      <w:pPr>
        <w:pStyle w:val="CommentText"/>
      </w:pPr>
      <w:r>
        <w:rPr>
          <w:rStyle w:val="CommentReference"/>
        </w:rPr>
        <w:annotationRef/>
      </w:r>
      <w:r>
        <w:t>I am very proud of you for correctly placing estimates/estimations. Respect.</w:t>
      </w:r>
    </w:p>
  </w:comment>
  <w:comment w:id="14" w:author="Microsoft Office User" w:date="2021-06-02T10:00:00Z" w:initials="MOU">
    <w:p w14:paraId="5559BB7E" w14:textId="4D7F8E6C" w:rsidR="00F01580" w:rsidRDefault="00F01580">
      <w:pPr>
        <w:pStyle w:val="CommentText"/>
      </w:pPr>
      <w:r>
        <w:rPr>
          <w:rStyle w:val="CommentReference"/>
        </w:rPr>
        <w:annotationRef/>
      </w:r>
      <w:r>
        <w:t xml:space="preserve">I just want to note that this does not actually include your Ne results in any text form, leaving me hanging. I’m also having some trouble interpreting the figure. While I know that the results section isn’t really the place for interpretation, there’s really no description of the results in either the figure caption or the text, and I think there definitely needs to be some kind of description of what we’re seeing in these figures. </w:t>
      </w:r>
      <w:proofErr w:type="gramStart"/>
      <w:r>
        <w:t>So</w:t>
      </w:r>
      <w:proofErr w:type="gramEnd"/>
      <w:r>
        <w:t xml:space="preserve"> your </w:t>
      </w:r>
      <w:r w:rsidR="001F58F6">
        <w:t xml:space="preserve">range appears to be from 0 to 10,000, without a ton of temporal patterning seem like a reasonable interpretation of that figure? I can’t tell if that’s correct or not. I would probably include the range of values for each estimator </w:t>
      </w:r>
      <w:proofErr w:type="gramStart"/>
      <w:r w:rsidR="001F58F6">
        <w:t>maybe?</w:t>
      </w:r>
      <w:proofErr w:type="gramEnd"/>
      <w:r w:rsidR="001F58F6">
        <w:t xml:space="preserve"> Or each birth year? Some kind of text summary or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69CEC437" w15:done="0"/>
  <w15:commentEx w15:paraId="45CB2E1F" w15:done="0"/>
  <w15:commentEx w15:paraId="36DB0CAA" w15:done="0"/>
  <w15:commentEx w15:paraId="0667F8B9" w15:done="0"/>
  <w15:commentEx w15:paraId="0B03252A" w15:done="0"/>
  <w15:commentEx w15:paraId="6D9E89B5" w15:done="0"/>
  <w15:commentEx w15:paraId="7274C2F4" w15:done="0"/>
  <w15:commentEx w15:paraId="5559BB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61CCA3" w16cex:dateUtc="2021-06-02T16:23:00Z"/>
  <w16cex:commentExtensible w16cex:durableId="2461CE01" w16cex:dateUtc="2021-06-02T16:29:00Z"/>
  <w16cex:commentExtensible w16cex:durableId="2461CEED" w16cex:dateUtc="2021-06-02T16:33:00Z"/>
  <w16cex:commentExtensible w16cex:durableId="2461CF34" w16cex:dateUtc="2021-06-02T16:34:00Z"/>
  <w16cex:commentExtensible w16cex:durableId="2461D0A6" w16cex:dateUtc="2021-06-02T16:40:00Z"/>
  <w16cex:commentExtensible w16cex:durableId="2461D0F8" w16cex:dateUtc="2021-06-02T16:42:00Z"/>
  <w16cex:commentExtensible w16cex:durableId="2461D1E0" w16cex:dateUtc="2021-06-02T16:46:00Z"/>
  <w16cex:commentExtensible w16cex:durableId="2461D527" w16cex:dateUtc="2021-06-0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69CEC437" w16cid:durableId="2461CCA3"/>
  <w16cid:commentId w16cid:paraId="45CB2E1F" w16cid:durableId="2461CE01"/>
  <w16cid:commentId w16cid:paraId="36DB0CAA" w16cid:durableId="2461CEED"/>
  <w16cid:commentId w16cid:paraId="0667F8B9" w16cid:durableId="2461CF34"/>
  <w16cid:commentId w16cid:paraId="0B03252A" w16cid:durableId="2461D0A6"/>
  <w16cid:commentId w16cid:paraId="6D9E89B5" w16cid:durableId="2461D0F8"/>
  <w16cid:commentId w16cid:paraId="7274C2F4" w16cid:durableId="2461D1E0"/>
  <w16cid:commentId w16cid:paraId="5559BB7E" w16cid:durableId="2461D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5B2E0" w14:textId="77777777" w:rsidR="00345DCE" w:rsidRDefault="00345DCE" w:rsidP="00372DDA">
      <w:r>
        <w:separator/>
      </w:r>
    </w:p>
  </w:endnote>
  <w:endnote w:type="continuationSeparator" w:id="0">
    <w:p w14:paraId="6328FF56" w14:textId="77777777" w:rsidR="00345DCE" w:rsidRDefault="00345DCE"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803EE" w14:textId="77777777" w:rsidR="00345DCE" w:rsidRDefault="00345DCE" w:rsidP="00372DDA">
      <w:r>
        <w:separator/>
      </w:r>
    </w:p>
  </w:footnote>
  <w:footnote w:type="continuationSeparator" w:id="0">
    <w:p w14:paraId="7F533EFC" w14:textId="77777777" w:rsidR="00345DCE" w:rsidRDefault="00345DCE"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80EDD"/>
    <w:rsid w:val="00081E62"/>
    <w:rsid w:val="000B0F0D"/>
    <w:rsid w:val="000F0F82"/>
    <w:rsid w:val="000F1FC5"/>
    <w:rsid w:val="00106145"/>
    <w:rsid w:val="0014278B"/>
    <w:rsid w:val="0015704C"/>
    <w:rsid w:val="001846C6"/>
    <w:rsid w:val="00186B91"/>
    <w:rsid w:val="00197A1C"/>
    <w:rsid w:val="001A304A"/>
    <w:rsid w:val="001B4B9F"/>
    <w:rsid w:val="001F58F6"/>
    <w:rsid w:val="00216B07"/>
    <w:rsid w:val="00237860"/>
    <w:rsid w:val="00261AAC"/>
    <w:rsid w:val="00275051"/>
    <w:rsid w:val="002B44FA"/>
    <w:rsid w:val="002C4E60"/>
    <w:rsid w:val="00321F2A"/>
    <w:rsid w:val="003273B3"/>
    <w:rsid w:val="00337FAD"/>
    <w:rsid w:val="00345DCE"/>
    <w:rsid w:val="00372DDA"/>
    <w:rsid w:val="00381212"/>
    <w:rsid w:val="00386E1B"/>
    <w:rsid w:val="0039013A"/>
    <w:rsid w:val="003976C8"/>
    <w:rsid w:val="003A1F46"/>
    <w:rsid w:val="003A7140"/>
    <w:rsid w:val="003C0946"/>
    <w:rsid w:val="003E196B"/>
    <w:rsid w:val="003F5C9B"/>
    <w:rsid w:val="003F70AA"/>
    <w:rsid w:val="00457C75"/>
    <w:rsid w:val="004D5944"/>
    <w:rsid w:val="004E0DAE"/>
    <w:rsid w:val="0053152E"/>
    <w:rsid w:val="005333C0"/>
    <w:rsid w:val="00553E10"/>
    <w:rsid w:val="005738DD"/>
    <w:rsid w:val="00581917"/>
    <w:rsid w:val="0059546B"/>
    <w:rsid w:val="0059667C"/>
    <w:rsid w:val="005A63B7"/>
    <w:rsid w:val="005A6A32"/>
    <w:rsid w:val="005D61BE"/>
    <w:rsid w:val="005E5D5E"/>
    <w:rsid w:val="006202C1"/>
    <w:rsid w:val="006216B1"/>
    <w:rsid w:val="00621B1C"/>
    <w:rsid w:val="00626F2D"/>
    <w:rsid w:val="006A3C5E"/>
    <w:rsid w:val="006A7615"/>
    <w:rsid w:val="006C4E78"/>
    <w:rsid w:val="006C520D"/>
    <w:rsid w:val="006D3EAD"/>
    <w:rsid w:val="006D5D27"/>
    <w:rsid w:val="006F47E9"/>
    <w:rsid w:val="0070701F"/>
    <w:rsid w:val="00716E7C"/>
    <w:rsid w:val="007178A1"/>
    <w:rsid w:val="00724753"/>
    <w:rsid w:val="00725F4D"/>
    <w:rsid w:val="00737C2F"/>
    <w:rsid w:val="00741136"/>
    <w:rsid w:val="00744B37"/>
    <w:rsid w:val="007521D6"/>
    <w:rsid w:val="00762092"/>
    <w:rsid w:val="00762D42"/>
    <w:rsid w:val="007809DC"/>
    <w:rsid w:val="007B22E7"/>
    <w:rsid w:val="007B4DA2"/>
    <w:rsid w:val="007E1B09"/>
    <w:rsid w:val="00827ACB"/>
    <w:rsid w:val="008413EC"/>
    <w:rsid w:val="008673C5"/>
    <w:rsid w:val="00867C19"/>
    <w:rsid w:val="008737E2"/>
    <w:rsid w:val="008D0E60"/>
    <w:rsid w:val="008E544E"/>
    <w:rsid w:val="008F2E25"/>
    <w:rsid w:val="0092079B"/>
    <w:rsid w:val="00927DF1"/>
    <w:rsid w:val="009659A7"/>
    <w:rsid w:val="009809EF"/>
    <w:rsid w:val="00984AE7"/>
    <w:rsid w:val="009916B4"/>
    <w:rsid w:val="009B437B"/>
    <w:rsid w:val="009B52DF"/>
    <w:rsid w:val="009C5BB2"/>
    <w:rsid w:val="009D3BBF"/>
    <w:rsid w:val="009D62D5"/>
    <w:rsid w:val="00A001C6"/>
    <w:rsid w:val="00A07BB9"/>
    <w:rsid w:val="00A11F46"/>
    <w:rsid w:val="00A12A7D"/>
    <w:rsid w:val="00A14B4E"/>
    <w:rsid w:val="00A20406"/>
    <w:rsid w:val="00A579CB"/>
    <w:rsid w:val="00A850BB"/>
    <w:rsid w:val="00A85784"/>
    <w:rsid w:val="00A85974"/>
    <w:rsid w:val="00A93D19"/>
    <w:rsid w:val="00A95B39"/>
    <w:rsid w:val="00A97ADC"/>
    <w:rsid w:val="00AB1FB6"/>
    <w:rsid w:val="00AB4990"/>
    <w:rsid w:val="00AB5D48"/>
    <w:rsid w:val="00AC07B7"/>
    <w:rsid w:val="00AD49E9"/>
    <w:rsid w:val="00AE7EDA"/>
    <w:rsid w:val="00AF1705"/>
    <w:rsid w:val="00B17865"/>
    <w:rsid w:val="00B65A33"/>
    <w:rsid w:val="00B96B7C"/>
    <w:rsid w:val="00BA7437"/>
    <w:rsid w:val="00BD396E"/>
    <w:rsid w:val="00BE296A"/>
    <w:rsid w:val="00BF7CCD"/>
    <w:rsid w:val="00C23189"/>
    <w:rsid w:val="00C36CA7"/>
    <w:rsid w:val="00C66CDA"/>
    <w:rsid w:val="00C76238"/>
    <w:rsid w:val="00CC0A40"/>
    <w:rsid w:val="00D06CD4"/>
    <w:rsid w:val="00D17773"/>
    <w:rsid w:val="00D20B38"/>
    <w:rsid w:val="00D33F00"/>
    <w:rsid w:val="00D4439A"/>
    <w:rsid w:val="00D46F6C"/>
    <w:rsid w:val="00D50E41"/>
    <w:rsid w:val="00D53365"/>
    <w:rsid w:val="00D86096"/>
    <w:rsid w:val="00D875FB"/>
    <w:rsid w:val="00DA18B8"/>
    <w:rsid w:val="00DB42D9"/>
    <w:rsid w:val="00DB73CB"/>
    <w:rsid w:val="00DD4878"/>
    <w:rsid w:val="00DE0AED"/>
    <w:rsid w:val="00DE273D"/>
    <w:rsid w:val="00DE54E4"/>
    <w:rsid w:val="00DE7590"/>
    <w:rsid w:val="00DF4329"/>
    <w:rsid w:val="00E217A2"/>
    <w:rsid w:val="00E37454"/>
    <w:rsid w:val="00E458FD"/>
    <w:rsid w:val="00E76AA5"/>
    <w:rsid w:val="00E853B9"/>
    <w:rsid w:val="00EC7D9F"/>
    <w:rsid w:val="00ED075F"/>
    <w:rsid w:val="00ED0CBB"/>
    <w:rsid w:val="00ED2C76"/>
    <w:rsid w:val="00ED522B"/>
    <w:rsid w:val="00EE1601"/>
    <w:rsid w:val="00EE1C5D"/>
    <w:rsid w:val="00EE3EC3"/>
    <w:rsid w:val="00F01580"/>
    <w:rsid w:val="00F2470E"/>
    <w:rsid w:val="00F34CF3"/>
    <w:rsid w:val="00F6668B"/>
    <w:rsid w:val="00F750C6"/>
    <w:rsid w:val="00F77965"/>
    <w:rsid w:val="00F948DB"/>
    <w:rsid w:val="00FA57A1"/>
    <w:rsid w:val="00FC1607"/>
    <w:rsid w:val="00FC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23725</Words>
  <Characters>135238</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7</cp:revision>
  <cp:lastPrinted>2021-06-01T13:43:00Z</cp:lastPrinted>
  <dcterms:created xsi:type="dcterms:W3CDTF">2021-06-04T14:07:00Z</dcterms:created>
  <dcterms:modified xsi:type="dcterms:W3CDTF">2021-06-07T21:47:00Z</dcterms:modified>
</cp:coreProperties>
</file>