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55CEA0C0" w:rsidR="00650EFD" w:rsidRPr="003B7B17" w:rsidRDefault="00650EFD" w:rsidP="00650EFD">
      <w:pPr>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 xml:space="preserve">Chromosome-scale genome assembly and investigation of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estimates of effective population sizes and identification of sex-specific markers.</w:t>
      </w:r>
    </w:p>
    <w:p w14:paraId="72F9C954" w14:textId="5CF1ABFC"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650EFD">
      <w:pPr>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05DE3633"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Co-Chair</w:t>
      </w:r>
    </w:p>
    <w:p w14:paraId="6FE9ADAA" w14:textId="77777777" w:rsidR="00317A9B" w:rsidRPr="00317A9B" w:rsidRDefault="00317A9B" w:rsidP="00317A9B">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EndPr/>
      <w:sdtContent>
        <w:p w14:paraId="252B0F7E" w14:textId="689E7755"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Michael R. Miller, Co-Chair</w:t>
          </w:r>
        </w:p>
      </w:sdtContent>
    </w:sdt>
    <w:p w14:paraId="7FFE13A2" w14:textId="77777777" w:rsidR="00317A9B" w:rsidRPr="00317A9B" w:rsidRDefault="00317A9B" w:rsidP="00317A9B">
      <w:pPr>
        <w:spacing w:after="0" w:line="240" w:lineRule="auto"/>
        <w:jc w:val="center"/>
        <w:rPr>
          <w:rFonts w:asciiTheme="majorHAnsi" w:hAnsiTheme="majorHAnsi" w:cstheme="majorHAnsi"/>
          <w:sz w:val="24"/>
          <w:szCs w:val="24"/>
        </w:rPr>
      </w:pPr>
    </w:p>
    <w:p w14:paraId="51443D43"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EndPr/>
      <w:sdtContent>
        <w:p w14:paraId="41EF26A8" w14:textId="7B90C875"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C. Titus Brown</w:t>
          </w:r>
        </w:p>
      </w:sdtContent>
    </w:sdt>
    <w:p w14:paraId="1B65DCB7" w14:textId="77777777" w:rsidR="00317A9B" w:rsidRDefault="00317A9B" w:rsidP="0019361B">
      <w:pPr>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9361B">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53F62700" w:rsidR="0019361B" w:rsidRPr="0019361B" w:rsidRDefault="0019361B" w:rsidP="0019361B">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2022</w:t>
      </w:r>
    </w:p>
    <w:p w14:paraId="167C8506" w14:textId="3E149D17" w:rsidR="0019361B" w:rsidRDefault="00240056" w:rsidP="00E2467E">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E2467E">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v:textbox>
              </v:shape>
            </w:pict>
          </mc:Fallback>
        </mc:AlternateContent>
      </w:r>
      <w:r>
        <w:rPr>
          <w:rFonts w:ascii="Times New Roman" w:eastAsia="Times New Roman" w:hAnsi="Times New Roman" w:cs="Times New Roman"/>
          <w:b/>
        </w:rPr>
        <w:br w:type="page"/>
      </w:r>
    </w:p>
    <w:p w14:paraId="52C62AD5" w14:textId="4D705D97" w:rsidR="003F5039" w:rsidRPr="00852508" w:rsidRDefault="003903DF" w:rsidP="003F5039">
      <w:pPr>
        <w:pStyle w:val="TOCHeading"/>
        <w:tabs>
          <w:tab w:val="left" w:pos="532"/>
        </w:tabs>
        <w:spacing w:line="480" w:lineRule="auto"/>
        <w:outlineLvl w:val="0"/>
      </w:pPr>
      <w:bookmarkStart w:id="1" w:name="_Toc113273215"/>
      <w:r>
        <w:lastRenderedPageBreak/>
        <w:t xml:space="preserve">Preliminary </w:t>
      </w:r>
      <w:proofErr w:type="gramStart"/>
      <w:r>
        <w:t>Pages</w:t>
      </w:r>
      <w:r w:rsidR="00B117DB">
        <w:t xml:space="preserve"> </w:t>
      </w:r>
      <w:r w:rsidR="003F5039" w:rsidRPr="00852508">
        <w:t xml:space="preserve"> –</w:t>
      </w:r>
      <w:proofErr w:type="gramEnd"/>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3903DF">
      <w:pPr>
        <w:pStyle w:val="Header"/>
        <w:spacing w:line="480" w:lineRule="auto"/>
        <w:outlineLvl w:val="1"/>
        <w:rPr>
          <w:rFonts w:asciiTheme="majorHAnsi" w:hAnsiTheme="majorHAnsi" w:cstheme="majorHAnsi"/>
          <w:b w:val="0"/>
        </w:rPr>
      </w:pPr>
      <w:bookmarkStart w:id="2" w:name="_Toc113123179"/>
      <w:bookmarkStart w:id="3" w:name="_Toc112679840"/>
      <w:bookmarkStart w:id="4" w:name="_Toc113123178"/>
      <w:bookmarkStart w:id="5" w:name="_Toc113273216"/>
      <w:r w:rsidRPr="00173AE9">
        <w:rPr>
          <w:rFonts w:asciiTheme="majorHAnsi" w:hAnsiTheme="majorHAnsi" w:cstheme="majorHAnsi"/>
        </w:rPr>
        <w:t>Acknowledgements</w:t>
      </w:r>
      <w:bookmarkEnd w:id="2"/>
      <w:bookmarkEnd w:id="5"/>
    </w:p>
    <w:p w14:paraId="084D7211" w14:textId="77777777" w:rsidR="003903DF" w:rsidRPr="00F95176" w:rsidRDefault="003903DF" w:rsidP="003903DF">
      <w:pPr>
        <w:spacing w:line="48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3F5039">
      <w:pPr>
        <w:pStyle w:val="Header"/>
        <w:spacing w:line="480" w:lineRule="auto"/>
        <w:outlineLvl w:val="1"/>
        <w:rPr>
          <w:b w:val="0"/>
        </w:rPr>
      </w:pPr>
      <w:bookmarkStart w:id="6" w:name="_Toc113273217"/>
      <w:r w:rsidRPr="00F95176">
        <w:t>Abstract</w:t>
      </w:r>
      <w:bookmarkEnd w:id="3"/>
      <w:bookmarkEnd w:id="4"/>
      <w:bookmarkEnd w:id="6"/>
      <w:r w:rsidR="00355F91">
        <w:t xml:space="preserve"> </w:t>
      </w:r>
    </w:p>
    <w:p w14:paraId="5FA28A66" w14:textId="1D3B63BC" w:rsidR="007A1054" w:rsidRDefault="007A1054" w:rsidP="007A1054">
      <w:pPr>
        <w:spacing w:line="48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{"citationID":"OrmbabkI","properties":{"formattedCitation":"(McAllister, 1963)","plainCitation":"(McAllister, 1963)","noteIndex":0},"citationItems":[{"id":"m5bjFnHH/WjMjcuCy","uris":["http://www.mendeley.com/documents/?uuid=154a621a-a2e3-443b-849e-2593b42c5c2d"],"itemData":{"author":[{"dropping-particle":"","family":"McAllister","given":"D.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is a federally threatened and state endangered fish endemic to the an Francisco Estuary and Sacramento-San Joaquin Delta of North America (SFE). The species is a small, pelagic, mostly annually reproductive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previously been thought of as an indicator species for the health of water quality in the SFE. The </w:t>
      </w:r>
      <w:r w:rsidRPr="00382793">
        <w:rPr>
          <w:rFonts w:asciiTheme="majorHAnsi" w:hAnsiTheme="majorHAnsi" w:cstheme="majorHAnsi"/>
          <w:sz w:val="24"/>
          <w:szCs w:val="24"/>
          <w:lang w:val="en"/>
        </w:rPr>
        <w:t>species has undergone a population collapse associated with drought and anthropogenic effects,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2016)","noteIndex":0},"citationItems":[{"id":"m5bjFnHH/aeWCOmUd","uris":["http://www.mendeley.com/documents/?uuid=23e53af3-288d-48bc-b9a7-174ca5e00a87"],"itemData":{"DOI":"10.1007/s10592-011-0240-y","ISBN":"1566-0621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to effectively preserve biological components contributing to success in the wild.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research within delta smelt, and evolutionary and conservation genetics. Chapter two investigates three novel methods for identifying sex marker(s) within the delta smelt genome. While no specific sequences diagnostic of sex </w:t>
      </w:r>
      <w:proofErr w:type="gramStart"/>
      <w:r w:rsidRPr="00382793">
        <w:rPr>
          <w:rFonts w:asciiTheme="majorHAnsi" w:hAnsiTheme="majorHAnsi" w:cstheme="majorHAnsi"/>
          <w:sz w:val="24"/>
          <w:szCs w:val="24"/>
        </w:rPr>
        <w:t>were</w:t>
      </w:r>
      <w:proofErr w:type="gramEnd"/>
      <w:r w:rsidRPr="00382793">
        <w:rPr>
          <w:rFonts w:asciiTheme="majorHAnsi" w:hAnsiTheme="majorHAnsi" w:cstheme="majorHAnsi"/>
          <w:sz w:val="24"/>
          <w:szCs w:val="24"/>
        </w:rPr>
        <w:t xml:space="preserve"> found, sex-specific discrepancies in kmer were </w:t>
      </w:r>
      <w:r w:rsidRPr="00382793">
        <w:rPr>
          <w:rFonts w:asciiTheme="majorHAnsi" w:hAnsiTheme="majorHAnsi" w:cstheme="majorHAnsi"/>
          <w:sz w:val="24"/>
          <w:szCs w:val="24"/>
        </w:rPr>
        <w:lastRenderedPageBreak/>
        <w:t>identified. Chapter three uses restriction site-associated DNA sequencing (</w:t>
      </w:r>
      <w:proofErr w:type="spellStart"/>
      <w:r w:rsidRPr="00382793">
        <w:rPr>
          <w:rFonts w:asciiTheme="majorHAnsi" w:hAnsiTheme="majorHAnsi" w:cstheme="majorHAnsi"/>
          <w:sz w:val="24"/>
          <w:szCs w:val="24"/>
        </w:rPr>
        <w:t>RADSeq</w:t>
      </w:r>
      <w:proofErr w:type="spellEnd"/>
      <w:r w:rsidRPr="00382793">
        <w:rPr>
          <w:rFonts w:asciiTheme="majorHAnsi" w:hAnsiTheme="majorHAnsi" w:cstheme="majorHAnsi"/>
          <w:sz w:val="24"/>
          <w:szCs w:val="24"/>
        </w:rPr>
        <w:t>) of 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__ delta smelt from__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 xml:space="preserve">__ generations to monitor contemporary and historical effective population size, a metric diagnostic of genetic diversity, through time. Results show a sweeping and significant decrease in genetic diversity for both measurements within wild delta smelt since 1993. This work contributes to the broad comparative biology and conservation genetic communities, and specifically to delta smelt monitoring, management, and research. To date, our assembled delta smelt genomes are the first to provide male and female specific assemblies, are the first chromosome-level and least fragmented publicly available reference genomes within the </w:t>
      </w:r>
      <w:proofErr w:type="spellStart"/>
      <w:r w:rsidRPr="00382793">
        <w:rPr>
          <w:rFonts w:asciiTheme="majorHAnsi" w:hAnsiTheme="majorHAnsi" w:cstheme="majorHAnsi"/>
          <w:i/>
          <w:iCs/>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(smelt) family. Examination of male and female sequencing data shows a discrete difference between sexes and establishes a framework for further investigation. Contemporary and historical declines in effective population size support the need for effective conservation management to prioritize preserving genetic diversity as a component of management within the cultivated refuge population. Together these components provide necessary resources and research objectives for moving evolutionary biology and delta smelt management forward.</w:t>
      </w:r>
    </w:p>
    <w:p w14:paraId="0A6DD919" w14:textId="75FA8C5C" w:rsidR="003903DF" w:rsidRDefault="003903DF" w:rsidP="007A1054">
      <w:pPr>
        <w:spacing w:line="480" w:lineRule="auto"/>
        <w:rPr>
          <w:rFonts w:asciiTheme="majorHAnsi" w:hAnsiTheme="majorHAnsi" w:cstheme="majorHAnsi"/>
          <w:sz w:val="24"/>
          <w:szCs w:val="24"/>
        </w:rPr>
      </w:pPr>
      <w:r>
        <w:rPr>
          <w:rFonts w:asciiTheme="majorHAnsi" w:hAnsiTheme="majorHAnsi" w:cstheme="majorHAnsi"/>
          <w:sz w:val="24"/>
          <w:szCs w:val="24"/>
        </w:rPr>
        <w:br w:type="page"/>
      </w:r>
    </w:p>
    <w:bookmarkStart w:id="7" w:name="_Toc113273218"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3903DF">
          <w:pPr>
            <w:pStyle w:val="TOC1"/>
            <w:outlineLvl w:val="1"/>
            <w:rPr>
              <w:rFonts w:asciiTheme="majorHAnsi" w:hAnsiTheme="majorHAnsi" w:cstheme="majorHAnsi"/>
            </w:rPr>
          </w:pPr>
          <w:r w:rsidRPr="003B7B17">
            <w:rPr>
              <w:rFonts w:asciiTheme="majorHAnsi" w:hAnsiTheme="majorHAnsi" w:cstheme="majorHAnsi"/>
            </w:rPr>
            <w:t>Table of Contents</w:t>
          </w:r>
          <w:bookmarkEnd w:id="7"/>
        </w:p>
        <w:p w14:paraId="3629024C" w14:textId="71D7E7C5" w:rsidR="00635F3E"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13273215" w:history="1">
            <w:r w:rsidR="00635F3E" w:rsidRPr="007B5827">
              <w:rPr>
                <w:rStyle w:val="Hyperlink"/>
                <w:noProof/>
              </w:rPr>
              <w:t>Prel</w:t>
            </w:r>
            <w:r w:rsidR="00635F3E" w:rsidRPr="007B5827">
              <w:rPr>
                <w:rStyle w:val="Hyperlink"/>
                <w:noProof/>
              </w:rPr>
              <w:t>i</w:t>
            </w:r>
            <w:r w:rsidR="00635F3E" w:rsidRPr="007B5827">
              <w:rPr>
                <w:rStyle w:val="Hyperlink"/>
                <w:noProof/>
              </w:rPr>
              <w:t>minary Pages  – Acknowledgements, Abstract, Table of Contents</w:t>
            </w:r>
            <w:r w:rsidR="00635F3E">
              <w:rPr>
                <w:noProof/>
                <w:webHidden/>
              </w:rPr>
              <w:tab/>
            </w:r>
            <w:r w:rsidR="00635F3E">
              <w:rPr>
                <w:noProof/>
                <w:webHidden/>
              </w:rPr>
              <w:fldChar w:fldCharType="begin"/>
            </w:r>
            <w:r w:rsidR="00635F3E">
              <w:rPr>
                <w:noProof/>
                <w:webHidden/>
              </w:rPr>
              <w:instrText xml:space="preserve"> PAGEREF _Toc113273215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E49DD26" w14:textId="76EF08D2" w:rsidR="00635F3E" w:rsidRDefault="00635F3E">
          <w:pPr>
            <w:pStyle w:val="TOC2"/>
            <w:tabs>
              <w:tab w:val="right" w:leader="dot" w:pos="9350"/>
            </w:tabs>
            <w:rPr>
              <w:rFonts w:cstheme="minorBidi"/>
              <w:b w:val="0"/>
              <w:bCs w:val="0"/>
              <w:noProof/>
              <w:sz w:val="24"/>
              <w:szCs w:val="24"/>
            </w:rPr>
          </w:pPr>
          <w:hyperlink w:anchor="_Toc113273216" w:history="1">
            <w:r w:rsidRPr="007B5827">
              <w:rPr>
                <w:rStyle w:val="Hyperlink"/>
                <w:rFonts w:asciiTheme="majorHAnsi" w:hAnsiTheme="majorHAnsi" w:cstheme="majorHAnsi"/>
                <w:noProof/>
              </w:rPr>
              <w:t>Acknowledgements</w:t>
            </w:r>
            <w:r>
              <w:rPr>
                <w:noProof/>
                <w:webHidden/>
              </w:rPr>
              <w:tab/>
            </w:r>
            <w:r>
              <w:rPr>
                <w:noProof/>
                <w:webHidden/>
              </w:rPr>
              <w:fldChar w:fldCharType="begin"/>
            </w:r>
            <w:r>
              <w:rPr>
                <w:noProof/>
                <w:webHidden/>
              </w:rPr>
              <w:instrText xml:space="preserve"> PAGEREF _Toc113273216 \h </w:instrText>
            </w:r>
            <w:r>
              <w:rPr>
                <w:noProof/>
                <w:webHidden/>
              </w:rPr>
            </w:r>
            <w:r>
              <w:rPr>
                <w:noProof/>
                <w:webHidden/>
              </w:rPr>
              <w:fldChar w:fldCharType="separate"/>
            </w:r>
            <w:r>
              <w:rPr>
                <w:noProof/>
                <w:webHidden/>
              </w:rPr>
              <w:t>3</w:t>
            </w:r>
            <w:r>
              <w:rPr>
                <w:noProof/>
                <w:webHidden/>
              </w:rPr>
              <w:fldChar w:fldCharType="end"/>
            </w:r>
          </w:hyperlink>
        </w:p>
        <w:p w14:paraId="52B5E14E" w14:textId="481FDEEF" w:rsidR="00635F3E" w:rsidRDefault="00635F3E">
          <w:pPr>
            <w:pStyle w:val="TOC2"/>
            <w:tabs>
              <w:tab w:val="right" w:leader="dot" w:pos="9350"/>
            </w:tabs>
            <w:rPr>
              <w:rFonts w:cstheme="minorBidi"/>
              <w:b w:val="0"/>
              <w:bCs w:val="0"/>
              <w:noProof/>
              <w:sz w:val="24"/>
              <w:szCs w:val="24"/>
            </w:rPr>
          </w:pPr>
          <w:hyperlink w:anchor="_Toc113273217" w:history="1">
            <w:r w:rsidRPr="007B5827">
              <w:rPr>
                <w:rStyle w:val="Hyperlink"/>
                <w:noProof/>
              </w:rPr>
              <w:t>Abstract</w:t>
            </w:r>
            <w:r>
              <w:rPr>
                <w:noProof/>
                <w:webHidden/>
              </w:rPr>
              <w:tab/>
            </w:r>
            <w:r>
              <w:rPr>
                <w:noProof/>
                <w:webHidden/>
              </w:rPr>
              <w:fldChar w:fldCharType="begin"/>
            </w:r>
            <w:r>
              <w:rPr>
                <w:noProof/>
                <w:webHidden/>
              </w:rPr>
              <w:instrText xml:space="preserve"> PAGEREF _Toc113273217 \h </w:instrText>
            </w:r>
            <w:r>
              <w:rPr>
                <w:noProof/>
                <w:webHidden/>
              </w:rPr>
            </w:r>
            <w:r>
              <w:rPr>
                <w:noProof/>
                <w:webHidden/>
              </w:rPr>
              <w:fldChar w:fldCharType="separate"/>
            </w:r>
            <w:r>
              <w:rPr>
                <w:noProof/>
                <w:webHidden/>
              </w:rPr>
              <w:t>3</w:t>
            </w:r>
            <w:r>
              <w:rPr>
                <w:noProof/>
                <w:webHidden/>
              </w:rPr>
              <w:fldChar w:fldCharType="end"/>
            </w:r>
          </w:hyperlink>
        </w:p>
        <w:p w14:paraId="269159C2" w14:textId="6F513685" w:rsidR="00635F3E" w:rsidRDefault="00635F3E">
          <w:pPr>
            <w:pStyle w:val="TOC2"/>
            <w:tabs>
              <w:tab w:val="right" w:leader="dot" w:pos="9350"/>
            </w:tabs>
            <w:rPr>
              <w:rFonts w:cstheme="minorBidi"/>
              <w:b w:val="0"/>
              <w:bCs w:val="0"/>
              <w:noProof/>
              <w:sz w:val="24"/>
              <w:szCs w:val="24"/>
            </w:rPr>
          </w:pPr>
          <w:hyperlink w:anchor="_Toc113273218" w:history="1">
            <w:r w:rsidRPr="007B5827">
              <w:rPr>
                <w:rStyle w:val="Hyperlink"/>
                <w:rFonts w:asciiTheme="majorHAnsi" w:hAnsiTheme="majorHAnsi" w:cstheme="majorHAnsi"/>
                <w:noProof/>
              </w:rPr>
              <w:t>Table of Contents</w:t>
            </w:r>
            <w:r>
              <w:rPr>
                <w:noProof/>
                <w:webHidden/>
              </w:rPr>
              <w:tab/>
            </w:r>
            <w:r>
              <w:rPr>
                <w:noProof/>
                <w:webHidden/>
              </w:rPr>
              <w:fldChar w:fldCharType="begin"/>
            </w:r>
            <w:r>
              <w:rPr>
                <w:noProof/>
                <w:webHidden/>
              </w:rPr>
              <w:instrText xml:space="preserve"> PAGEREF _Toc113273218 \h </w:instrText>
            </w:r>
            <w:r>
              <w:rPr>
                <w:noProof/>
                <w:webHidden/>
              </w:rPr>
            </w:r>
            <w:r>
              <w:rPr>
                <w:noProof/>
                <w:webHidden/>
              </w:rPr>
              <w:fldChar w:fldCharType="separate"/>
            </w:r>
            <w:r>
              <w:rPr>
                <w:noProof/>
                <w:webHidden/>
              </w:rPr>
              <w:t>5</w:t>
            </w:r>
            <w:r>
              <w:rPr>
                <w:noProof/>
                <w:webHidden/>
              </w:rPr>
              <w:fldChar w:fldCharType="end"/>
            </w:r>
          </w:hyperlink>
        </w:p>
        <w:p w14:paraId="312D3AF3" w14:textId="2236E6B3" w:rsidR="00635F3E" w:rsidRDefault="00635F3E">
          <w:pPr>
            <w:pStyle w:val="TOC1"/>
            <w:tabs>
              <w:tab w:val="right" w:leader="dot" w:pos="9350"/>
            </w:tabs>
            <w:rPr>
              <w:rFonts w:cstheme="minorBidi"/>
              <w:b w:val="0"/>
              <w:bCs w:val="0"/>
              <w:i w:val="0"/>
              <w:iCs w:val="0"/>
              <w:noProof/>
            </w:rPr>
          </w:pPr>
          <w:hyperlink w:anchor="_Toc113273219" w:history="1">
            <w:r w:rsidRPr="007B5827">
              <w:rPr>
                <w:rStyle w:val="Hyperlink"/>
                <w:noProof/>
              </w:rPr>
              <w:t>Chapter 1 – Introduction</w:t>
            </w:r>
            <w:r>
              <w:rPr>
                <w:noProof/>
                <w:webHidden/>
              </w:rPr>
              <w:tab/>
            </w:r>
            <w:r>
              <w:rPr>
                <w:noProof/>
                <w:webHidden/>
              </w:rPr>
              <w:fldChar w:fldCharType="begin"/>
            </w:r>
            <w:r>
              <w:rPr>
                <w:noProof/>
                <w:webHidden/>
              </w:rPr>
              <w:instrText xml:space="preserve"> PAGEREF _Toc113273219 \h </w:instrText>
            </w:r>
            <w:r>
              <w:rPr>
                <w:noProof/>
                <w:webHidden/>
              </w:rPr>
            </w:r>
            <w:r>
              <w:rPr>
                <w:noProof/>
                <w:webHidden/>
              </w:rPr>
              <w:fldChar w:fldCharType="separate"/>
            </w:r>
            <w:r>
              <w:rPr>
                <w:noProof/>
                <w:webHidden/>
              </w:rPr>
              <w:t>6</w:t>
            </w:r>
            <w:r>
              <w:rPr>
                <w:noProof/>
                <w:webHidden/>
              </w:rPr>
              <w:fldChar w:fldCharType="end"/>
            </w:r>
          </w:hyperlink>
        </w:p>
        <w:p w14:paraId="2F3B3D17" w14:textId="795D9A44" w:rsidR="00635F3E" w:rsidRDefault="00635F3E">
          <w:pPr>
            <w:pStyle w:val="TOC2"/>
            <w:tabs>
              <w:tab w:val="right" w:leader="dot" w:pos="9350"/>
            </w:tabs>
            <w:rPr>
              <w:rFonts w:cstheme="minorBidi"/>
              <w:b w:val="0"/>
              <w:bCs w:val="0"/>
              <w:noProof/>
              <w:sz w:val="24"/>
              <w:szCs w:val="24"/>
            </w:rPr>
          </w:pPr>
          <w:hyperlink w:anchor="_Toc113273220" w:history="1">
            <w:r w:rsidRPr="007B5827">
              <w:rPr>
                <w:rStyle w:val="Hyperlink"/>
                <w:rFonts w:asciiTheme="majorHAnsi" w:hAnsiTheme="majorHAnsi" w:cstheme="majorHAnsi"/>
                <w:noProof/>
              </w:rPr>
              <w:t>Background of delta smelt &amp; the SFE</w:t>
            </w:r>
            <w:r>
              <w:rPr>
                <w:noProof/>
                <w:webHidden/>
              </w:rPr>
              <w:tab/>
            </w:r>
            <w:r>
              <w:rPr>
                <w:noProof/>
                <w:webHidden/>
              </w:rPr>
              <w:fldChar w:fldCharType="begin"/>
            </w:r>
            <w:r>
              <w:rPr>
                <w:noProof/>
                <w:webHidden/>
              </w:rPr>
              <w:instrText xml:space="preserve"> PAGEREF _Toc113273220 \h </w:instrText>
            </w:r>
            <w:r>
              <w:rPr>
                <w:noProof/>
                <w:webHidden/>
              </w:rPr>
            </w:r>
            <w:r>
              <w:rPr>
                <w:noProof/>
                <w:webHidden/>
              </w:rPr>
              <w:fldChar w:fldCharType="separate"/>
            </w:r>
            <w:r>
              <w:rPr>
                <w:noProof/>
                <w:webHidden/>
              </w:rPr>
              <w:t>6</w:t>
            </w:r>
            <w:r>
              <w:rPr>
                <w:noProof/>
                <w:webHidden/>
              </w:rPr>
              <w:fldChar w:fldCharType="end"/>
            </w:r>
          </w:hyperlink>
        </w:p>
        <w:p w14:paraId="0EA379C5" w14:textId="3EEF8695" w:rsidR="00635F3E" w:rsidRDefault="00635F3E">
          <w:pPr>
            <w:pStyle w:val="TOC1"/>
            <w:tabs>
              <w:tab w:val="right" w:leader="dot" w:pos="9350"/>
            </w:tabs>
            <w:rPr>
              <w:rFonts w:cstheme="minorBidi"/>
              <w:b w:val="0"/>
              <w:bCs w:val="0"/>
              <w:i w:val="0"/>
              <w:iCs w:val="0"/>
              <w:noProof/>
            </w:rPr>
          </w:pPr>
          <w:hyperlink w:anchor="_Toc113273221" w:history="1">
            <w:r w:rsidRPr="007B5827">
              <w:rPr>
                <w:rStyle w:val="Hyperlink"/>
                <w:noProof/>
              </w:rPr>
              <w:t>Chapter 2 – Genome assembly of Hypomesus transpacificus (delta smelt)</w:t>
            </w:r>
            <w:r>
              <w:rPr>
                <w:noProof/>
                <w:webHidden/>
              </w:rPr>
              <w:tab/>
            </w:r>
            <w:r>
              <w:rPr>
                <w:noProof/>
                <w:webHidden/>
              </w:rPr>
              <w:fldChar w:fldCharType="begin"/>
            </w:r>
            <w:r>
              <w:rPr>
                <w:noProof/>
                <w:webHidden/>
              </w:rPr>
              <w:instrText xml:space="preserve"> PAGEREF _Toc113273221 \h </w:instrText>
            </w:r>
            <w:r>
              <w:rPr>
                <w:noProof/>
                <w:webHidden/>
              </w:rPr>
            </w:r>
            <w:r>
              <w:rPr>
                <w:noProof/>
                <w:webHidden/>
              </w:rPr>
              <w:fldChar w:fldCharType="separate"/>
            </w:r>
            <w:r>
              <w:rPr>
                <w:noProof/>
                <w:webHidden/>
              </w:rPr>
              <w:t>8</w:t>
            </w:r>
            <w:r>
              <w:rPr>
                <w:noProof/>
                <w:webHidden/>
              </w:rPr>
              <w:fldChar w:fldCharType="end"/>
            </w:r>
          </w:hyperlink>
        </w:p>
        <w:p w14:paraId="308328F3" w14:textId="47C6DD06" w:rsidR="00635F3E" w:rsidRDefault="00635F3E">
          <w:pPr>
            <w:pStyle w:val="TOC2"/>
            <w:tabs>
              <w:tab w:val="right" w:leader="dot" w:pos="9350"/>
            </w:tabs>
            <w:rPr>
              <w:rFonts w:cstheme="minorBidi"/>
              <w:b w:val="0"/>
              <w:bCs w:val="0"/>
              <w:noProof/>
              <w:sz w:val="24"/>
              <w:szCs w:val="24"/>
            </w:rPr>
          </w:pPr>
          <w:hyperlink w:anchor="_Toc113273222" w:history="1">
            <w:r w:rsidRPr="007B5827">
              <w:rPr>
                <w:rStyle w:val="Hyperlink"/>
                <w:rFonts w:asciiTheme="majorHAnsi" w:hAnsiTheme="majorHAnsi" w:cstheme="majorHAnsi"/>
                <w:noProof/>
              </w:rPr>
              <w:t>Introduction</w:t>
            </w:r>
            <w:r>
              <w:rPr>
                <w:noProof/>
                <w:webHidden/>
              </w:rPr>
              <w:tab/>
            </w:r>
            <w:r>
              <w:rPr>
                <w:noProof/>
                <w:webHidden/>
              </w:rPr>
              <w:fldChar w:fldCharType="begin"/>
            </w:r>
            <w:r>
              <w:rPr>
                <w:noProof/>
                <w:webHidden/>
              </w:rPr>
              <w:instrText xml:space="preserve"> PAGEREF _Toc113273222 \h </w:instrText>
            </w:r>
            <w:r>
              <w:rPr>
                <w:noProof/>
                <w:webHidden/>
              </w:rPr>
            </w:r>
            <w:r>
              <w:rPr>
                <w:noProof/>
                <w:webHidden/>
              </w:rPr>
              <w:fldChar w:fldCharType="separate"/>
            </w:r>
            <w:r>
              <w:rPr>
                <w:noProof/>
                <w:webHidden/>
              </w:rPr>
              <w:t>8</w:t>
            </w:r>
            <w:r>
              <w:rPr>
                <w:noProof/>
                <w:webHidden/>
              </w:rPr>
              <w:fldChar w:fldCharType="end"/>
            </w:r>
          </w:hyperlink>
        </w:p>
        <w:p w14:paraId="32C6B677" w14:textId="164A2842" w:rsidR="00635F3E" w:rsidRDefault="00635F3E">
          <w:pPr>
            <w:pStyle w:val="TOC2"/>
            <w:tabs>
              <w:tab w:val="right" w:leader="dot" w:pos="9350"/>
            </w:tabs>
            <w:rPr>
              <w:rFonts w:cstheme="minorBidi"/>
              <w:b w:val="0"/>
              <w:bCs w:val="0"/>
              <w:noProof/>
              <w:sz w:val="24"/>
              <w:szCs w:val="24"/>
            </w:rPr>
          </w:pPr>
          <w:hyperlink w:anchor="_Toc113273223" w:history="1">
            <w:r w:rsidRPr="007B5827">
              <w:rPr>
                <w:rStyle w:val="Hyperlink"/>
                <w:rFonts w:asciiTheme="majorHAnsi" w:hAnsiTheme="majorHAnsi" w:cstheme="majorHAnsi"/>
                <w:noProof/>
              </w:rPr>
              <w:t>Methods</w:t>
            </w:r>
            <w:r>
              <w:rPr>
                <w:noProof/>
                <w:webHidden/>
              </w:rPr>
              <w:tab/>
            </w:r>
            <w:r>
              <w:rPr>
                <w:noProof/>
                <w:webHidden/>
              </w:rPr>
              <w:fldChar w:fldCharType="begin"/>
            </w:r>
            <w:r>
              <w:rPr>
                <w:noProof/>
                <w:webHidden/>
              </w:rPr>
              <w:instrText xml:space="preserve"> PAGEREF _Toc113273223 \h </w:instrText>
            </w:r>
            <w:r>
              <w:rPr>
                <w:noProof/>
                <w:webHidden/>
              </w:rPr>
            </w:r>
            <w:r>
              <w:rPr>
                <w:noProof/>
                <w:webHidden/>
              </w:rPr>
              <w:fldChar w:fldCharType="separate"/>
            </w:r>
            <w:r>
              <w:rPr>
                <w:noProof/>
                <w:webHidden/>
              </w:rPr>
              <w:t>11</w:t>
            </w:r>
            <w:r>
              <w:rPr>
                <w:noProof/>
                <w:webHidden/>
              </w:rPr>
              <w:fldChar w:fldCharType="end"/>
            </w:r>
          </w:hyperlink>
        </w:p>
        <w:p w14:paraId="0C52B1F3" w14:textId="11CAEDB3" w:rsidR="00635F3E" w:rsidRDefault="00635F3E">
          <w:pPr>
            <w:pStyle w:val="TOC3"/>
            <w:tabs>
              <w:tab w:val="right" w:leader="dot" w:pos="9350"/>
            </w:tabs>
            <w:rPr>
              <w:rFonts w:cstheme="minorBidi"/>
              <w:noProof/>
              <w:sz w:val="24"/>
              <w:szCs w:val="24"/>
            </w:rPr>
          </w:pPr>
          <w:hyperlink w:anchor="_Toc113273224" w:history="1">
            <w:r w:rsidRPr="007B5827">
              <w:rPr>
                <w:rStyle w:val="Hyperlink"/>
                <w:rFonts w:asciiTheme="majorHAnsi" w:hAnsiTheme="majorHAnsi" w:cstheme="majorHAnsi"/>
                <w:noProof/>
              </w:rPr>
              <w:t>Sample collection &amp; DNA extraction</w:t>
            </w:r>
            <w:r>
              <w:rPr>
                <w:noProof/>
                <w:webHidden/>
              </w:rPr>
              <w:tab/>
            </w:r>
            <w:r>
              <w:rPr>
                <w:noProof/>
                <w:webHidden/>
              </w:rPr>
              <w:fldChar w:fldCharType="begin"/>
            </w:r>
            <w:r>
              <w:rPr>
                <w:noProof/>
                <w:webHidden/>
              </w:rPr>
              <w:instrText xml:space="preserve"> PAGEREF _Toc113273224 \h </w:instrText>
            </w:r>
            <w:r>
              <w:rPr>
                <w:noProof/>
                <w:webHidden/>
              </w:rPr>
            </w:r>
            <w:r>
              <w:rPr>
                <w:noProof/>
                <w:webHidden/>
              </w:rPr>
              <w:fldChar w:fldCharType="separate"/>
            </w:r>
            <w:r>
              <w:rPr>
                <w:noProof/>
                <w:webHidden/>
              </w:rPr>
              <w:t>11</w:t>
            </w:r>
            <w:r>
              <w:rPr>
                <w:noProof/>
                <w:webHidden/>
              </w:rPr>
              <w:fldChar w:fldCharType="end"/>
            </w:r>
          </w:hyperlink>
        </w:p>
        <w:p w14:paraId="5B816C07" w14:textId="3BAD5E69" w:rsidR="00635F3E" w:rsidRDefault="00635F3E">
          <w:pPr>
            <w:pStyle w:val="TOC3"/>
            <w:tabs>
              <w:tab w:val="right" w:leader="dot" w:pos="9350"/>
            </w:tabs>
            <w:rPr>
              <w:rFonts w:cstheme="minorBidi"/>
              <w:noProof/>
              <w:sz w:val="24"/>
              <w:szCs w:val="24"/>
            </w:rPr>
          </w:pPr>
          <w:hyperlink w:anchor="_Toc113273225" w:history="1">
            <w:r w:rsidRPr="007B5827">
              <w:rPr>
                <w:rStyle w:val="Hyperlink"/>
                <w:rFonts w:asciiTheme="majorHAnsi" w:hAnsiTheme="majorHAnsi" w:cstheme="majorHAnsi"/>
                <w:noProof/>
              </w:rPr>
              <w:t>Linked-read library prep, sequencing &amp; quality control</w:t>
            </w:r>
            <w:r>
              <w:rPr>
                <w:noProof/>
                <w:webHidden/>
              </w:rPr>
              <w:tab/>
            </w:r>
            <w:r>
              <w:rPr>
                <w:noProof/>
                <w:webHidden/>
              </w:rPr>
              <w:fldChar w:fldCharType="begin"/>
            </w:r>
            <w:r>
              <w:rPr>
                <w:noProof/>
                <w:webHidden/>
              </w:rPr>
              <w:instrText xml:space="preserve"> PAGEREF _Toc113273225 \h </w:instrText>
            </w:r>
            <w:r>
              <w:rPr>
                <w:noProof/>
                <w:webHidden/>
              </w:rPr>
            </w:r>
            <w:r>
              <w:rPr>
                <w:noProof/>
                <w:webHidden/>
              </w:rPr>
              <w:fldChar w:fldCharType="separate"/>
            </w:r>
            <w:r>
              <w:rPr>
                <w:noProof/>
                <w:webHidden/>
              </w:rPr>
              <w:t>12</w:t>
            </w:r>
            <w:r>
              <w:rPr>
                <w:noProof/>
                <w:webHidden/>
              </w:rPr>
              <w:fldChar w:fldCharType="end"/>
            </w:r>
          </w:hyperlink>
        </w:p>
        <w:p w14:paraId="0F1A1D97" w14:textId="312DC17F" w:rsidR="00635F3E" w:rsidRDefault="00635F3E">
          <w:pPr>
            <w:pStyle w:val="TOC3"/>
            <w:tabs>
              <w:tab w:val="right" w:leader="dot" w:pos="9350"/>
            </w:tabs>
            <w:rPr>
              <w:rFonts w:cstheme="minorBidi"/>
              <w:noProof/>
              <w:sz w:val="24"/>
              <w:szCs w:val="24"/>
            </w:rPr>
          </w:pPr>
          <w:hyperlink w:anchor="_Toc113273226" w:history="1">
            <w:r w:rsidRPr="007B5827">
              <w:rPr>
                <w:rStyle w:val="Hyperlink"/>
                <w:rFonts w:asciiTheme="majorHAnsi" w:hAnsiTheme="majorHAnsi" w:cstheme="majorHAnsi"/>
                <w:noProof/>
              </w:rPr>
              <w:t>Long-read library prep, sequencing &amp; quality control</w:t>
            </w:r>
            <w:r>
              <w:rPr>
                <w:noProof/>
                <w:webHidden/>
              </w:rPr>
              <w:tab/>
            </w:r>
            <w:r>
              <w:rPr>
                <w:noProof/>
                <w:webHidden/>
              </w:rPr>
              <w:fldChar w:fldCharType="begin"/>
            </w:r>
            <w:r>
              <w:rPr>
                <w:noProof/>
                <w:webHidden/>
              </w:rPr>
              <w:instrText xml:space="preserve"> PAGEREF _Toc113273226 \h </w:instrText>
            </w:r>
            <w:r>
              <w:rPr>
                <w:noProof/>
                <w:webHidden/>
              </w:rPr>
            </w:r>
            <w:r>
              <w:rPr>
                <w:noProof/>
                <w:webHidden/>
              </w:rPr>
              <w:fldChar w:fldCharType="separate"/>
            </w:r>
            <w:r>
              <w:rPr>
                <w:noProof/>
                <w:webHidden/>
              </w:rPr>
              <w:t>14</w:t>
            </w:r>
            <w:r>
              <w:rPr>
                <w:noProof/>
                <w:webHidden/>
              </w:rPr>
              <w:fldChar w:fldCharType="end"/>
            </w:r>
          </w:hyperlink>
        </w:p>
        <w:p w14:paraId="77EDE38C" w14:textId="0F9D7005" w:rsidR="00635F3E" w:rsidRDefault="00635F3E">
          <w:pPr>
            <w:pStyle w:val="TOC3"/>
            <w:tabs>
              <w:tab w:val="right" w:leader="dot" w:pos="9350"/>
            </w:tabs>
            <w:rPr>
              <w:rFonts w:cstheme="minorBidi"/>
              <w:noProof/>
              <w:sz w:val="24"/>
              <w:szCs w:val="24"/>
            </w:rPr>
          </w:pPr>
          <w:hyperlink w:anchor="_Toc113273227" w:history="1">
            <w:r w:rsidRPr="007B5827">
              <w:rPr>
                <w:rStyle w:val="Hyperlink"/>
                <w:rFonts w:asciiTheme="majorHAnsi" w:hAnsiTheme="majorHAnsi" w:cstheme="majorHAnsi"/>
                <w:noProof/>
              </w:rPr>
              <w:t>Hi-C chromatin conformation capture library prep, sequencing &amp; quality control</w:t>
            </w:r>
            <w:r>
              <w:rPr>
                <w:noProof/>
                <w:webHidden/>
              </w:rPr>
              <w:tab/>
            </w:r>
            <w:r>
              <w:rPr>
                <w:noProof/>
                <w:webHidden/>
              </w:rPr>
              <w:fldChar w:fldCharType="begin"/>
            </w:r>
            <w:r>
              <w:rPr>
                <w:noProof/>
                <w:webHidden/>
              </w:rPr>
              <w:instrText xml:space="preserve"> PAGEREF _Toc113273227 \h </w:instrText>
            </w:r>
            <w:r>
              <w:rPr>
                <w:noProof/>
                <w:webHidden/>
              </w:rPr>
            </w:r>
            <w:r>
              <w:rPr>
                <w:noProof/>
                <w:webHidden/>
              </w:rPr>
              <w:fldChar w:fldCharType="separate"/>
            </w:r>
            <w:r>
              <w:rPr>
                <w:noProof/>
                <w:webHidden/>
              </w:rPr>
              <w:t>16</w:t>
            </w:r>
            <w:r>
              <w:rPr>
                <w:noProof/>
                <w:webHidden/>
              </w:rPr>
              <w:fldChar w:fldCharType="end"/>
            </w:r>
          </w:hyperlink>
        </w:p>
        <w:p w14:paraId="7C3F6CD0" w14:textId="01BCAEE8" w:rsidR="00635F3E" w:rsidRDefault="00635F3E">
          <w:pPr>
            <w:pStyle w:val="TOC3"/>
            <w:tabs>
              <w:tab w:val="right" w:leader="dot" w:pos="9350"/>
            </w:tabs>
            <w:rPr>
              <w:rFonts w:cstheme="minorBidi"/>
              <w:noProof/>
              <w:sz w:val="24"/>
              <w:szCs w:val="24"/>
            </w:rPr>
          </w:pPr>
          <w:hyperlink w:anchor="_Toc113273228" w:history="1">
            <w:r w:rsidRPr="007B5827">
              <w:rPr>
                <w:rStyle w:val="Hyperlink"/>
                <w:rFonts w:asciiTheme="majorHAnsi" w:hAnsiTheme="majorHAnsi" w:cstheme="majorHAnsi"/>
                <w:noProof/>
              </w:rPr>
              <w:t>Genome assembly</w:t>
            </w:r>
            <w:r>
              <w:rPr>
                <w:noProof/>
                <w:webHidden/>
              </w:rPr>
              <w:tab/>
            </w:r>
            <w:r>
              <w:rPr>
                <w:noProof/>
                <w:webHidden/>
              </w:rPr>
              <w:fldChar w:fldCharType="begin"/>
            </w:r>
            <w:r>
              <w:rPr>
                <w:noProof/>
                <w:webHidden/>
              </w:rPr>
              <w:instrText xml:space="preserve"> PAGEREF _Toc113273228 \h </w:instrText>
            </w:r>
            <w:r>
              <w:rPr>
                <w:noProof/>
                <w:webHidden/>
              </w:rPr>
            </w:r>
            <w:r>
              <w:rPr>
                <w:noProof/>
                <w:webHidden/>
              </w:rPr>
              <w:fldChar w:fldCharType="separate"/>
            </w:r>
            <w:r>
              <w:rPr>
                <w:noProof/>
                <w:webHidden/>
              </w:rPr>
              <w:t>17</w:t>
            </w:r>
            <w:r>
              <w:rPr>
                <w:noProof/>
                <w:webHidden/>
              </w:rPr>
              <w:fldChar w:fldCharType="end"/>
            </w:r>
          </w:hyperlink>
        </w:p>
        <w:p w14:paraId="283E6A9D" w14:textId="7346AF25" w:rsidR="00635F3E" w:rsidRDefault="00635F3E">
          <w:pPr>
            <w:pStyle w:val="TOC3"/>
            <w:tabs>
              <w:tab w:val="right" w:leader="dot" w:pos="9350"/>
            </w:tabs>
            <w:rPr>
              <w:rFonts w:cstheme="minorBidi"/>
              <w:noProof/>
              <w:sz w:val="24"/>
              <w:szCs w:val="24"/>
            </w:rPr>
          </w:pPr>
          <w:hyperlink w:anchor="_Toc113273229" w:history="1">
            <w:r w:rsidRPr="007B5827">
              <w:rPr>
                <w:rStyle w:val="Hyperlink"/>
                <w:rFonts w:asciiTheme="majorHAnsi" w:hAnsiTheme="majorHAnsi" w:cstheme="majorHAnsi"/>
                <w:noProof/>
              </w:rPr>
              <w:t>Assembly quality assessment</w:t>
            </w:r>
            <w:r>
              <w:rPr>
                <w:noProof/>
                <w:webHidden/>
              </w:rPr>
              <w:tab/>
            </w:r>
            <w:r>
              <w:rPr>
                <w:noProof/>
                <w:webHidden/>
              </w:rPr>
              <w:fldChar w:fldCharType="begin"/>
            </w:r>
            <w:r>
              <w:rPr>
                <w:noProof/>
                <w:webHidden/>
              </w:rPr>
              <w:instrText xml:space="preserve"> PAGEREF _Toc113273229 \h </w:instrText>
            </w:r>
            <w:r>
              <w:rPr>
                <w:noProof/>
                <w:webHidden/>
              </w:rPr>
            </w:r>
            <w:r>
              <w:rPr>
                <w:noProof/>
                <w:webHidden/>
              </w:rPr>
              <w:fldChar w:fldCharType="separate"/>
            </w:r>
            <w:r>
              <w:rPr>
                <w:noProof/>
                <w:webHidden/>
              </w:rPr>
              <w:t>18</w:t>
            </w:r>
            <w:r>
              <w:rPr>
                <w:noProof/>
                <w:webHidden/>
              </w:rPr>
              <w:fldChar w:fldCharType="end"/>
            </w:r>
          </w:hyperlink>
        </w:p>
        <w:p w14:paraId="7D8CD708" w14:textId="6EDEE62F" w:rsidR="00635F3E" w:rsidRDefault="00635F3E">
          <w:pPr>
            <w:pStyle w:val="TOC3"/>
            <w:tabs>
              <w:tab w:val="right" w:leader="dot" w:pos="9350"/>
            </w:tabs>
            <w:rPr>
              <w:rFonts w:cstheme="minorBidi"/>
              <w:noProof/>
              <w:sz w:val="24"/>
              <w:szCs w:val="24"/>
            </w:rPr>
          </w:pPr>
          <w:hyperlink w:anchor="_Toc113273230" w:history="1">
            <w:r w:rsidRPr="007B5827">
              <w:rPr>
                <w:rStyle w:val="Hyperlink"/>
                <w:rFonts w:asciiTheme="majorHAnsi" w:hAnsiTheme="majorHAnsi" w:cstheme="majorHAnsi"/>
                <w:noProof/>
              </w:rPr>
              <w:t>Cytogenic chromosome validation</w:t>
            </w:r>
            <w:r>
              <w:rPr>
                <w:noProof/>
                <w:webHidden/>
              </w:rPr>
              <w:tab/>
            </w:r>
            <w:r>
              <w:rPr>
                <w:noProof/>
                <w:webHidden/>
              </w:rPr>
              <w:fldChar w:fldCharType="begin"/>
            </w:r>
            <w:r>
              <w:rPr>
                <w:noProof/>
                <w:webHidden/>
              </w:rPr>
              <w:instrText xml:space="preserve"> PAGEREF _Toc113273230 \h </w:instrText>
            </w:r>
            <w:r>
              <w:rPr>
                <w:noProof/>
                <w:webHidden/>
              </w:rPr>
            </w:r>
            <w:r>
              <w:rPr>
                <w:noProof/>
                <w:webHidden/>
              </w:rPr>
              <w:fldChar w:fldCharType="separate"/>
            </w:r>
            <w:r>
              <w:rPr>
                <w:noProof/>
                <w:webHidden/>
              </w:rPr>
              <w:t>19</w:t>
            </w:r>
            <w:r>
              <w:rPr>
                <w:noProof/>
                <w:webHidden/>
              </w:rPr>
              <w:fldChar w:fldCharType="end"/>
            </w:r>
          </w:hyperlink>
        </w:p>
        <w:p w14:paraId="1F22517C" w14:textId="6D57AF8E" w:rsidR="00635F3E" w:rsidRDefault="00635F3E">
          <w:pPr>
            <w:pStyle w:val="TOC2"/>
            <w:tabs>
              <w:tab w:val="right" w:leader="dot" w:pos="9350"/>
            </w:tabs>
            <w:rPr>
              <w:rFonts w:cstheme="minorBidi"/>
              <w:b w:val="0"/>
              <w:bCs w:val="0"/>
              <w:noProof/>
              <w:sz w:val="24"/>
              <w:szCs w:val="24"/>
            </w:rPr>
          </w:pPr>
          <w:hyperlink w:anchor="_Toc113273231" w:history="1">
            <w:r w:rsidRPr="007B5827">
              <w:rPr>
                <w:rStyle w:val="Hyperlink"/>
                <w:rFonts w:asciiTheme="majorHAnsi" w:hAnsiTheme="majorHAnsi" w:cstheme="majorHAnsi"/>
                <w:noProof/>
              </w:rPr>
              <w:t>Results</w:t>
            </w:r>
            <w:r>
              <w:rPr>
                <w:noProof/>
                <w:webHidden/>
              </w:rPr>
              <w:tab/>
            </w:r>
            <w:r>
              <w:rPr>
                <w:noProof/>
                <w:webHidden/>
              </w:rPr>
              <w:fldChar w:fldCharType="begin"/>
            </w:r>
            <w:r>
              <w:rPr>
                <w:noProof/>
                <w:webHidden/>
              </w:rPr>
              <w:instrText xml:space="preserve"> PAGEREF _Toc113273231 \h </w:instrText>
            </w:r>
            <w:r>
              <w:rPr>
                <w:noProof/>
                <w:webHidden/>
              </w:rPr>
            </w:r>
            <w:r>
              <w:rPr>
                <w:noProof/>
                <w:webHidden/>
              </w:rPr>
              <w:fldChar w:fldCharType="separate"/>
            </w:r>
            <w:r>
              <w:rPr>
                <w:noProof/>
                <w:webHidden/>
              </w:rPr>
              <w:t>20</w:t>
            </w:r>
            <w:r>
              <w:rPr>
                <w:noProof/>
                <w:webHidden/>
              </w:rPr>
              <w:fldChar w:fldCharType="end"/>
            </w:r>
          </w:hyperlink>
        </w:p>
        <w:p w14:paraId="029CB407" w14:textId="722674D0" w:rsidR="00635F3E" w:rsidRDefault="00635F3E">
          <w:pPr>
            <w:pStyle w:val="TOC3"/>
            <w:tabs>
              <w:tab w:val="right" w:leader="dot" w:pos="9350"/>
            </w:tabs>
            <w:rPr>
              <w:rFonts w:cstheme="minorBidi"/>
              <w:noProof/>
              <w:sz w:val="24"/>
              <w:szCs w:val="24"/>
            </w:rPr>
          </w:pPr>
          <w:hyperlink w:anchor="_Toc113273232" w:history="1">
            <w:r w:rsidRPr="007B5827">
              <w:rPr>
                <w:rStyle w:val="Hyperlink"/>
                <w:rFonts w:asciiTheme="majorHAnsi" w:hAnsiTheme="majorHAnsi" w:cstheme="majorHAnsi"/>
                <w:noProof/>
              </w:rPr>
              <w:t>Sample collection &amp; DNA extraction</w:t>
            </w:r>
            <w:r>
              <w:rPr>
                <w:noProof/>
                <w:webHidden/>
              </w:rPr>
              <w:tab/>
            </w:r>
            <w:r>
              <w:rPr>
                <w:noProof/>
                <w:webHidden/>
              </w:rPr>
              <w:fldChar w:fldCharType="begin"/>
            </w:r>
            <w:r>
              <w:rPr>
                <w:noProof/>
                <w:webHidden/>
              </w:rPr>
              <w:instrText xml:space="preserve"> PAGEREF _Toc113273232 \h </w:instrText>
            </w:r>
            <w:r>
              <w:rPr>
                <w:noProof/>
                <w:webHidden/>
              </w:rPr>
            </w:r>
            <w:r>
              <w:rPr>
                <w:noProof/>
                <w:webHidden/>
              </w:rPr>
              <w:fldChar w:fldCharType="separate"/>
            </w:r>
            <w:r>
              <w:rPr>
                <w:noProof/>
                <w:webHidden/>
              </w:rPr>
              <w:t>20</w:t>
            </w:r>
            <w:r>
              <w:rPr>
                <w:noProof/>
                <w:webHidden/>
              </w:rPr>
              <w:fldChar w:fldCharType="end"/>
            </w:r>
          </w:hyperlink>
        </w:p>
        <w:p w14:paraId="50B329F0" w14:textId="0AB0C5A1" w:rsidR="00635F3E" w:rsidRDefault="00635F3E">
          <w:pPr>
            <w:pStyle w:val="TOC3"/>
            <w:tabs>
              <w:tab w:val="right" w:leader="dot" w:pos="9350"/>
            </w:tabs>
            <w:rPr>
              <w:rFonts w:cstheme="minorBidi"/>
              <w:noProof/>
              <w:sz w:val="24"/>
              <w:szCs w:val="24"/>
            </w:rPr>
          </w:pPr>
          <w:hyperlink w:anchor="_Toc113273233" w:history="1">
            <w:r w:rsidRPr="007B5827">
              <w:rPr>
                <w:rStyle w:val="Hyperlink"/>
                <w:rFonts w:asciiTheme="majorHAnsi" w:hAnsiTheme="majorHAnsi" w:cstheme="majorHAnsi"/>
                <w:noProof/>
              </w:rPr>
              <w:t>Linked-read library prep, sequencing &amp; quality control</w:t>
            </w:r>
            <w:r>
              <w:rPr>
                <w:noProof/>
                <w:webHidden/>
              </w:rPr>
              <w:tab/>
            </w:r>
            <w:r>
              <w:rPr>
                <w:noProof/>
                <w:webHidden/>
              </w:rPr>
              <w:fldChar w:fldCharType="begin"/>
            </w:r>
            <w:r>
              <w:rPr>
                <w:noProof/>
                <w:webHidden/>
              </w:rPr>
              <w:instrText xml:space="preserve"> PAGEREF _Toc113273233 \h </w:instrText>
            </w:r>
            <w:r>
              <w:rPr>
                <w:noProof/>
                <w:webHidden/>
              </w:rPr>
            </w:r>
            <w:r>
              <w:rPr>
                <w:noProof/>
                <w:webHidden/>
              </w:rPr>
              <w:fldChar w:fldCharType="separate"/>
            </w:r>
            <w:r>
              <w:rPr>
                <w:noProof/>
                <w:webHidden/>
              </w:rPr>
              <w:t>20</w:t>
            </w:r>
            <w:r>
              <w:rPr>
                <w:noProof/>
                <w:webHidden/>
              </w:rPr>
              <w:fldChar w:fldCharType="end"/>
            </w:r>
          </w:hyperlink>
        </w:p>
        <w:p w14:paraId="045CBB47" w14:textId="7E338EC5" w:rsidR="00635F3E" w:rsidRDefault="00635F3E">
          <w:pPr>
            <w:pStyle w:val="TOC3"/>
            <w:tabs>
              <w:tab w:val="right" w:leader="dot" w:pos="9350"/>
            </w:tabs>
            <w:rPr>
              <w:rFonts w:cstheme="minorBidi"/>
              <w:noProof/>
              <w:sz w:val="24"/>
              <w:szCs w:val="24"/>
            </w:rPr>
          </w:pPr>
          <w:hyperlink w:anchor="_Toc113273234" w:history="1">
            <w:r w:rsidRPr="007B5827">
              <w:rPr>
                <w:rStyle w:val="Hyperlink"/>
                <w:rFonts w:asciiTheme="majorHAnsi" w:hAnsiTheme="majorHAnsi" w:cstheme="majorHAnsi"/>
                <w:noProof/>
              </w:rPr>
              <w:t>Long-read library prep, sequencing &amp; quality control</w:t>
            </w:r>
            <w:r>
              <w:rPr>
                <w:noProof/>
                <w:webHidden/>
              </w:rPr>
              <w:tab/>
            </w:r>
            <w:r>
              <w:rPr>
                <w:noProof/>
                <w:webHidden/>
              </w:rPr>
              <w:fldChar w:fldCharType="begin"/>
            </w:r>
            <w:r>
              <w:rPr>
                <w:noProof/>
                <w:webHidden/>
              </w:rPr>
              <w:instrText xml:space="preserve"> PAGEREF _Toc113273234 \h </w:instrText>
            </w:r>
            <w:r>
              <w:rPr>
                <w:noProof/>
                <w:webHidden/>
              </w:rPr>
            </w:r>
            <w:r>
              <w:rPr>
                <w:noProof/>
                <w:webHidden/>
              </w:rPr>
              <w:fldChar w:fldCharType="separate"/>
            </w:r>
            <w:r>
              <w:rPr>
                <w:noProof/>
                <w:webHidden/>
              </w:rPr>
              <w:t>21</w:t>
            </w:r>
            <w:r>
              <w:rPr>
                <w:noProof/>
                <w:webHidden/>
              </w:rPr>
              <w:fldChar w:fldCharType="end"/>
            </w:r>
          </w:hyperlink>
        </w:p>
        <w:p w14:paraId="74894A29" w14:textId="4A7BEA39" w:rsidR="00635F3E" w:rsidRDefault="00635F3E">
          <w:pPr>
            <w:pStyle w:val="TOC3"/>
            <w:tabs>
              <w:tab w:val="right" w:leader="dot" w:pos="9350"/>
            </w:tabs>
            <w:rPr>
              <w:rFonts w:cstheme="minorBidi"/>
              <w:noProof/>
              <w:sz w:val="24"/>
              <w:szCs w:val="24"/>
            </w:rPr>
          </w:pPr>
          <w:hyperlink w:anchor="_Toc113273235" w:history="1">
            <w:r w:rsidRPr="007B5827">
              <w:rPr>
                <w:rStyle w:val="Hyperlink"/>
                <w:rFonts w:asciiTheme="majorHAnsi" w:hAnsiTheme="majorHAnsi" w:cstheme="majorHAnsi"/>
                <w:noProof/>
              </w:rPr>
              <w:t>Hi-C chromatin conformation capture library prep, sequencing &amp; quality control</w:t>
            </w:r>
            <w:r>
              <w:rPr>
                <w:noProof/>
                <w:webHidden/>
              </w:rPr>
              <w:tab/>
            </w:r>
            <w:r>
              <w:rPr>
                <w:noProof/>
                <w:webHidden/>
              </w:rPr>
              <w:fldChar w:fldCharType="begin"/>
            </w:r>
            <w:r>
              <w:rPr>
                <w:noProof/>
                <w:webHidden/>
              </w:rPr>
              <w:instrText xml:space="preserve"> PAGEREF _Toc113273235 \h </w:instrText>
            </w:r>
            <w:r>
              <w:rPr>
                <w:noProof/>
                <w:webHidden/>
              </w:rPr>
            </w:r>
            <w:r>
              <w:rPr>
                <w:noProof/>
                <w:webHidden/>
              </w:rPr>
              <w:fldChar w:fldCharType="separate"/>
            </w:r>
            <w:r>
              <w:rPr>
                <w:noProof/>
                <w:webHidden/>
              </w:rPr>
              <w:t>22</w:t>
            </w:r>
            <w:r>
              <w:rPr>
                <w:noProof/>
                <w:webHidden/>
              </w:rPr>
              <w:fldChar w:fldCharType="end"/>
            </w:r>
          </w:hyperlink>
        </w:p>
        <w:p w14:paraId="51EF1003" w14:textId="7FE3ABC2" w:rsidR="00635F3E" w:rsidRDefault="00635F3E">
          <w:pPr>
            <w:pStyle w:val="TOC3"/>
            <w:tabs>
              <w:tab w:val="right" w:leader="dot" w:pos="9350"/>
            </w:tabs>
            <w:rPr>
              <w:rFonts w:cstheme="minorBidi"/>
              <w:noProof/>
              <w:sz w:val="24"/>
              <w:szCs w:val="24"/>
            </w:rPr>
          </w:pPr>
          <w:hyperlink w:anchor="_Toc113273236" w:history="1">
            <w:r w:rsidRPr="007B5827">
              <w:rPr>
                <w:rStyle w:val="Hyperlink"/>
                <w:rFonts w:asciiTheme="majorHAnsi" w:hAnsiTheme="majorHAnsi" w:cstheme="majorHAnsi"/>
                <w:noProof/>
              </w:rPr>
              <w:t>Assembly quality assessment</w:t>
            </w:r>
            <w:r>
              <w:rPr>
                <w:noProof/>
                <w:webHidden/>
              </w:rPr>
              <w:tab/>
            </w:r>
            <w:r>
              <w:rPr>
                <w:noProof/>
                <w:webHidden/>
              </w:rPr>
              <w:fldChar w:fldCharType="begin"/>
            </w:r>
            <w:r>
              <w:rPr>
                <w:noProof/>
                <w:webHidden/>
              </w:rPr>
              <w:instrText xml:space="preserve"> PAGEREF _Toc113273236 \h </w:instrText>
            </w:r>
            <w:r>
              <w:rPr>
                <w:noProof/>
                <w:webHidden/>
              </w:rPr>
            </w:r>
            <w:r>
              <w:rPr>
                <w:noProof/>
                <w:webHidden/>
              </w:rPr>
              <w:fldChar w:fldCharType="separate"/>
            </w:r>
            <w:r>
              <w:rPr>
                <w:noProof/>
                <w:webHidden/>
              </w:rPr>
              <w:t>22</w:t>
            </w:r>
            <w:r>
              <w:rPr>
                <w:noProof/>
                <w:webHidden/>
              </w:rPr>
              <w:fldChar w:fldCharType="end"/>
            </w:r>
          </w:hyperlink>
        </w:p>
        <w:p w14:paraId="5B462C83" w14:textId="36EAEA97" w:rsidR="00635F3E" w:rsidRDefault="00635F3E">
          <w:pPr>
            <w:pStyle w:val="TOC3"/>
            <w:tabs>
              <w:tab w:val="right" w:leader="dot" w:pos="9350"/>
            </w:tabs>
            <w:rPr>
              <w:rFonts w:cstheme="minorBidi"/>
              <w:noProof/>
              <w:sz w:val="24"/>
              <w:szCs w:val="24"/>
            </w:rPr>
          </w:pPr>
          <w:hyperlink w:anchor="_Toc113273237" w:history="1">
            <w:r w:rsidRPr="007B5827">
              <w:rPr>
                <w:rStyle w:val="Hyperlink"/>
                <w:rFonts w:asciiTheme="majorHAnsi" w:hAnsiTheme="majorHAnsi" w:cstheme="majorHAnsi"/>
                <w:noProof/>
              </w:rPr>
              <w:t>Cytogenic chromosome validation</w:t>
            </w:r>
            <w:r>
              <w:rPr>
                <w:noProof/>
                <w:webHidden/>
              </w:rPr>
              <w:tab/>
            </w:r>
            <w:r>
              <w:rPr>
                <w:noProof/>
                <w:webHidden/>
              </w:rPr>
              <w:fldChar w:fldCharType="begin"/>
            </w:r>
            <w:r>
              <w:rPr>
                <w:noProof/>
                <w:webHidden/>
              </w:rPr>
              <w:instrText xml:space="preserve"> PAGEREF _Toc113273237 \h </w:instrText>
            </w:r>
            <w:r>
              <w:rPr>
                <w:noProof/>
                <w:webHidden/>
              </w:rPr>
            </w:r>
            <w:r>
              <w:rPr>
                <w:noProof/>
                <w:webHidden/>
              </w:rPr>
              <w:fldChar w:fldCharType="separate"/>
            </w:r>
            <w:r>
              <w:rPr>
                <w:noProof/>
                <w:webHidden/>
              </w:rPr>
              <w:t>23</w:t>
            </w:r>
            <w:r>
              <w:rPr>
                <w:noProof/>
                <w:webHidden/>
              </w:rPr>
              <w:fldChar w:fldCharType="end"/>
            </w:r>
          </w:hyperlink>
        </w:p>
        <w:p w14:paraId="2E268D3C" w14:textId="7F8F789E" w:rsidR="00635F3E" w:rsidRDefault="00635F3E">
          <w:pPr>
            <w:pStyle w:val="TOC2"/>
            <w:tabs>
              <w:tab w:val="right" w:leader="dot" w:pos="9350"/>
            </w:tabs>
            <w:rPr>
              <w:rFonts w:cstheme="minorBidi"/>
              <w:b w:val="0"/>
              <w:bCs w:val="0"/>
              <w:noProof/>
              <w:sz w:val="24"/>
              <w:szCs w:val="24"/>
            </w:rPr>
          </w:pPr>
          <w:hyperlink w:anchor="_Toc113273238" w:history="1">
            <w:r w:rsidRPr="007B5827">
              <w:rPr>
                <w:rStyle w:val="Hyperlink"/>
                <w:rFonts w:asciiTheme="majorHAnsi" w:hAnsiTheme="majorHAnsi" w:cstheme="majorHAnsi"/>
                <w:noProof/>
              </w:rPr>
              <w:t>Discussion &amp; Conclusion</w:t>
            </w:r>
            <w:r>
              <w:rPr>
                <w:noProof/>
                <w:webHidden/>
              </w:rPr>
              <w:tab/>
            </w:r>
            <w:r>
              <w:rPr>
                <w:noProof/>
                <w:webHidden/>
              </w:rPr>
              <w:fldChar w:fldCharType="begin"/>
            </w:r>
            <w:r>
              <w:rPr>
                <w:noProof/>
                <w:webHidden/>
              </w:rPr>
              <w:instrText xml:space="preserve"> PAGEREF _Toc113273238 \h </w:instrText>
            </w:r>
            <w:r>
              <w:rPr>
                <w:noProof/>
                <w:webHidden/>
              </w:rPr>
            </w:r>
            <w:r>
              <w:rPr>
                <w:noProof/>
                <w:webHidden/>
              </w:rPr>
              <w:fldChar w:fldCharType="separate"/>
            </w:r>
            <w:r>
              <w:rPr>
                <w:noProof/>
                <w:webHidden/>
              </w:rPr>
              <w:t>24</w:t>
            </w:r>
            <w:r>
              <w:rPr>
                <w:noProof/>
                <w:webHidden/>
              </w:rPr>
              <w:fldChar w:fldCharType="end"/>
            </w:r>
          </w:hyperlink>
        </w:p>
        <w:p w14:paraId="18050300" w14:textId="242488D9" w:rsidR="00635F3E" w:rsidRDefault="00635F3E">
          <w:pPr>
            <w:pStyle w:val="TOC1"/>
            <w:tabs>
              <w:tab w:val="right" w:leader="dot" w:pos="9350"/>
            </w:tabs>
            <w:rPr>
              <w:rFonts w:cstheme="minorBidi"/>
              <w:b w:val="0"/>
              <w:bCs w:val="0"/>
              <w:i w:val="0"/>
              <w:iCs w:val="0"/>
              <w:noProof/>
            </w:rPr>
          </w:pPr>
          <w:hyperlink w:anchor="_Toc113273239" w:history="1">
            <w:r w:rsidRPr="007B5827">
              <w:rPr>
                <w:rStyle w:val="Hyperlink"/>
                <w:noProof/>
              </w:rPr>
              <w:t>Works Cited</w:t>
            </w:r>
            <w:r>
              <w:rPr>
                <w:noProof/>
                <w:webHidden/>
              </w:rPr>
              <w:tab/>
            </w:r>
            <w:r>
              <w:rPr>
                <w:noProof/>
                <w:webHidden/>
              </w:rPr>
              <w:fldChar w:fldCharType="begin"/>
            </w:r>
            <w:r>
              <w:rPr>
                <w:noProof/>
                <w:webHidden/>
              </w:rPr>
              <w:instrText xml:space="preserve"> PAGEREF _Toc113273239 \h </w:instrText>
            </w:r>
            <w:r>
              <w:rPr>
                <w:noProof/>
                <w:webHidden/>
              </w:rPr>
            </w:r>
            <w:r>
              <w:rPr>
                <w:noProof/>
                <w:webHidden/>
              </w:rPr>
              <w:fldChar w:fldCharType="separate"/>
            </w:r>
            <w:r>
              <w:rPr>
                <w:noProof/>
                <w:webHidden/>
              </w:rPr>
              <w:t>27</w:t>
            </w:r>
            <w:r>
              <w:rPr>
                <w:noProof/>
                <w:webHidden/>
              </w:rPr>
              <w:fldChar w:fldCharType="end"/>
            </w:r>
          </w:hyperlink>
        </w:p>
        <w:p w14:paraId="1350E66D" w14:textId="2AD7119C" w:rsidR="00635F3E" w:rsidRDefault="00635F3E">
          <w:pPr>
            <w:pStyle w:val="TOC1"/>
            <w:tabs>
              <w:tab w:val="right" w:leader="dot" w:pos="9350"/>
            </w:tabs>
            <w:rPr>
              <w:rFonts w:cstheme="minorBidi"/>
              <w:b w:val="0"/>
              <w:bCs w:val="0"/>
              <w:i w:val="0"/>
              <w:iCs w:val="0"/>
              <w:noProof/>
            </w:rPr>
          </w:pPr>
          <w:hyperlink w:anchor="_Toc113273240" w:history="1">
            <w:r w:rsidRPr="007B5827">
              <w:rPr>
                <w:rStyle w:val="Hyperlink"/>
                <w:noProof/>
              </w:rPr>
              <w:t>Tables and Figures</w:t>
            </w:r>
            <w:r>
              <w:rPr>
                <w:noProof/>
                <w:webHidden/>
              </w:rPr>
              <w:tab/>
            </w:r>
            <w:r>
              <w:rPr>
                <w:noProof/>
                <w:webHidden/>
              </w:rPr>
              <w:fldChar w:fldCharType="begin"/>
            </w:r>
            <w:r>
              <w:rPr>
                <w:noProof/>
                <w:webHidden/>
              </w:rPr>
              <w:instrText xml:space="preserve"> PAGEREF _Toc113273240 \h </w:instrText>
            </w:r>
            <w:r>
              <w:rPr>
                <w:noProof/>
                <w:webHidden/>
              </w:rPr>
            </w:r>
            <w:r>
              <w:rPr>
                <w:noProof/>
                <w:webHidden/>
              </w:rPr>
              <w:fldChar w:fldCharType="separate"/>
            </w:r>
            <w:r>
              <w:rPr>
                <w:noProof/>
                <w:webHidden/>
              </w:rPr>
              <w:t>35</w:t>
            </w:r>
            <w:r>
              <w:rPr>
                <w:noProof/>
                <w:webHidden/>
              </w:rPr>
              <w:fldChar w:fldCharType="end"/>
            </w:r>
          </w:hyperlink>
        </w:p>
        <w:p w14:paraId="54EEFF92" w14:textId="21A4ABC1" w:rsidR="003903DF" w:rsidRDefault="003903DF" w:rsidP="003903DF">
          <w:pPr>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7A1054">
      <w:pPr>
        <w:spacing w:line="48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32E5798" w:rsidR="003F5039" w:rsidRPr="003903DF" w:rsidRDefault="003903DF" w:rsidP="003903DF">
      <w:pPr>
        <w:pStyle w:val="TOCHeading"/>
        <w:tabs>
          <w:tab w:val="left" w:pos="532"/>
        </w:tabs>
        <w:spacing w:line="480" w:lineRule="auto"/>
        <w:outlineLvl w:val="0"/>
      </w:pPr>
      <w:bookmarkStart w:id="8" w:name="_Toc113273219"/>
      <w:r w:rsidRPr="00852508">
        <w:lastRenderedPageBreak/>
        <w:t>Chapter 1 –</w:t>
      </w:r>
      <w:r>
        <w:t xml:space="preserve"> Introduction</w:t>
      </w:r>
      <w:bookmarkEnd w:id="8"/>
    </w:p>
    <w:p w14:paraId="332E5E6F" w14:textId="7862BE2A" w:rsidR="003F5039" w:rsidRPr="00173AE9" w:rsidRDefault="003F5039" w:rsidP="003F5039">
      <w:pPr>
        <w:pStyle w:val="Header"/>
        <w:spacing w:line="480" w:lineRule="auto"/>
        <w:outlineLvl w:val="1"/>
        <w:rPr>
          <w:rFonts w:asciiTheme="majorHAnsi" w:hAnsiTheme="majorHAnsi" w:cstheme="majorHAnsi"/>
        </w:rPr>
      </w:pPr>
      <w:bookmarkStart w:id="9" w:name="_Toc113123180"/>
      <w:bookmarkStart w:id="10" w:name="_Toc113273220"/>
      <w:r w:rsidRPr="00173AE9">
        <w:rPr>
          <w:rFonts w:asciiTheme="majorHAnsi" w:hAnsiTheme="majorHAnsi" w:cstheme="majorHAnsi"/>
        </w:rPr>
        <w:t>Background of delta smelt</w:t>
      </w:r>
      <w:bookmarkEnd w:id="9"/>
      <w:r w:rsidR="00DE4254" w:rsidRPr="00173AE9">
        <w:rPr>
          <w:rFonts w:asciiTheme="majorHAnsi" w:hAnsiTheme="majorHAnsi" w:cstheme="majorHAnsi"/>
        </w:rPr>
        <w:t xml:space="preserve"> &amp; the SFE</w:t>
      </w:r>
      <w:bookmarkEnd w:id="10"/>
    </w:p>
    <w:p w14:paraId="6F00716F" w14:textId="75B3FAEA" w:rsidR="007A1054" w:rsidRDefault="007A1054" w:rsidP="007A1054">
      <w:pPr>
        <w:spacing w:line="480" w:lineRule="auto"/>
        <w:rPr>
          <w:rFonts w:asciiTheme="majorHAnsi" w:hAnsiTheme="majorHAnsi" w:cstheme="majorHAnsi"/>
          <w:sz w:val="24"/>
          <w:szCs w:val="24"/>
          <w:lang w:val="en"/>
        </w:rPr>
      </w:pPr>
      <w:r w:rsidRPr="00382793">
        <w:rPr>
          <w:rFonts w:asciiTheme="majorHAnsi" w:hAnsiTheme="majorHAnsi" w:cstheme="majorHAnsi"/>
          <w:sz w:val="24"/>
          <w:szCs w:val="24"/>
          <w:lang w:val="en"/>
        </w:rPr>
        <w:t>The SFE is a dynamic ecosystem encompassing 1,000 square miles of open water and wetlands in Northern California. Since the area became the primary distribution hub of California’s water supply in the 1960’s, the composition of SFE has been heavily altered by anthropogenic activity. Agriculture, water delivery, shipping, and urban development have spurred changes in the way water is distributed throughout the estuarine environment. 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within the SFE many once abundant endemic pelagic 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{"citationID":"uGS1u3ae","properties":{"formattedCitation":"(Moyle, 2002; Moyle et al., 2018)","plainCitation":"(Moyle, 2002; Moyle et al., 2018)","noteIndex":0},"citationItems":[{"id":"m5bjFnHH/d9jQAi3S","uris":["http://www.mendeley.com/documents/?uuid=8a207c06-c2f2-478e-9d4c-46bac4bc2a70"],"itemData":{"author":[{"dropping-particle":"","family":"Moyle","given":"Peter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(Moyle, 2002; Moyle et al., 2018)</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286C2D79" w14:textId="77777777" w:rsidR="00173AE9" w:rsidRPr="00382793" w:rsidRDefault="00173AE9" w:rsidP="007A1054">
      <w:pPr>
        <w:spacing w:line="480" w:lineRule="auto"/>
        <w:rPr>
          <w:rFonts w:asciiTheme="majorHAnsi" w:hAnsiTheme="majorHAnsi" w:cstheme="majorHAnsi"/>
          <w:sz w:val="24"/>
          <w:szCs w:val="24"/>
          <w:lang w:val="en"/>
        </w:rPr>
      </w:pPr>
    </w:p>
    <w:p w14:paraId="14E9A670" w14:textId="2D901CB2" w:rsidR="003F5039" w:rsidRDefault="007A1054" w:rsidP="007A1054">
      <w:pPr>
        <w:spacing w:line="480" w:lineRule="auto"/>
        <w:rPr>
          <w:rFonts w:asciiTheme="majorHAnsi" w:hAnsiTheme="majorHAnsi" w:cstheme="majorHAnsi"/>
          <w:sz w:val="24"/>
          <w:szCs w:val="24"/>
          <w:lang w:val="en"/>
        </w:rPr>
      </w:pPr>
      <w:r w:rsidRPr="00382793">
        <w:rPr>
          <w:rFonts w:asciiTheme="majorHAnsi" w:hAnsiTheme="majorHAnsi" w:cstheme="majorHAnsi"/>
          <w:sz w:val="24"/>
          <w:szCs w:val="24"/>
          <w:lang w:val="en"/>
        </w:rPr>
        <w:t>Delta smelt are a small (6 - 9cm),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m5bjFnHH/X39yz5zk","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 a prosperous 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2007)","noteIndex":0},"citationItems":[{"id":"m5bjFnHH/WjMjcuCy","uris":["http://www.mendeley.com/documents/?uuid=154a621a-a2e3-443b-849e-2593b42c5c2d"],"itemData":{"author":[{"dropping-particle":"","family":"McAllister","given":"D.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Estuary","type":"article-journal","volume":"14"}},{"id":"m5bjFnHH/6cUitXwB","uris":["http://www.mendeley.com/documents/?uuid=757f5833-fa11-466a-b871-160ad1fface1"],"itemData":{"DOI":"10.1577/T06-148.1","ISSN":"0002-8487","abstract":"The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the most abundant and widely distributed fish species in the SFE, delta smelt numbers have been </w:t>
      </w:r>
      <w:r w:rsidRPr="00382793">
        <w:rPr>
          <w:rFonts w:asciiTheme="majorHAnsi" w:hAnsiTheme="majorHAnsi" w:cstheme="majorHAnsi"/>
          <w:sz w:val="24"/>
          <w:szCs w:val="24"/>
          <w:lang w:val="en"/>
        </w:rPr>
        <w:lastRenderedPageBreak/>
        <w:t>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1992)","noteIndex":0},"citationItems":[{"id":"m5bjFnHH/ZDdOAyZt","uris":["http://www.mendeley.com/documents/?uuid=b174141a-6f6e-47bf-9926-35120a427171"],"itemData":{"DOI":"10.1016/j.fertnstert.2012.04.042","ISSN":"1556-5653","PMID":"22656306","abstract":"To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Federal Endangered Species Act (ESA) in 1993 and endangered under the California ESA in 2009. Pelagic productivity and water temperature have been shown to be primary drivers of condition indices ultimately affecting the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2016)","noteIndex":0},"citationItems":[{"id":"m5bjFnHH/aeWCOmUd","uris":["http://www.mendeley.com/documents/?uuid=23e53af3-288d-48bc-b9a7-174ca5e00a87"],"itemData":{"DOI":"10.1007/s10592-011-0240-y","ISBN":"1566-0621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genetically manages a genetically focused breeding program within a refuge population at the UC Davis Fish Conservation and Culture Laboratory (FCCL). </w:t>
      </w:r>
    </w:p>
    <w:p w14:paraId="0CA99728" w14:textId="2177261D" w:rsidR="00EC36DE" w:rsidRDefault="00EC36DE">
      <w:pPr>
        <w:spacing w:after="0" w:line="240" w:lineRule="auto"/>
        <w:jc w:val="left"/>
        <w:rPr>
          <w:rFonts w:asciiTheme="majorHAnsi" w:hAnsiTheme="majorHAnsi" w:cstheme="majorHAnsi"/>
          <w:sz w:val="24"/>
          <w:szCs w:val="24"/>
          <w:lang w:val="en"/>
        </w:rPr>
      </w:pPr>
      <w:r>
        <w:rPr>
          <w:rFonts w:asciiTheme="majorHAnsi" w:hAnsiTheme="majorHAnsi" w:cstheme="majorHAnsi"/>
          <w:sz w:val="24"/>
          <w:szCs w:val="24"/>
          <w:lang w:val="en"/>
        </w:rPr>
        <w:br w:type="page"/>
      </w:r>
    </w:p>
    <w:p w14:paraId="0254D28F" w14:textId="77777777" w:rsidR="003F5039" w:rsidRPr="00011FA5" w:rsidRDefault="003F5039" w:rsidP="003F5039">
      <w:pPr>
        <w:pStyle w:val="TOCHeading"/>
        <w:spacing w:line="480" w:lineRule="auto"/>
        <w:outlineLvl w:val="0"/>
      </w:pPr>
      <w:bookmarkStart w:id="11" w:name="_Toc113123182"/>
      <w:bookmarkStart w:id="12" w:name="_Toc113273221"/>
      <w:r w:rsidRPr="00011FA5">
        <w:lastRenderedPageBreak/>
        <w:t xml:space="preserve">Chapter 2 – Genome assembly of </w:t>
      </w:r>
      <w:r w:rsidRPr="00011FA5">
        <w:rPr>
          <w:i/>
          <w:iCs/>
        </w:rPr>
        <w:t>Hypomesus transpacificus</w:t>
      </w:r>
      <w:r w:rsidRPr="00011FA5">
        <w:t xml:space="preserve"> (delta smelt)</w:t>
      </w:r>
      <w:bookmarkEnd w:id="11"/>
      <w:bookmarkEnd w:id="12"/>
    </w:p>
    <w:p w14:paraId="0B1E5CAB" w14:textId="77777777" w:rsidR="003F5039" w:rsidRPr="00FD21E9" w:rsidRDefault="003F5039" w:rsidP="003F5039">
      <w:pPr>
        <w:pStyle w:val="Header"/>
        <w:spacing w:line="480" w:lineRule="auto"/>
        <w:outlineLvl w:val="1"/>
        <w:rPr>
          <w:rFonts w:asciiTheme="majorHAnsi" w:hAnsiTheme="majorHAnsi" w:cstheme="majorHAnsi"/>
          <w:szCs w:val="24"/>
        </w:rPr>
      </w:pPr>
      <w:bookmarkStart w:id="13" w:name="_Toc113123183"/>
      <w:bookmarkStart w:id="14" w:name="_Toc113273222"/>
      <w:r w:rsidRPr="00FD21E9">
        <w:rPr>
          <w:rFonts w:asciiTheme="majorHAnsi" w:hAnsiTheme="majorHAnsi" w:cstheme="majorHAnsi"/>
          <w:szCs w:val="24"/>
        </w:rPr>
        <w:t>Introduction</w:t>
      </w:r>
      <w:bookmarkEnd w:id="13"/>
      <w:bookmarkEnd w:id="14"/>
    </w:p>
    <w:p w14:paraId="26D5BFC0" w14:textId="368E326B" w:rsidR="003F5039" w:rsidRPr="004B6F68"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color w:val="00000A"/>
          <w:sz w:val="24"/>
          <w:szCs w:val="24"/>
        </w:rPr>
        <w:t xml:space="preserve">From life-saving coagulation inhibitors isolated from bats, ticks, leeches, and hookworms to developing the theory of natural selection, understanding a diverse landscape of animal biology has led to scientific advances and </w:t>
      </w:r>
      <w:r w:rsidRPr="004B6F68">
        <w:rPr>
          <w:rFonts w:asciiTheme="majorHAnsi" w:hAnsiTheme="majorHAnsi" w:cstheme="majorHAnsi"/>
          <w:sz w:val="24"/>
          <w:szCs w:val="24"/>
        </w:rPr>
        <w:t>innovation</w:t>
      </w:r>
      <w:r w:rsid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{"citationID":"ddVCuO3Z","properties":{"formattedCitation":"(Darwin, 1859; Gardell et al., 1991; Jacobs et al., 1990; Sawyer, 1991; Tanaka-Azevedo et al., 2010)","plainCitation":"(Darwin, 1859; Gardell et al., 1991; Jacobs et al., 1990; Sawyer, 1991; Tanaka-Azevedo et al., 2010)","noteIndex":0},"citationItems":[{"id":540,"uris":["http://zotero.org/users/local/3tku6QP0/items/64WFTIPW"],"itemData":{"id":540,"type":"chapter","abstract":"Kebler, Leonard","language":"English","publisher":"London: J. Murray","title":"On the origin of species by means of natural selection, or, The preservation of favoured races in the struggle for life.","author":[{"family":"Darwin","given":"Charles"}],"issued":{"date-parts":[["1859"]]}}},{"id":559,"uris":["http://zotero.org/users/local/3tku6QP0/items/GHLPWBHN"],"itemData":{"id":559,"type":"article-journal","abstract":"Background. The use of recombinant tissue-type plasminogen activator (t-PA) in thrombolytic therapy is frequently associated with significant fibrinogenolysis. In contrast, recombinant vampire bat salivary plasminogen activator (Bat-PA) displays strict fibrin specificity, an attribute that could be desirable in a fibrinolytic agent.\nMethods and Results. The efficacy and fibrin selectivity of Bat-PA was evaluated and compared with that of t-PA using a rabbit model of femoral arterial thrombosis. Administration of 8.1, 14, and 42 nmol Bat-PA/kg by bolus intravenous injection restored flow in 50%o, 75%, and 80% of the rabbits, respectively. The incidence of reperfusion after bolus intravenous injection of 14 and 42 nmol t-PA/kg was 15% and 78%, respectively. The maximal femoral artery reperfusion flows were equivalent after treatment with 42 nmol Bat-PA/kg or 42 nmol t-PA/kg, but the time to reach maximal flow for Bat-PA was approximately one half that of t-PA. Furthermore, the rapid restoration of flow by 42 nmol Bat-PA/kg, in contrast to equimolar t-PA, was accomplished without fibrinogenolysis and with only small decreases in the plasminogen and a2-antiplasmin levels. Equipotent doses of Bat-PA and t-PA both resulted in approximate 2.5-fold increases in the template bleeding times of aspirin-pretreated rabbits. The clearance of Bat-PA from rabbits exhibited biexponential elimination kinetics; approximately 80% was cleared by the relatively slow phase (half-life of 17.1 minutes). Overall, Bat-PA was cleared approximately fourfold slower than t-PA.\nConclusions. Bolus intravenous administration of Bat-PA would facilitate prompt initiation of thrombolytic therapy, and the avoidance of plasminemia could result in fewer and less severe bleeding complications. (Circulation 1991;84:244-253)","container-title":"Circulation","DOI":"10.1161/01.CIR.84.1.244","ISSN":"0009-7322, 1524-4539","issue":"1","journalAbbreviation":"Circulation","language":"en","page":"244-253","source":"DOI.org (Crossref)","title":"Effective thrombolysis without marked plasminemia after bolus intravenous administration of vampire bat salivary plasminogen activator in rabbits.","volume":"84","author":[{"family":"Gardell","given":"S J"},{"family":"Ramjit","given":"D R"},{"family":"Stabilito","given":"I I"},{"family":"Fujita","given":"T"},{"family":"Lynch","given":"J J"},{"family":"Cuca","given":"G C"},{"family":"Jain","given":"D"},{"family":"Wang","given":"S P"},{"family":"Tung","given":"J S"},{"family":"Mark","given":"G E"}],"issued":{"date-parts":[["1991",7]]}}},{"id":563,"uris":["http://zotero.org/users/local/3tku6QP0/items/W7URASNH"],"itemData":{"id":563,"type":"article-journal","abstract":"Venous and arterial thromboembolic diseases are still the most frequent causes of death and disability in high-income countries. Clinical anticoagulants are  inhibitors of enzymes involved in the coagulation pathway, such as thrombin and  factor X(a). Thrombin is a key enzyme of blood coagulation system, activating the  platelets, converting the fibrinogen to the fibrin net, and amplifying its  self-generation by the activation of factors V, VIII, and XI. Thrombin has long  been a target for the development of oral anticoagulants. Furthermore, selective  inhibitors of thrombin represent a new class of antithrombotic agents. For these  reasons, a number of specific thrombin inhibitors are under evaluation for  possible use as antithrombotic drugs. This paper summarizes old and new interests  of specific thrombin inhibitors described in different animals.","container-title":"Journal of biomedicine &amp; biotechnology","DOI":"10.1155/2010/641025","ISSN":"1110-7251 1110-7243","journalAbbreviation":"J Biomed Biotechnol","language":"eng","note":"PMID: 20976270 \nPMCID: PMC2953280","page":"641025","title":"Thrombin inhibitors from different animals.","volume":"2010","author":[{"family":"Tanaka-Azevedo","given":"A. M."},{"family":"Morais-Zani","given":"K."},{"family":"Torquato","given":"R. J. S."},{"family":"Tanaka","given":"A. S."}],"issued":{"date-parts":[["2010"]]}}},{"id":564,"uris":["http://zotero.org/users/local/3tku6QP0/items/F2UFLR4R"],"itemData":{"id":564,"type":"article-journal","container-title":"Bio/technology (Nature Publishing Company)","DOI":"10.1038/nbt0691-513","ISSN":"0733-222X","issue":"6","journalAbbreviation":"Biotechnology (N Y)","language":"eng","note":"publisher-place: United States\nPMID: 1367219","page":"513-515, 518","title":"Thrombolytics and anti-coagulants from leeches.","volume":"9","author":[{"family":"Sawyer","given":"R. T."}],"issued":{"date-parts":[["1991",6]]}}},{"id":561,"uris":["http://zotero.org/users/local/3tku6QP0/items/K9GCATIP"],"itemData":{"id":561,"type":"article-journal","abstract":"We have discovered and characterized a novel coagulation factor Xa inhibitor from the salivary gland of the black fly, Simulium vittatum. Salivary glands were  surgically dissected from the flies and a crude salivary gland extract was tested  for inhibition of a number of coagulation assays. The gland extract inhibited  both thrombin and factor Xa. To purify further the factor Xa inhibitor, a factor  Xa affinity column was utilized. Final purification of the black fly factor Xa  inhibitor was achieved by reverse-phase C8 microbore high pressure liquid  chromatography. Inhibition of factor Xa was nearly stoichiometric by the purified  inhibitor with no inhibitor of thrombin detected. SDS-polyacrylamide gel  electrophoresis indicated the inhibitor had a molecular weight of 18,000 and  sequence analysis of the inhibitor revealed a blocked amino terminus. These data  indicate that the blood-sucking black fly has evolved a highly potent inhibitor  of mammalian coagulation factor Xa to disrupt its host normal hemostatic clotting  mechanisms.","container-title":"Thrombosis and haemostasis","ISSN":"0340-6245","issue":"2","journalAbbreviation":"Thromb Haemost","language":"eng","note":"publisher-place: Germany\nPMID: 2270532","page":"235-238","title":"Isolation and characterization of a coagulation factor Xa inhibitor from black fly salivary glands.","volume":"64","author":[{"family":"Jacobs","given":"J. W."},{"family":"Cupp","given":"E. W."},{"family":"Sardana","given":"M."},{"family":"Friedman","given":"P. A."}],"issued":{"date-parts":[["1990",10,22]]}}}],"schema":"https://github.com/citation-style-language/schema/raw/master/csl-citation.json"}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(Darwin, 1859; Gardell et al., 1991; Jacobs et al., 1990; Sawyer, 1991; Tanaka-Azevedo et al., 2010)</w:t>
      </w:r>
      <w:r w:rsidRPr="004B6F68">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Historically, molecular biology has focused on single genes to understand disease and fuel innovation. However, single gene studies fail to account for how genes don’t exist as independent units but rather work combination and coordination with other genes in a complex network of interactions within each organism’s genome. Just as many macroscopic observations led to innovation and understanding of the processes that effect organisms, such as the theory of evolution by natural selection, current molecular biology is in an age of compiling accurate microscopic observations for current and future scientific advancement unobtainable with previous technologies. Rapid development of high-throughput sequencing technologies over the past few decades have led to an era of genomic research, and much genomic research begins with reference genomes. Genomic resources contribute to two broad categories: medicine and biodiversity. Medicine has benefitted from genomic resources using comparative </w:t>
      </w:r>
      <w:r w:rsidRPr="004B6F68">
        <w:rPr>
          <w:rFonts w:asciiTheme="majorHAnsi" w:hAnsiTheme="majorHAnsi" w:cstheme="majorHAnsi"/>
          <w:sz w:val="24"/>
          <w:szCs w:val="24"/>
        </w:rPr>
        <w:t>methods to identify conserved loci essential to life or different classes of organisms as well as identify genetic variants associated with disease, disease susceptibility and other phenotypic traits</w:t>
      </w:r>
      <w:r w:rsid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(Claussnitzer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Biodiversity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the evolutionary capacity for adaptation to environmental change. Comparative methods allow for a broad investigation of genomic motifs in endangered animals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lastRenderedPageBreak/>
        <w:fldChar w:fldCharType="begin"/>
      </w:r>
      <w:r w:rsidR="00D86949" w:rsidRPr="004B6F68">
        <w:rPr>
          <w:rFonts w:asciiTheme="majorHAnsi" w:hAnsiTheme="majorHAnsi" w:cstheme="majorHAnsi"/>
          <w:sz w:val="24"/>
          <w:szCs w:val="24"/>
        </w:rPr>
        <w:instrText xml:space="preserve"> ADDIN ZOTERO_ITEM CSL_CITATION {"citationID":"JTaD3rFz","properties":{"formattedCitation":"(Zoonomia Consortium, 2020)","plainCitation":"(Zoonomia Consortium, 2020)","noteIndex":0},"citationItems":[{"id":589,"uris":["http://zotero.org/users/local/3tku6QP0/items/PRDYXQX3"],"itemData":{"id":589,"type":"article-journal","abstract":"Abstract\n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(Zoonomia Consortium,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and the identification of physical threats to endangered species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{"citationID":"CU5vBqNs","properties":{"formattedCitation":"(Wasser et al., 2015; Wright et al., 2015)","plainCitation":"(Wasser et al., 2015; Wright et al., 2015)","noteIndex":0},"citationItems":[{"id":588,"uris":["http://zotero.org/users/local/3tku6QP0/items/M3RGS7U9"],"itemData":{"id":588,"type":"article-journal","abstract":"Focused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(Wasser et al., 2015; Wright et al., 2015)</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In both categories, genomic studies involving reference genomes are limited by the completeness of the assembled resource. As such, the utilization of multiple sequencing technology types to carry out “hybrid” methods of genome assembly increases the capacity for capturing and assembling increasingly more of an organism’s actual genome.</w:t>
      </w:r>
    </w:p>
    <w:p w14:paraId="7129F8FC" w14:textId="36CF81CF" w:rsidR="003F5039" w:rsidRPr="004B6F68" w:rsidRDefault="003F5039" w:rsidP="003F5039">
      <w:pPr>
        <w:spacing w:line="48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Sequencing technologies have been in an era of rapid growth and next generation sequencing (NGS) and third generation sequencing (TGS) technologies have allowed for relatively easy to generate, low cost, high-throughput sequencing data. Of the numerous new methods to generate sequencing data for assembly, long-read sequencing, short-read sequencing, and interaction mapping have transformed the quality and contiguity of genome assemblies today. Current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genomes reach completeness standards which took decades for the first human genome to reach at a fraction of the cost and by relatively few individuals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 recent major publication to utilize and highlight current methods in the hybrid approach to </w:t>
      </w:r>
      <w:r w:rsidRPr="004B6F68">
        <w:rPr>
          <w:rFonts w:asciiTheme="majorHAnsi" w:hAnsiTheme="majorHAnsi" w:cstheme="majorHAnsi"/>
          <w:i/>
          <w:iCs/>
          <w:sz w:val="24"/>
          <w:szCs w:val="24"/>
        </w:rPr>
        <w:t xml:space="preserve">de novo </w:t>
      </w:r>
      <w:r w:rsidRPr="004B6F68">
        <w:rPr>
          <w:rFonts w:asciiTheme="majorHAnsi" w:hAnsiTheme="majorHAnsi" w:cstheme="majorHAnsi"/>
          <w:sz w:val="24"/>
          <w:szCs w:val="24"/>
        </w:rPr>
        <w:t>assembly was the domestic goat in 2017</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(Bickhart et al., 2017)</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which used long-read </w:t>
      </w:r>
      <w:r w:rsidRPr="00FD21E9">
        <w:rPr>
          <w:rFonts w:asciiTheme="majorHAnsi" w:hAnsiTheme="majorHAnsi" w:cstheme="majorHAnsi"/>
          <w:color w:val="00000A"/>
          <w:sz w:val="24"/>
          <w:szCs w:val="24"/>
        </w:rPr>
        <w:t xml:space="preserve">sequencing, short-read sequencing, and interaction mapping to increase the previous goat genome’s contiguity by over two orders of magnitude and proposed it was the most continuous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mammalian assembly of its time. 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goat assembly hybrid assembly publications are commonplace. As such, hybrid </w:t>
      </w:r>
      <w:r w:rsidRPr="004B6F68">
        <w:rPr>
          <w:rFonts w:asciiTheme="majorHAnsi" w:hAnsiTheme="majorHAnsi" w:cstheme="majorHAnsi"/>
          <w:sz w:val="24"/>
          <w:szCs w:val="24"/>
        </w:rPr>
        <w:t>assembly is an accepted and reliable way to achieve a chromosome-scale high-quality reference genomes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(Bickhart et al., 2017; Rhie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r w:rsidRPr="004B6F68">
        <w:rPr>
          <w:rFonts w:asciiTheme="majorHAnsi" w:hAnsiTheme="majorHAnsi" w:cstheme="majorHAnsi"/>
          <w:sz w:val="24"/>
          <w:szCs w:val="24"/>
        </w:rPr>
        <w:lastRenderedPageBreak/>
        <w:t>Since 2017, over half of all vertebrate chromosome-level assemblies submit to GenBank implemented a hybrid assembly approach to genome assembly</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(Hotaling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7241E11B" w14:textId="77777777" w:rsidR="003F5039" w:rsidRPr="00FD21E9" w:rsidRDefault="003F5039" w:rsidP="003F5039">
      <w:pPr>
        <w:spacing w:line="480" w:lineRule="auto"/>
        <w:ind w:right="270"/>
        <w:rPr>
          <w:rFonts w:asciiTheme="majorHAnsi" w:hAnsiTheme="majorHAnsi" w:cstheme="majorHAnsi"/>
          <w:color w:val="00000A"/>
          <w:sz w:val="24"/>
          <w:szCs w:val="24"/>
        </w:rPr>
      </w:pPr>
      <w:r w:rsidRPr="004B6F68">
        <w:rPr>
          <w:rFonts w:asciiTheme="majorHAnsi" w:hAnsiTheme="majorHAnsi" w:cstheme="majorHAnsi"/>
          <w:sz w:val="24"/>
          <w:szCs w:val="24"/>
        </w:rPr>
        <w:t xml:space="preserve">Each of the three technology types have different biases, errors, and </w:t>
      </w:r>
      <w:r w:rsidRPr="00FD21E9">
        <w:rPr>
          <w:rFonts w:asciiTheme="majorHAnsi" w:hAnsiTheme="majorHAnsi" w:cstheme="majorHAnsi"/>
          <w:color w:val="00000A"/>
          <w:sz w:val="24"/>
          <w:szCs w:val="24"/>
        </w:rPr>
        <w:t xml:space="preserve">uses. In general, hybrid assemblies use long error prone reads to generate scaffolds, correct base calling errors with short reads which have high accuracy but cannot span highly repetitive sequences, and anchor scaffolds into chromosomes using interaction mapping which shows physical associations to span and link proximal scaffolds. </w:t>
      </w:r>
    </w:p>
    <w:p w14:paraId="6465AD49" w14:textId="51B3C029" w:rsidR="003F5039" w:rsidRPr="004B6F68"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color w:val="00000A"/>
          <w:sz w:val="24"/>
          <w:szCs w:val="24"/>
        </w:rPr>
        <w:t xml:space="preserve">We used PacBio HiFi long-reads, 10X Genomics linked-reads, and Phase Genomics chromatin confirmation capture. In addition to these three sequencing technologies, we sought to further increase the </w:t>
      </w:r>
      <w:r w:rsidRPr="004B6F68">
        <w:rPr>
          <w:rFonts w:asciiTheme="majorHAnsi" w:hAnsiTheme="majorHAnsi" w:cstheme="majorHAnsi"/>
          <w:sz w:val="24"/>
          <w:szCs w:val="24"/>
        </w:rPr>
        <w:t>contiguity of the genome by incorporating information from a previously published linkage map</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{"citationID":"0O5buVzQ","properties":{"formattedCitation":"(Lew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(Lew et al., 2015)</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Finally, we independently validated the number of expected chromosomes in the final delta smelt assembly by karyotyping the species.</w:t>
      </w:r>
    </w:p>
    <w:p w14:paraId="2BB5B9B0" w14:textId="659CC21E" w:rsidR="003F5039" w:rsidRPr="00FD21E9" w:rsidRDefault="003F5039" w:rsidP="003F5039">
      <w:pPr>
        <w:spacing w:line="480" w:lineRule="auto"/>
        <w:ind w:right="270"/>
        <w:rPr>
          <w:rFonts w:asciiTheme="majorHAnsi" w:hAnsiTheme="majorHAnsi" w:cstheme="majorHAnsi"/>
          <w:color w:val="00000A"/>
          <w:sz w:val="24"/>
          <w:szCs w:val="24"/>
        </w:rPr>
      </w:pPr>
      <w:r w:rsidRPr="004B6F68">
        <w:rPr>
          <w:rFonts w:asciiTheme="majorHAnsi" w:hAnsiTheme="majorHAnsi" w:cstheme="majorHAnsi"/>
          <w:sz w:val="24"/>
          <w:szCs w:val="24"/>
        </w:rPr>
        <w:t xml:space="preserve">Prior to this work no endangered species and three highly fragmented genome assemblies from the </w:t>
      </w:r>
      <w:proofErr w:type="spellStart"/>
      <w:r w:rsidRPr="004B6F68">
        <w:rPr>
          <w:rFonts w:asciiTheme="majorHAnsi" w:hAnsiTheme="majorHAnsi" w:cstheme="majorHAnsi"/>
          <w:sz w:val="24"/>
          <w:szCs w:val="24"/>
        </w:rPr>
        <w:t>Osmeridae</w:t>
      </w:r>
      <w:proofErr w:type="spellEnd"/>
      <w:r w:rsidRPr="004B6F68">
        <w:rPr>
          <w:rFonts w:asciiTheme="majorHAnsi" w:hAnsiTheme="majorHAnsi" w:cstheme="majorHAnsi"/>
          <w:i/>
          <w:iCs/>
          <w:sz w:val="24"/>
          <w:szCs w:val="24"/>
        </w:rPr>
        <w:t xml:space="preserve"> </w:t>
      </w:r>
      <w:r w:rsidRPr="004B6F68">
        <w:rPr>
          <w:rFonts w:asciiTheme="majorHAnsi" w:hAnsiTheme="majorHAnsi" w:cstheme="majorHAnsi"/>
          <w:sz w:val="24"/>
          <w:szCs w:val="24"/>
        </w:rPr>
        <w:t>(smelt) family were publicly available through GenBank. These assemblies came from three different genera (</w:t>
      </w:r>
      <w:r w:rsidRPr="004B6F68">
        <w:rPr>
          <w:rFonts w:asciiTheme="majorHAnsi" w:hAnsiTheme="majorHAnsi" w:cstheme="majorHAnsi"/>
          <w:i/>
          <w:iCs/>
          <w:sz w:val="24"/>
          <w:szCs w:val="24"/>
        </w:rPr>
        <w:t xml:space="preserve">Hypomesus, </w:t>
      </w:r>
      <w:proofErr w:type="spellStart"/>
      <w:r w:rsidRPr="004B6F68">
        <w:rPr>
          <w:rFonts w:asciiTheme="majorHAnsi" w:hAnsiTheme="majorHAnsi" w:cstheme="majorHAnsi"/>
          <w:i/>
          <w:iCs/>
          <w:sz w:val="24"/>
          <w:szCs w:val="24"/>
        </w:rPr>
        <w:t>Thaleichthys</w:t>
      </w:r>
      <w:proofErr w:type="spellEnd"/>
      <w:r w:rsidRPr="004B6F68">
        <w:rPr>
          <w:rFonts w:asciiTheme="majorHAnsi" w:hAnsiTheme="majorHAnsi" w:cstheme="majorHAnsi"/>
          <w:sz w:val="24"/>
          <w:szCs w:val="24"/>
        </w:rPr>
        <w:t xml:space="preserve">, and </w:t>
      </w:r>
      <w:r w:rsidRPr="004B6F68">
        <w:rPr>
          <w:rFonts w:asciiTheme="majorHAnsi" w:hAnsiTheme="majorHAnsi" w:cstheme="majorHAnsi"/>
          <w:i/>
          <w:iCs/>
          <w:sz w:val="24"/>
          <w:szCs w:val="24"/>
        </w:rPr>
        <w:t>Osmerus</w:t>
      </w:r>
      <w:r w:rsidRPr="004B6F68">
        <w:rPr>
          <w:rFonts w:asciiTheme="majorHAnsi" w:hAnsiTheme="majorHAnsi" w:cstheme="majorHAnsi"/>
          <w:sz w:val="24"/>
          <w:szCs w:val="24"/>
        </w:rPr>
        <w:t xml:space="preserve">) and the most closely related assembly publicly available was </w:t>
      </w:r>
      <w:r w:rsidRPr="004B6F68">
        <w:rPr>
          <w:rFonts w:asciiTheme="majorHAnsi" w:hAnsiTheme="majorHAnsi" w:cstheme="majorHAnsi"/>
          <w:i/>
          <w:iCs/>
          <w:sz w:val="24"/>
          <w:szCs w:val="24"/>
        </w:rPr>
        <w:t>Hypomesus nipponensis</w:t>
      </w:r>
      <w:r w:rsidRPr="004B6F68">
        <w:rPr>
          <w:rFonts w:asciiTheme="majorHAnsi" w:hAnsiTheme="majorHAnsi" w:cstheme="majorHAnsi"/>
          <w:sz w:val="24"/>
          <w:szCs w:val="24"/>
        </w:rPr>
        <w:t xml:space="preserve"> (</w:t>
      </w:r>
      <w:proofErr w:type="spellStart"/>
      <w:r w:rsidRPr="004B6F68">
        <w:rPr>
          <w:rFonts w:asciiTheme="majorHAnsi" w:hAnsiTheme="majorHAnsi" w:cstheme="majorHAnsi"/>
          <w:sz w:val="24"/>
          <w:szCs w:val="24"/>
        </w:rPr>
        <w:t>wakasagi</w:t>
      </w:r>
      <w:proofErr w:type="spellEnd"/>
      <w:r w:rsidRPr="004B6F68">
        <w:rPr>
          <w:rFonts w:asciiTheme="majorHAnsi" w:hAnsiTheme="majorHAnsi" w:cstheme="majorHAnsi"/>
          <w:sz w:val="24"/>
          <w:szCs w:val="24"/>
        </w:rPr>
        <w:t xml:space="preserve"> smelt), a common species of smelt endemic to and used as a food commodity in Japan, introduced into the SFE and known to hybridize with delta smelt</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{"citationID":"Vr2t7BYc","properties":{"formattedCitation":"(Dill &amp; Cordone, n.d.)","plainCitation":"(Dill &amp; Cordone, n.d.)","noteIndex":0},"citationItems":[{"id":557,"uris":["http://zotero.org/users/local/3tku6QP0/items/HT5KIB2E"],"itemData":{"id":557,"type":"article-journal","language":"en","page":"415","source":"Zotero","title":"History And Status of Introduced Fishes In California, 1871 – 1996","author":[{"family":"Dill","given":"William A"},{"family":"Cordone","given":"Almo J"}]}}],"schema":"https://github.com/citation-style-language/schema/raw/master/csl-citation.json"}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(Dill &amp; Cordone, n.d.)</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While the </w:t>
      </w:r>
      <w:proofErr w:type="spellStart"/>
      <w:r w:rsidRPr="004B6F68">
        <w:rPr>
          <w:rFonts w:asciiTheme="majorHAnsi" w:hAnsiTheme="majorHAnsi" w:cstheme="majorHAnsi"/>
          <w:sz w:val="24"/>
          <w:szCs w:val="24"/>
        </w:rPr>
        <w:t>wakasagi</w:t>
      </w:r>
      <w:proofErr w:type="spellEnd"/>
      <w:r w:rsidRPr="004B6F68">
        <w:rPr>
          <w:rFonts w:asciiTheme="majorHAnsi" w:hAnsiTheme="majorHAnsi" w:cstheme="majorHAnsi"/>
          <w:sz w:val="24"/>
          <w:szCs w:val="24"/>
        </w:rPr>
        <w:t xml:space="preserve"> smelt genome, estimated to be 464 </w:t>
      </w:r>
      <w:proofErr w:type="spellStart"/>
      <w:r w:rsidRPr="004B6F68">
        <w:rPr>
          <w:rFonts w:asciiTheme="majorHAnsi" w:hAnsiTheme="majorHAnsi" w:cstheme="majorHAnsi"/>
          <w:sz w:val="24"/>
          <w:szCs w:val="24"/>
        </w:rPr>
        <w:t>Mbp</w:t>
      </w:r>
      <w:proofErr w:type="spellEnd"/>
      <w:r w:rsidRPr="004B6F68">
        <w:rPr>
          <w:rFonts w:asciiTheme="majorHAnsi" w:hAnsiTheme="majorHAnsi" w:cstheme="majorHAnsi"/>
          <w:sz w:val="24"/>
          <w:szCs w:val="24"/>
        </w:rPr>
        <w:t xml:space="preserve"> in size with 2n=26, was the most contiguous resource within the Smelt family, the assembly was not a chromosome-level assembly with an N50 of 0.46 </w:t>
      </w:r>
      <w:proofErr w:type="spellStart"/>
      <w:r w:rsidRPr="004B6F68">
        <w:rPr>
          <w:rFonts w:asciiTheme="majorHAnsi" w:hAnsiTheme="majorHAnsi" w:cstheme="majorHAnsi"/>
          <w:sz w:val="24"/>
          <w:szCs w:val="24"/>
        </w:rPr>
        <w:t>Mbp</w:t>
      </w:r>
      <w:proofErr w:type="spellEnd"/>
      <w:r w:rsidRPr="004B6F68">
        <w:rPr>
          <w:rFonts w:asciiTheme="majorHAnsi" w:hAnsiTheme="majorHAnsi" w:cstheme="majorHAnsi"/>
          <w:sz w:val="24"/>
          <w:szCs w:val="24"/>
        </w:rPr>
        <w:t xml:space="preserve"> and L50 of 477 (Table 2.1</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{"citationID":"W4RHzmgn","properties":{"formattedCitation":"(Kitada et al., 1980; Xuan et al., 2021)","plainCitation":"(Kitada et al., 1980; Xuan et al., 2021)","noteIndex":0},"citationItems":[{"id":493,"uris":["http://zotero.org/users/local/3tku6QP0/items/NSNAJYQZ"],"itemData":{"id":493,"type":"article-journal","container-title":"Chrom.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Kitada et al., 1980; Xuan et al., 2021)</w:t>
      </w:r>
      <w:r w:rsidRPr="004B6F68">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t>
      </w:r>
    </w:p>
    <w:p w14:paraId="427BC8FD" w14:textId="77777777" w:rsidR="003F5039" w:rsidRPr="00FD21E9" w:rsidRDefault="003F5039" w:rsidP="003F5039">
      <w:pPr>
        <w:pStyle w:val="Header"/>
        <w:spacing w:line="480" w:lineRule="auto"/>
        <w:outlineLvl w:val="1"/>
        <w:rPr>
          <w:rFonts w:asciiTheme="majorHAnsi" w:hAnsiTheme="majorHAnsi" w:cstheme="majorHAnsi"/>
          <w:szCs w:val="24"/>
        </w:rPr>
      </w:pPr>
      <w:bookmarkStart w:id="15" w:name="_Toc113123184"/>
      <w:bookmarkStart w:id="16" w:name="_Toc113273223"/>
      <w:r w:rsidRPr="00FD21E9">
        <w:rPr>
          <w:rFonts w:asciiTheme="majorHAnsi" w:hAnsiTheme="majorHAnsi" w:cstheme="majorHAnsi"/>
          <w:szCs w:val="24"/>
        </w:rPr>
        <w:lastRenderedPageBreak/>
        <w:t>Methods</w:t>
      </w:r>
      <w:bookmarkEnd w:id="15"/>
      <w:bookmarkEnd w:id="16"/>
    </w:p>
    <w:p w14:paraId="21DA6502"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17" w:name="_Toc113123185"/>
      <w:bookmarkStart w:id="18" w:name="_Toc113273224"/>
      <w:r w:rsidRPr="00FD21E9">
        <w:rPr>
          <w:rFonts w:asciiTheme="majorHAnsi" w:hAnsiTheme="majorHAnsi" w:cstheme="majorHAnsi"/>
          <w:sz w:val="24"/>
          <w:szCs w:val="24"/>
        </w:rPr>
        <w:t>Sample collection &amp; DNA extraction</w:t>
      </w:r>
      <w:bookmarkEnd w:id="17"/>
      <w:bookmarkEnd w:id="18"/>
      <w:r w:rsidRPr="00FD21E9">
        <w:rPr>
          <w:rFonts w:asciiTheme="majorHAnsi" w:hAnsiTheme="majorHAnsi" w:cstheme="majorHAnsi"/>
          <w:sz w:val="24"/>
          <w:szCs w:val="24"/>
        </w:rPr>
        <w:t xml:space="preserve"> </w:t>
      </w:r>
    </w:p>
    <w:p w14:paraId="5261C20F" w14:textId="49CFE4B6"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To obtain high molecular weight (HMW) genomic DNA (gDNA), we collected tissue samples from male and female delta smelt reared within the refuge population at the FCCL at 600 days post hatch. Fish were euthanized according to IACUC protocol #21533. After euthanasia, we dissected the fish, sampled tissue including muscle, internal organs (heart, liver and spleen) and gills, immediately flash froze all tissue samples, and stored samples isolated or suspended in propylene glycol – two storage methods known to be conducive to HMW gDNA 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4785F348"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Laboratory (UC Davis Sequencing Center) following the protocol as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{"citationID":"WgOrGXT5","properties":{"formattedCitation":"(Wasko et al., 2003)","plainCitation":"(Wasko et al., 2003)","noteIndex":0},"citationItems":[{"id":415,"uris":["http://zotero.org/users/local/3tku6QP0/items/T2QWZR2A"],"itemData":{"id":415,"type":"article-journal","abstract":"DNA-based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0.3M and 2X volume of ice-cold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w:t>
      </w:r>
      <w:proofErr w:type="spellStart"/>
      <w:r w:rsidRPr="00FD21E9">
        <w:rPr>
          <w:rFonts w:asciiTheme="majorHAnsi" w:hAnsiTheme="majorHAnsi" w:cstheme="majorHAnsi"/>
          <w:sz w:val="24"/>
          <w:szCs w:val="24"/>
        </w:rPr>
        <w:t>NanoDrop</w:t>
      </w:r>
      <w:proofErr w:type="spellEnd"/>
      <w:r w:rsidRPr="00FD21E9">
        <w:rPr>
          <w:rFonts w:asciiTheme="majorHAnsi" w:hAnsiTheme="majorHAnsi" w:cstheme="majorHAnsi"/>
          <w:sz w:val="24"/>
          <w:szCs w:val="24"/>
        </w:rPr>
        <w:t xml:space="preserve">. Libraries of relevant </w:t>
      </w:r>
      <w:r w:rsidRPr="00FD21E9">
        <w:rPr>
          <w:rFonts w:asciiTheme="majorHAnsi" w:hAnsiTheme="majorHAnsi" w:cstheme="majorHAnsi"/>
          <w:sz w:val="24"/>
          <w:szCs w:val="24"/>
        </w:rPr>
        <w:lastRenderedPageBreak/>
        <w:t>sequencing technologies were created from extractions with an average read fragment length of 50kb with strong fluorescence.</w:t>
      </w:r>
    </w:p>
    <w:p w14:paraId="4A0B241A" w14:textId="77777777" w:rsidR="003F5039" w:rsidRPr="00FD21E9" w:rsidRDefault="003F5039" w:rsidP="003F5039">
      <w:pPr>
        <w:spacing w:line="480" w:lineRule="auto"/>
        <w:ind w:right="270"/>
        <w:rPr>
          <w:rFonts w:asciiTheme="majorHAnsi" w:hAnsiTheme="majorHAnsi" w:cstheme="majorHAnsi"/>
          <w:sz w:val="24"/>
          <w:szCs w:val="24"/>
        </w:rPr>
      </w:pPr>
    </w:p>
    <w:p w14:paraId="2874CF3D"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19" w:name="_Toc113123186"/>
      <w:bookmarkStart w:id="20" w:name="_Toc113273225"/>
      <w:r w:rsidRPr="00FD21E9">
        <w:rPr>
          <w:rFonts w:asciiTheme="majorHAnsi" w:hAnsiTheme="majorHAnsi" w:cstheme="majorHAnsi"/>
          <w:sz w:val="24"/>
          <w:szCs w:val="24"/>
        </w:rPr>
        <w:t>Linked-read library prep, sequencing &amp; quality control</w:t>
      </w:r>
      <w:bookmarkEnd w:id="19"/>
      <w:bookmarkEnd w:id="20"/>
    </w:p>
    <w:p w14:paraId="243F302D"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Genomic DNA was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1µl of sample on a Bioanalyzer 2100 with an Agilent High sensitivity DNA kit (Agilent, cat. 5067-4626). Prior to Illumina library construction, the GEM amplification product was sheared on an E220 Focused </w:t>
      </w:r>
      <w:proofErr w:type="spellStart"/>
      <w:r w:rsidRPr="00FD21E9">
        <w:rPr>
          <w:rFonts w:asciiTheme="majorHAnsi" w:hAnsiTheme="majorHAnsi" w:cstheme="majorHAnsi"/>
          <w:sz w:val="24"/>
          <w:szCs w:val="24"/>
        </w:rPr>
        <w:t>Ultrasonicator</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Covaris</w:t>
      </w:r>
      <w:proofErr w:type="spellEnd"/>
      <w:r w:rsidRPr="00FD21E9">
        <w:rPr>
          <w:rFonts w:asciiTheme="majorHAnsi" w:hAnsiTheme="majorHAnsi" w:cstheme="majorHAnsi"/>
          <w:sz w:val="24"/>
          <w:szCs w:val="24"/>
        </w:rPr>
        <w:t xml:space="preserve">, Woburn, MA) to approximately 350bp (50 seconds at peak power = 175, duty factor = 10, and cycle/burst = 200). Then, the sheared GEMs were converted to a sequencing library following the 10X standard operating procedure. </w:t>
      </w:r>
    </w:p>
    <w:p w14:paraId="27280019" w14:textId="78D2F0D6"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The sequencing library was quantified by qPCR with a Kapa Library Quant kit (Kapa Biosystems-Roche) and sequenced on NovaSeq6000 sequencer (Illumina, San Diego, CA) with 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53A2958F"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For basic metric quality assessment, we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{"citationID":"2s2M40cJ","properties":{"formattedCitation":"(Andrews, Simon, 2010)","plainCitation":"(Andrews, Simon, 2010)","noteIndex":0},"citationItems":[{"id":594,"uris":["http://zotero.org/users/local/3tku6QP0/items/6F4G7GJS"],"itemData":{"id":594,"type":"software","title":"FastQC: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(Andrews, Simon,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{"citationID":"rTYXloYS","properties":{"formattedCitation":"(Mapleson et al., 2017)","plainCitation":"(Mapleson et al., 2017)","noteIndex":0},"citationItems":[{"id":"m5bjFnHH/FKXcirWX","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(Mapleson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Each step splits sequencing data into sub-sequences of a given length (k-mers) to plot out frequencies or comparisons to visually inspect the data for quality issues. We looked for signs of bacterial and organelle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proportion of the k-mers comprised of the G and C nucleotides against the frequency of that k-mer in the sequencing </w:t>
      </w:r>
      <w:r w:rsidRPr="00FD21E9">
        <w:rPr>
          <w:rFonts w:asciiTheme="majorHAnsi" w:hAnsiTheme="majorHAnsi" w:cstheme="majorHAnsi"/>
          <w:sz w:val="24"/>
          <w:szCs w:val="24"/>
        </w:rPr>
        <w:lastRenderedPageBreak/>
        <w:t xml:space="preserve">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Lastly, we evaluated the data for sequencing bias between the forward (R1) and reverse (R2) sequencing data.</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3F5039">
      <w:pPr>
        <w:spacing w:line="480" w:lineRule="auto"/>
        <w:ind w:right="270"/>
        <w:rPr>
          <w:rFonts w:asciiTheme="majorHAnsi" w:hAnsiTheme="majorHAnsi" w:cstheme="majorHAnsi"/>
          <w:sz w:val="24"/>
          <w:szCs w:val="24"/>
        </w:rPr>
      </w:pPr>
    </w:p>
    <w:p w14:paraId="7BB90EA3"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1" w:name="_Toc113123187"/>
      <w:bookmarkStart w:id="22" w:name="_Toc113273226"/>
      <w:r w:rsidRPr="00FD21E9">
        <w:rPr>
          <w:rFonts w:asciiTheme="majorHAnsi" w:hAnsiTheme="majorHAnsi" w:cstheme="majorHAnsi"/>
          <w:sz w:val="24"/>
          <w:szCs w:val="24"/>
        </w:rPr>
        <w:t>Long-read library prep, sequencing &amp; quality control</w:t>
      </w:r>
      <w:bookmarkEnd w:id="21"/>
      <w:bookmarkEnd w:id="22"/>
    </w:p>
    <w:p w14:paraId="0573720A"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Genomic DNA was sheared to roughly 17kb using </w:t>
      </w:r>
      <w:proofErr w:type="spellStart"/>
      <w:r w:rsidRPr="00FD21E9">
        <w:rPr>
          <w:rFonts w:asciiTheme="majorHAnsi" w:hAnsiTheme="majorHAnsi" w:cstheme="majorHAnsi"/>
          <w:sz w:val="24"/>
          <w:szCs w:val="24"/>
        </w:rPr>
        <w:t>Diagenode's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Megaruptor's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Diagenode</w:t>
      </w:r>
      <w:proofErr w:type="spellEnd"/>
      <w:r w:rsidRPr="00FD21E9">
        <w:rPr>
          <w:rFonts w:asciiTheme="majorHAnsi" w:hAnsiTheme="majorHAnsi" w:cstheme="majorHAnsi"/>
          <w:sz w:val="24"/>
          <w:szCs w:val="24"/>
        </w:rPr>
        <w:t xml:space="preserve">, cat B06010001) long </w:t>
      </w:r>
      <w:proofErr w:type="spellStart"/>
      <w:r w:rsidRPr="00FD21E9">
        <w:rPr>
          <w:rFonts w:asciiTheme="majorHAnsi" w:hAnsiTheme="majorHAnsi" w:cstheme="majorHAnsi"/>
          <w:sz w:val="24"/>
          <w:szCs w:val="24"/>
        </w:rPr>
        <w:t>hydropores</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Diagenode</w:t>
      </w:r>
      <w:proofErr w:type="spellEnd"/>
      <w:r w:rsidRPr="00FD21E9">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hydropores</w:t>
      </w:r>
      <w:proofErr w:type="spellEnd"/>
      <w:r w:rsidRPr="00FD21E9">
        <w:rPr>
          <w:rFonts w:asciiTheme="majorHAnsi" w:hAnsiTheme="majorHAnsi" w:cstheme="majorHAnsi"/>
          <w:sz w:val="24"/>
          <w:szCs w:val="24"/>
        </w:rPr>
        <w:t xml:space="preserve">, cat E07010002). Sheared DNA was quantified by </w:t>
      </w:r>
      <w:proofErr w:type="spellStart"/>
      <w:r w:rsidRPr="00FD21E9">
        <w:rPr>
          <w:rFonts w:asciiTheme="majorHAnsi" w:hAnsiTheme="majorHAnsi" w:cstheme="majorHAnsi"/>
          <w:sz w:val="24"/>
          <w:szCs w:val="24"/>
        </w:rPr>
        <w:t>Quantus</w:t>
      </w:r>
      <w:proofErr w:type="spellEnd"/>
      <w:r w:rsidRPr="00FD21E9">
        <w:rPr>
          <w:rFonts w:asciiTheme="majorHAnsi" w:hAnsiTheme="majorHAnsi" w:cstheme="majorHAnsi"/>
          <w:sz w:val="24"/>
          <w:szCs w:val="24"/>
        </w:rPr>
        <w:t xml:space="preserve"> Fluorometer (Promega, cat #E6150) using a </w:t>
      </w:r>
      <w:proofErr w:type="spellStart"/>
      <w:r w:rsidRPr="00FD21E9">
        <w:rPr>
          <w:rFonts w:asciiTheme="majorHAnsi" w:hAnsiTheme="majorHAnsi" w:cstheme="majorHAnsi"/>
          <w:sz w:val="24"/>
          <w:szCs w:val="24"/>
        </w:rPr>
        <w:t>QuantiFluor</w:t>
      </w:r>
      <w:proofErr w:type="spellEnd"/>
      <w:r w:rsidRPr="00FD21E9">
        <w:rPr>
          <w:rFonts w:asciiTheme="majorHAnsi" w:hAnsiTheme="majorHAnsi" w:cstheme="majorHAnsi"/>
          <w:sz w:val="24"/>
          <w:szCs w:val="24"/>
        </w:rPr>
        <w:t xml:space="preserve">® ONE dsDNA Dye assay (Promega, cat #E4871) and size distribution was checked by Agilent </w:t>
      </w:r>
      <w:proofErr w:type="spellStart"/>
      <w:r w:rsidRPr="00FD21E9">
        <w:rPr>
          <w:rFonts w:asciiTheme="majorHAnsi" w:hAnsiTheme="majorHAnsi" w:cstheme="majorHAnsi"/>
          <w:sz w:val="24"/>
          <w:szCs w:val="24"/>
        </w:rPr>
        <w:t>Femto</w:t>
      </w:r>
      <w:proofErr w:type="spellEnd"/>
      <w:r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Pr="00FD21E9">
        <w:rPr>
          <w:rFonts w:asciiTheme="majorHAnsi" w:hAnsiTheme="majorHAnsi" w:cstheme="majorHAnsi"/>
          <w:sz w:val="24"/>
          <w:szCs w:val="24"/>
        </w:rPr>
        <w:t>Quantus</w:t>
      </w:r>
      <w:proofErr w:type="spellEnd"/>
      <w:r w:rsidRPr="00FD21E9">
        <w:rPr>
          <w:rFonts w:asciiTheme="majorHAnsi" w:hAnsiTheme="majorHAnsi" w:cstheme="majorHAnsi"/>
          <w:sz w:val="24"/>
          <w:szCs w:val="24"/>
        </w:rPr>
        <w:t xml:space="preserve"> Fluorometer (Promega, cat #E6150) using a </w:t>
      </w:r>
      <w:proofErr w:type="spellStart"/>
      <w:r w:rsidRPr="00FD21E9">
        <w:rPr>
          <w:rFonts w:asciiTheme="majorHAnsi" w:hAnsiTheme="majorHAnsi" w:cstheme="majorHAnsi"/>
          <w:sz w:val="24"/>
          <w:szCs w:val="24"/>
        </w:rPr>
        <w:t>QuantiFluor</w:t>
      </w:r>
      <w:proofErr w:type="spellEnd"/>
      <w:r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37°C for 15 minutes, followed by further enzymatic steps of DNA damage repair at 37°C for 30 minutes, End Repair and A-</w:t>
      </w:r>
      <w:r w:rsidRPr="00FD21E9">
        <w:rPr>
          <w:rFonts w:asciiTheme="majorHAnsi" w:hAnsiTheme="majorHAnsi" w:cstheme="majorHAnsi"/>
          <w:sz w:val="24"/>
          <w:szCs w:val="24"/>
        </w:rPr>
        <w:lastRenderedPageBreak/>
        <w:t xml:space="preserve">tailing at 20°C for 10 minutes and 65°C for 30 minutes, ligation of overhang adapter v3 at 20°C for 1 hour and 65°C for 10 minutes, and nuclease treatment of SMRTbell® library at 37°C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w:t>
      </w:r>
      <w:proofErr w:type="gramStart"/>
      <w:r w:rsidRPr="00FD21E9">
        <w:rPr>
          <w:rFonts w:asciiTheme="majorHAnsi" w:hAnsiTheme="majorHAnsi" w:cstheme="majorHAnsi"/>
          <w:sz w:val="24"/>
          <w:szCs w:val="24"/>
        </w:rPr>
        <w:t>size-selected</w:t>
      </w:r>
      <w:proofErr w:type="gramEnd"/>
      <w:r w:rsidRPr="00FD21E9">
        <w:rPr>
          <w:rFonts w:asciiTheme="majorHAnsi" w:hAnsiTheme="majorHAnsi" w:cstheme="majorHAnsi"/>
          <w:sz w:val="24"/>
          <w:szCs w:val="24"/>
        </w:rPr>
        <w:t xml:space="preserve"> SMRTbell® library was purified and concentrated with 0.5X AMPure beads (Pacific Biosciences, cat 100-265-900). </w:t>
      </w:r>
    </w:p>
    <w:p w14:paraId="1994A420"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Low-input 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 library was purified and concentrated twice first by 1.8X AMPure PB beads (Pacific Biosciences, cat #100-265-900) and 40% diluted AMPure beads to remove &lt; 3 kb SMRTbell® templates. Both high and low-input libraries were subsequently loaded onto 8M SMRT Cells and sequenced using a Sequel II sequencing plate 2.0 on Pacific Biosciences Sequel II sequencer.</w:t>
      </w:r>
    </w:p>
    <w:p w14:paraId="76691F89" w14:textId="338AB28C"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lastRenderedPageBreak/>
        <w:t>We used PacBio’s CCS v3.3.0 statistical model on raw reads (</w:t>
      </w:r>
      <w:hyperlink r:id="rId7">
        <w:r w:rsidRPr="00FD21E9">
          <w:rPr>
            <w:rStyle w:val="Hyperlink"/>
            <w:rFonts w:asciiTheme="majorHAnsi" w:hAnsiTheme="majorHAnsi" w:cstheme="majorHAnsi"/>
            <w:sz w:val="24"/>
            <w:szCs w:val="24"/>
          </w:rPr>
          <w:t>https://github.com/PacificBiosciences/ccs</w:t>
        </w:r>
      </w:hyperlink>
      <w:r w:rsidRPr="00FD21E9">
        <w:rPr>
          <w:rFonts w:asciiTheme="majorHAnsi" w:hAnsiTheme="majorHAnsi" w:cstheme="majorHAnsi"/>
          <w:sz w:val="24"/>
          <w:szCs w:val="24"/>
        </w:rPr>
        <w:t xml:space="preserve">) to generate base quality called circular consensus (ccs)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p>
    <w:p w14:paraId="6AF0661F" w14:textId="77777777" w:rsidR="003F5039" w:rsidRPr="00FD21E9" w:rsidRDefault="003F5039" w:rsidP="003F5039">
      <w:pPr>
        <w:spacing w:line="480" w:lineRule="auto"/>
        <w:rPr>
          <w:rFonts w:asciiTheme="majorHAnsi" w:hAnsiTheme="majorHAnsi" w:cstheme="majorHAnsi"/>
          <w:b/>
          <w:bCs/>
          <w:sz w:val="24"/>
          <w:szCs w:val="24"/>
          <w:u w:val="single"/>
        </w:rPr>
      </w:pPr>
    </w:p>
    <w:p w14:paraId="39EBC8A6"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23" w:name="_Toc113123188"/>
      <w:bookmarkStart w:id="24" w:name="_Toc113273227"/>
      <w:r w:rsidRPr="00FD21E9">
        <w:rPr>
          <w:rFonts w:asciiTheme="majorHAnsi" w:hAnsiTheme="majorHAnsi" w:cstheme="majorHAnsi"/>
          <w:sz w:val="24"/>
          <w:szCs w:val="24"/>
        </w:rPr>
        <w:t>Hi-C chromatin conformation capture library prep, sequencing &amp; quality control</w:t>
      </w:r>
      <w:bookmarkEnd w:id="23"/>
      <w:bookmarkEnd w:id="24"/>
    </w:p>
    <w:p w14:paraId="257D6824" w14:textId="77777777"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 xml:space="preserve">using </w:t>
      </w:r>
      <w:r w:rsidRPr="00EC0C3A">
        <w:rPr>
          <w:rFonts w:asciiTheme="majorHAnsi" w:hAnsiTheme="majorHAnsi" w:cstheme="majorHAnsi"/>
          <w:sz w:val="24"/>
          <w:szCs w:val="24"/>
        </w:rPr>
        <w:t>Proximo Hi-C 2.0 Kit, a commercially available version of the Hi-C protocol</w:t>
      </w:r>
      <w:r w:rsidRPr="00FD21E9">
        <w:rPr>
          <w:rFonts w:asciiTheme="majorHAnsi" w:hAnsiTheme="majorHAnsi" w:cstheme="majorHAnsi"/>
          <w:sz w:val="24"/>
          <w:szCs w:val="24"/>
        </w:rPr>
        <w:t>, in 2019</w:t>
      </w:r>
      <w:r w:rsidRPr="00EC0C3A">
        <w:rPr>
          <w:rFonts w:asciiTheme="majorHAnsi" w:hAnsiTheme="majorHAnsi" w:cstheme="majorHAnsi"/>
          <w:sz w:val="24"/>
          <w:szCs w:val="24"/>
        </w:rPr>
        <w:t xml:space="preserve">. Following the manufacturer's instructions for the kit, intact cells from two samples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w:t>
      </w:r>
      <w:proofErr w:type="spellStart"/>
      <w:r w:rsidRPr="00EC0C3A">
        <w:rPr>
          <w:rFonts w:asciiTheme="majorHAnsi" w:hAnsiTheme="majorHAnsi" w:cstheme="majorHAnsi"/>
          <w:sz w:val="24"/>
          <w:szCs w:val="24"/>
        </w:rPr>
        <w:t>genomically</w:t>
      </w:r>
      <w:proofErr w:type="spellEnd"/>
      <w:r w:rsidRPr="00EC0C3A">
        <w:rPr>
          <w:rFonts w:asciiTheme="majorHAnsi" w:hAnsiTheme="majorHAnsi" w:cstheme="majorHAnsi"/>
          <w:sz w:val="24"/>
          <w:szCs w:val="24"/>
        </w:rPr>
        <w:t xml:space="preserve"> proximal. Continuing with the manufacturer's protocol, molecules were pulled down with streptavidin beads and processed into an Illumina-compatible sequencing library. Finally, 150bp paired-end reads were generated on an Illumina </w:t>
      </w:r>
      <w:proofErr w:type="spellStart"/>
      <w:r w:rsidRPr="00EC0C3A">
        <w:rPr>
          <w:rFonts w:asciiTheme="majorHAnsi" w:hAnsiTheme="majorHAnsi" w:cstheme="majorHAnsi"/>
          <w:sz w:val="24"/>
          <w:szCs w:val="24"/>
        </w:rPr>
        <w:t>HiSeq</w:t>
      </w:r>
      <w:proofErr w:type="spellEnd"/>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Due to the lack of availability of sequencing centers accepting new material during the COVID-19 pandemic, we outsourced the male hi-c sequencing to the Vertebrate Genome Project (VGP) at Rockefeller. The data from these sequencing runs had yet to be returned upon the completion of the research for this dissertation. Because hi-c links </w:t>
      </w:r>
      <w:r w:rsidRPr="00FD21E9">
        <w:rPr>
          <w:rFonts w:asciiTheme="majorHAnsi" w:hAnsiTheme="majorHAnsi" w:cstheme="majorHAnsi"/>
          <w:sz w:val="24"/>
          <w:szCs w:val="24"/>
        </w:rPr>
        <w:lastRenderedPageBreak/>
        <w:t>long-range interactions, we used the female hi-c sequencing data for both male and female scaffolding.</w:t>
      </w:r>
    </w:p>
    <w:p w14:paraId="5710ECC4" w14:textId="106F2206"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hi-c sequencing data by looking at base quality and mapping metrics. For basic metric quality assessment, we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{"citationID":"i6l6KGxI","properties":{"formattedCitation":"(Andrews, Simon, 2010)","plainCitation":"(Andrews, Simon, 2010)","noteIndex":0},"citationItems":[{"id":594,"uris":["http://zotero.org/users/local/3tku6QP0/items/6F4G7GJS"],"itemData":{"id":594,"type":"software","title":"FastQC: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(Andrews, Simon,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hi-c sequencing data would be useful in linking scaffolds, we looked at a percentage of high-quality reads (minimum mapping quality of greater than or equal to 20, a maximum edit distance of less than or equal to 5, and no duplications) that mapped to our draft assembly created from the prior step. We also observed the number of reads which aligned to each contig (&gt;600 desired) and the number of high-quality reads greater than 10Kbp apart (1-15% expected).</w:t>
      </w:r>
    </w:p>
    <w:p w14:paraId="3F58042E" w14:textId="77777777" w:rsidR="003F5039" w:rsidRPr="0087338E" w:rsidRDefault="003F5039" w:rsidP="003F5039">
      <w:pPr>
        <w:spacing w:line="480" w:lineRule="auto"/>
        <w:ind w:right="270"/>
        <w:rPr>
          <w:rFonts w:asciiTheme="majorHAnsi" w:hAnsiTheme="majorHAnsi" w:cstheme="majorHAnsi"/>
          <w:sz w:val="24"/>
          <w:szCs w:val="24"/>
        </w:rPr>
      </w:pPr>
    </w:p>
    <w:p w14:paraId="2EA51E8C" w14:textId="77777777" w:rsidR="003F5039" w:rsidRPr="0087338E" w:rsidRDefault="003F5039" w:rsidP="003F5039">
      <w:pPr>
        <w:pStyle w:val="HTMLAddress"/>
        <w:spacing w:line="480" w:lineRule="auto"/>
        <w:outlineLvl w:val="2"/>
        <w:rPr>
          <w:rFonts w:asciiTheme="majorHAnsi" w:hAnsiTheme="majorHAnsi" w:cstheme="majorHAnsi"/>
          <w:sz w:val="24"/>
          <w:szCs w:val="24"/>
        </w:rPr>
      </w:pPr>
      <w:bookmarkStart w:id="25" w:name="_Toc113123189"/>
      <w:bookmarkStart w:id="26" w:name="_Toc113273228"/>
      <w:r w:rsidRPr="0087338E">
        <w:rPr>
          <w:rFonts w:asciiTheme="majorHAnsi" w:hAnsiTheme="majorHAnsi" w:cstheme="majorHAnsi"/>
          <w:sz w:val="24"/>
          <w:szCs w:val="24"/>
        </w:rPr>
        <w:t>Genome assembly</w:t>
      </w:r>
      <w:bookmarkEnd w:id="25"/>
      <w:bookmarkEnd w:id="26"/>
    </w:p>
    <w:p w14:paraId="0F919F6E" w14:textId="7D1DEBEF" w:rsidR="003F5039" w:rsidRPr="0087338E" w:rsidRDefault="003F5039" w:rsidP="003F5039">
      <w:pPr>
        <w:spacing w:line="48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To scaffold the initial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assembly using linked-read data, we used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r w:rsidRPr="00FD21E9">
        <w:rPr>
          <w:rFonts w:asciiTheme="majorHAnsi" w:hAnsiTheme="majorHAnsi" w:cstheme="majorHAnsi"/>
          <w:sz w:val="24"/>
          <w:szCs w:val="24"/>
        </w:rPr>
        <w:t>which first breaks the assembly at locations that were incorrectly joined, scaffolds the assembly into larger, more contiguous</w:t>
      </w:r>
      <w:r w:rsidRPr="00FD21E9">
        <w:rPr>
          <w:rFonts w:asciiTheme="majorHAnsi" w:hAnsiTheme="majorHAnsi" w:cstheme="majorHAnsi"/>
          <w:color w:val="00000A"/>
          <w:sz w:val="24"/>
          <w:szCs w:val="24"/>
        </w:rPr>
        <w:t xml:space="preserve"> sequencing segments composing the linked- and long-</w:t>
      </w:r>
      <w:r w:rsidRPr="00FD21E9">
        <w:rPr>
          <w:rFonts w:asciiTheme="majorHAnsi" w:hAnsiTheme="majorHAnsi" w:cstheme="majorHAnsi"/>
          <w:color w:val="00000A"/>
          <w:sz w:val="24"/>
          <w:szCs w:val="24"/>
        </w:rPr>
        <w:lastRenderedPageBreak/>
        <w:t>read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draft assembly. After linked-read scaffolding, we followed the Arima mapping protocol (https://github.com/ArimaGenomics/mapping_pipeline) to prepare the hi-c data to use interaction mapping information 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 we independently aligned paired-end hi-c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hi-c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filtering the hi-c sequencing data, we converted BAM files to sorted BED files with </w:t>
      </w:r>
      <w:proofErr w:type="spellStart"/>
      <w:r w:rsidRPr="00FD21E9">
        <w:rPr>
          <w:rFonts w:asciiTheme="majorHAnsi" w:hAnsiTheme="majorHAnsi" w:cstheme="majorHAnsi"/>
          <w:color w:val="00000A"/>
          <w:sz w:val="24"/>
          <w:szCs w:val="24"/>
        </w:rPr>
        <w:t>bedtools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hi-c data to produce a linked, long, and hi-c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chromosomes-scale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3F5039">
      <w:pPr>
        <w:spacing w:line="480" w:lineRule="auto"/>
        <w:ind w:right="270"/>
        <w:rPr>
          <w:rFonts w:asciiTheme="majorHAnsi" w:hAnsiTheme="majorHAnsi" w:cstheme="majorHAnsi"/>
          <w:sz w:val="24"/>
          <w:szCs w:val="24"/>
        </w:rPr>
      </w:pPr>
    </w:p>
    <w:p w14:paraId="2484BA38"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27" w:name="_Toc113123190"/>
      <w:bookmarkStart w:id="28" w:name="_Toc113273229"/>
      <w:r w:rsidRPr="00FD21E9">
        <w:rPr>
          <w:rFonts w:asciiTheme="majorHAnsi" w:hAnsiTheme="majorHAnsi" w:cstheme="majorHAnsi"/>
          <w:sz w:val="24"/>
          <w:szCs w:val="24"/>
        </w:rPr>
        <w:t>Assembly quality assessment</w:t>
      </w:r>
      <w:bookmarkEnd w:id="27"/>
      <w:bookmarkEnd w:id="28"/>
    </w:p>
    <w:p w14:paraId="12E8AF4B" w14:textId="7FF11905"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8AC555C"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3F5039">
      <w:pPr>
        <w:spacing w:line="480" w:lineRule="auto"/>
        <w:ind w:right="270"/>
        <w:rPr>
          <w:rFonts w:asciiTheme="majorHAnsi" w:hAnsiTheme="majorHAnsi" w:cstheme="majorHAnsi"/>
          <w:b/>
          <w:bCs/>
          <w:sz w:val="24"/>
          <w:szCs w:val="24"/>
          <w:u w:val="single"/>
        </w:rPr>
      </w:pPr>
    </w:p>
    <w:p w14:paraId="3A3D7B81"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29" w:name="_Toc113123191"/>
      <w:bookmarkStart w:id="30" w:name="_Toc113273230"/>
      <w:r w:rsidRPr="00FD21E9">
        <w:rPr>
          <w:rFonts w:asciiTheme="majorHAnsi" w:hAnsiTheme="majorHAnsi" w:cstheme="majorHAnsi"/>
          <w:sz w:val="24"/>
          <w:szCs w:val="24"/>
        </w:rPr>
        <w:t>Cytogenic chromosome validation</w:t>
      </w:r>
      <w:bookmarkEnd w:id="29"/>
      <w:bookmarkEnd w:id="30"/>
    </w:p>
    <w:p w14:paraId="63B7DB14" w14:textId="77777777"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Fish were anesthetized with Colchicine (10 microliters of 1 mg/ml stock) and returned to water after sampling. Individual fish lengths were measured. In both cases organs were rinsed, stored in PBS at ambient temperature of the CABA environment. We established two spleen pools, one of male (n = 15), and one of female (n = 13) specimens and one additional male gonad was harvested. Organ pools were gently aspirated into single cell suspensions by pipetting in hypotonic solution (0.56% </w:t>
      </w:r>
      <w:proofErr w:type="spellStart"/>
      <w:r w:rsidRPr="00FD21E9">
        <w:rPr>
          <w:rFonts w:asciiTheme="majorHAnsi" w:hAnsiTheme="majorHAnsi" w:cstheme="majorHAnsi"/>
          <w:sz w:val="24"/>
          <w:szCs w:val="24"/>
        </w:rPr>
        <w:t>KCl</w:t>
      </w:r>
      <w:proofErr w:type="spellEnd"/>
      <w:r w:rsidRPr="00FD21E9">
        <w:rPr>
          <w:rFonts w:asciiTheme="majorHAnsi" w:hAnsiTheme="majorHAnsi" w:cstheme="majorHAnsi"/>
          <w:sz w:val="24"/>
          <w:szCs w:val="24"/>
        </w:rPr>
        <w:t>) for 15-20 min. Cells were centrifuged at ~1000 rpm for 10 min, supernatant hypotonic solution was removed and a 3:1 fixative (</w:t>
      </w:r>
      <w:proofErr w:type="spellStart"/>
      <w:proofErr w:type="gramStart"/>
      <w:r w:rsidRPr="00FD21E9">
        <w:rPr>
          <w:rFonts w:asciiTheme="majorHAnsi" w:hAnsiTheme="majorHAnsi" w:cstheme="majorHAnsi"/>
          <w:sz w:val="24"/>
          <w:szCs w:val="24"/>
        </w:rPr>
        <w:t>methanol:glacial</w:t>
      </w:r>
      <w:proofErr w:type="spellEnd"/>
      <w:proofErr w:type="gramEnd"/>
      <w:r w:rsidRPr="00FD21E9">
        <w:rPr>
          <w:rFonts w:asciiTheme="majorHAnsi" w:hAnsiTheme="majorHAnsi" w:cstheme="majorHAnsi"/>
          <w:sz w:val="24"/>
          <w:szCs w:val="24"/>
        </w:rPr>
        <w:t xml:space="preserve"> acetic acid) was added. Cell pellets were resuspended and stored at 4ºC. Two to three more fixative washes (centrifugation, resuspension in new fixative) were conducted, and cells were applied to slides one week later. Slides were stained using the DNA staining fluorescent dye (DAPI) and cells were examined using an Olympus BX-40 Microscope. Images of cells were captured and stored using the </w:t>
      </w:r>
      <w:proofErr w:type="spellStart"/>
      <w:r w:rsidRPr="00FD21E9">
        <w:rPr>
          <w:rFonts w:asciiTheme="majorHAnsi" w:hAnsiTheme="majorHAnsi" w:cstheme="majorHAnsi"/>
          <w:sz w:val="24"/>
          <w:szCs w:val="24"/>
        </w:rPr>
        <w:t>CytoVision</w:t>
      </w:r>
      <w:proofErr w:type="spellEnd"/>
      <w:r w:rsidRPr="00FD21E9">
        <w:rPr>
          <w:rFonts w:asciiTheme="majorHAnsi" w:hAnsiTheme="majorHAnsi" w:cstheme="majorHAnsi"/>
          <w:sz w:val="24"/>
          <w:szCs w:val="24"/>
        </w:rPr>
        <w:t xml:space="preserve"> Software and the number of chromosomes in the species were determined from those images.</w:t>
      </w:r>
    </w:p>
    <w:p w14:paraId="1F5C7897" w14:textId="46537906" w:rsidR="0087338E" w:rsidRDefault="0087338E">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0B56A36A" w14:textId="77777777" w:rsidR="003F5039" w:rsidRPr="00FD21E9" w:rsidRDefault="003F5039" w:rsidP="003F5039">
      <w:pPr>
        <w:spacing w:line="480" w:lineRule="auto"/>
        <w:rPr>
          <w:rFonts w:asciiTheme="majorHAnsi" w:hAnsiTheme="majorHAnsi" w:cstheme="majorHAnsi"/>
          <w:b/>
          <w:bCs/>
          <w:sz w:val="24"/>
          <w:szCs w:val="24"/>
        </w:rPr>
      </w:pPr>
    </w:p>
    <w:p w14:paraId="398B0908" w14:textId="77777777" w:rsidR="003F5039" w:rsidRPr="00FD21E9" w:rsidRDefault="003F5039" w:rsidP="003F5039">
      <w:pPr>
        <w:pStyle w:val="Header"/>
        <w:spacing w:line="480" w:lineRule="auto"/>
        <w:outlineLvl w:val="1"/>
        <w:rPr>
          <w:rFonts w:asciiTheme="majorHAnsi" w:hAnsiTheme="majorHAnsi" w:cstheme="majorHAnsi"/>
          <w:i/>
          <w:szCs w:val="24"/>
        </w:rPr>
      </w:pPr>
      <w:bookmarkStart w:id="31" w:name="_Toc113123192"/>
      <w:bookmarkStart w:id="32" w:name="_Toc113273231"/>
      <w:r w:rsidRPr="00FD21E9">
        <w:rPr>
          <w:rFonts w:asciiTheme="majorHAnsi" w:hAnsiTheme="majorHAnsi" w:cstheme="majorHAnsi"/>
          <w:szCs w:val="24"/>
        </w:rPr>
        <w:t>Results</w:t>
      </w:r>
      <w:bookmarkEnd w:id="31"/>
      <w:bookmarkEnd w:id="32"/>
    </w:p>
    <w:p w14:paraId="25E63905"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33" w:name="_Toc113123193"/>
      <w:bookmarkStart w:id="34" w:name="_Toc113273232"/>
      <w:r w:rsidRPr="00FD21E9">
        <w:rPr>
          <w:rFonts w:asciiTheme="majorHAnsi" w:hAnsiTheme="majorHAnsi" w:cstheme="majorHAnsi"/>
          <w:sz w:val="24"/>
          <w:szCs w:val="24"/>
        </w:rPr>
        <w:t>Sample collection &amp; DNA extraction</w:t>
      </w:r>
      <w:bookmarkEnd w:id="33"/>
      <w:bookmarkEnd w:id="34"/>
    </w:p>
    <w:p w14:paraId="0C2648BD" w14:textId="238A951F" w:rsidR="003F5039" w:rsidRPr="00FD21E9" w:rsidRDefault="003F5039" w:rsidP="003F5039">
      <w:pPr>
        <w:spacing w:line="480" w:lineRule="auto"/>
        <w:ind w:right="270"/>
        <w:rPr>
          <w:rFonts w:asciiTheme="majorHAnsi" w:hAnsiTheme="majorHAnsi" w:cstheme="majorHAnsi"/>
          <w:iCs/>
          <w:sz w:val="24"/>
          <w:szCs w:val="24"/>
        </w:rPr>
      </w:pPr>
      <w:r w:rsidRPr="00FD21E9">
        <w:rPr>
          <w:rFonts w:asciiTheme="majorHAnsi" w:hAnsiTheme="majorHAnsi" w:cstheme="majorHAnsi"/>
          <w:iCs/>
          <w:sz w:val="24"/>
          <w:szCs w:val="24"/>
        </w:rPr>
        <w:t>After mixed results in length and quantity yield of HMW gDNA from back muscle tissue flash frozen and stored unsuspended in liquid, 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 We used tissue samples from two female individuals and two male individuals to extract roughly 3.4µg of HMW gDNA at a concentration of 87ng/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 xml:space="preserve">L for subsequent sequencing (Figure 2.1). Back muscle tissue from one female individual (T1F02_BM_FF) was used for </w:t>
      </w:r>
      <w:proofErr w:type="gramStart"/>
      <w:r w:rsidRPr="00FD21E9">
        <w:rPr>
          <w:rFonts w:asciiTheme="majorHAnsi" w:hAnsiTheme="majorHAnsi" w:cstheme="majorHAnsi"/>
          <w:iCs/>
          <w:sz w:val="24"/>
          <w:szCs w:val="24"/>
        </w:rPr>
        <w:t>linked-read</w:t>
      </w:r>
      <w:proofErr w:type="gramEnd"/>
      <w:r w:rsidRPr="00FD21E9">
        <w:rPr>
          <w:rFonts w:asciiTheme="majorHAnsi" w:hAnsiTheme="majorHAnsi" w:cstheme="majorHAnsi"/>
          <w:iCs/>
          <w:sz w:val="24"/>
          <w:szCs w:val="24"/>
        </w:rPr>
        <w:t xml:space="preserve">, long-read, and hi-c sequencing and gill tissue from one female (T3F02_SC_FF) was used for further PacBio sequencing. One male individual (T3M02_BM_FF) was used for linked and long read sequencing, and internal organ tissue from the second male (T4M01_IO_FF) was used for generating hi-c sequencing data (Table 2.2). Suspending tissues in propylene glycol did not increase the success rate or yield of extracted HMW gDNA in our experience, and all successful extractions were not suspended in any kind of solution after flash freezing.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260/280 absorbance ratios of male and female extractions were 1.91 and 1.90, respectively.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260/230 ratios for male and female extractions were 2.02 and 1.79, respectively.</w:t>
      </w:r>
    </w:p>
    <w:p w14:paraId="1687826F" w14:textId="77777777" w:rsidR="003F5039" w:rsidRPr="00FD21E9" w:rsidRDefault="003F5039" w:rsidP="003F5039">
      <w:pPr>
        <w:spacing w:line="480" w:lineRule="auto"/>
        <w:ind w:right="270"/>
        <w:rPr>
          <w:rFonts w:asciiTheme="majorHAnsi" w:hAnsiTheme="majorHAnsi" w:cstheme="majorHAnsi"/>
          <w:iCs/>
          <w:sz w:val="24"/>
          <w:szCs w:val="24"/>
        </w:rPr>
      </w:pPr>
    </w:p>
    <w:p w14:paraId="304B44DD"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35" w:name="_Toc113123194"/>
      <w:bookmarkStart w:id="36" w:name="_Toc113273233"/>
      <w:r w:rsidRPr="00FD21E9">
        <w:rPr>
          <w:rFonts w:asciiTheme="majorHAnsi" w:hAnsiTheme="majorHAnsi" w:cstheme="majorHAnsi"/>
          <w:sz w:val="24"/>
          <w:szCs w:val="24"/>
        </w:rPr>
        <w:t>Linked-read library prep, sequencing &amp; quality control</w:t>
      </w:r>
      <w:bookmarkEnd w:id="35"/>
      <w:bookmarkEnd w:id="36"/>
    </w:p>
    <w:p w14:paraId="529DA7B4" w14:textId="15C7D0E2"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quantified library electropherograms showed 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 xml:space="preserve">10X sequencing data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We used the updated k-mer based estimate to reduce the amount of male data generated in sequencing</w:t>
      </w:r>
      <w:r w:rsidRPr="009A34FE">
        <w:rPr>
          <w:rFonts w:asciiTheme="majorHAnsi" w:hAnsiTheme="majorHAnsi" w:cstheme="majorHAnsi"/>
          <w:sz w:val="24"/>
          <w:szCs w:val="24"/>
        </w:rPr>
        <w:t xml:space="preserve">. </w:t>
      </w:r>
      <w:r w:rsidRPr="00FD21E9">
        <w:rPr>
          <w:rFonts w:asciiTheme="majorHAnsi" w:hAnsiTheme="majorHAnsi" w:cstheme="majorHAnsi"/>
          <w:sz w:val="24"/>
          <w:szCs w:val="24"/>
        </w:rPr>
        <w:t xml:space="preserve">In total, we generated 94,825,601,818 bp and 65,806,680,934 bp of female and male linked-read sequencing data, respectively.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67A38A54"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organelle contamination or major sources of sequencing bias in the linked-read sequencing data.</w:t>
      </w:r>
    </w:p>
    <w:p w14:paraId="07FEA697" w14:textId="77777777" w:rsidR="003F5039" w:rsidRPr="00FD21E9" w:rsidRDefault="003F5039" w:rsidP="003F5039">
      <w:pPr>
        <w:spacing w:line="480" w:lineRule="auto"/>
        <w:ind w:right="270"/>
        <w:rPr>
          <w:rFonts w:asciiTheme="majorHAnsi" w:hAnsiTheme="majorHAnsi" w:cstheme="majorHAnsi"/>
          <w:sz w:val="24"/>
          <w:szCs w:val="24"/>
        </w:rPr>
      </w:pPr>
    </w:p>
    <w:p w14:paraId="3D2EF21E"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37" w:name="_Toc113123195"/>
      <w:bookmarkStart w:id="38" w:name="_Toc113273234"/>
      <w:r w:rsidRPr="00FD21E9">
        <w:rPr>
          <w:rFonts w:asciiTheme="majorHAnsi" w:hAnsiTheme="majorHAnsi" w:cstheme="majorHAnsi"/>
          <w:sz w:val="24"/>
          <w:szCs w:val="24"/>
        </w:rPr>
        <w:t>Long-read library prep, sequencing &amp; quality control</w:t>
      </w:r>
      <w:bookmarkEnd w:id="37"/>
      <w:bookmarkEnd w:id="38"/>
    </w:p>
    <w:p w14:paraId="4D0B36AC"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We constructed one high-input library from the male HMW gDNA extractions. To reach sufficient coverage sequencing data with the available HMW gDNA from the female individual, we constructed one high-input and one low-input library. Starting gDNA inputs ranged from </w:t>
      </w:r>
      <w:r w:rsidRPr="00FD21E9">
        <w:rPr>
          <w:rFonts w:asciiTheme="majorHAnsi" w:hAnsiTheme="majorHAnsi" w:cstheme="majorHAnsi"/>
          <w:sz w:val="24"/>
          <w:szCs w:val="24"/>
        </w:rPr>
        <w:lastRenderedPageBreak/>
        <w:t xml:space="preserve">6.5ug to 20ug of gDNA. The sheared gDNA input for the removal of single strand overhangs ranged from 1000ng to 7ug, and the average length of gDNA for sequencing ranged from 14-18.4kb. </w:t>
      </w:r>
    </w:p>
    <w:p w14:paraId="423D5327" w14:textId="77777777" w:rsidR="003F5039" w:rsidRPr="00FD21E9" w:rsidRDefault="003F5039" w:rsidP="003F5039">
      <w:pPr>
        <w:spacing w:line="48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3F5039">
      <w:pPr>
        <w:spacing w:line="480" w:lineRule="auto"/>
        <w:rPr>
          <w:rFonts w:asciiTheme="majorHAnsi" w:hAnsiTheme="majorHAnsi" w:cstheme="majorHAnsi"/>
          <w:b/>
          <w:bCs/>
          <w:sz w:val="24"/>
          <w:szCs w:val="24"/>
          <w:u w:val="single"/>
        </w:rPr>
      </w:pPr>
    </w:p>
    <w:p w14:paraId="6E51C0A5"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39" w:name="_Toc113123196"/>
      <w:bookmarkStart w:id="40" w:name="_Toc113273235"/>
      <w:r w:rsidRPr="00FD21E9">
        <w:rPr>
          <w:rFonts w:asciiTheme="majorHAnsi" w:hAnsiTheme="majorHAnsi" w:cstheme="majorHAnsi"/>
          <w:sz w:val="24"/>
          <w:szCs w:val="24"/>
        </w:rPr>
        <w:t>Hi-C chromatin conformation capture library prep, sequencing &amp; quality control</w:t>
      </w:r>
      <w:bookmarkEnd w:id="39"/>
      <w:bookmarkEnd w:id="40"/>
    </w:p>
    <w:p w14:paraId="51586397"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2,966.33 read pairs per contig greater than 5kbp, 18.78% of the read pairs mapped to greater than 10 kilobases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3F5039">
      <w:pPr>
        <w:spacing w:line="480" w:lineRule="auto"/>
        <w:ind w:right="270"/>
        <w:rPr>
          <w:rFonts w:asciiTheme="majorHAnsi" w:hAnsiTheme="majorHAnsi" w:cstheme="majorHAnsi"/>
          <w:b/>
          <w:bCs/>
          <w:sz w:val="24"/>
          <w:szCs w:val="24"/>
          <w:u w:val="single"/>
        </w:rPr>
      </w:pPr>
    </w:p>
    <w:p w14:paraId="38500394"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41" w:name="_Toc113123197"/>
      <w:bookmarkStart w:id="42" w:name="_Toc113273236"/>
      <w:r w:rsidRPr="00FD21E9">
        <w:rPr>
          <w:rFonts w:asciiTheme="majorHAnsi" w:hAnsiTheme="majorHAnsi" w:cstheme="majorHAnsi"/>
          <w:sz w:val="24"/>
          <w:szCs w:val="24"/>
        </w:rPr>
        <w:t>Assembly quality assessment</w:t>
      </w:r>
      <w:bookmarkEnd w:id="41"/>
      <w:bookmarkEnd w:id="42"/>
    </w:p>
    <w:p w14:paraId="4DE85359" w14:textId="4B549D2E" w:rsidR="00422626"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w:t>
      </w:r>
      <w:proofErr w:type="gramStart"/>
      <w:r w:rsidRPr="00FD21E9">
        <w:rPr>
          <w:rFonts w:asciiTheme="majorHAnsi" w:hAnsiTheme="majorHAnsi" w:cstheme="majorHAnsi"/>
          <w:sz w:val="24"/>
          <w:szCs w:val="24"/>
        </w:rPr>
        <w:t>single-copy</w:t>
      </w:r>
      <w:proofErr w:type="gramEnd"/>
      <w:r w:rsidRPr="00FD21E9">
        <w:rPr>
          <w:rFonts w:asciiTheme="majorHAnsi" w:hAnsiTheme="majorHAnsi" w:cstheme="majorHAnsi"/>
          <w:sz w:val="24"/>
          <w:szCs w:val="24"/>
        </w:rPr>
        <w:t xml:space="preserve"> orthologs contained within the 05 August 2020 Actinopterygii lineage dataset using BUSCO. The quality filtered female and male HiFi data contained whole genes or sequence fragments of 95.6% (3.3% complete single copy, 89.3% complete double copy, and 3.0% fragmented) and 94.4% (3.4% </w:t>
      </w:r>
      <w:r w:rsidRPr="00FD21E9">
        <w:rPr>
          <w:rFonts w:asciiTheme="majorHAnsi" w:hAnsiTheme="majorHAnsi" w:cstheme="majorHAnsi"/>
          <w:sz w:val="24"/>
          <w:szCs w:val="24"/>
        </w:rPr>
        <w:lastRenderedPageBreak/>
        <w:t>complete single copy, 87.0% complete double copy, and 4.0% fragmented) of the conserved Actinopterygii gene dataset were present in the quality filtered female and male HiFi data, respectively (Table 2.4).</w:t>
      </w:r>
    </w:p>
    <w:p w14:paraId="081ECC0D" w14:textId="24A4CDA6"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After each step, the total length and N50 increased, and the L50 and total number of contigs decreased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3F5039">
      <w:pPr>
        <w:spacing w:line="480" w:lineRule="auto"/>
        <w:rPr>
          <w:rFonts w:asciiTheme="majorHAnsi" w:hAnsiTheme="majorHAnsi" w:cstheme="majorHAnsi"/>
          <w:sz w:val="24"/>
          <w:szCs w:val="24"/>
        </w:rPr>
      </w:pPr>
    </w:p>
    <w:p w14:paraId="7737965B"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43" w:name="_Toc113123198"/>
      <w:bookmarkStart w:id="44" w:name="_Toc113273237"/>
      <w:r w:rsidRPr="00FD21E9">
        <w:rPr>
          <w:rFonts w:asciiTheme="majorHAnsi" w:hAnsiTheme="majorHAnsi" w:cstheme="majorHAnsi"/>
          <w:sz w:val="24"/>
          <w:szCs w:val="24"/>
        </w:rPr>
        <w:t>Cytogenic chromosome validation</w:t>
      </w:r>
      <w:bookmarkEnd w:id="43"/>
      <w:bookmarkEnd w:id="44"/>
      <w:r w:rsidRPr="00FD21E9">
        <w:rPr>
          <w:rFonts w:asciiTheme="majorHAnsi" w:hAnsiTheme="majorHAnsi" w:cstheme="majorHAnsi"/>
          <w:sz w:val="24"/>
          <w:szCs w:val="24"/>
        </w:rPr>
        <w:t xml:space="preserve"> </w:t>
      </w:r>
    </w:p>
    <w:p w14:paraId="2A9017F9" w14:textId="74B968C4"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Seventy-five cell images were collected from the three pooled sample sets (mixed sex,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w:t>
      </w:r>
      <w:proofErr w:type="spellStart"/>
      <w:r w:rsidRPr="00FD21E9">
        <w:rPr>
          <w:rFonts w:asciiTheme="majorHAnsi" w:hAnsiTheme="majorHAnsi" w:cstheme="majorHAnsi"/>
          <w:sz w:val="24"/>
          <w:szCs w:val="24"/>
        </w:rPr>
        <w:t>hypomodal</w:t>
      </w:r>
      <w:proofErr w:type="spellEnd"/>
      <w:r w:rsidRPr="00FD21E9">
        <w:rPr>
          <w:rFonts w:asciiTheme="majorHAnsi" w:hAnsiTheme="majorHAnsi" w:cstheme="majorHAnsi"/>
          <w:sz w:val="24"/>
          <w:szCs w:val="24"/>
        </w:rPr>
        <w:t xml:space="preserve"> counts (1 cell with 2n=54, 2 cells with 2n=55, Table 2.5). Figure 2.</w:t>
      </w:r>
      <w:r w:rsidR="00644092" w:rsidRPr="00FD21E9">
        <w:rPr>
          <w:rFonts w:asciiTheme="majorHAnsi" w:hAnsiTheme="majorHAnsi" w:cstheme="majorHAnsi"/>
          <w:sz w:val="24"/>
          <w:szCs w:val="24"/>
        </w:rPr>
        <w:t>8</w:t>
      </w:r>
      <w:r w:rsidRPr="00FD21E9">
        <w:rPr>
          <w:rFonts w:asciiTheme="majorHAnsi" w:hAnsiTheme="majorHAnsi" w:cstheme="majorHAnsi"/>
          <w:sz w:val="24"/>
          <w:szCs w:val="24"/>
        </w:rPr>
        <w:t xml:space="preserve"> shows a representative mitotic metaphase cell from a male spleen cell exhibiting 56 chromosomes.</w:t>
      </w:r>
    </w:p>
    <w:p w14:paraId="128F8D9F" w14:textId="77777777" w:rsidR="003F5039" w:rsidRPr="00FD21E9" w:rsidRDefault="003F5039" w:rsidP="003F5039">
      <w:pPr>
        <w:spacing w:line="480" w:lineRule="auto"/>
        <w:rPr>
          <w:rFonts w:asciiTheme="majorHAnsi" w:hAnsiTheme="majorHAnsi" w:cstheme="majorHAnsi"/>
          <w:sz w:val="24"/>
          <w:szCs w:val="24"/>
        </w:rPr>
      </w:pPr>
    </w:p>
    <w:p w14:paraId="2C92E786" w14:textId="77777777" w:rsidR="003F5039" w:rsidRPr="00FD21E9" w:rsidRDefault="003F5039" w:rsidP="003F5039">
      <w:pPr>
        <w:pStyle w:val="Header"/>
        <w:spacing w:line="480" w:lineRule="auto"/>
        <w:outlineLvl w:val="1"/>
        <w:rPr>
          <w:rFonts w:asciiTheme="majorHAnsi" w:hAnsiTheme="majorHAnsi" w:cstheme="majorHAnsi"/>
          <w:szCs w:val="24"/>
        </w:rPr>
      </w:pPr>
      <w:bookmarkStart w:id="45" w:name="_Toc113123199"/>
      <w:bookmarkStart w:id="46" w:name="_Toc113273238"/>
      <w:r w:rsidRPr="00FD21E9">
        <w:rPr>
          <w:rFonts w:asciiTheme="majorHAnsi" w:hAnsiTheme="majorHAnsi" w:cstheme="majorHAnsi"/>
          <w:szCs w:val="24"/>
        </w:rPr>
        <w:t>Discussion &amp; Conclusion</w:t>
      </w:r>
      <w:bookmarkEnd w:id="45"/>
      <w:bookmarkEnd w:id="46"/>
    </w:p>
    <w:p w14:paraId="1AC8CE0F" w14:textId="4A6D6711"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The diploid chromosome number of 56 for delta smelt from our karyotyping aligns with those reported for other smelt species, 2n=54, 56 or 58 for European smelt</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pond smelt</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(Kitada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the source of the karyotype variation, which is also the basis for karyotype variation observed within and among salmonid species</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those smelts studied cytogenetically, and here we found no evidence for sex-specific chromosomes although a more detailed study is necessary to secure such a determination given the small sample size and low resolution of images. </w:t>
      </w:r>
      <w:proofErr w:type="gramStart"/>
      <w:r w:rsidRPr="00FD21E9">
        <w:rPr>
          <w:rFonts w:asciiTheme="majorHAnsi" w:hAnsiTheme="majorHAnsi" w:cstheme="majorHAnsi"/>
          <w:sz w:val="24"/>
          <w:szCs w:val="24"/>
        </w:rPr>
        <w:t>Similar to</w:t>
      </w:r>
      <w:proofErr w:type="gramEnd"/>
      <w:r w:rsidRPr="00FD21E9">
        <w:rPr>
          <w:rFonts w:asciiTheme="majorHAnsi" w:hAnsiTheme="majorHAnsi" w:cstheme="majorHAnsi"/>
          <w:sz w:val="24"/>
          <w:szCs w:val="24"/>
        </w:rPr>
        <w:t xml:space="preserve"> other reports, we note a preponderance of </w:t>
      </w:r>
      <w:proofErr w:type="spellStart"/>
      <w:r w:rsidRPr="00FD21E9">
        <w:rPr>
          <w:rFonts w:asciiTheme="majorHAnsi" w:hAnsiTheme="majorHAnsi" w:cstheme="majorHAnsi"/>
          <w:sz w:val="24"/>
          <w:szCs w:val="24"/>
        </w:rPr>
        <w:t>subtelocentric</w:t>
      </w:r>
      <w:proofErr w:type="spellEnd"/>
      <w:r w:rsidRPr="00FD21E9">
        <w:rPr>
          <w:rFonts w:asciiTheme="majorHAnsi" w:hAnsiTheme="majorHAnsi" w:cstheme="majorHAnsi"/>
          <w:sz w:val="24"/>
          <w:szCs w:val="24"/>
        </w:rPr>
        <w:t>/acrocentric chromosome pairs over metacentric chromosome pair, as one might expect for closely related species. Chromosome composition is a descriptive metric, and our findings did not alter or affect our genome assembly process.</w:t>
      </w:r>
    </w:p>
    <w:p w14:paraId="2495C8C7" w14:textId="77777777"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Long-read sequencing files contained a high frequency of double-copy genes. This is inherent in generating high-coverage sequence data covering the same genes multiple times. As expected, upon assembling long-reads, the number of single-copy orthologs found in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dropped precipitously and the number of single-copy genes found in the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assembly is roughly equal to the numbers of double-copy genes in the sequencing data files used for input. The female assembly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contained more single-copy genes than double-copy genes in the raw sequencing </w:t>
      </w:r>
      <w:r w:rsidRPr="00FD21E9">
        <w:rPr>
          <w:rFonts w:asciiTheme="majorHAnsi" w:hAnsiTheme="majorHAnsi" w:cstheme="majorHAnsi"/>
          <w:sz w:val="24"/>
          <w:szCs w:val="24"/>
        </w:rPr>
        <w:lastRenderedPageBreak/>
        <w:t>data. This could result from having high coverage over fragmented genes contained within the raw sequencing data, which could then be assembled into complete genes in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w:t>
      </w:r>
    </w:p>
    <w:p w14:paraId="21443E08" w14:textId="619777BB"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The final total lengths for the male and female assemblies were 0.47Gb and 0.44Gb, respectively. These total lengths are similar to the </w:t>
      </w:r>
      <w:proofErr w:type="spellStart"/>
      <w:r w:rsidRPr="00FD21E9">
        <w:rPr>
          <w:rFonts w:asciiTheme="majorHAnsi" w:hAnsiTheme="majorHAnsi" w:cstheme="majorHAnsi"/>
          <w:sz w:val="24"/>
          <w:szCs w:val="24"/>
        </w:rPr>
        <w:t>wakasagi</w:t>
      </w:r>
      <w:proofErr w:type="spellEnd"/>
      <w:r w:rsidRPr="00FD21E9">
        <w:rPr>
          <w:rFonts w:asciiTheme="majorHAnsi" w:hAnsiTheme="majorHAnsi" w:cstheme="majorHAnsi"/>
          <w:sz w:val="24"/>
          <w:szCs w:val="24"/>
        </w:rPr>
        <w:t xml:space="preserve">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0.50Gb</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Our final male and female assemblies had 376 and 549 scaffolds with N50’s of 0.12Gb and 0.15Gb, respectively. The first 28 contigs, representing the number of haploid chromosomes confirmed by cytogenetic karyotyping, contain 73.3% and 81.6% of the sequencing data of total assemblies in male and females, respectively. The delta smelt reference assemblies are roughly 25-30 times more contiguous that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77777777"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0.03Gb, or 8.0% longer than the female assembly and has a 5.6% increase of double-copy genes. These double-copy genes may account for the longer assembly length. Alternatively, or perhaps additionally, the male genome may have male specific sequences, such as a sex chromosome, which we could not determine the presence of absences of in our cytogenetic work.</w:t>
      </w:r>
    </w:p>
    <w:p w14:paraId="42D1AFD3" w14:textId="77777777"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genome assembly for use within and beyond the scope of this dissertation. We have achieved two chromosome-scale reference genomes, one for a female fish and one for a male fish, where a </w:t>
      </w:r>
      <w:r w:rsidRPr="00FD21E9">
        <w:rPr>
          <w:rFonts w:asciiTheme="majorHAnsi" w:hAnsiTheme="majorHAnsi" w:cstheme="majorHAnsi"/>
          <w:sz w:val="24"/>
          <w:szCs w:val="24"/>
        </w:rPr>
        <w:lastRenderedPageBreak/>
        <w:t xml:space="preserve">chromosome counts of 2n=56 for the species was independently validated by sequencing-free cytogenetic methods. Our two reference genomes were published to NCBI with GenBank assembly accession numbers GCA_021917145.1 (female) and GCA_021870715.1 (male) on February 02, </w:t>
      </w:r>
      <w:proofErr w:type="gramStart"/>
      <w:r w:rsidRPr="00FD21E9">
        <w:rPr>
          <w:rFonts w:asciiTheme="majorHAnsi" w:hAnsiTheme="majorHAnsi" w:cstheme="majorHAnsi"/>
          <w:sz w:val="24"/>
          <w:szCs w:val="24"/>
        </w:rPr>
        <w:t>2022</w:t>
      </w:r>
      <w:proofErr w:type="gramEnd"/>
      <w:r w:rsidRPr="00FD21E9">
        <w:rPr>
          <w:rFonts w:asciiTheme="majorHAnsi" w:hAnsiTheme="majorHAnsi" w:cstheme="majorHAnsi"/>
          <w:sz w:val="24"/>
          <w:szCs w:val="24"/>
        </w:rPr>
        <w:t xml:space="preserve"> and February 03, 2022, respectively and the more contiguous female genome has subsequently annotated by the NCBI Eukaryotic Genome Annotation Pipeline. </w:t>
      </w:r>
    </w:p>
    <w:p w14:paraId="645139E1" w14:textId="77777777" w:rsidR="008914E8" w:rsidRDefault="008914E8">
      <w:pPr>
        <w:spacing w:after="0" w:line="240" w:lineRule="auto"/>
        <w:jc w:val="left"/>
        <w:rPr>
          <w:rFonts w:asciiTheme="majorHAnsi" w:eastAsiaTheme="majorEastAsia" w:hAnsiTheme="majorHAnsi" w:cstheme="majorBidi"/>
          <w:b/>
          <w:bCs/>
          <w:sz w:val="24"/>
          <w:szCs w:val="24"/>
        </w:rPr>
      </w:pPr>
      <w:r>
        <w:br w:type="page"/>
      </w:r>
    </w:p>
    <w:p w14:paraId="766E5B6B" w14:textId="1011E498" w:rsidR="008914E8" w:rsidRPr="005549A1" w:rsidRDefault="00EC36DE" w:rsidP="00EC36DE">
      <w:pPr>
        <w:pStyle w:val="TOCHeading"/>
        <w:tabs>
          <w:tab w:val="left" w:pos="532"/>
        </w:tabs>
        <w:spacing w:line="480" w:lineRule="auto"/>
        <w:outlineLvl w:val="0"/>
      </w:pPr>
      <w:bookmarkStart w:id="47" w:name="_Toc113273239"/>
      <w:r>
        <w:lastRenderedPageBreak/>
        <w:t>Works Cited</w:t>
      </w:r>
      <w:bookmarkEnd w:id="47"/>
    </w:p>
    <w:p w14:paraId="1161112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eastAsia="Times New Roman" w:hAnsiTheme="majorHAnsi" w:cstheme="majorHAnsi"/>
          <w:color w:val="000000"/>
          <w:sz w:val="24"/>
          <w:szCs w:val="24"/>
        </w:rPr>
        <w:fldChar w:fldCharType="begin"/>
      </w:r>
      <w:r w:rsidRPr="003B7B17">
        <w:rPr>
          <w:rFonts w:asciiTheme="majorHAnsi" w:eastAsia="Times New Roman" w:hAnsiTheme="majorHAnsi" w:cstheme="majorHAnsi"/>
          <w:color w:val="000000"/>
          <w:sz w:val="24"/>
          <w:szCs w:val="24"/>
        </w:rPr>
        <w:instrText xml:space="preserve"> ADDIN ZOTERO_BIBL {"uncited":[],"omitted":[],"custom":[]} CSL_BIBLIOGRAPHY </w:instrText>
      </w:r>
      <w:r w:rsidRPr="003B7B17">
        <w:rPr>
          <w:rFonts w:asciiTheme="majorHAnsi" w:eastAsia="Times New Roman" w:hAnsiTheme="majorHAnsi" w:cstheme="majorHAnsi"/>
          <w:color w:val="000000"/>
          <w:sz w:val="24"/>
          <w:szCs w:val="24"/>
        </w:rPr>
        <w:fldChar w:fldCharType="separate"/>
      </w:r>
      <w:r w:rsidRPr="003B7B17">
        <w:rPr>
          <w:rFonts w:asciiTheme="majorHAnsi" w:hAnsiTheme="majorHAnsi" w:cstheme="majorHAnsi"/>
          <w:color w:val="000000"/>
          <w:sz w:val="24"/>
          <w:szCs w:val="24"/>
        </w:rPr>
        <w:t xml:space="preserve">Andrews, Simon. (2010). </w:t>
      </w:r>
      <w:r w:rsidRPr="003B7B17">
        <w:rPr>
          <w:rFonts w:asciiTheme="majorHAnsi" w:hAnsiTheme="majorHAnsi" w:cstheme="majorHAnsi"/>
          <w:i/>
          <w:iCs/>
          <w:color w:val="000000"/>
          <w:sz w:val="24"/>
          <w:szCs w:val="24"/>
        </w:rPr>
        <w:t>FastQC: a quality control tool for high throughput sequence data.</w:t>
      </w:r>
      <w:r w:rsidRPr="003B7B17">
        <w:rPr>
          <w:rFonts w:asciiTheme="majorHAnsi" w:hAnsiTheme="majorHAnsi" w:cstheme="majorHAnsi"/>
          <w:color w:val="000000"/>
          <w:sz w:val="24"/>
          <w:szCs w:val="24"/>
        </w:rPr>
        <w:t xml:space="preserve"> (0.11.9). https://www.bioinformatics.babraham.ac.uk/projects/fastqc/</w:t>
      </w:r>
    </w:p>
    <w:p w14:paraId="53DB4B7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Belarmino, E., Nóbrega, M. F. de, Grimm, A. M., Copertino, M. da S., Vieira, J. P., &amp; Garcia, A. M. (2021). Long-term trends in the abundance of an estuarine fish and relationships with El Niño climatic impacts and seagrass meadows reduction. </w:t>
      </w:r>
      <w:r w:rsidRPr="003B7B17">
        <w:rPr>
          <w:rFonts w:asciiTheme="majorHAnsi" w:hAnsiTheme="majorHAnsi" w:cstheme="majorHAnsi"/>
          <w:i/>
          <w:iCs/>
          <w:color w:val="000000"/>
          <w:sz w:val="24"/>
          <w:szCs w:val="24"/>
        </w:rPr>
        <w:t>Estuarine, Coastal and Shelf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261</w:t>
      </w:r>
      <w:r w:rsidRPr="003B7B17">
        <w:rPr>
          <w:rFonts w:asciiTheme="majorHAnsi" w:hAnsiTheme="majorHAnsi" w:cstheme="majorHAnsi"/>
          <w:color w:val="000000"/>
          <w:sz w:val="24"/>
          <w:szCs w:val="24"/>
        </w:rPr>
        <w:t>, 107565. https://doi.org/10.1016/j.ecss.2021.107565</w:t>
      </w:r>
    </w:p>
    <w:p w14:paraId="1EEB570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Bickhart, D. M., Rosen, B. D., Koren, S., Sayre, B. L., Hastie, A. R., Chan, S., Lee, J., Lam, E. T., Liachko, I., Sullivan, S. T., Burton, J. N., Huson, H. J., Nystrom, J. C., Kelley, C. M., Hutchison, J. L., Zhou, Y., Sun, J., Crisà, A., Ponce de León, F. A., … Smith, T. P. L. (2017). Single-molecule sequencing and chromatin conformation capture enable de novo reference assembly of the domestic goat genome. </w:t>
      </w:r>
      <w:r w:rsidRPr="003B7B17">
        <w:rPr>
          <w:rFonts w:asciiTheme="majorHAnsi" w:hAnsiTheme="majorHAnsi" w:cstheme="majorHAnsi"/>
          <w:i/>
          <w:iCs/>
          <w:color w:val="000000"/>
          <w:sz w:val="24"/>
          <w:szCs w:val="24"/>
        </w:rPr>
        <w:t>Nature 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49</w:t>
      </w:r>
      <w:r w:rsidRPr="003B7B17">
        <w:rPr>
          <w:rFonts w:asciiTheme="majorHAnsi" w:hAnsiTheme="majorHAnsi" w:cstheme="majorHAnsi"/>
          <w:color w:val="000000"/>
          <w:sz w:val="24"/>
          <w:szCs w:val="24"/>
        </w:rPr>
        <w:t>(4), 643–650. https://doi.org/10.1038/ng.3802</w:t>
      </w:r>
    </w:p>
    <w:p w14:paraId="4577250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Campbell, M. A., Joslin, S. E. K., Goodbla, A. M., Willmes, M., Hobbs, J. A., Lewis, L. S., &amp; Finger, A. J. (2022). Polygenic discrimination of migratory phenotypes in an estuarine forage fish.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w:t>
      </w:r>
      <w:r w:rsidRPr="003B7B17">
        <w:rPr>
          <w:rFonts w:asciiTheme="majorHAnsi" w:hAnsiTheme="majorHAnsi" w:cstheme="majorHAnsi"/>
          <w:color w:val="000000"/>
          <w:sz w:val="24"/>
          <w:szCs w:val="24"/>
        </w:rPr>
        <w:t>(8), jkac133. https://doi.org/10.1093/g3journal/jkac133</w:t>
      </w:r>
    </w:p>
    <w:p w14:paraId="06D443D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Catchen, J., Amores, A., &amp; Bassham, S. (2020). Chromonomer: A Tool Set for Repairing and Enhancing Assembled Genomes Through Integration of Genetic Maps and Conserved Synteny.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w:t>
      </w:r>
      <w:r w:rsidRPr="003B7B17">
        <w:rPr>
          <w:rFonts w:asciiTheme="majorHAnsi" w:hAnsiTheme="majorHAnsi" w:cstheme="majorHAnsi"/>
          <w:color w:val="000000"/>
          <w:sz w:val="24"/>
          <w:szCs w:val="24"/>
        </w:rPr>
        <w:t>(11), 4115–4128. https://doi.org/10.1534/g3.120.401485</w:t>
      </w:r>
    </w:p>
    <w:p w14:paraId="183ADE0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Claussnitzer, M., Cho, J. H., Collins, R., Cox, N. J., Dermitzakis, E. T., Hurles, M. E., Kathiresan, S., Kenny, E. E., Lindgren, C. M., MacArthur, D. G., North, K. N., Plon, S. E., Rehm, H. L., Risch, </w:t>
      </w:r>
      <w:r w:rsidRPr="003B7B17">
        <w:rPr>
          <w:rFonts w:asciiTheme="majorHAnsi" w:hAnsiTheme="majorHAnsi" w:cstheme="majorHAnsi"/>
          <w:color w:val="000000"/>
          <w:sz w:val="24"/>
          <w:szCs w:val="24"/>
        </w:rPr>
        <w:lastRenderedPageBreak/>
        <w:t xml:space="preserve">N., Rotimi, C. N., Shendure, J., Soranzo, N., &amp; McCarthy, M. I. (2020). A brief history of human disease genetics.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577</w:t>
      </w:r>
      <w:r w:rsidRPr="003B7B17">
        <w:rPr>
          <w:rFonts w:asciiTheme="majorHAnsi" w:hAnsiTheme="majorHAnsi" w:cstheme="majorHAnsi"/>
          <w:color w:val="000000"/>
          <w:sz w:val="24"/>
          <w:szCs w:val="24"/>
        </w:rPr>
        <w:t>(7789), 179–189. https://doi.org/10.1038/s41586-019-1879-7</w:t>
      </w:r>
    </w:p>
    <w:p w14:paraId="25648D5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Cottingham, A., Huang, P., Hipsey, M. R., Hall, N. G., Ashworth, E., Williams, J., &amp; Potter, I. C. (n.d.). </w:t>
      </w:r>
      <w:r w:rsidRPr="003B7B17">
        <w:rPr>
          <w:rFonts w:asciiTheme="majorHAnsi" w:hAnsiTheme="majorHAnsi" w:cstheme="majorHAnsi"/>
          <w:i/>
          <w:iCs/>
          <w:color w:val="000000"/>
          <w:sz w:val="24"/>
          <w:szCs w:val="24"/>
        </w:rPr>
        <w:t>Growth, condition, and maturity schedules of an estuarine fish species change in estuaries following increased hypoxia due to climate change</w:t>
      </w:r>
      <w:r w:rsidRPr="003B7B17">
        <w:rPr>
          <w:rFonts w:asciiTheme="majorHAnsi" w:hAnsiTheme="majorHAnsi" w:cstheme="majorHAnsi"/>
          <w:color w:val="000000"/>
          <w:sz w:val="24"/>
          <w:szCs w:val="24"/>
        </w:rPr>
        <w:t>. 20.</w:t>
      </w:r>
    </w:p>
    <w:p w14:paraId="1D8FBB9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Darwin, C. (1859). </w:t>
      </w:r>
      <w:r w:rsidRPr="003B7B17">
        <w:rPr>
          <w:rFonts w:asciiTheme="majorHAnsi" w:hAnsiTheme="majorHAnsi" w:cstheme="majorHAnsi"/>
          <w:i/>
          <w:iCs/>
          <w:color w:val="000000"/>
          <w:sz w:val="24"/>
          <w:szCs w:val="24"/>
        </w:rPr>
        <w:t>On the origin of species by means of natural selection, or, The preservation of favoured races in the struggle for life.</w:t>
      </w:r>
      <w:r w:rsidRPr="003B7B17">
        <w:rPr>
          <w:rFonts w:asciiTheme="majorHAnsi" w:hAnsiTheme="majorHAnsi" w:cstheme="majorHAnsi"/>
          <w:color w:val="000000"/>
          <w:sz w:val="24"/>
          <w:szCs w:val="24"/>
        </w:rPr>
        <w:t xml:space="preserve"> London: J. Murray.</w:t>
      </w:r>
    </w:p>
    <w:p w14:paraId="2E1C806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Dill, W. A., &amp; Cordone, A. J. (n.d.). </w:t>
      </w:r>
      <w:r w:rsidRPr="003B7B17">
        <w:rPr>
          <w:rFonts w:asciiTheme="majorHAnsi" w:hAnsiTheme="majorHAnsi" w:cstheme="majorHAnsi"/>
          <w:i/>
          <w:iCs/>
          <w:color w:val="000000"/>
          <w:sz w:val="24"/>
          <w:szCs w:val="24"/>
        </w:rPr>
        <w:t>History And Status of Introduced Fishes In California, 1871 – 1996</w:t>
      </w:r>
      <w:r w:rsidRPr="003B7B17">
        <w:rPr>
          <w:rFonts w:asciiTheme="majorHAnsi" w:hAnsiTheme="majorHAnsi" w:cstheme="majorHAnsi"/>
          <w:color w:val="000000"/>
          <w:sz w:val="24"/>
          <w:szCs w:val="24"/>
        </w:rPr>
        <w:t>. 415.</w:t>
      </w:r>
    </w:p>
    <w:p w14:paraId="16769C27"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Fisch, K. M., Henderson, J. M., Burton, R. S., &amp; May, B. (2011). Population genetics and conservation implications for the endangered delta smelt in the San Francisco Bay-Delta. </w:t>
      </w:r>
      <w:r w:rsidRPr="003B7B17">
        <w:rPr>
          <w:rFonts w:asciiTheme="majorHAnsi" w:hAnsiTheme="majorHAnsi" w:cstheme="majorHAnsi"/>
          <w:i/>
          <w:iCs/>
          <w:color w:val="000000"/>
          <w:sz w:val="24"/>
          <w:szCs w:val="24"/>
        </w:rPr>
        <w:t>Conservation 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w:t>
      </w:r>
      <w:r w:rsidRPr="003B7B17">
        <w:rPr>
          <w:rFonts w:asciiTheme="majorHAnsi" w:hAnsiTheme="majorHAnsi" w:cstheme="majorHAnsi"/>
          <w:color w:val="000000"/>
          <w:sz w:val="24"/>
          <w:szCs w:val="24"/>
        </w:rPr>
        <w:t>(6), 1421–1434. https://doi.org/10.1007/s10592-011-0240-y</w:t>
      </w:r>
    </w:p>
    <w:p w14:paraId="5F5148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Gardell, S. J., Ramjit, D. R., Stabilito, I. I., Fujita, T., Lynch, J. J., Cuca, G. C., Jain, D., Wang, S. P., Tung, J. S., &amp; Mark, G. E. (1991). Effective thrombolysis without marked plasminemia after bolus intravenous administration of vampire bat salivary plasminogen activator in rabbits. </w:t>
      </w:r>
      <w:r w:rsidRPr="003B7B17">
        <w:rPr>
          <w:rFonts w:asciiTheme="majorHAnsi" w:hAnsiTheme="majorHAnsi" w:cstheme="majorHAnsi"/>
          <w:i/>
          <w:iCs/>
          <w:color w:val="000000"/>
          <w:sz w:val="24"/>
          <w:szCs w:val="24"/>
        </w:rPr>
        <w:t>Circulation</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84</w:t>
      </w:r>
      <w:r w:rsidRPr="003B7B17">
        <w:rPr>
          <w:rFonts w:asciiTheme="majorHAnsi" w:hAnsiTheme="majorHAnsi" w:cstheme="majorHAnsi"/>
          <w:color w:val="000000"/>
          <w:sz w:val="24"/>
          <w:szCs w:val="24"/>
        </w:rPr>
        <w:t>(1), 244–253. https://doi.org/10.1161/01.CIR.84.1.244</w:t>
      </w:r>
    </w:p>
    <w:p w14:paraId="4C57498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Ghurye, J., Rhie, A., Walenz, B. P., Schmitt, A., Selvaraj, S., Pop, M., Phillippy, A. M., &amp; Koren, S. (2019). Integrating Hi-C links with assembly graphs for chromosome-scale assembly. </w:t>
      </w:r>
      <w:r w:rsidRPr="003B7B17">
        <w:rPr>
          <w:rFonts w:asciiTheme="majorHAnsi" w:hAnsiTheme="majorHAnsi" w:cstheme="majorHAnsi"/>
          <w:i/>
          <w:iCs/>
          <w:color w:val="000000"/>
          <w:sz w:val="24"/>
          <w:szCs w:val="24"/>
        </w:rPr>
        <w:t>PLOS Computational Biology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15</w:t>
      </w:r>
      <w:r w:rsidRPr="003B7B17">
        <w:rPr>
          <w:rFonts w:asciiTheme="majorHAnsi" w:hAnsiTheme="majorHAnsi" w:cstheme="majorHAnsi"/>
          <w:color w:val="000000"/>
          <w:sz w:val="24"/>
          <w:szCs w:val="24"/>
        </w:rPr>
        <w:t>(8), e1007273. https://doi.org/10.1371/journal.pcbi.1007273</w:t>
      </w:r>
    </w:p>
    <w:p w14:paraId="4BAC1FD3"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Gremme, G., Steinbiss, S., &amp; Kurtz, S. (2013). GenomeTools: A Comprehensive Software Library for Efficient Processing of Structured Genome Annotations. </w:t>
      </w:r>
      <w:r w:rsidRPr="003B7B17">
        <w:rPr>
          <w:rFonts w:asciiTheme="majorHAnsi" w:hAnsiTheme="majorHAnsi" w:cstheme="majorHAnsi"/>
          <w:i/>
          <w:iCs/>
          <w:color w:val="000000"/>
          <w:sz w:val="24"/>
          <w:szCs w:val="24"/>
        </w:rPr>
        <w:t xml:space="preserve">IEEE/ACM Transactions on </w:t>
      </w:r>
      <w:r w:rsidRPr="003B7B17">
        <w:rPr>
          <w:rFonts w:asciiTheme="majorHAnsi" w:hAnsiTheme="majorHAnsi" w:cstheme="majorHAnsi"/>
          <w:i/>
          <w:iCs/>
          <w:color w:val="000000"/>
          <w:sz w:val="24"/>
          <w:szCs w:val="24"/>
        </w:rPr>
        <w:lastRenderedPageBreak/>
        <w:t>Computational Biology and Bioinformatics / IEEE, ACM</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w:t>
      </w:r>
      <w:r w:rsidRPr="003B7B17">
        <w:rPr>
          <w:rFonts w:asciiTheme="majorHAnsi" w:hAnsiTheme="majorHAnsi" w:cstheme="majorHAnsi"/>
          <w:color w:val="000000"/>
          <w:sz w:val="24"/>
          <w:szCs w:val="24"/>
        </w:rPr>
        <w:t>, 645–656. https://doi.org/10.1109/TCBB.2013.68</w:t>
      </w:r>
    </w:p>
    <w:p w14:paraId="254DB77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Guan, D., McCarthy, S. A., Wood, J., Howe, K., Wang, Y., &amp; Durbin, R. (2020). Identifying and removing haplotypic duplication in primary genome assemblies.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36</w:t>
      </w:r>
      <w:r w:rsidRPr="003B7B17">
        <w:rPr>
          <w:rFonts w:asciiTheme="majorHAnsi" w:hAnsiTheme="majorHAnsi" w:cstheme="majorHAnsi"/>
          <w:color w:val="000000"/>
          <w:sz w:val="24"/>
          <w:szCs w:val="24"/>
        </w:rPr>
        <w:t>(9), 2896–2898. https://doi.org/10.1093/bioinformatics/btaa025</w:t>
      </w:r>
    </w:p>
    <w:p w14:paraId="3183696E"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Gurevich, A., Saveliev, V., Vyahhi, N., &amp; Tesler, G. (2013). QUAST: Quality assessment tool for genome assemblies.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29</w:t>
      </w:r>
      <w:r w:rsidRPr="003B7B17">
        <w:rPr>
          <w:rFonts w:asciiTheme="majorHAnsi" w:hAnsiTheme="majorHAnsi" w:cstheme="majorHAnsi"/>
          <w:color w:val="000000"/>
          <w:sz w:val="24"/>
          <w:szCs w:val="24"/>
        </w:rPr>
        <w:t>(8), 1072–1075. https://doi.org/10.1093/bioinformatics/btt086</w:t>
      </w:r>
    </w:p>
    <w:p w14:paraId="197072B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Hammock, B. G., Hartman, R., Dahlgren, R. A., Johnston, C., Kurobe, T., Lehman, P. W., Lewis, L. S., Van Nieuwenhuyse, E., Ramírez-Duarte, W. F., Schultz, A. A., &amp; Teh, S. J. (2022). Patterns and predictors of condition indices in a critically endangered fish. </w:t>
      </w:r>
      <w:r w:rsidRPr="003B7B17">
        <w:rPr>
          <w:rFonts w:asciiTheme="majorHAnsi" w:hAnsiTheme="majorHAnsi" w:cstheme="majorHAnsi"/>
          <w:i/>
          <w:iCs/>
          <w:color w:val="000000"/>
          <w:sz w:val="24"/>
          <w:szCs w:val="24"/>
        </w:rPr>
        <w:t>Hydrobiologia</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849</w:t>
      </w:r>
      <w:r w:rsidRPr="003B7B17">
        <w:rPr>
          <w:rFonts w:asciiTheme="majorHAnsi" w:hAnsiTheme="majorHAnsi" w:cstheme="majorHAnsi"/>
          <w:color w:val="000000"/>
          <w:sz w:val="24"/>
          <w:szCs w:val="24"/>
        </w:rPr>
        <w:t>(3), 675–695. https://doi.org/10.1007/s10750-021-04738-z</w:t>
      </w:r>
    </w:p>
    <w:p w14:paraId="09ED6A1E"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Hartley, S. E. (1987). THE CHROMOSOMES OF SALMONID FISHES. </w:t>
      </w:r>
      <w:r w:rsidRPr="003B7B17">
        <w:rPr>
          <w:rFonts w:asciiTheme="majorHAnsi" w:hAnsiTheme="majorHAnsi" w:cstheme="majorHAnsi"/>
          <w:i/>
          <w:iCs/>
          <w:color w:val="000000"/>
          <w:sz w:val="24"/>
          <w:szCs w:val="24"/>
        </w:rPr>
        <w:t>Biological Reviews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62</w:t>
      </w:r>
      <w:r w:rsidRPr="003B7B17">
        <w:rPr>
          <w:rFonts w:asciiTheme="majorHAnsi" w:hAnsiTheme="majorHAnsi" w:cstheme="majorHAnsi"/>
          <w:color w:val="000000"/>
          <w:sz w:val="24"/>
          <w:szCs w:val="24"/>
        </w:rPr>
        <w:t>(3), 197–214. https://doi.org/10.1111/j.1469-185X.1987.tb00663.x</w:t>
      </w:r>
    </w:p>
    <w:p w14:paraId="740CA4A3"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Hobbs, J. A., Lewis, L. S., Willmes, M., Denney, C., &amp; Bush, E. (2019). Complex life histories discovered in a critically endangered fish. </w:t>
      </w:r>
      <w:r w:rsidRPr="003B7B17">
        <w:rPr>
          <w:rFonts w:asciiTheme="majorHAnsi" w:hAnsiTheme="majorHAnsi" w:cstheme="majorHAnsi"/>
          <w:i/>
          <w:iCs/>
          <w:color w:val="000000"/>
          <w:sz w:val="24"/>
          <w:szCs w:val="24"/>
        </w:rPr>
        <w:t>Scientific Reports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(1), 16772. https://doi.org/10.1038/s41598-019-52273-8</w:t>
      </w:r>
    </w:p>
    <w:p w14:paraId="2414F3B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Hotaling, S., Kelley, J. L., &amp; Frandsen, P. B. (2021). Toward a genome sequence for every animal: Where are we now? </w:t>
      </w:r>
      <w:r w:rsidRPr="003B7B17">
        <w:rPr>
          <w:rFonts w:asciiTheme="majorHAnsi" w:hAnsiTheme="majorHAnsi" w:cstheme="majorHAnsi"/>
          <w:i/>
          <w:iCs/>
          <w:color w:val="000000"/>
          <w:sz w:val="24"/>
          <w:szCs w:val="24"/>
        </w:rPr>
        <w:t>Proceedings of the National Academy of Sciences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118</w:t>
      </w:r>
      <w:r w:rsidRPr="003B7B17">
        <w:rPr>
          <w:rFonts w:asciiTheme="majorHAnsi" w:hAnsiTheme="majorHAnsi" w:cstheme="majorHAnsi"/>
          <w:color w:val="000000"/>
          <w:sz w:val="24"/>
          <w:szCs w:val="24"/>
        </w:rPr>
        <w:t>(52), e2109019118. https://doi.org/10.1073/pnas.2109019118</w:t>
      </w:r>
    </w:p>
    <w:p w14:paraId="52D62F3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International Human Genome Sequencing Consortium, Whitehead Institute for Biomedical Research, Center for Genome Research:, Lander, E. S., Linton, L. M., Birren, B., Nusbaum, </w:t>
      </w:r>
      <w:r w:rsidRPr="003B7B17">
        <w:rPr>
          <w:rFonts w:asciiTheme="majorHAnsi" w:hAnsiTheme="majorHAnsi" w:cstheme="majorHAnsi"/>
          <w:color w:val="000000"/>
          <w:sz w:val="24"/>
          <w:szCs w:val="24"/>
        </w:rPr>
        <w:lastRenderedPageBreak/>
        <w:t xml:space="preserve">C., Zody, M. C., Baldwin, J., Devon, K., Dewar, K., Doyle, M., FitzHugh, W., Funke, R., Gage, D., Harris, K., Heaford, A., Howland, J., Kann, L., Lehoczky, J., … Morgan, M. J. (2001). Initial sequencing and analysis of the human genome.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409</w:t>
      </w:r>
      <w:r w:rsidRPr="003B7B17">
        <w:rPr>
          <w:rFonts w:asciiTheme="majorHAnsi" w:hAnsiTheme="majorHAnsi" w:cstheme="majorHAnsi"/>
          <w:color w:val="000000"/>
          <w:sz w:val="24"/>
          <w:szCs w:val="24"/>
        </w:rPr>
        <w:t>(6822), 860–921. https://doi.org/10.1038/35057062</w:t>
      </w:r>
    </w:p>
    <w:p w14:paraId="7DDDF6E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Jacobs, J. W., Cupp, E. W., Sardana, M., &amp; Friedman, P. A. (1990). Isolation and characterization of a coagulation factor Xa inhibitor from black fly salivary glands. </w:t>
      </w:r>
      <w:r w:rsidRPr="003B7B17">
        <w:rPr>
          <w:rFonts w:asciiTheme="majorHAnsi" w:hAnsiTheme="majorHAnsi" w:cstheme="majorHAnsi"/>
          <w:i/>
          <w:iCs/>
          <w:color w:val="000000"/>
          <w:sz w:val="24"/>
          <w:szCs w:val="24"/>
        </w:rPr>
        <w:t>Thrombosis and Haemostasis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64</w:t>
      </w:r>
      <w:r w:rsidRPr="003B7B17">
        <w:rPr>
          <w:rFonts w:asciiTheme="majorHAnsi" w:hAnsiTheme="majorHAnsi" w:cstheme="majorHAnsi"/>
          <w:color w:val="000000"/>
          <w:sz w:val="24"/>
          <w:szCs w:val="24"/>
        </w:rPr>
        <w:t>(2), 235–238.</w:t>
      </w:r>
    </w:p>
    <w:p w14:paraId="4755859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James, N. C., Cowley, P. D., &amp; Whitfield, A. K. (2018). The marine fish assemblage of the East Kleinemonde Estuary over 20 years: Declining abundance and nursery function? </w:t>
      </w:r>
      <w:r w:rsidRPr="003B7B17">
        <w:rPr>
          <w:rFonts w:asciiTheme="majorHAnsi" w:hAnsiTheme="majorHAnsi" w:cstheme="majorHAnsi"/>
          <w:i/>
          <w:iCs/>
          <w:color w:val="000000"/>
          <w:sz w:val="24"/>
          <w:szCs w:val="24"/>
        </w:rPr>
        <w:t>Estuarine, Coastal and Shelf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214</w:t>
      </w:r>
      <w:r w:rsidRPr="003B7B17">
        <w:rPr>
          <w:rFonts w:asciiTheme="majorHAnsi" w:hAnsiTheme="majorHAnsi" w:cstheme="majorHAnsi"/>
          <w:color w:val="000000"/>
          <w:sz w:val="24"/>
          <w:szCs w:val="24"/>
        </w:rPr>
        <w:t>, 64–71. https://doi.org/10.1016/j.ecss.2018.09.010</w:t>
      </w:r>
    </w:p>
    <w:p w14:paraId="36F28F9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Kitada, J., Tatewaki, R., &amp; Tagawa, M. (1980). Chromosomes of the pond smelt Hypomesus transpacificus nipponensis. </w:t>
      </w:r>
      <w:r w:rsidRPr="003B7B17">
        <w:rPr>
          <w:rFonts w:asciiTheme="majorHAnsi" w:hAnsiTheme="majorHAnsi" w:cstheme="majorHAnsi"/>
          <w:i/>
          <w:iCs/>
          <w:color w:val="000000"/>
          <w:sz w:val="24"/>
          <w:szCs w:val="24"/>
        </w:rPr>
        <w:t>Chrom. Inform. Serv.</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28</w:t>
      </w:r>
      <w:r w:rsidRPr="003B7B17">
        <w:rPr>
          <w:rFonts w:asciiTheme="majorHAnsi" w:hAnsiTheme="majorHAnsi" w:cstheme="majorHAnsi"/>
          <w:color w:val="000000"/>
          <w:sz w:val="24"/>
          <w:szCs w:val="24"/>
        </w:rPr>
        <w:t>, 8–9.</w:t>
      </w:r>
    </w:p>
    <w:p w14:paraId="127BE50F"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Lew, R. M., Finger, A. J., Baerwald, M. R., Goodbla, A., May, B., &amp; Meek, M. H. (2015). Using Next-Generation Sequencing to Assist a Conservation Hatchery: A Single-Nucleotide Polymorphism Panel for the Genetic Management of Endangered Delta Smelt.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144</w:t>
      </w:r>
      <w:r w:rsidRPr="003B7B17">
        <w:rPr>
          <w:rFonts w:asciiTheme="majorHAnsi" w:hAnsiTheme="majorHAnsi" w:cstheme="majorHAnsi"/>
          <w:color w:val="000000"/>
          <w:sz w:val="24"/>
          <w:szCs w:val="24"/>
        </w:rPr>
        <w:t>(4), 767–779. https://doi.org/10.1080/00028487.2015.1037016</w:t>
      </w:r>
    </w:p>
    <w:p w14:paraId="360F295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Li, H., &amp; Durbin, R. (2009). Fast and accurate short read alignment with Burrows-Wheeler transform.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25</w:t>
      </w:r>
      <w:r w:rsidRPr="003B7B17">
        <w:rPr>
          <w:rFonts w:asciiTheme="majorHAnsi" w:hAnsiTheme="majorHAnsi" w:cstheme="majorHAnsi"/>
          <w:color w:val="000000"/>
          <w:sz w:val="24"/>
          <w:szCs w:val="24"/>
        </w:rPr>
        <w:t>(14), 1754–1760. https://doi.org/10.1093/bioinformatics/btp324</w:t>
      </w:r>
    </w:p>
    <w:p w14:paraId="7EB1037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Li, H., Handsaker, B., Wysoker, A., Fennell, T., Ruan, J., Homer, N., Marth, G., Abecasis, G., &amp; Durbin, R. (2009). The Sequence Alignment/Map format and SAMtools.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25</w:t>
      </w:r>
      <w:r w:rsidRPr="003B7B17">
        <w:rPr>
          <w:rFonts w:asciiTheme="majorHAnsi" w:hAnsiTheme="majorHAnsi" w:cstheme="majorHAnsi"/>
          <w:color w:val="000000"/>
          <w:sz w:val="24"/>
          <w:szCs w:val="24"/>
        </w:rPr>
        <w:t>(16), 2078–2079. https://doi.org/10.1093/bioinformatics/btp352</w:t>
      </w:r>
    </w:p>
    <w:p w14:paraId="67DE831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Mapleson, D., Accinelli, G. G., Kettleborough, G., Wright, J., &amp; Clavijo, B. J. (2017). </w:t>
      </w:r>
      <w:r w:rsidRPr="003B7B17">
        <w:rPr>
          <w:rFonts w:asciiTheme="majorHAnsi" w:hAnsiTheme="majorHAnsi" w:cstheme="majorHAnsi"/>
          <w:i/>
          <w:iCs/>
          <w:color w:val="000000"/>
          <w:sz w:val="24"/>
          <w:szCs w:val="24"/>
        </w:rPr>
        <w:t>Sequence analysis KAT : a K-mer analysis toolkit to quality control NGS datasets and genome assemblies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33</w:t>
      </w:r>
      <w:r w:rsidRPr="003B7B17">
        <w:rPr>
          <w:rFonts w:asciiTheme="majorHAnsi" w:hAnsiTheme="majorHAnsi" w:cstheme="majorHAnsi"/>
          <w:color w:val="000000"/>
          <w:sz w:val="24"/>
          <w:szCs w:val="24"/>
        </w:rPr>
        <w:t>(November 2016), 574–576. https://doi.org/10.1093/bioinformatics/btw663</w:t>
      </w:r>
    </w:p>
    <w:p w14:paraId="5E57A5E7"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Marçais, G., &amp; Kingsford, C. (2011). A fast, lock-free approach for efficient parallel counting of occurrences of k-mers.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27</w:t>
      </w:r>
      <w:r w:rsidRPr="003B7B17">
        <w:rPr>
          <w:rFonts w:asciiTheme="majorHAnsi" w:hAnsiTheme="majorHAnsi" w:cstheme="majorHAnsi"/>
          <w:color w:val="000000"/>
          <w:sz w:val="24"/>
          <w:szCs w:val="24"/>
        </w:rPr>
        <w:t>(6), 764–770. https://doi.org/10.1093/bioinformatics/btr011</w:t>
      </w:r>
    </w:p>
    <w:p w14:paraId="6384709F"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McAllister, D. E. (1963). </w:t>
      </w:r>
      <w:r w:rsidRPr="003B7B17">
        <w:rPr>
          <w:rFonts w:asciiTheme="majorHAnsi" w:hAnsiTheme="majorHAnsi" w:cstheme="majorHAnsi"/>
          <w:i/>
          <w:iCs/>
          <w:color w:val="000000"/>
          <w:sz w:val="24"/>
          <w:szCs w:val="24"/>
        </w:rPr>
        <w:t>Revision of the smelt family, Osmeridae.</w:t>
      </w:r>
      <w:r w:rsidRPr="003B7B17">
        <w:rPr>
          <w:rFonts w:asciiTheme="majorHAnsi" w:hAnsiTheme="majorHAnsi" w:cstheme="majorHAnsi"/>
          <w:color w:val="000000"/>
          <w:sz w:val="24"/>
          <w:szCs w:val="24"/>
        </w:rPr>
        <w:t xml:space="preserve"> National Museum of Canada, Biological Series 191.</w:t>
      </w:r>
    </w:p>
    <w:p w14:paraId="6AE17E9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(2002). </w:t>
      </w:r>
      <w:r w:rsidRPr="003B7B17">
        <w:rPr>
          <w:rFonts w:asciiTheme="majorHAnsi" w:hAnsiTheme="majorHAnsi" w:cstheme="majorHAnsi"/>
          <w:i/>
          <w:iCs/>
          <w:color w:val="000000"/>
          <w:sz w:val="24"/>
          <w:szCs w:val="24"/>
        </w:rPr>
        <w:t>Inland Fishes of California</w:t>
      </w:r>
      <w:r w:rsidRPr="003B7B17">
        <w:rPr>
          <w:rFonts w:asciiTheme="majorHAnsi" w:hAnsiTheme="majorHAnsi" w:cstheme="majorHAnsi"/>
          <w:color w:val="000000"/>
          <w:sz w:val="24"/>
          <w:szCs w:val="24"/>
        </w:rPr>
        <w:t xml:space="preserve"> (2nd ed.). University of California Press.</w:t>
      </w:r>
    </w:p>
    <w:p w14:paraId="67C175B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Herbold, B., Stevens, D. E., &amp; Miller, L. W. (1992). Transactions of the American Fisheries Society Life History and Status of Delta Smelt in the Sacramento-San Joaquin Estuary , California.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121</w:t>
      </w:r>
      <w:r w:rsidRPr="003B7B17">
        <w:rPr>
          <w:rFonts w:asciiTheme="majorHAnsi" w:hAnsiTheme="majorHAnsi" w:cstheme="majorHAnsi"/>
          <w:color w:val="000000"/>
          <w:sz w:val="24"/>
          <w:szCs w:val="24"/>
        </w:rPr>
        <w:t>(1), 67–77. https://doi.org/10.1016/j.fertnstert.2012.04.042</w:t>
      </w:r>
    </w:p>
    <w:p w14:paraId="03CDBCD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Hobbs, J. A., &amp; Durand, J. R. (2018). Delta Smelt and Water Politics in California. </w:t>
      </w:r>
      <w:r w:rsidRPr="003B7B17">
        <w:rPr>
          <w:rFonts w:asciiTheme="majorHAnsi" w:hAnsiTheme="majorHAnsi" w:cstheme="majorHAnsi"/>
          <w:i/>
          <w:iCs/>
          <w:color w:val="000000"/>
          <w:sz w:val="24"/>
          <w:szCs w:val="24"/>
        </w:rPr>
        <w:t>Fisheries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43</w:t>
      </w:r>
      <w:r w:rsidRPr="003B7B17">
        <w:rPr>
          <w:rFonts w:asciiTheme="majorHAnsi" w:hAnsiTheme="majorHAnsi" w:cstheme="majorHAnsi"/>
          <w:color w:val="000000"/>
          <w:sz w:val="24"/>
          <w:szCs w:val="24"/>
        </w:rPr>
        <w:t>(1), 42–50. https://doi.org/10.1002/fsh.10014</w:t>
      </w:r>
    </w:p>
    <w:p w14:paraId="06D1F89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Peter B., Brown, Larry R., Durand, John R., Hobbs, J. A. (2016). Delta Smelt: LIfe History and Decline of a Once-Adundant Species in the San Francisco Estuary. </w:t>
      </w:r>
      <w:r w:rsidRPr="003B7B17">
        <w:rPr>
          <w:rFonts w:asciiTheme="majorHAnsi" w:hAnsiTheme="majorHAnsi" w:cstheme="majorHAnsi"/>
          <w:i/>
          <w:iCs/>
          <w:color w:val="000000"/>
          <w:sz w:val="24"/>
          <w:szCs w:val="24"/>
        </w:rPr>
        <w:t>San Francisco Estuary and Watershed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14</w:t>
      </w:r>
      <w:r w:rsidRPr="003B7B17">
        <w:rPr>
          <w:rFonts w:asciiTheme="majorHAnsi" w:hAnsiTheme="majorHAnsi" w:cstheme="majorHAnsi"/>
          <w:color w:val="000000"/>
          <w:sz w:val="24"/>
          <w:szCs w:val="24"/>
        </w:rPr>
        <w:t>(2), 1–40.</w:t>
      </w:r>
    </w:p>
    <w:p w14:paraId="4039AD9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Ning, Z. (n.d.). </w:t>
      </w:r>
      <w:r w:rsidRPr="003B7B17">
        <w:rPr>
          <w:rFonts w:asciiTheme="majorHAnsi" w:hAnsiTheme="majorHAnsi" w:cstheme="majorHAnsi"/>
          <w:i/>
          <w:iCs/>
          <w:color w:val="000000"/>
          <w:sz w:val="24"/>
          <w:szCs w:val="24"/>
        </w:rPr>
        <w:t>Scaff10X: Pipeline for scaffolding and breaking a genome assembly using 10x genomics linked-reads</w:t>
      </w:r>
      <w:r w:rsidRPr="003B7B17">
        <w:rPr>
          <w:rFonts w:asciiTheme="majorHAnsi" w:hAnsiTheme="majorHAnsi" w:cstheme="majorHAnsi"/>
          <w:color w:val="000000"/>
          <w:sz w:val="24"/>
          <w:szCs w:val="24"/>
        </w:rPr>
        <w:t>.</w:t>
      </w:r>
    </w:p>
    <w:p w14:paraId="7FC453D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Nygren, A., Nilsson, B., &amp; Jahnke, M. (1971). Cytological studies in the smelt (Osmerus eperlanus L.). </w:t>
      </w:r>
      <w:r w:rsidRPr="003B7B17">
        <w:rPr>
          <w:rFonts w:asciiTheme="majorHAnsi" w:hAnsiTheme="majorHAnsi" w:cstheme="majorHAnsi"/>
          <w:i/>
          <w:iCs/>
          <w:color w:val="000000"/>
          <w:sz w:val="24"/>
          <w:szCs w:val="24"/>
        </w:rPr>
        <w:t>Hereditas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67</w:t>
      </w:r>
      <w:r w:rsidRPr="003B7B17">
        <w:rPr>
          <w:rFonts w:asciiTheme="majorHAnsi" w:hAnsiTheme="majorHAnsi" w:cstheme="majorHAnsi"/>
          <w:color w:val="000000"/>
          <w:sz w:val="24"/>
          <w:szCs w:val="24"/>
        </w:rPr>
        <w:t>(2), 283–286. https://doi.org/10.1111/j.1601-5223.1971.tb02381.x</w:t>
      </w:r>
    </w:p>
    <w:p w14:paraId="29D03EF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Ocalewicz, K., Hliwa, P., Krol, J., Rábová, M., Stabinski, R., &amp; Ráb, P. (2007). Karyotype and chromosomal characteristics of Ag–NOR sites and 5S rDNA in European smelt, Osmerus eperlanus. </w:t>
      </w:r>
      <w:r w:rsidRPr="003B7B17">
        <w:rPr>
          <w:rFonts w:asciiTheme="majorHAnsi" w:hAnsiTheme="majorHAnsi" w:cstheme="majorHAnsi"/>
          <w:i/>
          <w:iCs/>
          <w:color w:val="000000"/>
          <w:sz w:val="24"/>
          <w:szCs w:val="24"/>
        </w:rPr>
        <w:t>Genetica</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131</w:t>
      </w:r>
      <w:r w:rsidRPr="003B7B17">
        <w:rPr>
          <w:rFonts w:asciiTheme="majorHAnsi" w:hAnsiTheme="majorHAnsi" w:cstheme="majorHAnsi"/>
          <w:color w:val="000000"/>
          <w:sz w:val="24"/>
          <w:szCs w:val="24"/>
        </w:rPr>
        <w:t>(1), 29–35. https://doi.org/10.1007/s10709-006-9110-9</w:t>
      </w:r>
    </w:p>
    <w:p w14:paraId="350D1D1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Patrick, H. J. H., Chomič, A., &amp; Armstrong, K. F. (2016). Cooled Propylene Glycol as a Pragmatic Choice for Preservation of DNA From Remote Field-Collected Diptera for Next-Generation Sequence Analysis. </w:t>
      </w:r>
      <w:r w:rsidRPr="003B7B17">
        <w:rPr>
          <w:rFonts w:asciiTheme="majorHAnsi" w:hAnsiTheme="majorHAnsi" w:cstheme="majorHAnsi"/>
          <w:i/>
          <w:iCs/>
          <w:color w:val="000000"/>
          <w:sz w:val="24"/>
          <w:szCs w:val="24"/>
        </w:rPr>
        <w:t>Journal of Economic Entomology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109</w:t>
      </w:r>
      <w:r w:rsidRPr="003B7B17">
        <w:rPr>
          <w:rFonts w:asciiTheme="majorHAnsi" w:hAnsiTheme="majorHAnsi" w:cstheme="majorHAnsi"/>
          <w:color w:val="000000"/>
          <w:sz w:val="24"/>
          <w:szCs w:val="24"/>
        </w:rPr>
        <w:t>(3), 1469–1473. https://doi.org/10.1093/jee/tow047</w:t>
      </w:r>
    </w:p>
    <w:p w14:paraId="5321E9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Quinlan, A. R., &amp; Hall, I. M. (2010). BEDTools: A flexible suite of utilities for comparing genomic features.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26</w:t>
      </w:r>
      <w:r w:rsidRPr="003B7B17">
        <w:rPr>
          <w:rFonts w:asciiTheme="majorHAnsi" w:hAnsiTheme="majorHAnsi" w:cstheme="majorHAnsi"/>
          <w:color w:val="000000"/>
          <w:sz w:val="24"/>
          <w:szCs w:val="24"/>
        </w:rPr>
        <w:t>(6), 841–842. https://doi.org/10.1093/bioinformatics/btq033</w:t>
      </w:r>
    </w:p>
    <w:p w14:paraId="5707ADC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Rhie, A., McCarthy, S. A., Fedrigo, O., Damas, J., Formenti, G., Koren, S., Uliano-Silva, M., Chow, W., Fungtammasan, A., Kim, J., Lee, C., Ko, B. J., Chaisson, M., Gedman, G. L., Cantin, L. J., Thibaud-Nissen, F., Haggerty, L., Bista, I., Smith, M., … Jarvis, E. D. (2021). Towards complete and error-free genome assemblies of all vertebrate species.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592</w:t>
      </w:r>
      <w:r w:rsidRPr="003B7B17">
        <w:rPr>
          <w:rFonts w:asciiTheme="majorHAnsi" w:hAnsiTheme="majorHAnsi" w:cstheme="majorHAnsi"/>
          <w:color w:val="000000"/>
          <w:sz w:val="24"/>
          <w:szCs w:val="24"/>
        </w:rPr>
        <w:t>(7856), 737–746. https://doi.org/10.1038/s41586-021-03451-0</w:t>
      </w:r>
    </w:p>
    <w:p w14:paraId="5CA2F3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Rosenfield, J. A., &amp; Baxter, R. D. (2007). Population Dynamics and Distribution Patterns of Longfin Smelt in the San Francisco Estuary.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136</w:t>
      </w:r>
      <w:r w:rsidRPr="003B7B17">
        <w:rPr>
          <w:rFonts w:asciiTheme="majorHAnsi" w:hAnsiTheme="majorHAnsi" w:cstheme="majorHAnsi"/>
          <w:color w:val="000000"/>
          <w:sz w:val="24"/>
          <w:szCs w:val="24"/>
        </w:rPr>
        <w:t>(6), 1577–1592. https://doi.org/10.1577/T06-148.1</w:t>
      </w:r>
    </w:p>
    <w:p w14:paraId="72645C8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Sawyer, R. T. (1991). Thrombolytics and anti-coagulants from leeches. </w:t>
      </w:r>
      <w:r w:rsidRPr="003B7B17">
        <w:rPr>
          <w:rFonts w:asciiTheme="majorHAnsi" w:hAnsiTheme="majorHAnsi" w:cstheme="majorHAnsi"/>
          <w:i/>
          <w:iCs/>
          <w:color w:val="000000"/>
          <w:sz w:val="24"/>
          <w:szCs w:val="24"/>
        </w:rPr>
        <w:t>Bio/Technology (Nature Publishing Company)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(6), 513–515, 518. https://doi.org/10.1038/nbt0691-513</w:t>
      </w:r>
    </w:p>
    <w:p w14:paraId="0F3E778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Simão, F. A., Waterhouse, R. M., Ioannidis, P., Kriventseva, E. V., &amp; Zdobnov, E. M. (2015). BUSCO: Assessing genome assembly and annotation completeness with single-copy orthologs.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31</w:t>
      </w:r>
      <w:r w:rsidRPr="003B7B17">
        <w:rPr>
          <w:rFonts w:asciiTheme="majorHAnsi" w:hAnsiTheme="majorHAnsi" w:cstheme="majorHAnsi"/>
          <w:color w:val="000000"/>
          <w:sz w:val="24"/>
          <w:szCs w:val="24"/>
        </w:rPr>
        <w:t>(19), 3210–3212. https://doi.org/10.1093/bioinformatics/btv351</w:t>
      </w:r>
    </w:p>
    <w:p w14:paraId="6A7BE01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Sommer, T., Mejia, F., Nobriga, M., Feyrer, F., &amp; Grimaldo, L. (2011). The Spawning Migration of Delta Smelt in the Upper San Francisco Estuary. </w:t>
      </w:r>
      <w:r w:rsidRPr="003B7B17">
        <w:rPr>
          <w:rFonts w:asciiTheme="majorHAnsi" w:hAnsiTheme="majorHAnsi" w:cstheme="majorHAnsi"/>
          <w:i/>
          <w:iCs/>
          <w:color w:val="000000"/>
          <w:sz w:val="24"/>
          <w:szCs w:val="24"/>
        </w:rPr>
        <w:t>San Francisco Estuary and Watershed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(2), 1–44.</w:t>
      </w:r>
    </w:p>
    <w:p w14:paraId="2D50A3BB"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Tanaka-Azevedo, A. M., Morais-Zani, K., Torquato, R. J. S., &amp; Tanaka, A. S. (2010). Thrombin inhibitors from different animals. </w:t>
      </w:r>
      <w:r w:rsidRPr="003B7B17">
        <w:rPr>
          <w:rFonts w:asciiTheme="majorHAnsi" w:hAnsiTheme="majorHAnsi" w:cstheme="majorHAnsi"/>
          <w:i/>
          <w:iCs/>
          <w:color w:val="000000"/>
          <w:sz w:val="24"/>
          <w:szCs w:val="24"/>
        </w:rPr>
        <w:t>Journal of Biomedicine &amp; Biotechnology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2010</w:t>
      </w:r>
      <w:r w:rsidRPr="003B7B17">
        <w:rPr>
          <w:rFonts w:asciiTheme="majorHAnsi" w:hAnsiTheme="majorHAnsi" w:cstheme="majorHAnsi"/>
          <w:color w:val="000000"/>
          <w:sz w:val="24"/>
          <w:szCs w:val="24"/>
        </w:rPr>
        <w:t>, 641025. https://doi.org/10.1155/2010/641025</w:t>
      </w:r>
    </w:p>
    <w:p w14:paraId="09A5FA7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Vaser, R., Sović, I., Nagarajan, N., &amp; Šikić, M. (2017). Fast and accurate de novo genome assembly from long uncorrected reads. </w:t>
      </w:r>
      <w:r w:rsidRPr="003B7B17">
        <w:rPr>
          <w:rFonts w:asciiTheme="majorHAnsi" w:hAnsiTheme="majorHAnsi" w:cstheme="majorHAnsi"/>
          <w:i/>
          <w:iCs/>
          <w:color w:val="000000"/>
          <w:sz w:val="24"/>
          <w:szCs w:val="24"/>
        </w:rPr>
        <w:t>Genome Research</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27</w:t>
      </w:r>
      <w:r w:rsidRPr="003B7B17">
        <w:rPr>
          <w:rFonts w:asciiTheme="majorHAnsi" w:hAnsiTheme="majorHAnsi" w:cstheme="majorHAnsi"/>
          <w:color w:val="000000"/>
          <w:sz w:val="24"/>
          <w:szCs w:val="24"/>
        </w:rPr>
        <w:t>(5), 737–746. https://doi.org/10.1101/gr.214270.116</w:t>
      </w:r>
    </w:p>
    <w:p w14:paraId="3F85EC7D"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Vurture, G. W., Sedlazeck, F. J., Nattestad, M., Underwood, C. J., Fang, H., Gurtowski, J., &amp; Schatz, M. C. (2017). GenomeScope: Fast reference-free genome profiling from short reads.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33</w:t>
      </w:r>
      <w:r w:rsidRPr="003B7B17">
        <w:rPr>
          <w:rFonts w:asciiTheme="majorHAnsi" w:hAnsiTheme="majorHAnsi" w:cstheme="majorHAnsi"/>
          <w:color w:val="000000"/>
          <w:sz w:val="24"/>
          <w:szCs w:val="24"/>
        </w:rPr>
        <w:t>(14), 2202–2204. https://doi.org/10.1093/bioinformatics/btx153</w:t>
      </w:r>
    </w:p>
    <w:p w14:paraId="0FCE41AB"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Wasko, A. P., Martins, C., Oliveira, C., &amp; Foresti, F. (2003). Non-destructive genetic sampling in fish. An improved method for DNA extraction from fish fins and scales. </w:t>
      </w:r>
      <w:r w:rsidRPr="003B7B17">
        <w:rPr>
          <w:rFonts w:asciiTheme="majorHAnsi" w:hAnsiTheme="majorHAnsi" w:cstheme="majorHAnsi"/>
          <w:i/>
          <w:iCs/>
          <w:color w:val="000000"/>
          <w:sz w:val="24"/>
          <w:szCs w:val="24"/>
        </w:rPr>
        <w:t>Hereditas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138</w:t>
      </w:r>
      <w:r w:rsidRPr="003B7B17">
        <w:rPr>
          <w:rFonts w:asciiTheme="majorHAnsi" w:hAnsiTheme="majorHAnsi" w:cstheme="majorHAnsi"/>
          <w:color w:val="000000"/>
          <w:sz w:val="24"/>
          <w:szCs w:val="24"/>
        </w:rPr>
        <w:t>(3), 161–165. https://doi.org/10.1034/j.1601-5223.2003.01503.x</w:t>
      </w:r>
    </w:p>
    <w:p w14:paraId="76B9F0D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Wasser, S. K., Brown, L., Mailand, C., Mondol, S., Clark, W., Laurie, C., &amp; Weir, B. S. (2015). Genetic assignment of large seizures of elephant ivory reveals Africa’s major poaching hotspots. </w:t>
      </w:r>
      <w:r w:rsidRPr="003B7B17">
        <w:rPr>
          <w:rFonts w:asciiTheme="majorHAnsi" w:hAnsiTheme="majorHAnsi" w:cstheme="majorHAnsi"/>
          <w:i/>
          <w:iCs/>
          <w:color w:val="000000"/>
          <w:sz w:val="24"/>
          <w:szCs w:val="24"/>
        </w:rPr>
        <w:t>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349</w:t>
      </w:r>
      <w:r w:rsidRPr="003B7B17">
        <w:rPr>
          <w:rFonts w:asciiTheme="majorHAnsi" w:hAnsiTheme="majorHAnsi" w:cstheme="majorHAnsi"/>
          <w:color w:val="000000"/>
          <w:sz w:val="24"/>
          <w:szCs w:val="24"/>
        </w:rPr>
        <w:t>(6243), 84–87. https://doi.org/10.1126/science.aaa2457</w:t>
      </w:r>
    </w:p>
    <w:p w14:paraId="56588EDD"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Wright, B., Morris, K., Grueber, C. E., Willet, C. E., Gooley, R., Hogg, C. J., O’Meally, D., Hamede, R., Jones, M., Wade, C., &amp; Belov, K. (2015). Development of a SNP-based assay for measuring genetic diversity in the Tasmanian devil insurance population. </w:t>
      </w:r>
      <w:r w:rsidRPr="003B7B17">
        <w:rPr>
          <w:rFonts w:asciiTheme="majorHAnsi" w:hAnsiTheme="majorHAnsi" w:cstheme="majorHAnsi"/>
          <w:i/>
          <w:iCs/>
          <w:color w:val="000000"/>
          <w:sz w:val="24"/>
          <w:szCs w:val="24"/>
        </w:rPr>
        <w:t>BMC Genomics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16</w:t>
      </w:r>
      <w:r w:rsidRPr="003B7B17">
        <w:rPr>
          <w:rFonts w:asciiTheme="majorHAnsi" w:hAnsiTheme="majorHAnsi" w:cstheme="majorHAnsi"/>
          <w:color w:val="000000"/>
          <w:sz w:val="24"/>
          <w:szCs w:val="24"/>
        </w:rPr>
        <w:t>(1), 791. https://doi.org/10.1186/s12864-015-2020-4</w:t>
      </w:r>
    </w:p>
    <w:p w14:paraId="1E6DA7C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Xuan, B., Kim, E. M., Song, M.-Y., Shin, Y., Jeon, J.-H., &amp; Bae, E. (2021). Draft Genome of the Korean smelt Hypomesus nipponensis and its transcriptomic.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35. https://doi.org/10.1093/g3journal/jkab147</w:t>
      </w:r>
    </w:p>
    <w:p w14:paraId="6FC9471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Zoonomia Consortium. (2020). A comparative genomics multitool for scientific discovery and conservation.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587</w:t>
      </w:r>
      <w:r w:rsidRPr="003B7B17">
        <w:rPr>
          <w:rFonts w:asciiTheme="majorHAnsi" w:hAnsiTheme="majorHAnsi" w:cstheme="majorHAnsi"/>
          <w:color w:val="000000"/>
          <w:sz w:val="24"/>
          <w:szCs w:val="24"/>
        </w:rPr>
        <w:t>(7833), 240–245. https://doi.org/10.1038/s41586-020-2876-6</w:t>
      </w:r>
    </w:p>
    <w:p w14:paraId="25149163" w14:textId="11AD27A6" w:rsidR="000E70AC" w:rsidRDefault="0087338E" w:rsidP="008914E8">
      <w:pPr>
        <w:spacing w:after="0" w:line="240" w:lineRule="auto"/>
        <w:jc w:val="left"/>
        <w:rPr>
          <w:rFonts w:ascii="Calibri" w:eastAsia="Times New Roman" w:hAnsi="Calibri" w:cs="Calibri"/>
          <w:color w:val="000000"/>
        </w:rPr>
      </w:pPr>
      <w:r w:rsidRPr="003B7B17">
        <w:rPr>
          <w:rFonts w:asciiTheme="majorHAnsi" w:eastAsia="Times New Roman" w:hAnsiTheme="majorHAnsi" w:cstheme="majorHAnsi"/>
          <w:color w:val="000000"/>
          <w:sz w:val="24"/>
          <w:szCs w:val="24"/>
        </w:rPr>
        <w:fldChar w:fldCharType="end"/>
      </w:r>
    </w:p>
    <w:p w14:paraId="0978B2C1" w14:textId="77777777" w:rsidR="008914E8" w:rsidRDefault="008914E8" w:rsidP="00904693">
      <w:pPr>
        <w:spacing w:after="0" w:line="240" w:lineRule="auto"/>
        <w:jc w:val="left"/>
        <w:rPr>
          <w:rFonts w:ascii="Calibri" w:eastAsia="Times New Roman" w:hAnsi="Calibri" w:cs="Calibri"/>
          <w:color w:val="000000"/>
        </w:rPr>
      </w:pPr>
    </w:p>
    <w:p w14:paraId="75C3D4F5" w14:textId="51903A2C" w:rsidR="008914E8" w:rsidRDefault="008914E8" w:rsidP="00904693">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vertAnchor="page" w:horzAnchor="margin" w:tblpY="2488"/>
        <w:tblW w:w="18853" w:type="dxa"/>
        <w:tblLook w:val="04A0" w:firstRow="1" w:lastRow="0" w:firstColumn="1" w:lastColumn="0" w:noHBand="0" w:noVBand="1"/>
      </w:tblPr>
      <w:tblGrid>
        <w:gridCol w:w="262"/>
        <w:gridCol w:w="3240"/>
        <w:gridCol w:w="529"/>
        <w:gridCol w:w="1200"/>
        <w:gridCol w:w="1724"/>
        <w:gridCol w:w="1280"/>
        <w:gridCol w:w="971"/>
        <w:gridCol w:w="1340"/>
        <w:gridCol w:w="1000"/>
        <w:gridCol w:w="1180"/>
        <w:gridCol w:w="859"/>
        <w:gridCol w:w="900"/>
        <w:gridCol w:w="874"/>
        <w:gridCol w:w="772"/>
        <w:gridCol w:w="980"/>
        <w:gridCol w:w="1480"/>
        <w:gridCol w:w="262"/>
      </w:tblGrid>
      <w:tr w:rsidR="00644092" w:rsidRPr="00C11823" w14:paraId="2E2AFD60" w14:textId="77777777" w:rsidTr="00EC36DE">
        <w:trPr>
          <w:trHeight w:val="240"/>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329" w:type="dxa"/>
            <w:gridSpan w:val="15"/>
            <w:tcBorders>
              <w:top w:val="nil"/>
              <w:left w:val="nil"/>
              <w:bottom w:val="single" w:sz="4" w:space="0" w:color="auto"/>
              <w:right w:val="nil"/>
            </w:tcBorders>
            <w:shd w:val="clear" w:color="auto" w:fill="auto"/>
            <w:vAlign w:val="bottom"/>
            <w:hideMark/>
          </w:tcPr>
          <w:p w14:paraId="3C11CB16" w14:textId="77777777" w:rsidR="00644092" w:rsidRPr="00C11823" w:rsidRDefault="00644092" w:rsidP="00EC36DE">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publicly available 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r w:rsidRPr="00C11823">
              <w:rPr>
                <w:rFonts w:ascii="Calibri Light" w:eastAsia="Times New Roman" w:hAnsi="Calibri Light" w:cs="Calibri Light"/>
              </w:rPr>
              <w:t>February 0</w:t>
            </w:r>
            <w:r>
              <w:rPr>
                <w:rFonts w:ascii="Calibri Light" w:eastAsia="Times New Roman" w:hAnsi="Calibri Light" w:cs="Calibri Light"/>
              </w:rPr>
              <w:t>3</w:t>
            </w:r>
            <w:r w:rsidRPr="00C11823">
              <w:rPr>
                <w:rFonts w:ascii="Calibri Light" w:eastAsia="Times New Roman" w:hAnsi="Calibri Light" w:cs="Calibri Light"/>
              </w:rPr>
              <w:t>, 2022.</w:t>
            </w:r>
          </w:p>
        </w:tc>
        <w:tc>
          <w:tcPr>
            <w:tcW w:w="262"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AD80683" w14:textId="77777777" w:rsidTr="00EC36DE">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200" w:type="dxa"/>
            <w:tcBorders>
              <w:top w:val="nil"/>
              <w:left w:val="nil"/>
              <w:bottom w:val="single" w:sz="4" w:space="0" w:color="auto"/>
              <w:right w:val="nil"/>
            </w:tcBorders>
            <w:shd w:val="clear" w:color="000000" w:fill="D9D9D9"/>
            <w:vAlign w:val="bottom"/>
            <w:hideMark/>
          </w:tcPr>
          <w:p w14:paraId="13B596D9"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tc>
        <w:tc>
          <w:tcPr>
            <w:tcW w:w="1724" w:type="dxa"/>
            <w:tcBorders>
              <w:top w:val="nil"/>
              <w:left w:val="nil"/>
              <w:bottom w:val="single" w:sz="4" w:space="0" w:color="auto"/>
              <w:right w:val="nil"/>
            </w:tcBorders>
            <w:shd w:val="clear" w:color="000000" w:fill="D9D9D9"/>
            <w:vAlign w:val="bottom"/>
            <w:hideMark/>
          </w:tcPr>
          <w:p w14:paraId="3868B3D6" w14:textId="77777777" w:rsidR="00644092" w:rsidRPr="00C11823" w:rsidRDefault="00644092" w:rsidP="00EC36DE">
            <w:pPr>
              <w:spacing w:after="0" w:line="240" w:lineRule="auto"/>
              <w:jc w:val="center"/>
              <w:rPr>
                <w:rFonts w:ascii="Calibri Light" w:eastAsia="Times New Roman" w:hAnsi="Calibri Light" w:cs="Calibri Light"/>
                <w:b/>
                <w:bCs/>
              </w:rPr>
            </w:pPr>
            <w:proofErr w:type="spellStart"/>
            <w:r w:rsidRPr="00C11823">
              <w:rPr>
                <w:rFonts w:ascii="Calibri Light" w:eastAsia="Times New Roman" w:hAnsi="Calibri Light" w:cs="Calibri Light"/>
                <w:b/>
                <w:bCs/>
              </w:rPr>
              <w:t>Accesstion</w:t>
            </w:r>
            <w:proofErr w:type="spellEnd"/>
            <w:r w:rsidRPr="00C11823">
              <w:rPr>
                <w:rFonts w:ascii="Calibri Light" w:eastAsia="Times New Roman" w:hAnsi="Calibri Light" w:cs="Calibri Light"/>
                <w:b/>
                <w:bCs/>
              </w:rPr>
              <w:t xml:space="preserve">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40"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100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8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859"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772"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8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Number of </w:t>
            </w:r>
            <w:proofErr w:type="spellStart"/>
            <w:r w:rsidRPr="00C11823">
              <w:rPr>
                <w:rFonts w:ascii="Calibri Light" w:eastAsia="Times New Roman" w:hAnsi="Calibri Light" w:cs="Calibri Light"/>
                <w:b/>
                <w:bCs/>
              </w:rPr>
              <w:t>chr.</w:t>
            </w:r>
            <w:proofErr w:type="spellEnd"/>
            <w:r w:rsidRPr="00C11823">
              <w:rPr>
                <w:rFonts w:ascii="Calibri Light" w:eastAsia="Times New Roman" w:hAnsi="Calibri Light" w:cs="Calibri Light"/>
                <w:b/>
                <w:bCs/>
              </w:rPr>
              <w:t xml:space="preserve"> and plasmids</w:t>
            </w:r>
          </w:p>
        </w:tc>
        <w:tc>
          <w:tcPr>
            <w:tcW w:w="1480" w:type="dxa"/>
            <w:tcBorders>
              <w:top w:val="nil"/>
              <w:left w:val="nil"/>
              <w:bottom w:val="single" w:sz="4" w:space="0" w:color="auto"/>
              <w:right w:val="single" w:sz="4" w:space="0" w:color="auto"/>
            </w:tcBorders>
            <w:shd w:val="clear" w:color="000000" w:fill="D9D9D9"/>
            <w:vAlign w:val="bottom"/>
            <w:hideMark/>
          </w:tcPr>
          <w:p w14:paraId="01AB323C"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component sequences (WGS or clone)</w:t>
            </w:r>
          </w:p>
        </w:tc>
        <w:tc>
          <w:tcPr>
            <w:tcW w:w="262"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200"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40"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100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8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859"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772"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8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262"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200"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40"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100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8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859"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772"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8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262"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EC36DE">
            <w:pPr>
              <w:spacing w:after="0" w:line="240" w:lineRule="auto"/>
              <w:jc w:val="center"/>
              <w:rPr>
                <w:rFonts w:ascii="Calibri Light" w:eastAsia="Times New Roman" w:hAnsi="Calibri Light" w:cs="Calibri Light"/>
              </w:rPr>
            </w:pPr>
            <w:proofErr w:type="spellStart"/>
            <w:r w:rsidRPr="00C11823">
              <w:rPr>
                <w:rFonts w:ascii="Calibri Light" w:eastAsia="Times New Roman" w:hAnsi="Calibri Light" w:cs="Calibri Light"/>
              </w:rPr>
              <w:t>Thaleichthys</w:t>
            </w:r>
            <w:proofErr w:type="spellEnd"/>
            <w:r w:rsidRPr="00C11823">
              <w:rPr>
                <w:rFonts w:ascii="Calibri Light" w:eastAsia="Times New Roman" w:hAnsi="Calibri Light" w:cs="Calibri Light"/>
              </w:rPr>
              <w:t xml:space="preserve"> </w:t>
            </w:r>
            <w:proofErr w:type="spellStart"/>
            <w:r w:rsidRPr="00C11823">
              <w:rPr>
                <w:rFonts w:ascii="Calibri Light" w:eastAsia="Times New Roman" w:hAnsi="Calibri Light" w:cs="Calibri Light"/>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40"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100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8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859"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772"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8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6D372FC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262"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Osmerus eperlanus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40"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100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8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859"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772"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8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37BE75B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262"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7A4712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nipponensis (Pond smelt)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40"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100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8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859"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772"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8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272BDDC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262"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461DCEF" w14:textId="77777777" w:rsidTr="00EC36DE">
        <w:trPr>
          <w:trHeight w:val="240"/>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EC36DE">
      <w:pPr>
        <w:pStyle w:val="TOCHeading"/>
        <w:tabs>
          <w:tab w:val="left" w:pos="532"/>
        </w:tabs>
        <w:spacing w:line="480" w:lineRule="auto"/>
        <w:outlineLvl w:val="0"/>
      </w:pPr>
      <w:bookmarkStart w:id="48" w:name="_Toc113273240"/>
      <w:r>
        <w:t>Tables and Figures</w:t>
      </w:r>
      <w:bookmarkEnd w:id="48"/>
    </w:p>
    <w:p w14:paraId="0FEA9C2A" w14:textId="7E9A721A" w:rsidR="008914E8" w:rsidRPr="008914E8" w:rsidRDefault="008914E8" w:rsidP="008914E8">
      <w:pPr>
        <w:pStyle w:val="Header"/>
        <w:spacing w:line="480" w:lineRule="auto"/>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8160" w:type="dxa"/>
        <w:jc w:val="center"/>
        <w:tblLook w:val="04A0" w:firstRow="1" w:lastRow="0" w:firstColumn="1" w:lastColumn="0" w:noHBand="0" w:noVBand="1"/>
      </w:tblPr>
      <w:tblGrid>
        <w:gridCol w:w="300"/>
        <w:gridCol w:w="1300"/>
        <w:gridCol w:w="1660"/>
        <w:gridCol w:w="1500"/>
        <w:gridCol w:w="1680"/>
        <w:gridCol w:w="1440"/>
        <w:gridCol w:w="280"/>
      </w:tblGrid>
      <w:tr w:rsidR="000E70AC" w:rsidRPr="00D22895" w14:paraId="551558D1" w14:textId="77777777" w:rsidTr="00317A9B">
        <w:trPr>
          <w:trHeight w:val="280"/>
          <w:jc w:val="center"/>
        </w:trPr>
        <w:tc>
          <w:tcPr>
            <w:tcW w:w="300" w:type="dxa"/>
            <w:tcBorders>
              <w:top w:val="single" w:sz="4" w:space="0" w:color="auto"/>
              <w:left w:val="single" w:sz="4" w:space="0" w:color="auto"/>
              <w:bottom w:val="nil"/>
              <w:right w:val="nil"/>
            </w:tcBorders>
            <w:shd w:val="clear" w:color="auto" w:fill="auto"/>
            <w:noWrap/>
            <w:vAlign w:val="bottom"/>
            <w:hideMark/>
          </w:tcPr>
          <w:p w14:paraId="5907417F"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066886C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single" w:sz="4" w:space="0" w:color="auto"/>
              <w:left w:val="nil"/>
              <w:bottom w:val="nil"/>
              <w:right w:val="nil"/>
            </w:tcBorders>
            <w:shd w:val="clear" w:color="auto" w:fill="auto"/>
            <w:noWrap/>
            <w:vAlign w:val="bottom"/>
            <w:hideMark/>
          </w:tcPr>
          <w:p w14:paraId="7307010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single" w:sz="4" w:space="0" w:color="auto"/>
              <w:left w:val="nil"/>
              <w:bottom w:val="nil"/>
              <w:right w:val="nil"/>
            </w:tcBorders>
            <w:shd w:val="clear" w:color="auto" w:fill="auto"/>
            <w:noWrap/>
            <w:vAlign w:val="bottom"/>
            <w:hideMark/>
          </w:tcPr>
          <w:p w14:paraId="6EBFD5C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single" w:sz="4" w:space="0" w:color="auto"/>
              <w:left w:val="nil"/>
              <w:bottom w:val="nil"/>
              <w:right w:val="nil"/>
            </w:tcBorders>
            <w:shd w:val="clear" w:color="auto" w:fill="auto"/>
            <w:noWrap/>
            <w:vAlign w:val="bottom"/>
            <w:hideMark/>
          </w:tcPr>
          <w:p w14:paraId="50799BA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single" w:sz="4" w:space="0" w:color="auto"/>
              <w:left w:val="nil"/>
              <w:bottom w:val="nil"/>
              <w:right w:val="nil"/>
            </w:tcBorders>
            <w:shd w:val="clear" w:color="auto" w:fill="auto"/>
            <w:noWrap/>
            <w:vAlign w:val="bottom"/>
            <w:hideMark/>
          </w:tcPr>
          <w:p w14:paraId="6454ED1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2919927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B774317" w14:textId="77777777" w:rsidTr="00317A9B">
        <w:trPr>
          <w:trHeight w:val="840"/>
          <w:jc w:val="center"/>
        </w:trPr>
        <w:tc>
          <w:tcPr>
            <w:tcW w:w="300" w:type="dxa"/>
            <w:tcBorders>
              <w:top w:val="nil"/>
              <w:left w:val="single" w:sz="4" w:space="0" w:color="auto"/>
              <w:bottom w:val="nil"/>
              <w:right w:val="nil"/>
            </w:tcBorders>
            <w:shd w:val="clear" w:color="auto" w:fill="auto"/>
            <w:noWrap/>
            <w:vAlign w:val="bottom"/>
            <w:hideMark/>
          </w:tcPr>
          <w:p w14:paraId="2EFD257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7580" w:type="dxa"/>
            <w:gridSpan w:val="5"/>
            <w:tcBorders>
              <w:top w:val="nil"/>
              <w:left w:val="nil"/>
              <w:bottom w:val="single" w:sz="4" w:space="0" w:color="auto"/>
              <w:right w:val="nil"/>
            </w:tcBorders>
            <w:shd w:val="clear" w:color="auto" w:fill="auto"/>
            <w:vAlign w:val="bottom"/>
            <w:hideMark/>
          </w:tcPr>
          <w:p w14:paraId="409404E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098CD94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5D8B929" w14:textId="77777777" w:rsidTr="00317A9B">
        <w:trPr>
          <w:trHeight w:val="580"/>
          <w:jc w:val="center"/>
        </w:trPr>
        <w:tc>
          <w:tcPr>
            <w:tcW w:w="300" w:type="dxa"/>
            <w:tcBorders>
              <w:top w:val="nil"/>
              <w:left w:val="single" w:sz="4" w:space="0" w:color="auto"/>
              <w:bottom w:val="nil"/>
              <w:right w:val="nil"/>
            </w:tcBorders>
            <w:shd w:val="clear" w:color="auto" w:fill="auto"/>
            <w:noWrap/>
            <w:vAlign w:val="bottom"/>
            <w:hideMark/>
          </w:tcPr>
          <w:p w14:paraId="2955B73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60" w:type="dxa"/>
            <w:tcBorders>
              <w:top w:val="nil"/>
              <w:left w:val="nil"/>
              <w:bottom w:val="single" w:sz="4" w:space="0" w:color="auto"/>
              <w:right w:val="single" w:sz="4" w:space="0" w:color="auto"/>
            </w:tcBorders>
            <w:shd w:val="clear" w:color="000000" w:fill="D9D9D9"/>
            <w:vAlign w:val="center"/>
            <w:hideMark/>
          </w:tcPr>
          <w:p w14:paraId="4351C9AE"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500" w:type="dxa"/>
            <w:tcBorders>
              <w:top w:val="nil"/>
              <w:left w:val="nil"/>
              <w:bottom w:val="single" w:sz="4" w:space="0" w:color="auto"/>
              <w:right w:val="single" w:sz="4" w:space="0" w:color="auto"/>
            </w:tcBorders>
            <w:shd w:val="clear" w:color="000000" w:fill="D9D9D9"/>
            <w:vAlign w:val="center"/>
            <w:hideMark/>
          </w:tcPr>
          <w:p w14:paraId="33B2F57F"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80" w:type="dxa"/>
            <w:tcBorders>
              <w:top w:val="nil"/>
              <w:left w:val="nil"/>
              <w:bottom w:val="single" w:sz="4" w:space="0" w:color="auto"/>
              <w:right w:val="single" w:sz="4" w:space="0" w:color="auto"/>
            </w:tcBorders>
            <w:shd w:val="clear" w:color="000000" w:fill="D9D9D9"/>
            <w:vAlign w:val="center"/>
            <w:hideMark/>
          </w:tcPr>
          <w:p w14:paraId="7380E871"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440" w:type="dxa"/>
            <w:tcBorders>
              <w:top w:val="nil"/>
              <w:left w:val="nil"/>
              <w:bottom w:val="single" w:sz="4" w:space="0" w:color="auto"/>
              <w:right w:val="single" w:sz="4" w:space="0" w:color="auto"/>
            </w:tcBorders>
            <w:shd w:val="clear" w:color="000000" w:fill="D9D9D9"/>
            <w:vAlign w:val="center"/>
            <w:hideMark/>
          </w:tcPr>
          <w:p w14:paraId="3362390D"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5A33874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7412C4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64406A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6F41F54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500" w:type="dxa"/>
            <w:tcBorders>
              <w:top w:val="nil"/>
              <w:left w:val="nil"/>
              <w:bottom w:val="single" w:sz="4" w:space="0" w:color="auto"/>
              <w:right w:val="single" w:sz="4" w:space="0" w:color="auto"/>
            </w:tcBorders>
            <w:shd w:val="clear" w:color="auto" w:fill="auto"/>
            <w:vAlign w:val="center"/>
            <w:hideMark/>
          </w:tcPr>
          <w:p w14:paraId="506C843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E18BB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5D2541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0F1CC8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34A6EA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A4C0DE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2BD877F"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C03D84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500" w:type="dxa"/>
            <w:tcBorders>
              <w:top w:val="nil"/>
              <w:left w:val="nil"/>
              <w:bottom w:val="single" w:sz="4" w:space="0" w:color="auto"/>
              <w:right w:val="single" w:sz="4" w:space="0" w:color="auto"/>
            </w:tcBorders>
            <w:shd w:val="clear" w:color="auto" w:fill="auto"/>
            <w:vAlign w:val="center"/>
            <w:hideMark/>
          </w:tcPr>
          <w:p w14:paraId="3A8DA83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77A057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F31744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745FEB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476FF3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984D0C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749DAF3"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7617D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500" w:type="dxa"/>
            <w:tcBorders>
              <w:top w:val="nil"/>
              <w:left w:val="nil"/>
              <w:bottom w:val="single" w:sz="4" w:space="0" w:color="auto"/>
              <w:right w:val="single" w:sz="4" w:space="0" w:color="auto"/>
            </w:tcBorders>
            <w:shd w:val="clear" w:color="auto" w:fill="auto"/>
            <w:vAlign w:val="center"/>
            <w:hideMark/>
          </w:tcPr>
          <w:p w14:paraId="1222616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FEA14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27DEED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4419ED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71BE9B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2A97E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03E1E92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500" w:type="dxa"/>
            <w:tcBorders>
              <w:top w:val="nil"/>
              <w:left w:val="nil"/>
              <w:bottom w:val="single" w:sz="4" w:space="0" w:color="auto"/>
              <w:right w:val="single" w:sz="4" w:space="0" w:color="auto"/>
            </w:tcBorders>
            <w:shd w:val="clear" w:color="auto" w:fill="auto"/>
            <w:vAlign w:val="center"/>
            <w:hideMark/>
          </w:tcPr>
          <w:p w14:paraId="0CBB57F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A295DF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05B28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59EC5E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1F8EFA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4E107E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F962F7"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556781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500" w:type="dxa"/>
            <w:tcBorders>
              <w:top w:val="nil"/>
              <w:left w:val="nil"/>
              <w:bottom w:val="single" w:sz="4" w:space="0" w:color="auto"/>
              <w:right w:val="single" w:sz="4" w:space="0" w:color="auto"/>
            </w:tcBorders>
            <w:shd w:val="clear" w:color="auto" w:fill="auto"/>
            <w:vAlign w:val="center"/>
            <w:hideMark/>
          </w:tcPr>
          <w:p w14:paraId="014A0CC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0DA1DB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B3D2E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FAD99F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124252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60F14E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A22BC7"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77631C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500" w:type="dxa"/>
            <w:tcBorders>
              <w:top w:val="nil"/>
              <w:left w:val="nil"/>
              <w:bottom w:val="single" w:sz="4" w:space="0" w:color="auto"/>
              <w:right w:val="single" w:sz="4" w:space="0" w:color="auto"/>
            </w:tcBorders>
            <w:shd w:val="clear" w:color="auto" w:fill="auto"/>
            <w:vAlign w:val="center"/>
            <w:hideMark/>
          </w:tcPr>
          <w:p w14:paraId="3C6194B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693D58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735EB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505F8B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58E7B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B32A3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44B9D5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500" w:type="dxa"/>
            <w:tcBorders>
              <w:top w:val="nil"/>
              <w:left w:val="nil"/>
              <w:bottom w:val="single" w:sz="4" w:space="0" w:color="auto"/>
              <w:right w:val="single" w:sz="4" w:space="0" w:color="auto"/>
            </w:tcBorders>
            <w:shd w:val="clear" w:color="auto" w:fill="auto"/>
            <w:vAlign w:val="center"/>
            <w:hideMark/>
          </w:tcPr>
          <w:p w14:paraId="43E029F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9B698E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D14F49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F9204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604591D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CBE24B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593FE3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98B52C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500" w:type="dxa"/>
            <w:tcBorders>
              <w:top w:val="nil"/>
              <w:left w:val="nil"/>
              <w:bottom w:val="single" w:sz="4" w:space="0" w:color="auto"/>
              <w:right w:val="single" w:sz="4" w:space="0" w:color="auto"/>
            </w:tcBorders>
            <w:shd w:val="clear" w:color="auto" w:fill="auto"/>
            <w:vAlign w:val="center"/>
            <w:hideMark/>
          </w:tcPr>
          <w:p w14:paraId="30F35FE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3B20E7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0E08E0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1B60E0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0522460"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7F9AB4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2C43B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D2DBE0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500" w:type="dxa"/>
            <w:tcBorders>
              <w:top w:val="nil"/>
              <w:left w:val="nil"/>
              <w:bottom w:val="single" w:sz="4" w:space="0" w:color="auto"/>
              <w:right w:val="single" w:sz="4" w:space="0" w:color="auto"/>
            </w:tcBorders>
            <w:shd w:val="clear" w:color="auto" w:fill="auto"/>
            <w:vAlign w:val="center"/>
            <w:hideMark/>
          </w:tcPr>
          <w:p w14:paraId="0EE025E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81BDA0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F880BB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1366F2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7832389"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4A331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3CA8A4B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500" w:type="dxa"/>
            <w:tcBorders>
              <w:top w:val="nil"/>
              <w:left w:val="nil"/>
              <w:bottom w:val="single" w:sz="4" w:space="0" w:color="auto"/>
              <w:right w:val="single" w:sz="4" w:space="0" w:color="auto"/>
            </w:tcBorders>
            <w:shd w:val="clear" w:color="auto" w:fill="auto"/>
            <w:vAlign w:val="center"/>
            <w:hideMark/>
          </w:tcPr>
          <w:p w14:paraId="2CC5073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DB3461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194AA2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F50BD8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2831145"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CF6EEA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2E32C4"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F5E689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500" w:type="dxa"/>
            <w:tcBorders>
              <w:top w:val="nil"/>
              <w:left w:val="nil"/>
              <w:bottom w:val="single" w:sz="4" w:space="0" w:color="auto"/>
              <w:right w:val="single" w:sz="4" w:space="0" w:color="auto"/>
            </w:tcBorders>
            <w:shd w:val="clear" w:color="auto" w:fill="auto"/>
            <w:vAlign w:val="center"/>
            <w:hideMark/>
          </w:tcPr>
          <w:p w14:paraId="53DF251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29F0B6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85F1D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F9AD8F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CFC60C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493A2FC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846AE9E"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AA5C36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500" w:type="dxa"/>
            <w:tcBorders>
              <w:top w:val="nil"/>
              <w:left w:val="nil"/>
              <w:bottom w:val="single" w:sz="4" w:space="0" w:color="auto"/>
              <w:right w:val="single" w:sz="4" w:space="0" w:color="auto"/>
            </w:tcBorders>
            <w:shd w:val="clear" w:color="auto" w:fill="auto"/>
            <w:vAlign w:val="center"/>
            <w:hideMark/>
          </w:tcPr>
          <w:p w14:paraId="3445543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62BD15C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AFA466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6C54C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63DC69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91A9FD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D73EA1A"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2E8DB3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500" w:type="dxa"/>
            <w:tcBorders>
              <w:top w:val="nil"/>
              <w:left w:val="nil"/>
              <w:bottom w:val="single" w:sz="4" w:space="0" w:color="auto"/>
              <w:right w:val="single" w:sz="4" w:space="0" w:color="auto"/>
            </w:tcBorders>
            <w:shd w:val="clear" w:color="auto" w:fill="auto"/>
            <w:vAlign w:val="center"/>
            <w:hideMark/>
          </w:tcPr>
          <w:p w14:paraId="0A2E728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2EC323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A4FDA1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46DE02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D701B77"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F830B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7206F0"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7812E4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500" w:type="dxa"/>
            <w:tcBorders>
              <w:top w:val="nil"/>
              <w:left w:val="nil"/>
              <w:bottom w:val="single" w:sz="4" w:space="0" w:color="auto"/>
              <w:right w:val="single" w:sz="4" w:space="0" w:color="auto"/>
            </w:tcBorders>
            <w:shd w:val="clear" w:color="auto" w:fill="auto"/>
            <w:vAlign w:val="center"/>
            <w:hideMark/>
          </w:tcPr>
          <w:p w14:paraId="31DA4F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F32B5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775E125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EF2388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CBAC0D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0DA7E8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934896F"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F894E5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500" w:type="dxa"/>
            <w:tcBorders>
              <w:top w:val="nil"/>
              <w:left w:val="nil"/>
              <w:bottom w:val="single" w:sz="4" w:space="0" w:color="auto"/>
              <w:right w:val="single" w:sz="4" w:space="0" w:color="auto"/>
            </w:tcBorders>
            <w:shd w:val="clear" w:color="auto" w:fill="auto"/>
            <w:vAlign w:val="center"/>
            <w:hideMark/>
          </w:tcPr>
          <w:p w14:paraId="518FA32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E7385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0DF34D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DFB4CB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B5A5A4C"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3845AC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9B2065"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05367A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500" w:type="dxa"/>
            <w:tcBorders>
              <w:top w:val="nil"/>
              <w:left w:val="nil"/>
              <w:bottom w:val="single" w:sz="4" w:space="0" w:color="auto"/>
              <w:right w:val="single" w:sz="4" w:space="0" w:color="auto"/>
            </w:tcBorders>
            <w:shd w:val="clear" w:color="auto" w:fill="auto"/>
            <w:vAlign w:val="center"/>
            <w:hideMark/>
          </w:tcPr>
          <w:p w14:paraId="1609B9A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0E247B3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969E6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547B79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238039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46CB8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AFBFE65"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05B539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500" w:type="dxa"/>
            <w:tcBorders>
              <w:top w:val="nil"/>
              <w:left w:val="nil"/>
              <w:bottom w:val="single" w:sz="4" w:space="0" w:color="auto"/>
              <w:right w:val="single" w:sz="4" w:space="0" w:color="auto"/>
            </w:tcBorders>
            <w:shd w:val="clear" w:color="auto" w:fill="auto"/>
            <w:vAlign w:val="center"/>
            <w:hideMark/>
          </w:tcPr>
          <w:p w14:paraId="1AA38F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0FC880B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FF367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EDA27D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D41D25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9EE2AE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023D9C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500" w:type="dxa"/>
            <w:tcBorders>
              <w:top w:val="nil"/>
              <w:left w:val="nil"/>
              <w:bottom w:val="single" w:sz="4" w:space="0" w:color="auto"/>
              <w:right w:val="single" w:sz="4" w:space="0" w:color="auto"/>
            </w:tcBorders>
            <w:shd w:val="clear" w:color="auto" w:fill="auto"/>
            <w:vAlign w:val="center"/>
            <w:hideMark/>
          </w:tcPr>
          <w:p w14:paraId="5A670D9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E82748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2DBD9B9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E05BD7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EF970D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12E831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66A62C"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D01CA04"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500" w:type="dxa"/>
            <w:tcBorders>
              <w:top w:val="nil"/>
              <w:left w:val="nil"/>
              <w:bottom w:val="single" w:sz="4" w:space="0" w:color="auto"/>
              <w:right w:val="single" w:sz="4" w:space="0" w:color="auto"/>
            </w:tcBorders>
            <w:shd w:val="clear" w:color="auto" w:fill="auto"/>
            <w:vAlign w:val="center"/>
            <w:hideMark/>
          </w:tcPr>
          <w:p w14:paraId="38AFCD5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65BDA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288B5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76C89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9EA089B"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69CB5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FAB3C33"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73137B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500" w:type="dxa"/>
            <w:tcBorders>
              <w:top w:val="nil"/>
              <w:left w:val="nil"/>
              <w:bottom w:val="single" w:sz="4" w:space="0" w:color="auto"/>
              <w:right w:val="single" w:sz="4" w:space="0" w:color="auto"/>
            </w:tcBorders>
            <w:shd w:val="clear" w:color="auto" w:fill="auto"/>
            <w:vAlign w:val="center"/>
            <w:hideMark/>
          </w:tcPr>
          <w:p w14:paraId="1633210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4286D03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8EE196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1508ACF"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A36854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259013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9186B0"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8E8B54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500" w:type="dxa"/>
            <w:tcBorders>
              <w:top w:val="nil"/>
              <w:left w:val="nil"/>
              <w:bottom w:val="single" w:sz="4" w:space="0" w:color="auto"/>
              <w:right w:val="single" w:sz="4" w:space="0" w:color="auto"/>
            </w:tcBorders>
            <w:shd w:val="clear" w:color="auto" w:fill="auto"/>
            <w:vAlign w:val="center"/>
            <w:hideMark/>
          </w:tcPr>
          <w:p w14:paraId="427F262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2E6A8D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5E711D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A3927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4C0D18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8A4729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CC53A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4B14CB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500" w:type="dxa"/>
            <w:tcBorders>
              <w:top w:val="nil"/>
              <w:left w:val="nil"/>
              <w:bottom w:val="single" w:sz="4" w:space="0" w:color="auto"/>
              <w:right w:val="single" w:sz="4" w:space="0" w:color="auto"/>
            </w:tcBorders>
            <w:shd w:val="clear" w:color="auto" w:fill="auto"/>
            <w:vAlign w:val="center"/>
            <w:hideMark/>
          </w:tcPr>
          <w:p w14:paraId="50D8BA7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575FA5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A119B4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07F7538"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5D1957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433801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C4B2FD"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31371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500" w:type="dxa"/>
            <w:tcBorders>
              <w:top w:val="nil"/>
              <w:left w:val="nil"/>
              <w:bottom w:val="single" w:sz="4" w:space="0" w:color="auto"/>
              <w:right w:val="single" w:sz="4" w:space="0" w:color="auto"/>
            </w:tcBorders>
            <w:shd w:val="clear" w:color="auto" w:fill="auto"/>
            <w:vAlign w:val="center"/>
            <w:hideMark/>
          </w:tcPr>
          <w:p w14:paraId="0BEA6A7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B037F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042C9A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D3FDB6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613057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45F471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3A4E14E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500" w:type="dxa"/>
            <w:tcBorders>
              <w:top w:val="nil"/>
              <w:left w:val="nil"/>
              <w:bottom w:val="single" w:sz="4" w:space="0" w:color="auto"/>
              <w:right w:val="single" w:sz="4" w:space="0" w:color="auto"/>
            </w:tcBorders>
            <w:shd w:val="clear" w:color="auto" w:fill="auto"/>
            <w:vAlign w:val="center"/>
            <w:hideMark/>
          </w:tcPr>
          <w:p w14:paraId="6083A94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6028CD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E30CB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36ADFA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91702F8"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2C4E95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378869"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87928F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500" w:type="dxa"/>
            <w:tcBorders>
              <w:top w:val="nil"/>
              <w:left w:val="nil"/>
              <w:bottom w:val="single" w:sz="4" w:space="0" w:color="auto"/>
              <w:right w:val="single" w:sz="4" w:space="0" w:color="auto"/>
            </w:tcBorders>
            <w:shd w:val="clear" w:color="auto" w:fill="auto"/>
            <w:vAlign w:val="center"/>
            <w:hideMark/>
          </w:tcPr>
          <w:p w14:paraId="4B26740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1D3F50D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10D4FC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16BB437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715F7C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2D9B16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4784118"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4660CD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500" w:type="dxa"/>
            <w:tcBorders>
              <w:top w:val="nil"/>
              <w:left w:val="nil"/>
              <w:bottom w:val="single" w:sz="4" w:space="0" w:color="auto"/>
              <w:right w:val="single" w:sz="4" w:space="0" w:color="auto"/>
            </w:tcBorders>
            <w:shd w:val="clear" w:color="auto" w:fill="auto"/>
            <w:vAlign w:val="center"/>
            <w:hideMark/>
          </w:tcPr>
          <w:p w14:paraId="4A08374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83D731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74FA1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AAB422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A5912D" w14:textId="77777777" w:rsidTr="00317A9B">
        <w:trPr>
          <w:trHeight w:val="280"/>
          <w:jc w:val="center"/>
        </w:trPr>
        <w:tc>
          <w:tcPr>
            <w:tcW w:w="300" w:type="dxa"/>
            <w:tcBorders>
              <w:top w:val="nil"/>
              <w:left w:val="single" w:sz="4" w:space="0" w:color="auto"/>
              <w:bottom w:val="single" w:sz="4" w:space="0" w:color="auto"/>
              <w:right w:val="nil"/>
            </w:tcBorders>
            <w:shd w:val="clear" w:color="auto" w:fill="auto"/>
            <w:noWrap/>
            <w:vAlign w:val="bottom"/>
            <w:hideMark/>
          </w:tcPr>
          <w:p w14:paraId="70CEB7A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56843E8"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nil"/>
              <w:left w:val="nil"/>
              <w:bottom w:val="single" w:sz="4" w:space="0" w:color="auto"/>
              <w:right w:val="nil"/>
            </w:tcBorders>
            <w:shd w:val="clear" w:color="auto" w:fill="auto"/>
            <w:noWrap/>
            <w:vAlign w:val="bottom"/>
            <w:hideMark/>
          </w:tcPr>
          <w:p w14:paraId="4C01E4A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nil"/>
              <w:left w:val="nil"/>
              <w:bottom w:val="single" w:sz="4" w:space="0" w:color="auto"/>
              <w:right w:val="nil"/>
            </w:tcBorders>
            <w:shd w:val="clear" w:color="auto" w:fill="auto"/>
            <w:noWrap/>
            <w:vAlign w:val="bottom"/>
            <w:hideMark/>
          </w:tcPr>
          <w:p w14:paraId="7FAD146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nil"/>
              <w:left w:val="nil"/>
              <w:bottom w:val="single" w:sz="4" w:space="0" w:color="auto"/>
              <w:right w:val="nil"/>
            </w:tcBorders>
            <w:shd w:val="clear" w:color="auto" w:fill="auto"/>
            <w:noWrap/>
            <w:vAlign w:val="bottom"/>
            <w:hideMark/>
          </w:tcPr>
          <w:p w14:paraId="2DF3E54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nil"/>
              <w:left w:val="nil"/>
              <w:bottom w:val="single" w:sz="4" w:space="0" w:color="auto"/>
              <w:right w:val="nil"/>
            </w:tcBorders>
            <w:shd w:val="clear" w:color="auto" w:fill="auto"/>
            <w:noWrap/>
            <w:vAlign w:val="bottom"/>
            <w:hideMark/>
          </w:tcPr>
          <w:p w14:paraId="00AF50A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60B6B0B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3F5039">
      <w:pPr>
        <w:spacing w:line="480" w:lineRule="auto"/>
      </w:pPr>
    </w:p>
    <w:p w14:paraId="4AA37E42" w14:textId="343F3526" w:rsidR="000E70AC" w:rsidRDefault="000E70AC" w:rsidP="003F5039">
      <w:pPr>
        <w:spacing w:line="480" w:lineRule="auto"/>
      </w:pPr>
      <w:r>
        <w:br w:type="page"/>
      </w:r>
    </w:p>
    <w:p w14:paraId="3066F7BA" w14:textId="77777777" w:rsidR="000E70AC" w:rsidRDefault="000E70AC" w:rsidP="00904693">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3956" w:type="dxa"/>
        <w:jc w:val="center"/>
        <w:tblLook w:val="04A0" w:firstRow="1" w:lastRow="0" w:firstColumn="1" w:lastColumn="0" w:noHBand="0" w:noVBand="1"/>
      </w:tblPr>
      <w:tblGrid>
        <w:gridCol w:w="262"/>
        <w:gridCol w:w="490"/>
        <w:gridCol w:w="2122"/>
        <w:gridCol w:w="2589"/>
        <w:gridCol w:w="1721"/>
        <w:gridCol w:w="1753"/>
        <w:gridCol w:w="1891"/>
        <w:gridCol w:w="591"/>
        <w:gridCol w:w="2275"/>
        <w:gridCol w:w="262"/>
      </w:tblGrid>
      <w:tr w:rsidR="000E70AC" w:rsidRPr="00F91833" w14:paraId="20188A8A" w14:textId="77777777" w:rsidTr="00317A9B">
        <w:trPr>
          <w:trHeight w:val="240"/>
          <w:jc w:val="center"/>
        </w:trPr>
        <w:tc>
          <w:tcPr>
            <w:tcW w:w="262" w:type="dxa"/>
            <w:tcBorders>
              <w:top w:val="single" w:sz="4" w:space="0" w:color="auto"/>
              <w:left w:val="single" w:sz="4" w:space="0" w:color="auto"/>
              <w:bottom w:val="nil"/>
              <w:right w:val="nil"/>
            </w:tcBorders>
            <w:shd w:val="clear" w:color="auto" w:fill="auto"/>
            <w:noWrap/>
            <w:vAlign w:val="bottom"/>
            <w:hideMark/>
          </w:tcPr>
          <w:p w14:paraId="68C7AFD5" w14:textId="12F3DCB6"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lastRenderedPageBreak/>
              <w:t> </w:t>
            </w:r>
          </w:p>
        </w:tc>
        <w:tc>
          <w:tcPr>
            <w:tcW w:w="13432" w:type="dxa"/>
            <w:gridSpan w:val="8"/>
            <w:tcBorders>
              <w:top w:val="single" w:sz="4" w:space="0" w:color="auto"/>
              <w:left w:val="nil"/>
              <w:bottom w:val="nil"/>
              <w:right w:val="nil"/>
            </w:tcBorders>
            <w:shd w:val="clear" w:color="auto" w:fill="auto"/>
            <w:noWrap/>
            <w:vAlign w:val="bottom"/>
            <w:hideMark/>
          </w:tcPr>
          <w:p w14:paraId="4FB1678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62" w:type="dxa"/>
            <w:tcBorders>
              <w:top w:val="single" w:sz="4" w:space="0" w:color="auto"/>
              <w:left w:val="nil"/>
              <w:bottom w:val="nil"/>
              <w:right w:val="single" w:sz="4" w:space="0" w:color="auto"/>
            </w:tcBorders>
            <w:shd w:val="clear" w:color="auto" w:fill="auto"/>
            <w:noWrap/>
            <w:vAlign w:val="bottom"/>
            <w:hideMark/>
          </w:tcPr>
          <w:p w14:paraId="63DC93A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4317247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8879E0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5201" w:type="dxa"/>
            <w:gridSpan w:val="3"/>
            <w:tcBorders>
              <w:top w:val="nil"/>
              <w:left w:val="nil"/>
              <w:bottom w:val="nil"/>
              <w:right w:val="nil"/>
            </w:tcBorders>
            <w:shd w:val="clear" w:color="auto" w:fill="auto"/>
            <w:noWrap/>
            <w:vAlign w:val="bottom"/>
            <w:hideMark/>
          </w:tcPr>
          <w:p w14:paraId="35C77BB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F91833">
              <w:rPr>
                <w:rFonts w:ascii="Calibri Light" w:eastAsia="Times New Roman" w:hAnsi="Calibri Light" w:cs="Calibri Light"/>
                <w:b/>
                <w:bCs/>
                <w:color w:val="000000"/>
              </w:rPr>
              <w:t xml:space="preserve">3. </w:t>
            </w:r>
            <w:r w:rsidRPr="00F91833">
              <w:rPr>
                <w:rFonts w:ascii="Calibri Light" w:eastAsia="Times New Roman" w:hAnsi="Calibri Light" w:cs="Calibri Light"/>
                <w:color w:val="000000"/>
              </w:rPr>
              <w:t>Raw sequencing data metrics.</w:t>
            </w:r>
          </w:p>
        </w:tc>
        <w:tc>
          <w:tcPr>
            <w:tcW w:w="1721" w:type="dxa"/>
            <w:tcBorders>
              <w:top w:val="nil"/>
              <w:left w:val="nil"/>
              <w:bottom w:val="nil"/>
              <w:right w:val="nil"/>
            </w:tcBorders>
            <w:shd w:val="clear" w:color="auto" w:fill="auto"/>
            <w:noWrap/>
            <w:vAlign w:val="bottom"/>
            <w:hideMark/>
          </w:tcPr>
          <w:p w14:paraId="40E111C3" w14:textId="77777777" w:rsidR="000E70AC" w:rsidRPr="00F91833" w:rsidRDefault="000E70AC" w:rsidP="00904693">
            <w:pPr>
              <w:spacing w:after="0" w:line="240" w:lineRule="auto"/>
              <w:jc w:val="left"/>
              <w:rPr>
                <w:rFonts w:ascii="Calibri Light" w:eastAsia="Times New Roman" w:hAnsi="Calibri Light" w:cs="Calibri Light"/>
                <w:color w:val="000000"/>
              </w:rPr>
            </w:pPr>
          </w:p>
        </w:tc>
        <w:tc>
          <w:tcPr>
            <w:tcW w:w="1753" w:type="dxa"/>
            <w:tcBorders>
              <w:top w:val="nil"/>
              <w:left w:val="nil"/>
              <w:bottom w:val="nil"/>
              <w:right w:val="nil"/>
            </w:tcBorders>
            <w:shd w:val="clear" w:color="auto" w:fill="auto"/>
            <w:noWrap/>
            <w:vAlign w:val="bottom"/>
            <w:hideMark/>
          </w:tcPr>
          <w:p w14:paraId="1573453A"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1891" w:type="dxa"/>
            <w:tcBorders>
              <w:top w:val="nil"/>
              <w:left w:val="nil"/>
              <w:bottom w:val="nil"/>
              <w:right w:val="nil"/>
            </w:tcBorders>
            <w:shd w:val="clear" w:color="auto" w:fill="auto"/>
            <w:noWrap/>
            <w:vAlign w:val="bottom"/>
            <w:hideMark/>
          </w:tcPr>
          <w:p w14:paraId="02337E51"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591" w:type="dxa"/>
            <w:tcBorders>
              <w:top w:val="nil"/>
              <w:left w:val="nil"/>
              <w:bottom w:val="nil"/>
              <w:right w:val="nil"/>
            </w:tcBorders>
            <w:shd w:val="clear" w:color="auto" w:fill="auto"/>
            <w:noWrap/>
            <w:vAlign w:val="bottom"/>
            <w:hideMark/>
          </w:tcPr>
          <w:p w14:paraId="0C819E67"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2275" w:type="dxa"/>
            <w:tcBorders>
              <w:top w:val="nil"/>
              <w:left w:val="nil"/>
              <w:bottom w:val="nil"/>
              <w:right w:val="nil"/>
            </w:tcBorders>
            <w:shd w:val="clear" w:color="auto" w:fill="auto"/>
            <w:noWrap/>
            <w:vAlign w:val="bottom"/>
            <w:hideMark/>
          </w:tcPr>
          <w:p w14:paraId="63A69901" w14:textId="77777777" w:rsidR="000E70AC" w:rsidRPr="00F91833" w:rsidRDefault="000E70AC" w:rsidP="00904693">
            <w:pPr>
              <w:spacing w:after="0" w:line="240" w:lineRule="auto"/>
              <w:jc w:val="left"/>
              <w:rPr>
                <w:rFonts w:ascii="Times New Roman" w:eastAsia="Times New Roman" w:hAnsi="Times New Roman" w:cs="Times New Roman"/>
              </w:rPr>
            </w:pPr>
          </w:p>
        </w:tc>
        <w:tc>
          <w:tcPr>
            <w:tcW w:w="262" w:type="dxa"/>
            <w:tcBorders>
              <w:top w:val="nil"/>
              <w:left w:val="nil"/>
              <w:bottom w:val="nil"/>
              <w:right w:val="single" w:sz="4" w:space="0" w:color="auto"/>
            </w:tcBorders>
            <w:shd w:val="clear" w:color="auto" w:fill="auto"/>
            <w:noWrap/>
            <w:vAlign w:val="bottom"/>
            <w:hideMark/>
          </w:tcPr>
          <w:p w14:paraId="0948A60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62276349"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9DE46E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F535182"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Sex</w:t>
            </w:r>
          </w:p>
        </w:tc>
        <w:tc>
          <w:tcPr>
            <w:tcW w:w="2122" w:type="dxa"/>
            <w:tcBorders>
              <w:top w:val="single" w:sz="4" w:space="0" w:color="auto"/>
              <w:left w:val="nil"/>
              <w:bottom w:val="single" w:sz="4" w:space="0" w:color="auto"/>
              <w:right w:val="single" w:sz="4" w:space="0" w:color="auto"/>
            </w:tcBorders>
            <w:shd w:val="clear" w:color="000000" w:fill="D9D9D9"/>
            <w:noWrap/>
            <w:vAlign w:val="bottom"/>
            <w:hideMark/>
          </w:tcPr>
          <w:p w14:paraId="0A6A9B2E"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proofErr w:type="spellStart"/>
            <w:r w:rsidRPr="00F91833">
              <w:rPr>
                <w:rFonts w:ascii="Calibri Light" w:eastAsia="Times New Roman" w:hAnsi="Calibri Light" w:cs="Calibri Light"/>
                <w:b/>
                <w:bCs/>
                <w:color w:val="000000"/>
              </w:rPr>
              <w:t>Sequening</w:t>
            </w:r>
            <w:proofErr w:type="spellEnd"/>
            <w:r w:rsidRPr="00F91833">
              <w:rPr>
                <w:rFonts w:ascii="Calibri Light" w:eastAsia="Times New Roman" w:hAnsi="Calibri Light" w:cs="Calibri Light"/>
                <w:b/>
                <w:bCs/>
                <w:color w:val="000000"/>
              </w:rPr>
              <w:t xml:space="preserve"> Company</w:t>
            </w:r>
          </w:p>
        </w:tc>
        <w:tc>
          <w:tcPr>
            <w:tcW w:w="2589" w:type="dxa"/>
            <w:tcBorders>
              <w:top w:val="single" w:sz="4" w:space="0" w:color="auto"/>
              <w:left w:val="nil"/>
              <w:bottom w:val="single" w:sz="4" w:space="0" w:color="auto"/>
              <w:right w:val="single" w:sz="4" w:space="0" w:color="auto"/>
            </w:tcBorders>
            <w:shd w:val="clear" w:color="000000" w:fill="D9D9D9"/>
            <w:noWrap/>
            <w:vAlign w:val="bottom"/>
            <w:hideMark/>
          </w:tcPr>
          <w:p w14:paraId="36CFFAF8"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Run ID</w:t>
            </w:r>
          </w:p>
        </w:tc>
        <w:tc>
          <w:tcPr>
            <w:tcW w:w="1721" w:type="dxa"/>
            <w:tcBorders>
              <w:top w:val="single" w:sz="4" w:space="0" w:color="auto"/>
              <w:left w:val="nil"/>
              <w:bottom w:val="single" w:sz="4" w:space="0" w:color="auto"/>
              <w:right w:val="single" w:sz="4" w:space="0" w:color="auto"/>
            </w:tcBorders>
            <w:shd w:val="clear" w:color="000000" w:fill="D9D9D9"/>
            <w:noWrap/>
            <w:vAlign w:val="bottom"/>
            <w:hideMark/>
          </w:tcPr>
          <w:p w14:paraId="63DBCBF7"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Number of Bases</w:t>
            </w:r>
          </w:p>
        </w:tc>
        <w:tc>
          <w:tcPr>
            <w:tcW w:w="1753" w:type="dxa"/>
            <w:tcBorders>
              <w:top w:val="single" w:sz="4" w:space="0" w:color="auto"/>
              <w:left w:val="nil"/>
              <w:bottom w:val="single" w:sz="4" w:space="0" w:color="auto"/>
              <w:right w:val="single" w:sz="4" w:space="0" w:color="auto"/>
            </w:tcBorders>
            <w:shd w:val="clear" w:color="000000" w:fill="D9D9D9"/>
            <w:noWrap/>
            <w:vAlign w:val="bottom"/>
            <w:hideMark/>
          </w:tcPr>
          <w:p w14:paraId="022CB4B3"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Number of Reads</w:t>
            </w:r>
          </w:p>
        </w:tc>
        <w:tc>
          <w:tcPr>
            <w:tcW w:w="1891" w:type="dxa"/>
            <w:tcBorders>
              <w:top w:val="single" w:sz="4" w:space="0" w:color="auto"/>
              <w:left w:val="nil"/>
              <w:bottom w:val="single" w:sz="4" w:space="0" w:color="auto"/>
              <w:right w:val="single" w:sz="4" w:space="0" w:color="auto"/>
            </w:tcBorders>
            <w:shd w:val="clear" w:color="000000" w:fill="D9D9D9"/>
            <w:noWrap/>
            <w:vAlign w:val="bottom"/>
            <w:hideMark/>
          </w:tcPr>
          <w:p w14:paraId="081CF512"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Mean Read Length</w:t>
            </w:r>
          </w:p>
        </w:tc>
        <w:tc>
          <w:tcPr>
            <w:tcW w:w="591" w:type="dxa"/>
            <w:tcBorders>
              <w:top w:val="single" w:sz="4" w:space="0" w:color="auto"/>
              <w:left w:val="nil"/>
              <w:bottom w:val="single" w:sz="4" w:space="0" w:color="auto"/>
              <w:right w:val="single" w:sz="4" w:space="0" w:color="auto"/>
            </w:tcBorders>
            <w:shd w:val="clear" w:color="000000" w:fill="D9D9D9"/>
            <w:noWrap/>
            <w:vAlign w:val="bottom"/>
            <w:hideMark/>
          </w:tcPr>
          <w:p w14:paraId="59F2764D"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GC%</w:t>
            </w:r>
          </w:p>
        </w:tc>
        <w:tc>
          <w:tcPr>
            <w:tcW w:w="2275" w:type="dxa"/>
            <w:tcBorders>
              <w:top w:val="single" w:sz="4" w:space="0" w:color="auto"/>
              <w:left w:val="nil"/>
              <w:bottom w:val="single" w:sz="4" w:space="0" w:color="auto"/>
              <w:right w:val="single" w:sz="4" w:space="0" w:color="auto"/>
            </w:tcBorders>
            <w:shd w:val="clear" w:color="000000" w:fill="D9D9D9"/>
            <w:noWrap/>
            <w:vAlign w:val="bottom"/>
            <w:hideMark/>
          </w:tcPr>
          <w:p w14:paraId="45B152BC" w14:textId="77777777" w:rsidR="000E70AC" w:rsidRPr="00F91833" w:rsidRDefault="000E70AC" w:rsidP="0090469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Average Read Quality*</w:t>
            </w:r>
          </w:p>
        </w:tc>
        <w:tc>
          <w:tcPr>
            <w:tcW w:w="262" w:type="dxa"/>
            <w:tcBorders>
              <w:top w:val="nil"/>
              <w:left w:val="nil"/>
              <w:bottom w:val="nil"/>
              <w:right w:val="single" w:sz="4" w:space="0" w:color="auto"/>
            </w:tcBorders>
            <w:shd w:val="clear" w:color="auto" w:fill="auto"/>
            <w:noWrap/>
            <w:vAlign w:val="bottom"/>
            <w:hideMark/>
          </w:tcPr>
          <w:p w14:paraId="3EBFE0F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2D6672C7"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1C18E0C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017321E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8E89A4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E74275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m64069_201002_215024</w:t>
            </w:r>
          </w:p>
        </w:tc>
        <w:tc>
          <w:tcPr>
            <w:tcW w:w="1721" w:type="dxa"/>
            <w:tcBorders>
              <w:top w:val="nil"/>
              <w:left w:val="nil"/>
              <w:bottom w:val="single" w:sz="4" w:space="0" w:color="auto"/>
              <w:right w:val="single" w:sz="4" w:space="0" w:color="auto"/>
            </w:tcBorders>
            <w:shd w:val="clear" w:color="auto" w:fill="auto"/>
            <w:noWrap/>
            <w:vAlign w:val="bottom"/>
            <w:hideMark/>
          </w:tcPr>
          <w:p w14:paraId="5916B9E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7,617,422,156</w:t>
            </w:r>
          </w:p>
        </w:tc>
        <w:tc>
          <w:tcPr>
            <w:tcW w:w="1753" w:type="dxa"/>
            <w:tcBorders>
              <w:top w:val="nil"/>
              <w:left w:val="nil"/>
              <w:bottom w:val="single" w:sz="4" w:space="0" w:color="auto"/>
              <w:right w:val="single" w:sz="4" w:space="0" w:color="auto"/>
            </w:tcBorders>
            <w:shd w:val="clear" w:color="auto" w:fill="auto"/>
            <w:noWrap/>
            <w:vAlign w:val="bottom"/>
            <w:hideMark/>
          </w:tcPr>
          <w:p w14:paraId="57E5D53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1,275,836</w:t>
            </w:r>
          </w:p>
        </w:tc>
        <w:tc>
          <w:tcPr>
            <w:tcW w:w="1891" w:type="dxa"/>
            <w:tcBorders>
              <w:top w:val="nil"/>
              <w:left w:val="nil"/>
              <w:bottom w:val="single" w:sz="4" w:space="0" w:color="auto"/>
              <w:right w:val="single" w:sz="4" w:space="0" w:color="auto"/>
            </w:tcBorders>
            <w:shd w:val="clear" w:color="auto" w:fill="auto"/>
            <w:noWrap/>
            <w:vAlign w:val="bottom"/>
            <w:hideMark/>
          </w:tcPr>
          <w:p w14:paraId="2730743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5,970</w:t>
            </w:r>
          </w:p>
        </w:tc>
        <w:tc>
          <w:tcPr>
            <w:tcW w:w="591" w:type="dxa"/>
            <w:tcBorders>
              <w:top w:val="nil"/>
              <w:left w:val="nil"/>
              <w:bottom w:val="single" w:sz="4" w:space="0" w:color="auto"/>
              <w:right w:val="single" w:sz="4" w:space="0" w:color="auto"/>
            </w:tcBorders>
            <w:shd w:val="clear" w:color="auto" w:fill="auto"/>
            <w:noWrap/>
            <w:vAlign w:val="bottom"/>
            <w:hideMark/>
          </w:tcPr>
          <w:p w14:paraId="08E763C3"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2FEAD40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36</w:t>
            </w:r>
          </w:p>
        </w:tc>
        <w:tc>
          <w:tcPr>
            <w:tcW w:w="262" w:type="dxa"/>
            <w:tcBorders>
              <w:top w:val="nil"/>
              <w:left w:val="nil"/>
              <w:bottom w:val="nil"/>
              <w:right w:val="single" w:sz="4" w:space="0" w:color="auto"/>
            </w:tcBorders>
            <w:shd w:val="clear" w:color="auto" w:fill="auto"/>
            <w:noWrap/>
            <w:vAlign w:val="bottom"/>
            <w:hideMark/>
          </w:tcPr>
          <w:p w14:paraId="5ED5067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6C9324DA"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4E4E0AD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301DB8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1950921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300EBA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m64069_200830_055940</w:t>
            </w:r>
          </w:p>
        </w:tc>
        <w:tc>
          <w:tcPr>
            <w:tcW w:w="1721" w:type="dxa"/>
            <w:tcBorders>
              <w:top w:val="nil"/>
              <w:left w:val="nil"/>
              <w:bottom w:val="single" w:sz="4" w:space="0" w:color="auto"/>
              <w:right w:val="single" w:sz="4" w:space="0" w:color="auto"/>
            </w:tcBorders>
            <w:shd w:val="clear" w:color="auto" w:fill="auto"/>
            <w:noWrap/>
            <w:vAlign w:val="bottom"/>
            <w:hideMark/>
          </w:tcPr>
          <w:p w14:paraId="155D05B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6,404,937,329</w:t>
            </w:r>
          </w:p>
        </w:tc>
        <w:tc>
          <w:tcPr>
            <w:tcW w:w="1753" w:type="dxa"/>
            <w:tcBorders>
              <w:top w:val="nil"/>
              <w:left w:val="nil"/>
              <w:bottom w:val="single" w:sz="4" w:space="0" w:color="auto"/>
              <w:right w:val="single" w:sz="4" w:space="0" w:color="auto"/>
            </w:tcBorders>
            <w:shd w:val="clear" w:color="auto" w:fill="auto"/>
            <w:noWrap/>
            <w:vAlign w:val="bottom"/>
            <w:hideMark/>
          </w:tcPr>
          <w:p w14:paraId="2CB1F39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624,944</w:t>
            </w:r>
          </w:p>
        </w:tc>
        <w:tc>
          <w:tcPr>
            <w:tcW w:w="1891" w:type="dxa"/>
            <w:tcBorders>
              <w:top w:val="nil"/>
              <w:left w:val="nil"/>
              <w:bottom w:val="single" w:sz="4" w:space="0" w:color="auto"/>
              <w:right w:val="single" w:sz="4" w:space="0" w:color="auto"/>
            </w:tcBorders>
            <w:shd w:val="clear" w:color="auto" w:fill="auto"/>
            <w:noWrap/>
            <w:vAlign w:val="bottom"/>
            <w:hideMark/>
          </w:tcPr>
          <w:p w14:paraId="41DB7A3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10,248</w:t>
            </w:r>
          </w:p>
        </w:tc>
        <w:tc>
          <w:tcPr>
            <w:tcW w:w="591" w:type="dxa"/>
            <w:tcBorders>
              <w:top w:val="nil"/>
              <w:left w:val="nil"/>
              <w:bottom w:val="single" w:sz="4" w:space="0" w:color="auto"/>
              <w:right w:val="single" w:sz="4" w:space="0" w:color="auto"/>
            </w:tcBorders>
            <w:shd w:val="clear" w:color="auto" w:fill="auto"/>
            <w:noWrap/>
            <w:vAlign w:val="bottom"/>
            <w:hideMark/>
          </w:tcPr>
          <w:p w14:paraId="1BED7CC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00D9D45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3FB3B77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4A9802F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63F9C0D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7F671B6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193BDA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0BDE706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m64069_200603_183739</w:t>
            </w:r>
          </w:p>
        </w:tc>
        <w:tc>
          <w:tcPr>
            <w:tcW w:w="1721" w:type="dxa"/>
            <w:tcBorders>
              <w:top w:val="nil"/>
              <w:left w:val="nil"/>
              <w:bottom w:val="single" w:sz="4" w:space="0" w:color="auto"/>
              <w:right w:val="single" w:sz="4" w:space="0" w:color="auto"/>
            </w:tcBorders>
            <w:shd w:val="clear" w:color="auto" w:fill="auto"/>
            <w:noWrap/>
            <w:vAlign w:val="bottom"/>
            <w:hideMark/>
          </w:tcPr>
          <w:p w14:paraId="6F89F72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13,962,511,851</w:t>
            </w:r>
          </w:p>
        </w:tc>
        <w:tc>
          <w:tcPr>
            <w:tcW w:w="1753" w:type="dxa"/>
            <w:tcBorders>
              <w:top w:val="nil"/>
              <w:left w:val="nil"/>
              <w:bottom w:val="single" w:sz="4" w:space="0" w:color="auto"/>
              <w:right w:val="single" w:sz="4" w:space="0" w:color="auto"/>
            </w:tcBorders>
            <w:shd w:val="clear" w:color="auto" w:fill="auto"/>
            <w:noWrap/>
            <w:vAlign w:val="bottom"/>
            <w:hideMark/>
          </w:tcPr>
          <w:p w14:paraId="1ADA882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840,724</w:t>
            </w:r>
          </w:p>
        </w:tc>
        <w:tc>
          <w:tcPr>
            <w:tcW w:w="1891" w:type="dxa"/>
            <w:tcBorders>
              <w:top w:val="nil"/>
              <w:left w:val="nil"/>
              <w:bottom w:val="single" w:sz="4" w:space="0" w:color="auto"/>
              <w:right w:val="single" w:sz="4" w:space="0" w:color="auto"/>
            </w:tcBorders>
            <w:shd w:val="clear" w:color="auto" w:fill="auto"/>
            <w:noWrap/>
            <w:vAlign w:val="bottom"/>
            <w:hideMark/>
          </w:tcPr>
          <w:p w14:paraId="4CA7026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16,607</w:t>
            </w:r>
          </w:p>
        </w:tc>
        <w:tc>
          <w:tcPr>
            <w:tcW w:w="591" w:type="dxa"/>
            <w:tcBorders>
              <w:top w:val="nil"/>
              <w:left w:val="nil"/>
              <w:bottom w:val="single" w:sz="4" w:space="0" w:color="auto"/>
              <w:right w:val="single" w:sz="4" w:space="0" w:color="auto"/>
            </w:tcBorders>
            <w:shd w:val="clear" w:color="auto" w:fill="auto"/>
            <w:noWrap/>
            <w:vAlign w:val="bottom"/>
            <w:hideMark/>
          </w:tcPr>
          <w:p w14:paraId="3E153F3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50278B4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30</w:t>
            </w:r>
          </w:p>
        </w:tc>
        <w:tc>
          <w:tcPr>
            <w:tcW w:w="262" w:type="dxa"/>
            <w:tcBorders>
              <w:top w:val="nil"/>
              <w:left w:val="nil"/>
              <w:bottom w:val="nil"/>
              <w:right w:val="single" w:sz="4" w:space="0" w:color="auto"/>
            </w:tcBorders>
            <w:shd w:val="clear" w:color="auto" w:fill="auto"/>
            <w:noWrap/>
            <w:vAlign w:val="bottom"/>
            <w:hideMark/>
          </w:tcPr>
          <w:p w14:paraId="181722A0"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36F59FF0"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44B638A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1DA7919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4088450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6CD508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m64069_200220_045555</w:t>
            </w:r>
          </w:p>
        </w:tc>
        <w:tc>
          <w:tcPr>
            <w:tcW w:w="1721" w:type="dxa"/>
            <w:tcBorders>
              <w:top w:val="nil"/>
              <w:left w:val="nil"/>
              <w:bottom w:val="single" w:sz="4" w:space="0" w:color="auto"/>
              <w:right w:val="single" w:sz="4" w:space="0" w:color="auto"/>
            </w:tcBorders>
            <w:shd w:val="clear" w:color="auto" w:fill="auto"/>
            <w:noWrap/>
            <w:vAlign w:val="bottom"/>
            <w:hideMark/>
          </w:tcPr>
          <w:p w14:paraId="4D97E26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23,993,220,246</w:t>
            </w:r>
          </w:p>
        </w:tc>
        <w:tc>
          <w:tcPr>
            <w:tcW w:w="1753" w:type="dxa"/>
            <w:tcBorders>
              <w:top w:val="nil"/>
              <w:left w:val="nil"/>
              <w:bottom w:val="single" w:sz="4" w:space="0" w:color="auto"/>
              <w:right w:val="single" w:sz="4" w:space="0" w:color="auto"/>
            </w:tcBorders>
            <w:shd w:val="clear" w:color="auto" w:fill="auto"/>
            <w:noWrap/>
            <w:vAlign w:val="bottom"/>
            <w:hideMark/>
          </w:tcPr>
          <w:p w14:paraId="56D45CB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2,054,534</w:t>
            </w:r>
          </w:p>
        </w:tc>
        <w:tc>
          <w:tcPr>
            <w:tcW w:w="1891" w:type="dxa"/>
            <w:tcBorders>
              <w:top w:val="nil"/>
              <w:left w:val="nil"/>
              <w:bottom w:val="single" w:sz="4" w:space="0" w:color="auto"/>
              <w:right w:val="single" w:sz="4" w:space="0" w:color="auto"/>
            </w:tcBorders>
            <w:shd w:val="clear" w:color="auto" w:fill="auto"/>
            <w:noWrap/>
            <w:vAlign w:val="bottom"/>
            <w:hideMark/>
          </w:tcPr>
          <w:p w14:paraId="2BF571C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11,678</w:t>
            </w:r>
          </w:p>
        </w:tc>
        <w:tc>
          <w:tcPr>
            <w:tcW w:w="591" w:type="dxa"/>
            <w:tcBorders>
              <w:top w:val="nil"/>
              <w:left w:val="nil"/>
              <w:bottom w:val="single" w:sz="4" w:space="0" w:color="auto"/>
              <w:right w:val="single" w:sz="4" w:space="0" w:color="auto"/>
            </w:tcBorders>
            <w:shd w:val="clear" w:color="auto" w:fill="auto"/>
            <w:noWrap/>
            <w:vAlign w:val="bottom"/>
            <w:hideMark/>
          </w:tcPr>
          <w:p w14:paraId="021BD4D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275" w:type="dxa"/>
            <w:tcBorders>
              <w:top w:val="nil"/>
              <w:left w:val="nil"/>
              <w:bottom w:val="single" w:sz="4" w:space="0" w:color="auto"/>
              <w:right w:val="single" w:sz="4" w:space="0" w:color="auto"/>
            </w:tcBorders>
            <w:shd w:val="clear" w:color="auto" w:fill="auto"/>
            <w:noWrap/>
            <w:vAlign w:val="bottom"/>
            <w:hideMark/>
          </w:tcPr>
          <w:p w14:paraId="00BFF56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35</w:t>
            </w:r>
          </w:p>
        </w:tc>
        <w:tc>
          <w:tcPr>
            <w:tcW w:w="262" w:type="dxa"/>
            <w:tcBorders>
              <w:top w:val="nil"/>
              <w:left w:val="nil"/>
              <w:bottom w:val="nil"/>
              <w:right w:val="single" w:sz="4" w:space="0" w:color="auto"/>
            </w:tcBorders>
            <w:shd w:val="clear" w:color="auto" w:fill="auto"/>
            <w:noWrap/>
            <w:vAlign w:val="bottom"/>
            <w:hideMark/>
          </w:tcPr>
          <w:p w14:paraId="5F36089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7CD2D97"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8057B4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55580CE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2DF3717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6F5434D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m64069_200211_020731</w:t>
            </w:r>
          </w:p>
        </w:tc>
        <w:tc>
          <w:tcPr>
            <w:tcW w:w="1721" w:type="dxa"/>
            <w:tcBorders>
              <w:top w:val="nil"/>
              <w:left w:val="nil"/>
              <w:bottom w:val="single" w:sz="4" w:space="0" w:color="auto"/>
              <w:right w:val="single" w:sz="4" w:space="0" w:color="auto"/>
            </w:tcBorders>
            <w:shd w:val="clear" w:color="auto" w:fill="auto"/>
            <w:noWrap/>
            <w:vAlign w:val="bottom"/>
            <w:hideMark/>
          </w:tcPr>
          <w:p w14:paraId="0C7B59A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11,151,984,598</w:t>
            </w:r>
          </w:p>
        </w:tc>
        <w:tc>
          <w:tcPr>
            <w:tcW w:w="1753" w:type="dxa"/>
            <w:tcBorders>
              <w:top w:val="nil"/>
              <w:left w:val="nil"/>
              <w:bottom w:val="single" w:sz="4" w:space="0" w:color="auto"/>
              <w:right w:val="single" w:sz="4" w:space="0" w:color="auto"/>
            </w:tcBorders>
            <w:shd w:val="clear" w:color="auto" w:fill="auto"/>
            <w:noWrap/>
            <w:vAlign w:val="bottom"/>
            <w:hideMark/>
          </w:tcPr>
          <w:p w14:paraId="732AE46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1,040,599</w:t>
            </w:r>
          </w:p>
        </w:tc>
        <w:tc>
          <w:tcPr>
            <w:tcW w:w="1891" w:type="dxa"/>
            <w:tcBorders>
              <w:top w:val="nil"/>
              <w:left w:val="nil"/>
              <w:bottom w:val="single" w:sz="4" w:space="0" w:color="auto"/>
              <w:right w:val="single" w:sz="4" w:space="0" w:color="auto"/>
            </w:tcBorders>
            <w:shd w:val="clear" w:color="auto" w:fill="auto"/>
            <w:noWrap/>
            <w:vAlign w:val="bottom"/>
            <w:hideMark/>
          </w:tcPr>
          <w:p w14:paraId="4F8A59D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10,716</w:t>
            </w:r>
          </w:p>
        </w:tc>
        <w:tc>
          <w:tcPr>
            <w:tcW w:w="591" w:type="dxa"/>
            <w:tcBorders>
              <w:top w:val="nil"/>
              <w:left w:val="nil"/>
              <w:bottom w:val="single" w:sz="4" w:space="0" w:color="auto"/>
              <w:right w:val="single" w:sz="4" w:space="0" w:color="auto"/>
            </w:tcBorders>
            <w:shd w:val="clear" w:color="auto" w:fill="auto"/>
            <w:noWrap/>
            <w:vAlign w:val="bottom"/>
            <w:hideMark/>
          </w:tcPr>
          <w:p w14:paraId="09A4FC4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44%</w:t>
            </w:r>
          </w:p>
        </w:tc>
        <w:tc>
          <w:tcPr>
            <w:tcW w:w="2275" w:type="dxa"/>
            <w:tcBorders>
              <w:top w:val="nil"/>
              <w:left w:val="nil"/>
              <w:bottom w:val="single" w:sz="4" w:space="0" w:color="auto"/>
              <w:right w:val="single" w:sz="4" w:space="0" w:color="auto"/>
            </w:tcBorders>
            <w:shd w:val="clear" w:color="auto" w:fill="auto"/>
            <w:noWrap/>
            <w:vAlign w:val="bottom"/>
            <w:hideMark/>
          </w:tcPr>
          <w:p w14:paraId="196DDBC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26940694"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59FE53CD"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355ABAD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74BDD04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0EBD9E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63146AD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10X_R1_F</w:t>
            </w:r>
          </w:p>
        </w:tc>
        <w:tc>
          <w:tcPr>
            <w:tcW w:w="1721" w:type="dxa"/>
            <w:tcBorders>
              <w:top w:val="nil"/>
              <w:left w:val="nil"/>
              <w:bottom w:val="single" w:sz="4" w:space="0" w:color="auto"/>
              <w:right w:val="single" w:sz="4" w:space="0" w:color="auto"/>
            </w:tcBorders>
            <w:shd w:val="clear" w:color="auto" w:fill="auto"/>
            <w:noWrap/>
            <w:vAlign w:val="bottom"/>
            <w:hideMark/>
          </w:tcPr>
          <w:p w14:paraId="2153526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94,825,601,818</w:t>
            </w:r>
          </w:p>
        </w:tc>
        <w:tc>
          <w:tcPr>
            <w:tcW w:w="1753" w:type="dxa"/>
            <w:tcBorders>
              <w:top w:val="nil"/>
              <w:left w:val="nil"/>
              <w:bottom w:val="single" w:sz="4" w:space="0" w:color="auto"/>
              <w:right w:val="single" w:sz="4" w:space="0" w:color="auto"/>
            </w:tcBorders>
            <w:shd w:val="clear" w:color="auto" w:fill="auto"/>
            <w:noWrap/>
            <w:vAlign w:val="bottom"/>
            <w:hideMark/>
          </w:tcPr>
          <w:p w14:paraId="148C4DC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627,984,118</w:t>
            </w:r>
          </w:p>
        </w:tc>
        <w:tc>
          <w:tcPr>
            <w:tcW w:w="1891" w:type="dxa"/>
            <w:tcBorders>
              <w:top w:val="nil"/>
              <w:left w:val="nil"/>
              <w:bottom w:val="single" w:sz="4" w:space="0" w:color="auto"/>
              <w:right w:val="single" w:sz="4" w:space="0" w:color="auto"/>
            </w:tcBorders>
            <w:shd w:val="clear" w:color="auto" w:fill="auto"/>
            <w:noWrap/>
            <w:vAlign w:val="bottom"/>
            <w:hideMark/>
          </w:tcPr>
          <w:p w14:paraId="658F718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4B040DE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51%</w:t>
            </w:r>
          </w:p>
        </w:tc>
        <w:tc>
          <w:tcPr>
            <w:tcW w:w="2275" w:type="dxa"/>
            <w:tcBorders>
              <w:top w:val="nil"/>
              <w:left w:val="nil"/>
              <w:bottom w:val="single" w:sz="4" w:space="0" w:color="auto"/>
              <w:right w:val="single" w:sz="4" w:space="0" w:color="auto"/>
            </w:tcBorders>
            <w:shd w:val="clear" w:color="auto" w:fill="auto"/>
            <w:noWrap/>
            <w:vAlign w:val="bottom"/>
            <w:hideMark/>
          </w:tcPr>
          <w:p w14:paraId="7596556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2356F4E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72718D13"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CE1D26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4E51F869"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9B3AE0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3D294E1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10X_R2_F</w:t>
            </w:r>
          </w:p>
        </w:tc>
        <w:tc>
          <w:tcPr>
            <w:tcW w:w="1721" w:type="dxa"/>
            <w:tcBorders>
              <w:top w:val="nil"/>
              <w:left w:val="nil"/>
              <w:bottom w:val="single" w:sz="4" w:space="0" w:color="auto"/>
              <w:right w:val="single" w:sz="4" w:space="0" w:color="auto"/>
            </w:tcBorders>
            <w:shd w:val="clear" w:color="auto" w:fill="auto"/>
            <w:noWrap/>
            <w:vAlign w:val="bottom"/>
            <w:hideMark/>
          </w:tcPr>
          <w:p w14:paraId="74A59D9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94,825,601,818</w:t>
            </w:r>
          </w:p>
        </w:tc>
        <w:tc>
          <w:tcPr>
            <w:tcW w:w="1753" w:type="dxa"/>
            <w:tcBorders>
              <w:top w:val="nil"/>
              <w:left w:val="nil"/>
              <w:bottom w:val="single" w:sz="4" w:space="0" w:color="auto"/>
              <w:right w:val="single" w:sz="4" w:space="0" w:color="auto"/>
            </w:tcBorders>
            <w:shd w:val="clear" w:color="auto" w:fill="auto"/>
            <w:noWrap/>
            <w:vAlign w:val="bottom"/>
            <w:hideMark/>
          </w:tcPr>
          <w:p w14:paraId="109CD1B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627,984,118</w:t>
            </w:r>
          </w:p>
        </w:tc>
        <w:tc>
          <w:tcPr>
            <w:tcW w:w="1891" w:type="dxa"/>
            <w:tcBorders>
              <w:top w:val="nil"/>
              <w:left w:val="nil"/>
              <w:bottom w:val="single" w:sz="4" w:space="0" w:color="auto"/>
              <w:right w:val="single" w:sz="4" w:space="0" w:color="auto"/>
            </w:tcBorders>
            <w:shd w:val="clear" w:color="auto" w:fill="auto"/>
            <w:noWrap/>
            <w:vAlign w:val="bottom"/>
            <w:hideMark/>
          </w:tcPr>
          <w:p w14:paraId="6B2694E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422A3A1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51%</w:t>
            </w:r>
          </w:p>
        </w:tc>
        <w:tc>
          <w:tcPr>
            <w:tcW w:w="2275" w:type="dxa"/>
            <w:tcBorders>
              <w:top w:val="nil"/>
              <w:left w:val="nil"/>
              <w:bottom w:val="single" w:sz="4" w:space="0" w:color="auto"/>
              <w:right w:val="single" w:sz="4" w:space="0" w:color="auto"/>
            </w:tcBorders>
            <w:shd w:val="clear" w:color="auto" w:fill="auto"/>
            <w:noWrap/>
            <w:vAlign w:val="bottom"/>
            <w:hideMark/>
          </w:tcPr>
          <w:p w14:paraId="6902EFE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32</w:t>
            </w:r>
          </w:p>
        </w:tc>
        <w:tc>
          <w:tcPr>
            <w:tcW w:w="262" w:type="dxa"/>
            <w:tcBorders>
              <w:top w:val="nil"/>
              <w:left w:val="nil"/>
              <w:bottom w:val="nil"/>
              <w:right w:val="single" w:sz="4" w:space="0" w:color="auto"/>
            </w:tcBorders>
            <w:shd w:val="clear" w:color="auto" w:fill="auto"/>
            <w:noWrap/>
            <w:vAlign w:val="bottom"/>
            <w:hideMark/>
          </w:tcPr>
          <w:p w14:paraId="30BA3434"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BE67425"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093DF81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963F45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7AA22B0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3A58F7C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10X_R1_M</w:t>
            </w:r>
          </w:p>
        </w:tc>
        <w:tc>
          <w:tcPr>
            <w:tcW w:w="1721" w:type="dxa"/>
            <w:tcBorders>
              <w:top w:val="nil"/>
              <w:left w:val="nil"/>
              <w:bottom w:val="single" w:sz="4" w:space="0" w:color="auto"/>
              <w:right w:val="single" w:sz="4" w:space="0" w:color="auto"/>
            </w:tcBorders>
            <w:shd w:val="clear" w:color="auto" w:fill="auto"/>
            <w:noWrap/>
            <w:vAlign w:val="bottom"/>
            <w:hideMark/>
          </w:tcPr>
          <w:p w14:paraId="022606C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65,806,680,934</w:t>
            </w:r>
          </w:p>
        </w:tc>
        <w:tc>
          <w:tcPr>
            <w:tcW w:w="1753" w:type="dxa"/>
            <w:tcBorders>
              <w:top w:val="nil"/>
              <w:left w:val="nil"/>
              <w:bottom w:val="single" w:sz="4" w:space="0" w:color="auto"/>
              <w:right w:val="single" w:sz="4" w:space="0" w:color="auto"/>
            </w:tcBorders>
            <w:shd w:val="clear" w:color="auto" w:fill="auto"/>
            <w:noWrap/>
            <w:vAlign w:val="bottom"/>
            <w:hideMark/>
          </w:tcPr>
          <w:p w14:paraId="07DEBB5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435,805,834</w:t>
            </w:r>
          </w:p>
        </w:tc>
        <w:tc>
          <w:tcPr>
            <w:tcW w:w="1891" w:type="dxa"/>
            <w:tcBorders>
              <w:top w:val="nil"/>
              <w:left w:val="nil"/>
              <w:bottom w:val="single" w:sz="4" w:space="0" w:color="auto"/>
              <w:right w:val="single" w:sz="4" w:space="0" w:color="auto"/>
            </w:tcBorders>
            <w:shd w:val="clear" w:color="auto" w:fill="auto"/>
            <w:noWrap/>
            <w:vAlign w:val="bottom"/>
            <w:hideMark/>
          </w:tcPr>
          <w:p w14:paraId="06C5B12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692B017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49%</w:t>
            </w:r>
          </w:p>
        </w:tc>
        <w:tc>
          <w:tcPr>
            <w:tcW w:w="2275" w:type="dxa"/>
            <w:tcBorders>
              <w:top w:val="nil"/>
              <w:left w:val="nil"/>
              <w:bottom w:val="single" w:sz="4" w:space="0" w:color="auto"/>
              <w:right w:val="single" w:sz="4" w:space="0" w:color="auto"/>
            </w:tcBorders>
            <w:shd w:val="clear" w:color="auto" w:fill="auto"/>
            <w:noWrap/>
            <w:vAlign w:val="bottom"/>
            <w:hideMark/>
          </w:tcPr>
          <w:p w14:paraId="31E5673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34</w:t>
            </w:r>
          </w:p>
        </w:tc>
        <w:tc>
          <w:tcPr>
            <w:tcW w:w="262" w:type="dxa"/>
            <w:tcBorders>
              <w:top w:val="nil"/>
              <w:left w:val="nil"/>
              <w:bottom w:val="nil"/>
              <w:right w:val="single" w:sz="4" w:space="0" w:color="auto"/>
            </w:tcBorders>
            <w:shd w:val="clear" w:color="auto" w:fill="auto"/>
            <w:noWrap/>
            <w:vAlign w:val="bottom"/>
            <w:hideMark/>
          </w:tcPr>
          <w:p w14:paraId="48B67D0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1E11CA2B"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73026EA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3F5CEEB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6B3FA74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0401D1E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10X_R2_M</w:t>
            </w:r>
          </w:p>
        </w:tc>
        <w:tc>
          <w:tcPr>
            <w:tcW w:w="1721" w:type="dxa"/>
            <w:tcBorders>
              <w:top w:val="nil"/>
              <w:left w:val="nil"/>
              <w:bottom w:val="single" w:sz="4" w:space="0" w:color="auto"/>
              <w:right w:val="single" w:sz="4" w:space="0" w:color="auto"/>
            </w:tcBorders>
            <w:shd w:val="clear" w:color="auto" w:fill="auto"/>
            <w:noWrap/>
            <w:vAlign w:val="bottom"/>
            <w:hideMark/>
          </w:tcPr>
          <w:p w14:paraId="54DE1C86"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65,806,680,934</w:t>
            </w:r>
          </w:p>
        </w:tc>
        <w:tc>
          <w:tcPr>
            <w:tcW w:w="1753" w:type="dxa"/>
            <w:tcBorders>
              <w:top w:val="nil"/>
              <w:left w:val="nil"/>
              <w:bottom w:val="single" w:sz="4" w:space="0" w:color="auto"/>
              <w:right w:val="single" w:sz="4" w:space="0" w:color="auto"/>
            </w:tcBorders>
            <w:shd w:val="clear" w:color="auto" w:fill="auto"/>
            <w:noWrap/>
            <w:vAlign w:val="bottom"/>
            <w:hideMark/>
          </w:tcPr>
          <w:p w14:paraId="67F934D1"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435,805,834</w:t>
            </w:r>
          </w:p>
        </w:tc>
        <w:tc>
          <w:tcPr>
            <w:tcW w:w="1891" w:type="dxa"/>
            <w:tcBorders>
              <w:top w:val="nil"/>
              <w:left w:val="nil"/>
              <w:bottom w:val="single" w:sz="4" w:space="0" w:color="auto"/>
              <w:right w:val="single" w:sz="4" w:space="0" w:color="auto"/>
            </w:tcBorders>
            <w:shd w:val="clear" w:color="auto" w:fill="auto"/>
            <w:noWrap/>
            <w:vAlign w:val="bottom"/>
            <w:hideMark/>
          </w:tcPr>
          <w:p w14:paraId="5E6C249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75C4BFEB"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49%</w:t>
            </w:r>
          </w:p>
        </w:tc>
        <w:tc>
          <w:tcPr>
            <w:tcW w:w="2275" w:type="dxa"/>
            <w:tcBorders>
              <w:top w:val="nil"/>
              <w:left w:val="nil"/>
              <w:bottom w:val="single" w:sz="4" w:space="0" w:color="auto"/>
              <w:right w:val="single" w:sz="4" w:space="0" w:color="auto"/>
            </w:tcBorders>
            <w:shd w:val="clear" w:color="auto" w:fill="auto"/>
            <w:noWrap/>
            <w:vAlign w:val="bottom"/>
            <w:hideMark/>
          </w:tcPr>
          <w:p w14:paraId="18039F5F"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32</w:t>
            </w:r>
          </w:p>
        </w:tc>
        <w:tc>
          <w:tcPr>
            <w:tcW w:w="262" w:type="dxa"/>
            <w:tcBorders>
              <w:top w:val="nil"/>
              <w:left w:val="nil"/>
              <w:bottom w:val="nil"/>
              <w:right w:val="single" w:sz="4" w:space="0" w:color="auto"/>
            </w:tcBorders>
            <w:shd w:val="clear" w:color="auto" w:fill="auto"/>
            <w:noWrap/>
            <w:vAlign w:val="bottom"/>
            <w:hideMark/>
          </w:tcPr>
          <w:p w14:paraId="5E05C2D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23C36F3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2B858F57"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3DD8CD8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4151947A"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Phase Genomics Hi-C</w:t>
            </w:r>
          </w:p>
        </w:tc>
        <w:tc>
          <w:tcPr>
            <w:tcW w:w="2589" w:type="dxa"/>
            <w:tcBorders>
              <w:top w:val="nil"/>
              <w:left w:val="nil"/>
              <w:bottom w:val="single" w:sz="4" w:space="0" w:color="auto"/>
              <w:right w:val="single" w:sz="4" w:space="0" w:color="auto"/>
            </w:tcBorders>
            <w:shd w:val="clear" w:color="auto" w:fill="auto"/>
            <w:noWrap/>
            <w:vAlign w:val="bottom"/>
            <w:hideMark/>
          </w:tcPr>
          <w:p w14:paraId="71B9DD6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hic_R1_F</w:t>
            </w:r>
          </w:p>
        </w:tc>
        <w:tc>
          <w:tcPr>
            <w:tcW w:w="1721" w:type="dxa"/>
            <w:tcBorders>
              <w:top w:val="nil"/>
              <w:left w:val="nil"/>
              <w:bottom w:val="single" w:sz="4" w:space="0" w:color="auto"/>
              <w:right w:val="single" w:sz="4" w:space="0" w:color="auto"/>
            </w:tcBorders>
            <w:shd w:val="clear" w:color="auto" w:fill="auto"/>
            <w:noWrap/>
            <w:vAlign w:val="bottom"/>
            <w:hideMark/>
          </w:tcPr>
          <w:p w14:paraId="026F33B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13,116,671,550</w:t>
            </w:r>
          </w:p>
        </w:tc>
        <w:tc>
          <w:tcPr>
            <w:tcW w:w="1753" w:type="dxa"/>
            <w:tcBorders>
              <w:top w:val="nil"/>
              <w:left w:val="nil"/>
              <w:bottom w:val="single" w:sz="4" w:space="0" w:color="auto"/>
              <w:right w:val="single" w:sz="4" w:space="0" w:color="auto"/>
            </w:tcBorders>
            <w:shd w:val="clear" w:color="auto" w:fill="auto"/>
            <w:noWrap/>
            <w:vAlign w:val="bottom"/>
            <w:hideMark/>
          </w:tcPr>
          <w:p w14:paraId="7F1F22EE"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87,444,477</w:t>
            </w:r>
          </w:p>
        </w:tc>
        <w:tc>
          <w:tcPr>
            <w:tcW w:w="1891" w:type="dxa"/>
            <w:tcBorders>
              <w:top w:val="nil"/>
              <w:left w:val="nil"/>
              <w:bottom w:val="single" w:sz="4" w:space="0" w:color="auto"/>
              <w:right w:val="single" w:sz="4" w:space="0" w:color="auto"/>
            </w:tcBorders>
            <w:shd w:val="clear" w:color="auto" w:fill="auto"/>
            <w:noWrap/>
            <w:vAlign w:val="bottom"/>
            <w:hideMark/>
          </w:tcPr>
          <w:p w14:paraId="688BFA8C"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150</w:t>
            </w:r>
          </w:p>
        </w:tc>
        <w:tc>
          <w:tcPr>
            <w:tcW w:w="591" w:type="dxa"/>
            <w:tcBorders>
              <w:top w:val="nil"/>
              <w:left w:val="nil"/>
              <w:bottom w:val="single" w:sz="4" w:space="0" w:color="auto"/>
              <w:right w:val="single" w:sz="4" w:space="0" w:color="auto"/>
            </w:tcBorders>
            <w:shd w:val="clear" w:color="auto" w:fill="auto"/>
            <w:noWrap/>
            <w:vAlign w:val="bottom"/>
            <w:hideMark/>
          </w:tcPr>
          <w:p w14:paraId="5D17C7F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46%</w:t>
            </w:r>
          </w:p>
        </w:tc>
        <w:tc>
          <w:tcPr>
            <w:tcW w:w="2275" w:type="dxa"/>
            <w:tcBorders>
              <w:top w:val="nil"/>
              <w:left w:val="nil"/>
              <w:bottom w:val="single" w:sz="4" w:space="0" w:color="auto"/>
              <w:right w:val="single" w:sz="4" w:space="0" w:color="auto"/>
            </w:tcBorders>
            <w:shd w:val="clear" w:color="auto" w:fill="auto"/>
            <w:noWrap/>
            <w:vAlign w:val="bottom"/>
            <w:hideMark/>
          </w:tcPr>
          <w:p w14:paraId="745F3947"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38</w:t>
            </w:r>
          </w:p>
        </w:tc>
        <w:tc>
          <w:tcPr>
            <w:tcW w:w="262" w:type="dxa"/>
            <w:tcBorders>
              <w:top w:val="nil"/>
              <w:left w:val="nil"/>
              <w:bottom w:val="nil"/>
              <w:right w:val="single" w:sz="4" w:space="0" w:color="auto"/>
            </w:tcBorders>
            <w:shd w:val="clear" w:color="auto" w:fill="auto"/>
            <w:noWrap/>
            <w:vAlign w:val="bottom"/>
            <w:hideMark/>
          </w:tcPr>
          <w:p w14:paraId="04253DE0"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3A2B7992"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1B8DD38B"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AF9311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4DC548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Phase Genomics Hi-C</w:t>
            </w:r>
          </w:p>
        </w:tc>
        <w:tc>
          <w:tcPr>
            <w:tcW w:w="2589" w:type="dxa"/>
            <w:tcBorders>
              <w:top w:val="nil"/>
              <w:left w:val="nil"/>
              <w:bottom w:val="single" w:sz="4" w:space="0" w:color="auto"/>
              <w:right w:val="single" w:sz="4" w:space="0" w:color="auto"/>
            </w:tcBorders>
            <w:shd w:val="clear" w:color="auto" w:fill="auto"/>
            <w:noWrap/>
            <w:vAlign w:val="bottom"/>
            <w:hideMark/>
          </w:tcPr>
          <w:p w14:paraId="03A2D852"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hic_R2_F</w:t>
            </w:r>
          </w:p>
        </w:tc>
        <w:tc>
          <w:tcPr>
            <w:tcW w:w="1721" w:type="dxa"/>
            <w:tcBorders>
              <w:top w:val="nil"/>
              <w:left w:val="nil"/>
              <w:bottom w:val="single" w:sz="4" w:space="0" w:color="auto"/>
              <w:right w:val="single" w:sz="4" w:space="0" w:color="auto"/>
            </w:tcBorders>
            <w:shd w:val="clear" w:color="auto" w:fill="auto"/>
            <w:noWrap/>
            <w:vAlign w:val="bottom"/>
            <w:hideMark/>
          </w:tcPr>
          <w:p w14:paraId="19517425"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13,116,671,550</w:t>
            </w:r>
          </w:p>
        </w:tc>
        <w:tc>
          <w:tcPr>
            <w:tcW w:w="1753" w:type="dxa"/>
            <w:tcBorders>
              <w:top w:val="nil"/>
              <w:left w:val="nil"/>
              <w:bottom w:val="single" w:sz="4" w:space="0" w:color="auto"/>
              <w:right w:val="single" w:sz="4" w:space="0" w:color="auto"/>
            </w:tcBorders>
            <w:shd w:val="clear" w:color="auto" w:fill="auto"/>
            <w:noWrap/>
            <w:vAlign w:val="bottom"/>
            <w:hideMark/>
          </w:tcPr>
          <w:p w14:paraId="64E16550"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87,444,477</w:t>
            </w:r>
          </w:p>
        </w:tc>
        <w:tc>
          <w:tcPr>
            <w:tcW w:w="1891" w:type="dxa"/>
            <w:tcBorders>
              <w:top w:val="nil"/>
              <w:left w:val="nil"/>
              <w:bottom w:val="single" w:sz="4" w:space="0" w:color="auto"/>
              <w:right w:val="single" w:sz="4" w:space="0" w:color="auto"/>
            </w:tcBorders>
            <w:shd w:val="clear" w:color="auto" w:fill="auto"/>
            <w:noWrap/>
            <w:vAlign w:val="bottom"/>
            <w:hideMark/>
          </w:tcPr>
          <w:p w14:paraId="35F89EE8"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150</w:t>
            </w:r>
          </w:p>
        </w:tc>
        <w:tc>
          <w:tcPr>
            <w:tcW w:w="591" w:type="dxa"/>
            <w:tcBorders>
              <w:top w:val="nil"/>
              <w:left w:val="nil"/>
              <w:bottom w:val="single" w:sz="4" w:space="0" w:color="auto"/>
              <w:right w:val="single" w:sz="4" w:space="0" w:color="auto"/>
            </w:tcBorders>
            <w:shd w:val="clear" w:color="auto" w:fill="auto"/>
            <w:noWrap/>
            <w:vAlign w:val="bottom"/>
            <w:hideMark/>
          </w:tcPr>
          <w:p w14:paraId="1DF4F2E4"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46%</w:t>
            </w:r>
          </w:p>
        </w:tc>
        <w:tc>
          <w:tcPr>
            <w:tcW w:w="2275" w:type="dxa"/>
            <w:tcBorders>
              <w:top w:val="nil"/>
              <w:left w:val="nil"/>
              <w:bottom w:val="single" w:sz="4" w:space="0" w:color="auto"/>
              <w:right w:val="single" w:sz="4" w:space="0" w:color="auto"/>
            </w:tcBorders>
            <w:shd w:val="clear" w:color="auto" w:fill="auto"/>
            <w:noWrap/>
            <w:vAlign w:val="bottom"/>
            <w:hideMark/>
          </w:tcPr>
          <w:p w14:paraId="5916C8AD" w14:textId="77777777" w:rsidR="000E70AC" w:rsidRPr="00F91833" w:rsidRDefault="000E70AC" w:rsidP="0090469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36</w:t>
            </w:r>
          </w:p>
        </w:tc>
        <w:tc>
          <w:tcPr>
            <w:tcW w:w="262" w:type="dxa"/>
            <w:tcBorders>
              <w:top w:val="nil"/>
              <w:left w:val="nil"/>
              <w:bottom w:val="nil"/>
              <w:right w:val="single" w:sz="4" w:space="0" w:color="auto"/>
            </w:tcBorders>
            <w:shd w:val="clear" w:color="auto" w:fill="auto"/>
            <w:noWrap/>
            <w:vAlign w:val="bottom"/>
            <w:hideMark/>
          </w:tcPr>
          <w:p w14:paraId="5A1D895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01B9B8A4" w14:textId="77777777" w:rsidTr="00317A9B">
        <w:trPr>
          <w:trHeight w:val="280"/>
          <w:jc w:val="center"/>
        </w:trPr>
        <w:tc>
          <w:tcPr>
            <w:tcW w:w="262" w:type="dxa"/>
            <w:tcBorders>
              <w:top w:val="nil"/>
              <w:left w:val="single" w:sz="4" w:space="0" w:color="auto"/>
              <w:bottom w:val="nil"/>
              <w:right w:val="nil"/>
            </w:tcBorders>
            <w:shd w:val="clear" w:color="auto" w:fill="auto"/>
            <w:noWrap/>
            <w:vAlign w:val="bottom"/>
            <w:hideMark/>
          </w:tcPr>
          <w:p w14:paraId="30E3A62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3432" w:type="dxa"/>
            <w:gridSpan w:val="8"/>
            <w:tcBorders>
              <w:top w:val="single" w:sz="4" w:space="0" w:color="auto"/>
              <w:left w:val="nil"/>
              <w:bottom w:val="nil"/>
              <w:right w:val="nil"/>
            </w:tcBorders>
            <w:shd w:val="clear" w:color="auto" w:fill="auto"/>
            <w:noWrap/>
            <w:vAlign w:val="bottom"/>
            <w:hideMark/>
          </w:tcPr>
          <w:p w14:paraId="28696D39"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xml:space="preserve">* Illumina based sequencing (10X and hi-c) calculated from the output of </w:t>
            </w:r>
            <w:proofErr w:type="spellStart"/>
            <w:r w:rsidRPr="00F91833">
              <w:rPr>
                <w:rFonts w:ascii="Calibri Light" w:eastAsia="Times New Roman" w:hAnsi="Calibri Light" w:cs="Calibri Light"/>
                <w:color w:val="000000"/>
              </w:rPr>
              <w:t>fastqc</w:t>
            </w:r>
            <w:proofErr w:type="spellEnd"/>
            <w:r w:rsidRPr="00F91833">
              <w:rPr>
                <w:rFonts w:ascii="Calibri Light" w:eastAsia="Times New Roman" w:hAnsi="Calibri Light" w:cs="Calibri Light"/>
                <w:color w:val="000000"/>
              </w:rPr>
              <w:t xml:space="preserve"> (Supplemental Table </w:t>
            </w:r>
            <w:r>
              <w:rPr>
                <w:rFonts w:ascii="Calibri Light" w:eastAsia="Times New Roman" w:hAnsi="Calibri Light" w:cs="Calibri Light"/>
                <w:color w:val="000000"/>
              </w:rPr>
              <w:t>2.</w:t>
            </w:r>
            <w:r w:rsidRPr="00F91833">
              <w:rPr>
                <w:rFonts w:ascii="Calibri Light" w:eastAsia="Times New Roman" w:hAnsi="Calibri Light" w:cs="Calibri Light"/>
                <w:color w:val="000000"/>
              </w:rPr>
              <w:t>1).</w:t>
            </w:r>
          </w:p>
        </w:tc>
        <w:tc>
          <w:tcPr>
            <w:tcW w:w="262" w:type="dxa"/>
            <w:tcBorders>
              <w:top w:val="nil"/>
              <w:left w:val="nil"/>
              <w:bottom w:val="nil"/>
              <w:right w:val="single" w:sz="4" w:space="0" w:color="auto"/>
            </w:tcBorders>
            <w:shd w:val="clear" w:color="auto" w:fill="auto"/>
            <w:noWrap/>
            <w:vAlign w:val="bottom"/>
            <w:hideMark/>
          </w:tcPr>
          <w:p w14:paraId="6F8FFBB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0E70AC" w:rsidRPr="00F91833" w14:paraId="730E082F" w14:textId="77777777" w:rsidTr="00317A9B">
        <w:trPr>
          <w:trHeight w:val="240"/>
          <w:jc w:val="center"/>
        </w:trPr>
        <w:tc>
          <w:tcPr>
            <w:tcW w:w="262" w:type="dxa"/>
            <w:tcBorders>
              <w:top w:val="nil"/>
              <w:left w:val="single" w:sz="4" w:space="0" w:color="auto"/>
              <w:bottom w:val="single" w:sz="4" w:space="0" w:color="auto"/>
              <w:right w:val="nil"/>
            </w:tcBorders>
            <w:shd w:val="clear" w:color="auto" w:fill="auto"/>
            <w:noWrap/>
            <w:vAlign w:val="bottom"/>
            <w:hideMark/>
          </w:tcPr>
          <w:p w14:paraId="4CED0E92"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nil"/>
              <w:bottom w:val="single" w:sz="4" w:space="0" w:color="auto"/>
              <w:right w:val="nil"/>
            </w:tcBorders>
            <w:shd w:val="clear" w:color="auto" w:fill="auto"/>
            <w:noWrap/>
            <w:vAlign w:val="bottom"/>
            <w:hideMark/>
          </w:tcPr>
          <w:p w14:paraId="3D54CA36"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122" w:type="dxa"/>
            <w:tcBorders>
              <w:top w:val="nil"/>
              <w:left w:val="nil"/>
              <w:bottom w:val="single" w:sz="4" w:space="0" w:color="auto"/>
              <w:right w:val="nil"/>
            </w:tcBorders>
            <w:shd w:val="clear" w:color="auto" w:fill="auto"/>
            <w:noWrap/>
            <w:vAlign w:val="bottom"/>
            <w:hideMark/>
          </w:tcPr>
          <w:p w14:paraId="78DE5BE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589" w:type="dxa"/>
            <w:tcBorders>
              <w:top w:val="nil"/>
              <w:left w:val="nil"/>
              <w:bottom w:val="single" w:sz="4" w:space="0" w:color="auto"/>
              <w:right w:val="nil"/>
            </w:tcBorders>
            <w:shd w:val="clear" w:color="auto" w:fill="auto"/>
            <w:noWrap/>
            <w:vAlign w:val="bottom"/>
            <w:hideMark/>
          </w:tcPr>
          <w:p w14:paraId="05795291"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721" w:type="dxa"/>
            <w:tcBorders>
              <w:top w:val="nil"/>
              <w:left w:val="nil"/>
              <w:bottom w:val="single" w:sz="4" w:space="0" w:color="auto"/>
              <w:right w:val="nil"/>
            </w:tcBorders>
            <w:shd w:val="clear" w:color="auto" w:fill="auto"/>
            <w:noWrap/>
            <w:vAlign w:val="bottom"/>
            <w:hideMark/>
          </w:tcPr>
          <w:p w14:paraId="1A613276"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753" w:type="dxa"/>
            <w:tcBorders>
              <w:top w:val="nil"/>
              <w:left w:val="nil"/>
              <w:bottom w:val="single" w:sz="4" w:space="0" w:color="auto"/>
              <w:right w:val="nil"/>
            </w:tcBorders>
            <w:shd w:val="clear" w:color="auto" w:fill="auto"/>
            <w:noWrap/>
            <w:vAlign w:val="bottom"/>
            <w:hideMark/>
          </w:tcPr>
          <w:p w14:paraId="1DD98BA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891" w:type="dxa"/>
            <w:tcBorders>
              <w:top w:val="nil"/>
              <w:left w:val="nil"/>
              <w:bottom w:val="single" w:sz="4" w:space="0" w:color="auto"/>
              <w:right w:val="nil"/>
            </w:tcBorders>
            <w:shd w:val="clear" w:color="auto" w:fill="auto"/>
            <w:noWrap/>
            <w:vAlign w:val="bottom"/>
            <w:hideMark/>
          </w:tcPr>
          <w:p w14:paraId="3DCFFECE"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591" w:type="dxa"/>
            <w:tcBorders>
              <w:top w:val="nil"/>
              <w:left w:val="nil"/>
              <w:bottom w:val="single" w:sz="4" w:space="0" w:color="auto"/>
              <w:right w:val="nil"/>
            </w:tcBorders>
            <w:shd w:val="clear" w:color="auto" w:fill="auto"/>
            <w:noWrap/>
            <w:vAlign w:val="bottom"/>
            <w:hideMark/>
          </w:tcPr>
          <w:p w14:paraId="6F6EFCF3"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275" w:type="dxa"/>
            <w:tcBorders>
              <w:top w:val="nil"/>
              <w:left w:val="nil"/>
              <w:bottom w:val="single" w:sz="4" w:space="0" w:color="auto"/>
              <w:right w:val="nil"/>
            </w:tcBorders>
            <w:shd w:val="clear" w:color="auto" w:fill="auto"/>
            <w:noWrap/>
            <w:vAlign w:val="bottom"/>
            <w:hideMark/>
          </w:tcPr>
          <w:p w14:paraId="0FEAE77F"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62" w:type="dxa"/>
            <w:tcBorders>
              <w:top w:val="nil"/>
              <w:left w:val="nil"/>
              <w:bottom w:val="single" w:sz="4" w:space="0" w:color="auto"/>
              <w:right w:val="single" w:sz="4" w:space="0" w:color="auto"/>
            </w:tcBorders>
            <w:shd w:val="clear" w:color="auto" w:fill="auto"/>
            <w:noWrap/>
            <w:vAlign w:val="bottom"/>
            <w:hideMark/>
          </w:tcPr>
          <w:p w14:paraId="41BFB84C" w14:textId="77777777" w:rsidR="000E70AC" w:rsidRPr="00F91833" w:rsidRDefault="000E70AC" w:rsidP="0090469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bl>
    <w:p w14:paraId="511822C2" w14:textId="041AD48B" w:rsidR="000E70AC" w:rsidRDefault="000E70AC" w:rsidP="003F5039">
      <w:pPr>
        <w:spacing w:line="480" w:lineRule="auto"/>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77777777" w:rsidR="000E70AC" w:rsidRPr="002338D3" w:rsidRDefault="000E70AC" w:rsidP="00904693">
            <w:pPr>
              <w:spacing w:after="0" w:line="240" w:lineRule="auto"/>
              <w:jc w:val="left"/>
              <w:rPr>
                <w:rFonts w:ascii="Calibri Light" w:eastAsia="Times New Roman" w:hAnsi="Calibri Light" w:cs="Calibri Light"/>
                <w:b/>
                <w:bCs/>
                <w:color w:val="000000"/>
              </w:rPr>
            </w:pPr>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 xml:space="preserve">4. </w:t>
            </w:r>
            <w:r w:rsidRPr="002338D3">
              <w:rPr>
                <w:rFonts w:ascii="Calibri Light" w:eastAsia="Times New Roman" w:hAnsi="Calibri Light" w:cs="Calibri Light"/>
                <w:color w:val="000000"/>
              </w:rPr>
              <w:t xml:space="preserve">Table of assembly steps with corresponding metrics. A0 = Metrics for unassembled, filtered PacBio HiFi reads; A1 = draft resulting from initial long-read assembly step; A2 = draft resulting from scaffolding A1 assembly using linked-reads; A3 = draft resulting from scaffolding A2 assembly using hi-c data; A4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317A9B">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56E1F32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317A9B">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nil"/>
              <w:left w:val="single" w:sz="4" w:space="0" w:color="auto"/>
              <w:bottom w:val="nil"/>
              <w:right w:val="nil"/>
            </w:tcBorders>
            <w:vAlign w:val="center"/>
            <w:hideMark/>
          </w:tcPr>
          <w:p w14:paraId="6C86A69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478" w:type="dxa"/>
            <w:tcBorders>
              <w:top w:val="nil"/>
              <w:left w:val="nil"/>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nil"/>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xml:space="preserve"># </w:t>
            </w:r>
            <w:proofErr w:type="gramStart"/>
            <w:r w:rsidRPr="002338D3">
              <w:rPr>
                <w:rFonts w:ascii="Calibri Light" w:eastAsia="Times New Roman" w:hAnsi="Calibri Light" w:cs="Calibri Light"/>
                <w:color w:val="000000"/>
              </w:rPr>
              <w:t>contigs</w:t>
            </w:r>
            <w:proofErr w:type="gramEnd"/>
            <w:r w:rsidRPr="002338D3">
              <w:rPr>
                <w:rFonts w:ascii="Calibri Light" w:eastAsia="Times New Roman" w:hAnsi="Calibri Light" w:cs="Calibri Light"/>
                <w:color w:val="000000"/>
              </w:rPr>
              <w:t xml:space="preserve">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3F5039">
      <w:pPr>
        <w:spacing w:line="480" w:lineRule="auto"/>
      </w:pPr>
    </w:p>
    <w:p w14:paraId="1764BBF9" w14:textId="43318B65" w:rsidR="000E70AC" w:rsidRDefault="000E70AC" w:rsidP="003F5039">
      <w:pPr>
        <w:spacing w:line="480" w:lineRule="auto"/>
      </w:pPr>
    </w:p>
    <w:p w14:paraId="5EBD7011" w14:textId="248115DE" w:rsidR="000E70AC" w:rsidRDefault="000E70AC" w:rsidP="003F5039">
      <w:pPr>
        <w:spacing w:line="480" w:lineRule="auto"/>
      </w:pPr>
    </w:p>
    <w:p w14:paraId="0730A963" w14:textId="70DEF63B" w:rsidR="000E70AC" w:rsidRDefault="000E70AC" w:rsidP="003F5039">
      <w:pPr>
        <w:spacing w:line="480" w:lineRule="auto"/>
      </w:pPr>
    </w:p>
    <w:p w14:paraId="34992946" w14:textId="72D1355F" w:rsidR="000E70AC" w:rsidRDefault="000E70AC" w:rsidP="003F5039">
      <w:pPr>
        <w:spacing w:line="480" w:lineRule="auto"/>
      </w:pPr>
    </w:p>
    <w:p w14:paraId="5EF980A2" w14:textId="24C8C243" w:rsidR="000E70AC" w:rsidRDefault="000E70AC" w:rsidP="003F5039">
      <w:pPr>
        <w:spacing w:line="480" w:lineRule="auto"/>
      </w:pPr>
    </w:p>
    <w:p w14:paraId="44D13E09" w14:textId="2A45B3DD" w:rsidR="000E70AC" w:rsidRDefault="000E70AC" w:rsidP="003F5039">
      <w:pPr>
        <w:spacing w:line="480" w:lineRule="auto"/>
      </w:pPr>
    </w:p>
    <w:p w14:paraId="4F1201E5" w14:textId="00DF9B84" w:rsidR="000E70AC" w:rsidRDefault="000E70AC" w:rsidP="003F5039">
      <w:pPr>
        <w:spacing w:line="480" w:lineRule="auto"/>
      </w:pPr>
    </w:p>
    <w:p w14:paraId="1D5DCAF5" w14:textId="77777777" w:rsidR="000E70AC" w:rsidRDefault="000E70AC" w:rsidP="003F5039">
      <w:pPr>
        <w:spacing w:line="480" w:lineRule="auto"/>
      </w:pPr>
    </w:p>
    <w:p w14:paraId="137F0557" w14:textId="0AFC9820" w:rsidR="000E70AC" w:rsidRDefault="000E70AC" w:rsidP="003F5039">
      <w:pPr>
        <w:spacing w:line="48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904693">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3F5039">
      <w:pPr>
        <w:spacing w:line="480" w:lineRule="auto"/>
      </w:pPr>
    </w:p>
    <w:p w14:paraId="06ECE021" w14:textId="66F00B10" w:rsidR="00635F3E" w:rsidRDefault="00635F3E">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635F3E">
      <w:pPr>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4756C5D3">
            <wp:extent cx="5740400" cy="4089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0400" cy="4089400"/>
                    </a:xfrm>
                    <a:prstGeom prst="rect">
                      <a:avLst/>
                    </a:prstGeom>
                  </pic:spPr>
                </pic:pic>
              </a:graphicData>
            </a:graphic>
          </wp:inline>
        </w:drawing>
      </w:r>
    </w:p>
    <w:p w14:paraId="252C3025" w14:textId="77777777" w:rsidR="00635F3E" w:rsidRPr="00382793" w:rsidRDefault="00635F3E" w:rsidP="00635F3E">
      <w:pPr>
        <w:spacing w:line="480" w:lineRule="auto"/>
        <w:rPr>
          <w:rFonts w:asciiTheme="majorHAnsi" w:hAnsiTheme="majorHAnsi" w:cstheme="majorHAnsi"/>
          <w:sz w:val="24"/>
          <w:szCs w:val="24"/>
        </w:rPr>
      </w:pPr>
      <w:r w:rsidRPr="00382793">
        <w:rPr>
          <w:rFonts w:asciiTheme="majorHAnsi" w:hAnsiTheme="majorHAnsi" w:cstheme="majorHAnsi"/>
          <w:b/>
          <w:bCs/>
          <w:sz w:val="24"/>
          <w:szCs w:val="24"/>
        </w:rPr>
        <w:t>Figure 1.1.</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CDFW annual Fall Midwater Trawl delta smelt catch numbers (indices) from 1967 to 2021. CDFW did not sample in 1974 and 1979. Indices taken from CDFW publicly hosted dataset (https://www.dfg.ca.gov/delta/data/fmwt/indices.asp).</w:t>
      </w:r>
    </w:p>
    <w:p w14:paraId="0072B721" w14:textId="77777777" w:rsidR="00635F3E" w:rsidRDefault="00635F3E" w:rsidP="00644092">
      <w:pPr>
        <w:spacing w:line="480" w:lineRule="auto"/>
        <w:ind w:right="270"/>
        <w:jc w:val="center"/>
        <w:rPr>
          <w:rFonts w:asciiTheme="majorHAnsi" w:hAnsiTheme="majorHAnsi" w:cstheme="majorHAnsi"/>
          <w:b/>
          <w:iCs/>
        </w:rPr>
      </w:pPr>
    </w:p>
    <w:p w14:paraId="4C6648D9" w14:textId="485F05EA" w:rsidR="00644092" w:rsidRPr="002C7062" w:rsidRDefault="00644092" w:rsidP="00644092">
      <w:pPr>
        <w:spacing w:line="48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9"/>
                    <a:stretch>
                      <a:fillRect/>
                    </a:stretch>
                  </pic:blipFill>
                  <pic:spPr bwMode="auto">
                    <a:xfrm>
                      <a:off x="0" y="0"/>
                      <a:ext cx="4106926" cy="7159617"/>
                    </a:xfrm>
                    <a:prstGeom prst="rect">
                      <a:avLst/>
                    </a:prstGeom>
                  </pic:spPr>
                </pic:pic>
              </a:graphicData>
            </a:graphic>
          </wp:inline>
        </w:drawing>
      </w:r>
    </w:p>
    <w:p w14:paraId="70B590F0" w14:textId="7E8F1BF2" w:rsidR="000E70AC" w:rsidRPr="005549A1" w:rsidRDefault="00644092" w:rsidP="00644092">
      <w:pPr>
        <w:spacing w:line="48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 xml:space="preserve">Pulse field gel images of extracted HMW gDNA from six rounds (A-F) of extractions. Green boxes surround lanes from extracted samples usable for long-read and linked-read </w:t>
      </w:r>
      <w:r w:rsidRPr="005549A1">
        <w:rPr>
          <w:rFonts w:asciiTheme="majorHAnsi" w:hAnsiTheme="majorHAnsi" w:cstheme="majorHAnsi"/>
          <w:bCs/>
          <w:sz w:val="24"/>
          <w:szCs w:val="24"/>
        </w:rPr>
        <w:lastRenderedPageBreak/>
        <w:t>sequencing (extraction distribution centered ~ 50kb) by the UC Davis Sequencing Center, yellow boxes surround lanes from samples with insufficient extraction lengths or concentration. A) Extraction #1: usable HMW gDNA from female b</w:t>
      </w:r>
      <w:r w:rsidRPr="005549A1">
        <w:rPr>
          <w:rFonts w:asciiTheme="majorHAnsi" w:hAnsiTheme="majorHAnsi" w:cstheme="majorHAnsi"/>
          <w:iCs/>
          <w:sz w:val="24"/>
          <w:szCs w:val="24"/>
        </w:rPr>
        <w:t>ack muscle tissue sample (T1F02_BM_FF</w:t>
      </w:r>
      <w:r w:rsidRPr="005549A1">
        <w:rPr>
          <w:rFonts w:asciiTheme="majorHAnsi" w:hAnsiTheme="majorHAnsi" w:cstheme="majorHAnsi"/>
          <w:bCs/>
          <w:sz w:val="24"/>
          <w:szCs w:val="24"/>
        </w:rPr>
        <w:t>), B) Extraction #2: no usable samples, C) Extraction #3: no usable samples, D) Extraction #4: No usable samples, E) Extraction #5: usable HMW gDNA from male b</w:t>
      </w:r>
      <w:r w:rsidRPr="005549A1">
        <w:rPr>
          <w:rFonts w:asciiTheme="majorHAnsi" w:hAnsiTheme="majorHAnsi" w:cstheme="majorHAnsi"/>
          <w:iCs/>
          <w:sz w:val="24"/>
          <w:szCs w:val="24"/>
        </w:rPr>
        <w:t>ack muscle tissue sample</w:t>
      </w:r>
      <w:r w:rsidRPr="005549A1">
        <w:rPr>
          <w:rFonts w:asciiTheme="majorHAnsi" w:hAnsiTheme="majorHAnsi" w:cstheme="majorHAnsi"/>
          <w:bCs/>
          <w:sz w:val="24"/>
          <w:szCs w:val="24"/>
        </w:rPr>
        <w:t xml:space="preserve"> (T3M02_BM_FF); F) Extraction #6: usable HMW gDNA from female gill</w:t>
      </w:r>
      <w:r w:rsidRPr="005549A1">
        <w:rPr>
          <w:rFonts w:asciiTheme="majorHAnsi" w:hAnsiTheme="majorHAnsi" w:cstheme="majorHAnsi"/>
          <w:iCs/>
          <w:sz w:val="24"/>
          <w:szCs w:val="24"/>
        </w:rPr>
        <w:t xml:space="preserve"> tissue sample</w:t>
      </w:r>
      <w:r w:rsidRPr="005549A1">
        <w:rPr>
          <w:rFonts w:asciiTheme="majorHAnsi" w:hAnsiTheme="majorHAnsi" w:cstheme="majorHAnsi"/>
          <w:bCs/>
          <w:sz w:val="24"/>
          <w:szCs w:val="24"/>
        </w:rPr>
        <w:t xml:space="preserve"> (T3F02_SC_FF).</w:t>
      </w:r>
    </w:p>
    <w:p w14:paraId="533002A2" w14:textId="3E3852C1" w:rsidR="00C1267C" w:rsidRPr="005549A1" w:rsidRDefault="00C1267C" w:rsidP="00644092">
      <w:pPr>
        <w:spacing w:line="48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644092">
      <w:pPr>
        <w:spacing w:line="480" w:lineRule="auto"/>
        <w:rPr>
          <w:rFonts w:asciiTheme="majorHAnsi" w:hAnsiTheme="majorHAnsi" w:cstheme="majorHAnsi"/>
          <w:sz w:val="24"/>
          <w:szCs w:val="24"/>
        </w:rPr>
      </w:pPr>
    </w:p>
    <w:p w14:paraId="67C0ACE0"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77777777"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Electropherograms of male and female samples used for </w:t>
      </w:r>
      <w:proofErr w:type="gramStart"/>
      <w:r w:rsidRPr="005549A1">
        <w:rPr>
          <w:rFonts w:asciiTheme="majorHAnsi" w:eastAsia="Times New Roman" w:hAnsiTheme="majorHAnsi" w:cstheme="majorHAnsi"/>
          <w:sz w:val="24"/>
          <w:szCs w:val="24"/>
        </w:rPr>
        <w:t>linked-read</w:t>
      </w:r>
      <w:proofErr w:type="gramEnd"/>
      <w:r w:rsidRPr="005549A1">
        <w:rPr>
          <w:rFonts w:asciiTheme="majorHAnsi" w:eastAsia="Times New Roman" w:hAnsiTheme="majorHAnsi" w:cstheme="majorHAnsi"/>
          <w:sz w:val="24"/>
          <w:szCs w:val="24"/>
        </w:rPr>
        <w:t xml:space="preserve"> library prep.</w:t>
      </w:r>
    </w:p>
    <w:p w14:paraId="7697DB82" w14:textId="77777777" w:rsidR="00644092" w:rsidRPr="005549A1" w:rsidRDefault="00644092" w:rsidP="00644092">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1261B44">
            <wp:extent cx="5943600" cy="4955540"/>
            <wp:effectExtent l="0" t="0" r="0" b="0"/>
            <wp:docPr id="5"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noChangeArrowheads="1"/>
                    </pic:cNvPicPr>
                  </pic:nvPicPr>
                  <pic:blipFill>
                    <a:blip r:embed="rId11"/>
                    <a:stretch>
                      <a:fillRect/>
                    </a:stretch>
                  </pic:blipFill>
                  <pic:spPr bwMode="auto">
                    <a:xfrm>
                      <a:off x="0" y="0"/>
                      <a:ext cx="5943600" cy="4955540"/>
                    </a:xfrm>
                    <a:prstGeom prst="rect">
                      <a:avLst/>
                    </a:prstGeom>
                  </pic:spPr>
                </pic:pic>
              </a:graphicData>
            </a:graphic>
          </wp:inline>
        </w:drawing>
      </w:r>
    </w:p>
    <w:p w14:paraId="142C72B1" w14:textId="01EA1E59" w:rsidR="003F5039" w:rsidRPr="005549A1" w:rsidRDefault="00644092" w:rsidP="00644092">
      <w:pPr>
        <w:spacing w:line="48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2.3.</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Each plot shows the number of distinct k-mers at different frequencies from male (A &amp; B) and female (C &amp; D) sequencing data. Histograms using k=21 (A &amp; C), and k=31 (B &amp; D). The high abundance of low frequency k-mers are expected as a product of sequencing and base calling errors.</w:t>
      </w:r>
    </w:p>
    <w:p w14:paraId="4E59D802" w14:textId="34E49903" w:rsidR="00644092" w:rsidRPr="005549A1" w:rsidRDefault="00644092" w:rsidP="003F5039">
      <w:pPr>
        <w:spacing w:line="480" w:lineRule="auto"/>
        <w:rPr>
          <w:rFonts w:asciiTheme="majorHAnsi" w:hAnsiTheme="majorHAnsi" w:cstheme="majorHAnsi"/>
          <w:sz w:val="24"/>
          <w:szCs w:val="24"/>
        </w:rPr>
      </w:pPr>
    </w:p>
    <w:p w14:paraId="592BF6BF" w14:textId="77777777" w:rsidR="00644092" w:rsidRPr="005549A1" w:rsidRDefault="00644092"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5D00DC80">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2"/>
                    <a:stretch>
                      <a:fillRect/>
                    </a:stretch>
                  </pic:blipFill>
                  <pic:spPr bwMode="auto">
                    <a:xfrm>
                      <a:off x="0" y="0"/>
                      <a:ext cx="5943600" cy="4955540"/>
                    </a:xfrm>
                    <a:prstGeom prst="rect">
                      <a:avLst/>
                    </a:prstGeom>
                  </pic:spPr>
                </pic:pic>
              </a:graphicData>
            </a:graphic>
          </wp:inline>
        </w:drawing>
      </w:r>
    </w:p>
    <w:p w14:paraId="06A5EDC8" w14:textId="70F53FA3" w:rsidR="00644092" w:rsidRPr="005549A1" w:rsidRDefault="00644092" w:rsidP="00644092">
      <w:pPr>
        <w:spacing w:line="48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 is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3F5039">
      <w:pPr>
        <w:spacing w:line="480" w:lineRule="auto"/>
        <w:rPr>
          <w:rFonts w:asciiTheme="majorHAnsi" w:hAnsiTheme="majorHAnsi" w:cstheme="majorHAnsi"/>
          <w:sz w:val="24"/>
          <w:szCs w:val="24"/>
        </w:rPr>
      </w:pPr>
    </w:p>
    <w:p w14:paraId="5699EFD5" w14:textId="77777777" w:rsidR="00644092" w:rsidRPr="005549A1" w:rsidRDefault="00644092"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4FA9268A">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3"/>
                    <a:stretch>
                      <a:fillRect/>
                    </a:stretch>
                  </pic:blipFill>
                  <pic:spPr bwMode="auto">
                    <a:xfrm>
                      <a:off x="0" y="0"/>
                      <a:ext cx="5943600" cy="4955540"/>
                    </a:xfrm>
                    <a:prstGeom prst="rect">
                      <a:avLst/>
                    </a:prstGeom>
                  </pic:spPr>
                </pic:pic>
              </a:graphicData>
            </a:graphic>
          </wp:inline>
        </w:drawing>
      </w:r>
    </w:p>
    <w:p w14:paraId="6A929033" w14:textId="4E1802B8" w:rsidR="00644092" w:rsidRPr="005549A1" w:rsidRDefault="00644092" w:rsidP="00644092">
      <w:pPr>
        <w:spacing w:line="48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r w:rsidRPr="005549A1">
        <w:rPr>
          <w:rFonts w:asciiTheme="majorHAnsi" w:eastAsia="Times New Roman" w:hAnsiTheme="majorHAnsi" w:cstheme="majorHAnsi"/>
          <w:b/>
          <w:sz w:val="24"/>
          <w:szCs w:val="24"/>
        </w:rPr>
        <w:t>Figure 2.5.</w:t>
      </w:r>
      <w:r w:rsidRPr="005549A1">
        <w:rPr>
          <w:rFonts w:asciiTheme="majorHAnsi" w:eastAsia="Times New Roman" w:hAnsiTheme="majorHAnsi" w:cstheme="majorHAnsi"/>
          <w:sz w:val="24"/>
          <w:szCs w:val="24"/>
        </w:rPr>
        <w:t xml:space="preserve"> K-mer comparison plot of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with female (A &amp; B) or male (C &amp; D) samples. Plots using k=21 (A &amp; C), and k=31 (B &amp; D). For all plots the R1 (x-axis) and R2 (y-axis) captures a slightly different information, but no major sources of sequencing bias appear to occur.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783D9367">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5BC1A36C"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Large raw data (a0) metrics (L50=771,808 and total contig count= 2,741,504 for the female data, and L50=1,276,120 and total contig count=3,095,133 for the </w:t>
      </w:r>
      <w:r w:rsidRPr="005549A1">
        <w:rPr>
          <w:rFonts w:asciiTheme="majorHAnsi" w:hAnsiTheme="majorHAnsi" w:cstheme="majorHAnsi"/>
          <w:sz w:val="24"/>
          <w:szCs w:val="24"/>
        </w:rPr>
        <w:lastRenderedPageBreak/>
        <w:t>male data) have been omitted to better visualize the difference of metrics in the post assembly steps.</w:t>
      </w:r>
    </w:p>
    <w:p w14:paraId="2E51180A" w14:textId="24A42C69" w:rsidR="00644092" w:rsidRPr="005549A1" w:rsidRDefault="00644092" w:rsidP="003F5039">
      <w:pPr>
        <w:spacing w:line="480" w:lineRule="auto"/>
        <w:rPr>
          <w:rFonts w:asciiTheme="majorHAnsi" w:hAnsiTheme="majorHAnsi" w:cstheme="majorHAnsi"/>
          <w:sz w:val="24"/>
          <w:szCs w:val="24"/>
        </w:rPr>
      </w:pPr>
    </w:p>
    <w:p w14:paraId="7E6BD55B"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313A9797" wp14:editId="2FD63EB1">
            <wp:extent cx="5943600" cy="27100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09E4FFEB" w14:textId="77777777"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0868FA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16"/>
                    <a:stretch>
                      <a:fillRect/>
                    </a:stretch>
                  </pic:blipFill>
                  <pic:spPr bwMode="auto">
                    <a:xfrm>
                      <a:off x="0" y="0"/>
                      <a:ext cx="3721416" cy="7442832"/>
                    </a:xfrm>
                    <a:prstGeom prst="rect">
                      <a:avLst/>
                    </a:prstGeom>
                  </pic:spPr>
                </pic:pic>
              </a:graphicData>
            </a:graphic>
          </wp:inline>
        </w:drawing>
      </w:r>
    </w:p>
    <w:p w14:paraId="2FB457A4" w14:textId="77777777" w:rsidR="00C1267C" w:rsidRPr="005549A1" w:rsidRDefault="00C1267C" w:rsidP="00C1267C">
      <w:pPr>
        <w:spacing w:line="48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lastRenderedPageBreak/>
        <w:t>Figure 2.7.</w:t>
      </w:r>
      <w:r w:rsidRPr="005549A1">
        <w:rPr>
          <w:rFonts w:asciiTheme="majorHAnsi" w:eastAsia="Times New Roman" w:hAnsiTheme="majorHAnsi" w:cstheme="majorHAnsi"/>
          <w:sz w:val="24"/>
          <w:szCs w:val="24"/>
        </w:rPr>
        <w:t xml:space="preserve"> Karyotype of metaphase stage mitotic cell from a male delta smelt showing 2n = 56 chromosomes. A) unmodified image, no scale bar; B) Adobe Photoshop modified image, plus scale bar; C) Adobe Photoshop focused image, plus scale bar.</w:t>
      </w:r>
    </w:p>
    <w:p w14:paraId="5A151E48" w14:textId="450E030B" w:rsidR="003F5039" w:rsidRPr="005549A1" w:rsidRDefault="003F5039" w:rsidP="003F5039">
      <w:pPr>
        <w:spacing w:line="480" w:lineRule="auto"/>
        <w:rPr>
          <w:rFonts w:asciiTheme="majorHAnsi" w:hAnsiTheme="majorHAnsi" w:cstheme="majorHAnsi"/>
          <w:sz w:val="24"/>
          <w:szCs w:val="24"/>
        </w:rPr>
      </w:pPr>
    </w:p>
    <w:sectPr w:rsidR="003F5039" w:rsidRPr="005549A1" w:rsidSect="000E70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158F6" w14:textId="77777777" w:rsidR="00047A5C" w:rsidRDefault="00047A5C" w:rsidP="000E70AC">
      <w:pPr>
        <w:spacing w:after="0" w:line="240" w:lineRule="auto"/>
      </w:pPr>
      <w:r>
        <w:separator/>
      </w:r>
    </w:p>
  </w:endnote>
  <w:endnote w:type="continuationSeparator" w:id="0">
    <w:p w14:paraId="305AA29A" w14:textId="77777777" w:rsidR="00047A5C" w:rsidRDefault="00047A5C"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8C786" w14:textId="77777777" w:rsidR="00047A5C" w:rsidRDefault="00047A5C" w:rsidP="000E70AC">
      <w:pPr>
        <w:spacing w:after="0" w:line="240" w:lineRule="auto"/>
      </w:pPr>
      <w:r>
        <w:separator/>
      </w:r>
    </w:p>
  </w:footnote>
  <w:footnote w:type="continuationSeparator" w:id="0">
    <w:p w14:paraId="2873B043" w14:textId="77777777" w:rsidR="00047A5C" w:rsidRDefault="00047A5C" w:rsidP="000E70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24DBD"/>
    <w:rsid w:val="00047A5C"/>
    <w:rsid w:val="000E70AC"/>
    <w:rsid w:val="00173AE9"/>
    <w:rsid w:val="0019361B"/>
    <w:rsid w:val="001B09B1"/>
    <w:rsid w:val="00235867"/>
    <w:rsid w:val="00240056"/>
    <w:rsid w:val="00317A9B"/>
    <w:rsid w:val="00355F91"/>
    <w:rsid w:val="003903DF"/>
    <w:rsid w:val="003B7B17"/>
    <w:rsid w:val="003F5039"/>
    <w:rsid w:val="00422626"/>
    <w:rsid w:val="00430654"/>
    <w:rsid w:val="004B6F68"/>
    <w:rsid w:val="005549A1"/>
    <w:rsid w:val="005B1B8B"/>
    <w:rsid w:val="00635F3E"/>
    <w:rsid w:val="00644092"/>
    <w:rsid w:val="00650EFD"/>
    <w:rsid w:val="00750600"/>
    <w:rsid w:val="007A1054"/>
    <w:rsid w:val="0087338E"/>
    <w:rsid w:val="008914E8"/>
    <w:rsid w:val="00AC6116"/>
    <w:rsid w:val="00B117DB"/>
    <w:rsid w:val="00C1267C"/>
    <w:rsid w:val="00D86949"/>
    <w:rsid w:val="00DE4254"/>
    <w:rsid w:val="00E2467E"/>
    <w:rsid w:val="00EC36DE"/>
    <w:rsid w:val="00F43713"/>
    <w:rsid w:val="00FD2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chartTrackingRefBased/>
  <w15:docId w15:val="{AB578B57-974D-1D41-AE16-114125B0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hyperlink" Target="https://github.com/PacificBiosciences/cc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552D74"/>
    <w:rsid w:val="006073AC"/>
    <w:rsid w:val="009C7F14"/>
    <w:rsid w:val="009E2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50</Pages>
  <Words>26152</Words>
  <Characters>149067</Characters>
  <Application>Microsoft Office Word</Application>
  <DocSecurity>0</DocSecurity>
  <Lines>1242</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11</cp:revision>
  <dcterms:created xsi:type="dcterms:W3CDTF">2022-09-05T15:04:00Z</dcterms:created>
  <dcterms:modified xsi:type="dcterms:W3CDTF">2022-09-05T19:27:00Z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id="m5bjFnHH"/&gt;&lt;style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