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34499B">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34499B">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34499B">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34499B">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34499B">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34499B">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34499B">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34499B">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34499B">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34499B">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34499B">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34499B">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34499B">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54485D0D" w14:textId="46C915D0" w:rsidR="00347F5F" w:rsidRPr="00011FA5" w:rsidRDefault="00347F5F" w:rsidP="00347F5F">
      <w:pPr>
        <w:pStyle w:val="TOCHeading"/>
        <w:spacing w:line="240" w:lineRule="auto"/>
        <w:outlineLvl w:val="0"/>
      </w:pPr>
      <w:bookmarkStart w:id="2" w:name="_Toc113440558"/>
      <w:r w:rsidRPr="00011FA5">
        <w:t xml:space="preserve">Chapter </w:t>
      </w:r>
      <w:r w:rsidR="000D27B0">
        <w:t>2</w:t>
      </w:r>
      <w:r w:rsidRPr="00011FA5">
        <w:t xml:space="preserve"> – </w:t>
      </w:r>
      <w:r>
        <w:t xml:space="preserve">Investigation in identifying sex-specific markers in </w:t>
      </w:r>
      <w:r w:rsidRPr="00011FA5">
        <w:t>delta smelt</w:t>
      </w:r>
    </w:p>
    <w:p w14:paraId="042D2DF2" w14:textId="04D3C597" w:rsidR="00347F5F" w:rsidRDefault="00347F5F"/>
    <w:p w14:paraId="61541534" w14:textId="013EA97F" w:rsidR="00F74250" w:rsidRPr="00173AE9" w:rsidRDefault="00F74250" w:rsidP="00F74250">
      <w:pPr>
        <w:pStyle w:val="Header"/>
        <w:outlineLvl w:val="1"/>
        <w:rPr>
          <w:rFonts w:asciiTheme="majorHAnsi" w:hAnsiTheme="majorHAnsi" w:cstheme="majorHAnsi"/>
        </w:rPr>
      </w:pPr>
      <w:r>
        <w:rPr>
          <w:rFonts w:asciiTheme="majorHAnsi" w:hAnsiTheme="majorHAnsi" w:cstheme="majorHAnsi"/>
        </w:rPr>
        <w:t>Introduction</w:t>
      </w:r>
    </w:p>
    <w:p w14:paraId="2B08441A" w14:textId="060B2A4D"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A."}],"issued":{"date-parts":[["2011"]]}}},{"id":"qADU2FLA/kynaXcEg","uris":["http://www.mendeley.com/documents/?uuid=15be4d65-07bf-4803-90e6-835556babe79"],"itemData":{"ISBN":"9781118342336","author":[{"dropping-particle":"","family":"Nelson","given":"Joseph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1998)","noteIndex":0},"citationItems":[{"id":"qADU2FLA/XrMPaHcv","uris":["http://www.mendeley.com/documents/?uuid=195dc493-418d-4e6d-89aa-e5ebfed03d1f"],"itemData":{"DOI":"10.1007/s10695-006-7590-2","ISBN":"1069500675902","ISSN":"09201742","abstract":"We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fish","type":"article-journal","volume":"31"}},{"id":"qADU2FLA/XRFOD8Q0","uris":["http://www.mendeley.com/documents/?uuid=aa8e43cc-6d00-4ef8-a00c-76b26ae61859"],"itemData":{"DOI":"10.1007/978-3-0348-7781-7_9","abstract":"This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fish","type":"article-journal","volume":"55"}},{"id":"qADU2FLA/o7syKrFo","uris":["http://www.mendeley.com/documents/?uuid=31f7b719-a731-4e93-8b61-431457911517"],"itemData":{"DOI":"10.1002/dvdy.23927","ISSN":"10588388","abstract":"Although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w:t>
      </w:r>
      <w:proofErr w:type="spellStart"/>
      <w:r>
        <w:rPr>
          <w:rFonts w:asciiTheme="majorHAnsi" w:hAnsiTheme="majorHAnsi" w:cstheme="majorHAnsi"/>
          <w:color w:val="00000A"/>
        </w:rPr>
        <w:t>Baroiller</w:t>
      </w:r>
      <w:proofErr w:type="spellEnd"/>
      <w:r>
        <w:rPr>
          <w:rFonts w:asciiTheme="majorHAnsi" w:hAnsiTheme="majorHAnsi" w:cstheme="majorHAnsi"/>
          <w:color w:val="00000A"/>
        </w:rPr>
        <w:t xml:space="preserve"> et al., 1999; Kikuchi &amp; Hamaguchi, 2013; </w:t>
      </w:r>
      <w:proofErr w:type="spellStart"/>
      <w:r>
        <w:rPr>
          <w:rFonts w:asciiTheme="majorHAnsi" w:hAnsiTheme="majorHAnsi" w:cstheme="majorHAnsi"/>
          <w:color w:val="00000A"/>
        </w:rPr>
        <w:t>Nagahama</w:t>
      </w:r>
      <w:proofErr w:type="spellEnd"/>
      <w:r>
        <w:rPr>
          <w:rFonts w:asciiTheme="majorHAnsi" w:hAnsiTheme="majorHAnsi" w:cstheme="majorHAnsi"/>
          <w:color w:val="00000A"/>
        </w:rPr>
        <w:t>,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can switch sexes within a life</w:t>
      </w:r>
      <w:r w:rsidR="00EF3EBC">
        <w:rPr>
          <w:rFonts w:asciiTheme="majorHAnsi" w:hAnsiTheme="majorHAnsi" w:cstheme="majorHAnsi"/>
        </w:rPr>
        <w:t xml:space="preserve"> </w:t>
      </w:r>
      <w:r w:rsidR="0095798E">
        <w:rPr>
          <w:rFonts w:asciiTheme="majorHAnsi" w:hAnsiTheme="majorHAnsi" w:cstheme="majorHAnsi"/>
        </w:rPr>
        <w:t>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EF665B">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w:t>
      </w:r>
      <w:proofErr w:type="spellStart"/>
      <w:r w:rsidR="000B2BCC" w:rsidRPr="00EC0478">
        <w:rPr>
          <w:rFonts w:ascii="Calibri Light" w:hAnsiTheme="majorHAnsi" w:cs="Calibri Light"/>
        </w:rPr>
        <w:t>Bachtrog</w:t>
      </w:r>
      <w:proofErr w:type="spellEnd"/>
      <w:r w:rsidR="000B2BCC" w:rsidRPr="00EC0478">
        <w:rPr>
          <w:rFonts w:ascii="Calibri Light" w:hAnsiTheme="majorHAnsi" w:cs="Calibri Light"/>
        </w:rPr>
        <w:t xml:space="preserve"> et al., 2014; </w:t>
      </w:r>
      <w:proofErr w:type="spellStart"/>
      <w:r w:rsidR="000B2BCC" w:rsidRPr="00EC0478">
        <w:rPr>
          <w:rFonts w:ascii="Calibri Light" w:hAnsiTheme="majorHAnsi" w:cs="Calibri Light"/>
        </w:rPr>
        <w:t>Baroiller</w:t>
      </w:r>
      <w:proofErr w:type="spellEnd"/>
      <w:r w:rsidR="000B2BCC" w:rsidRPr="00EC0478">
        <w:rPr>
          <w:rFonts w:ascii="Calibri Light" w:hAnsiTheme="majorHAnsi" w:cs="Calibri Light"/>
        </w:rPr>
        <w:t xml:space="preserve"> &amp; </w:t>
      </w:r>
      <w:proofErr w:type="spellStart"/>
      <w:r w:rsidR="000B2BCC" w:rsidRPr="00EC0478">
        <w:rPr>
          <w:rFonts w:ascii="Calibri Light" w:hAnsiTheme="majorHAnsi" w:cs="Calibri Light"/>
        </w:rPr>
        <w:t>D’Cotta</w:t>
      </w:r>
      <w:proofErr w:type="spellEnd"/>
      <w:r w:rsidR="000B2BCC" w:rsidRPr="00EC0478">
        <w:rPr>
          <w:rFonts w:ascii="Calibri Light" w:hAnsiTheme="majorHAnsi" w:cs="Calibri Light"/>
        </w:rPr>
        <w:t xml:space="preserve">, 2016; Kobayashi et al., 2013; Nakamura et al., 1998; </w:t>
      </w:r>
      <w:proofErr w:type="spellStart"/>
      <w:r w:rsidR="000B2BCC" w:rsidRPr="00EC0478">
        <w:rPr>
          <w:rFonts w:ascii="Calibri Light" w:hAnsiTheme="majorHAnsi" w:cs="Calibri Light"/>
        </w:rPr>
        <w:t>Volff</w:t>
      </w:r>
      <w:proofErr w:type="spellEnd"/>
      <w:r w:rsidR="000B2BCC" w:rsidRPr="00EC0478">
        <w:rPr>
          <w:rFonts w:ascii="Calibri Light" w:hAnsiTheme="majorHAnsi" w:cs="Calibri Light"/>
        </w:rPr>
        <w:t>,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r w:rsidR="000F713B">
        <w:rPr>
          <w:rFonts w:asciiTheme="majorHAnsi" w:hAnsiTheme="majorHAnsi" w:cstheme="majorHAnsi"/>
          <w:bCs/>
          <w:iCs/>
        </w:rPr>
        <w:t xml:space="preserve">influences </w:t>
      </w:r>
      <w:r w:rsidR="000B2BCC">
        <w:rPr>
          <w:rFonts w:asciiTheme="majorHAnsi" w:hAnsiTheme="majorHAnsi" w:cstheme="majorHAnsi"/>
          <w:bCs/>
          <w:iCs/>
        </w:rPr>
        <w:t>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r w:rsidR="00DB27A2">
        <w:rPr>
          <w:rFonts w:asciiTheme="majorHAnsi" w:hAnsiTheme="majorHAnsi" w:cstheme="majorHAnsi"/>
          <w:bCs/>
          <w:iCs/>
        </w:rPr>
        <w:t xml:space="preserve">background color, </w:t>
      </w:r>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xml:space="preserve">, and </w:t>
      </w:r>
      <w:commentRangeStart w:id="3"/>
      <w:commentRangeStart w:id="4"/>
      <w:commentRangeStart w:id="5"/>
      <w:r w:rsidR="000B2BCC">
        <w:rPr>
          <w:rFonts w:asciiTheme="majorHAnsi" w:hAnsiTheme="majorHAnsi" w:cstheme="majorHAnsi"/>
          <w:bCs/>
          <w:iCs/>
        </w:rPr>
        <w:t>sex reversal may occur throughout the lifespan of a fish</w:t>
      </w:r>
      <w:commentRangeEnd w:id="3"/>
      <w:r w:rsidR="00EF3EBC">
        <w:rPr>
          <w:rStyle w:val="CommentReference"/>
        </w:rPr>
        <w:commentReference w:id="3"/>
      </w:r>
      <w:commentRangeEnd w:id="4"/>
      <w:r w:rsidR="005C2814">
        <w:rPr>
          <w:rStyle w:val="CommentReference"/>
        </w:rPr>
        <w:commentReference w:id="4"/>
      </w:r>
      <w:commentRangeEnd w:id="5"/>
      <w:r w:rsidR="00D95712">
        <w:rPr>
          <w:rStyle w:val="CommentReference"/>
        </w:rPr>
        <w:commentReference w:id="5"/>
      </w:r>
      <w:r w:rsidR="007B12B0">
        <w:rPr>
          <w:rFonts w:asciiTheme="majorHAnsi" w:hAnsiTheme="majorHAnsi" w:cstheme="majorHAnsi"/>
          <w:bCs/>
          <w:iCs/>
        </w:rPr>
        <w:t xml:space="preserve"> </w:t>
      </w:r>
      <w:r w:rsidR="007B12B0">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{"citationID":"VHglbLMV","properties":{"formattedCitation":"(Shen &amp; Wang, 2018; Tenugu &amp; Senthilkumaran, 2022; Uhlenhaut et al., 2009)","plainCitation":"(Shen &amp; Wang, 2018; Tenugu &amp; Senthilkumaran, 2022; Uhlenhaut et al., 2009)","noteIndex":0},"citationItems":[{"id":776,"uris":["http://zotero.org/users/local/3tku6QP0/items/J8QL73L6"],"itemData":{"id":776,"type":"chapter","container-title":"Sex Control in Aquaculture","edition":"1","ISBN":"978-1-119-12726-0","language":"en","note":"DOI: 10.1002/9781119127291.ch4","page":"85-115","publisher":"Wiley","source":"DOI.org (Crossref)","title":"Environmental Sex Determination and Sex Differentiation in Teleosts – How Sex Is Established","URL":"https://onlinelibrary.wiley.com/doi/10.1002/9781119127291.ch4","editor":[{"family":"Wang","given":"Han‐Ping"},{"family":"Piferrer","given":"Francesc"},{"family":"Chen","given":"Song‐Lin"},{"family":"Shen","given":"Zhi‐Gang"}],"author":[{"family":"Shen","given":"Zhi‐Gang"},{"family":"Wang","given":"Han‐Ping"}],"accessed":{"date-parts":[["2023",10,31]]},"issued":{"date-parts":[["2018",11,26]]}}},{"id":768,"uris":["http://zotero.org/users/local/3tku6QP0/items/LLEZLCRI"],"itemData":{"id":768,"type":"article-journal","abstract":"Sex reversal is one of the characteristic properties of sexual plasticity in bony fishes wherein both natural and induced sex change happens at various stages of life cycle in different species. Sex determination in gonochoristic species is genetically regulated, wherein the same sex is retained throughout their life span whereas hermaph­ rodites change their sex during development or adulthood. In sequential hermaphrodites, serial sex change occurs at different points of life cycle. Concurrently, synchronous hermaphrodites function as both the sexes during spawning. Other variables like temperature, pH and social factors can trigger sex reversal in teleost. Sex reversal through gene mutations and chemicals/hormones, including sex steroids, can be induced mostly at early developmental stages but natural sex reversal can occur at any time. Sex reversal mechanism shows morpho­ logical to molecular changes, which are ideal for identification of sex-specific gene markers. In fact, gonadal transdifferentiation occurs at the molecular level through differential expression of transcription factors and steroidogenic enzyme genes vis-a-vis hormones, thereby imparting phenotypic or structural changes. In addition, brain shows sexual dimorphism which is mostly consequential to gonadal sex development and occasionally either causative. The major breakthrough in this line is the identification of sex determining genes such as dmy/ dmrt1Yb, gsdfY, sox3 in the Japanese medaka and amhY in Patagonian pejerrey. Incidentally, the induction of mono-sex population by favouring one sex due to sex-specific differences in growth is an important economic boom for aquaculture. This review comprehensively highlights key molecular factors involved in natural and induced sex reversal conditions to illustrate teleostean sexual plasticity and its application perspectives.","container-title":"Aquaculture and Fisheries","DOI":"10.1016/j.aaf.2022.02.007","ISSN":"2468550X","issue":"5","journalAbbreviation":"Aquaculture and Fisheries","language":"en","page":"525-539","source":"DOI.org (Crossref)","title":"Sexual plasticity in bony fishes: Analyzing morphological to molecular changes of sex reversal","title-short":"Sexual plasticity in bony fishes","volume":"7","author":[{"family":"Tenugu","given":"Swathi"},{"family":"Senthilkumaran","given":"Balasubramanian"}],"issued":{"date-parts":[["2022",9]]}}},{"id":770,"uris":["http://zotero.org/users/local/3tku6QP0/items/R54SFBAP"],"itemData":{"id":770,"type":"article-journal","abstract":"In mammals, the transcription factor SRY, encoded by the Y chromosome, is normally responsible for triggering the indifferent gonads to develop as testes rather than ovaries. However, testis differentiation can occur in its absence. Here we demonstrate in the mouse that a single factor, the forkhead transcriptional regulator FOXL2, is required to prevent transdifferentiation of an adult ovary to a testis. Inducible deletion of Foxl2 in adult ovarian follicles leads to immediate upregulation of testis-speciﬁc genes including the critical SRY target gene Sox9. Concordantly, reprogramming of granulosa and theca cell lineages into Sertoli-like and Leydig-like cell lineages occurs with testosterone levels comparable to those of normal XY male littermates. Our results show that maintenance of the ovarian phenotype is an active process throughout life. They might also have important medical implications for the understanding and treatment of some disorders of sexual development in children and premature menopause in women.","container-title":"Cell","DOI":"10.1016/j.cell.2009.11.021","ISSN":"00928674","issue":"6","journalAbbreviation":"Cell","language":"en","page":"1130-1142","source":"DOI.org (Crossref)","title":"Somatic Sex Reprogramming of Adult Ovaries to Testes by FOXL2 Ablation","volume":"139","author":[{"family":"Uhlenhaut","given":"N. Henriette"},{"family":"Jakob","given":"Susanne"},{"family":"Anlag","given":"Katrin"},{"family":"Eisenberger","given":"Tobias"},{"family":"Sekido","given":"Ryohei"},{"family":"Kress","given":"Jana"},{"family":"Treier","given":"Anna-Corina"},{"family":"Klugmann","given":"Claudia"},{"family":"Klasen","given":"Christian"},{"family":"Holter","given":"Nadine I."},{"family":"Riethmacher","given":"Dieter"},{"family":"Schütz","given":"Günther"},{"family":"Cooney","given":"Austin J."},{"family":"Lovell-Badge","given":"Robin"},{"family":"Treier","given":"Mathias"}],"issued":{"date-parts":[["2009",12]]}}}],"schema":"https://github.com/citation-style-language/schema/raw/master/csl-citation.json"} </w:instrText>
      </w:r>
      <w:r w:rsidR="007B12B0">
        <w:rPr>
          <w:rFonts w:asciiTheme="majorHAnsi" w:hAnsiTheme="majorHAnsi" w:cstheme="majorHAnsi"/>
          <w:bCs/>
          <w:iCs/>
        </w:rPr>
        <w:fldChar w:fldCharType="separate"/>
      </w:r>
      <w:r w:rsidR="005C2814">
        <w:rPr>
          <w:rFonts w:asciiTheme="majorHAnsi" w:hAnsiTheme="majorHAnsi" w:cstheme="majorHAnsi"/>
          <w:bCs/>
          <w:iCs/>
          <w:noProof/>
        </w:rPr>
        <w:t>(Shen &amp; Wang, 2018; Tenugu &amp; Senthilkumaran, 2022; Uhlenhaut et al., 2009)</w:t>
      </w:r>
      <w:r w:rsidR="007B12B0">
        <w:rPr>
          <w:rFonts w:asciiTheme="majorHAnsi" w:hAnsiTheme="majorHAnsi" w:cstheme="majorHAnsi"/>
          <w:bCs/>
          <w:iCs/>
        </w:rPr>
        <w:fldChar w:fldCharType="end"/>
      </w:r>
      <w:r w:rsidR="000B2BCC">
        <w:rPr>
          <w:rFonts w:asciiTheme="majorHAnsi" w:hAnsiTheme="majorHAnsi" w:cstheme="majorHAnsi"/>
          <w:bCs/>
          <w:iCs/>
        </w:rPr>
        <w:t>. 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sex determination (GSD), sex is resolved upon the fusion of gametes</w:t>
      </w:r>
      <w:r w:rsidR="0038489E">
        <w:rPr>
          <w:rFonts w:asciiTheme="majorHAnsi" w:hAnsiTheme="majorHAnsi" w:cstheme="majorHAnsi"/>
          <w:bCs/>
          <w:iCs/>
        </w:rPr>
        <w:t>.</w:t>
      </w:r>
      <w:r w:rsidR="000B2BCC">
        <w:rPr>
          <w:rFonts w:asciiTheme="majorHAnsi" w:hAnsiTheme="majorHAnsi" w:cstheme="majorHAnsi"/>
          <w:bCs/>
          <w:iCs/>
        </w:rPr>
        <w:t xml:space="preserve"> </w:t>
      </w:r>
      <w:r w:rsidR="0038489E">
        <w:rPr>
          <w:rFonts w:asciiTheme="majorHAnsi" w:hAnsiTheme="majorHAnsi" w:cstheme="majorHAnsi"/>
          <w:bCs/>
          <w:iCs/>
        </w:rPr>
        <w:t>C</w:t>
      </w:r>
      <w:r w:rsidR="000B2BCC" w:rsidRPr="00EC0478">
        <w:rPr>
          <w:rFonts w:asciiTheme="majorHAnsi" w:hAnsiTheme="majorHAnsi" w:cstheme="majorHAnsi"/>
          <w:bCs/>
          <w:iCs/>
        </w:rPr>
        <w:t>hromosom</w:t>
      </w:r>
      <w:r w:rsidR="000B2BCC">
        <w:rPr>
          <w:rFonts w:asciiTheme="majorHAnsi" w:hAnsiTheme="majorHAnsi" w:cstheme="majorHAnsi"/>
          <w:bCs/>
          <w:iCs/>
        </w:rPr>
        <w:t>al</w:t>
      </w:r>
      <w:r w:rsidR="000B2BCC" w:rsidRPr="00EC0478">
        <w:rPr>
          <w:rFonts w:asciiTheme="majorHAnsi" w:hAnsiTheme="majorHAnsi" w:cstheme="majorHAnsi"/>
          <w:bCs/>
          <w:iCs/>
        </w:rPr>
        <w:t xml:space="preserve"> </w:t>
      </w:r>
      <w:r w:rsidR="00EF3EBC">
        <w:rPr>
          <w:rFonts w:asciiTheme="majorHAnsi" w:hAnsiTheme="majorHAnsi" w:cstheme="majorHAnsi"/>
          <w:bCs/>
          <w:iCs/>
        </w:rPr>
        <w:t>(</w:t>
      </w:r>
      <w:r w:rsidR="000B2BCC" w:rsidRPr="00EC0478">
        <w:rPr>
          <w:rFonts w:asciiTheme="majorHAnsi" w:hAnsiTheme="majorHAnsi" w:cstheme="majorHAnsi"/>
          <w:bCs/>
          <w:iCs/>
        </w:rPr>
        <w:t>heterogametic males (XY) or females (ZW)</w:t>
      </w:r>
      <w:r w:rsidR="00EF3EBC">
        <w:rPr>
          <w:rFonts w:asciiTheme="majorHAnsi" w:hAnsiTheme="majorHAnsi" w:cstheme="majorHAnsi"/>
          <w:bCs/>
          <w:iCs/>
        </w:rPr>
        <w:t>)</w:t>
      </w:r>
      <w:r w:rsidR="000B2BCC">
        <w:rPr>
          <w:rFonts w:asciiTheme="majorHAnsi" w:hAnsiTheme="majorHAnsi" w:cstheme="majorHAnsi"/>
          <w:bCs/>
          <w:iCs/>
        </w:rPr>
        <w:t xml:space="preserve"> or genic</w:t>
      </w:r>
      <w:r w:rsidR="00EF3EBC">
        <w:rPr>
          <w:rFonts w:asciiTheme="majorHAnsi" w:hAnsiTheme="majorHAnsi" w:cstheme="majorHAnsi"/>
          <w:bCs/>
          <w:iCs/>
        </w:rPr>
        <w:t xml:space="preserve"> (</w:t>
      </w:r>
      <w:r w:rsidR="000B2BCC">
        <w:rPr>
          <w:rFonts w:asciiTheme="majorHAnsi" w:hAnsiTheme="majorHAnsi" w:cstheme="majorHAnsi"/>
          <w:bCs/>
          <w:iCs/>
        </w:rPr>
        <w:t>female-</w:t>
      </w:r>
      <w:r w:rsidR="00EF3EBC">
        <w:rPr>
          <w:rFonts w:asciiTheme="majorHAnsi" w:hAnsiTheme="majorHAnsi" w:cstheme="majorHAnsi"/>
          <w:bCs/>
          <w:iCs/>
        </w:rPr>
        <w:t xml:space="preserve"> </w:t>
      </w:r>
      <w:r w:rsidR="000B2BCC">
        <w:rPr>
          <w:rFonts w:asciiTheme="majorHAnsi" w:hAnsiTheme="majorHAnsi" w:cstheme="majorHAnsi"/>
          <w:bCs/>
          <w:iCs/>
        </w:rPr>
        <w:t>or male-specific master sex determining regulators</w:t>
      </w:r>
      <w:r w:rsidR="00EF3EBC">
        <w:rPr>
          <w:rFonts w:asciiTheme="majorHAnsi" w:hAnsiTheme="majorHAnsi" w:cstheme="majorHAnsi"/>
          <w:bCs/>
          <w:iCs/>
        </w:rPr>
        <w:t>)</w:t>
      </w:r>
      <w:r w:rsidR="000B2BCC">
        <w:rPr>
          <w:rFonts w:asciiTheme="majorHAnsi" w:hAnsiTheme="majorHAnsi" w:cstheme="majorHAnsi"/>
          <w:bCs/>
          <w:iCs/>
        </w:rPr>
        <w:t xml:space="preserve"> mechanisms drive the primary sexual development and gonadal output o</w:t>
      </w:r>
      <w:r w:rsidR="00EF3EBC">
        <w:rPr>
          <w:rFonts w:asciiTheme="majorHAnsi" w:hAnsiTheme="majorHAnsi" w:cstheme="majorHAnsi"/>
          <w:bCs/>
          <w:iCs/>
        </w:rPr>
        <w:t>f</w:t>
      </w:r>
      <w:r w:rsidR="000B2BCC">
        <w:rPr>
          <w:rFonts w:asciiTheme="majorHAnsi" w:hAnsiTheme="majorHAnsi" w:cstheme="majorHAnsi"/>
          <w:bCs/>
          <w:iCs/>
        </w:rPr>
        <w:t xml:space="preserve"> individuals </w:t>
      </w:r>
      <w:r w:rsidR="0038489E">
        <w:rPr>
          <w:rFonts w:asciiTheme="majorHAnsi" w:hAnsiTheme="majorHAnsi" w:cstheme="majorHAnsi"/>
          <w:bCs/>
          <w:iCs/>
        </w:rPr>
        <w:t xml:space="preserve">with GSD </w:t>
      </w:r>
      <w:r w:rsidR="000B2BCC" w:rsidRPr="00EC0478">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{"citationID":"SFUKhMBw","properties":{"formattedCitation":"(Bhattacharya &amp; Modi, 2021; Devlin &amp; Nagahama, 2002; Guiguen et al., 2018)","plainCitation":"(Bhattacharya &amp; Modi, 2021; Devlin &amp; Nagahama, 2002; Guiguen et al., 2018)","noteIndex":0},"citationItems":[{"id":725,"uris":["http://zotero.org/users/local/3tku6QP0/items/44W8ARGN"],"itemData":{"id":725,"type":"chapter","abstract":"Sex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influences","type":"article-journal","volume":"208"}},{"id":775,"uris":["http://zotero.org/users/local/3tku6QP0/items/P8Q2H3CT"],"itemData":{"id":775,"type":"chapter","container-title":"Sex Control in Aquaculture","edition":"1","ISBN":"978-1-119-12726-0","language":"en","note":"DOI: 10.1002/9781119127291.ch2","page":"35-63","publisher":"Wiley","source":"DOI.org (Crossref)","title":"Sex Determination and Differentiation in Fish: Genetic, Genomic, and Endocrine Aspects","title-short":"Sex Determination and Differentiation in Fish","URL":"https://onlinelibrary.wiley.com/doi/10.1002/9781119127291.ch2","editor":[{"family":"Wang","given":"Han‐Ping"},{"family":"Piferrer","given":"Francesc"},{"family":"Chen","given":"Song‐Lin"},{"family":"Shen","given":"Zhi‐Gang"}],"author":[{"family":"Guiguen","given":"Yann"},{"family":"Fostier","given":"Alexis"},{"family":"Herpin","given":"Amaury"}],"accessed":{"date-parts":[["2023",10,31]]},"issued":{"date-parts":[["2018",11,26]]}}}],"schema":"https://github.com/citation-style-language/schema/raw/master/csl-citation.json"} </w:instrText>
      </w:r>
      <w:r w:rsidR="000B2BCC" w:rsidRPr="00EC0478">
        <w:rPr>
          <w:rFonts w:asciiTheme="majorHAnsi" w:hAnsiTheme="majorHAnsi" w:cstheme="majorHAnsi"/>
          <w:bCs/>
          <w:iCs/>
        </w:rPr>
        <w:fldChar w:fldCharType="separate"/>
      </w:r>
      <w:r w:rsidR="005C2814">
        <w:rPr>
          <w:rFonts w:asciiTheme="majorHAnsi" w:hAnsiTheme="majorHAnsi" w:cstheme="majorHAnsi"/>
          <w:bCs/>
          <w:iCs/>
          <w:noProof/>
        </w:rPr>
        <w:t>(Bhattacharya &amp; Modi, 2021; Devlin &amp; Nagahama, 2002; Guiguen et al., 2018)</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EF665B">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r w:rsidR="009411C6">
        <w:rPr>
          <w:rFonts w:asciiTheme="majorHAnsi" w:hAnsiTheme="majorHAnsi" w:cstheme="majorHAnsi"/>
          <w:bCs/>
          <w:iCs/>
        </w:rPr>
        <w:t>effe</w:t>
      </w:r>
      <w:r w:rsidR="00EF3EBC">
        <w:rPr>
          <w:rFonts w:asciiTheme="majorHAnsi" w:hAnsiTheme="majorHAnsi" w:cstheme="majorHAnsi"/>
          <w:bCs/>
          <w:iCs/>
        </w:rPr>
        <w:t>c</w:t>
      </w:r>
      <w:r w:rsidR="009411C6">
        <w:rPr>
          <w:rFonts w:asciiTheme="majorHAnsi" w:hAnsiTheme="majorHAnsi" w:cstheme="majorHAnsi"/>
          <w:bCs/>
          <w:iCs/>
        </w:rPr>
        <w:t>tive</w:t>
      </w:r>
      <w:r w:rsidR="00813AA0">
        <w:rPr>
          <w:rFonts w:asciiTheme="majorHAnsi" w:hAnsiTheme="majorHAnsi" w:cstheme="majorHAnsi"/>
          <w:bCs/>
          <w:iCs/>
        </w:rPr>
        <w:t xml:space="preserve"> management practices such as the ability</w:t>
      </w:r>
      <w:r w:rsidR="00E5483C">
        <w:rPr>
          <w:rFonts w:asciiTheme="majorHAnsi" w:hAnsiTheme="majorHAnsi" w:cstheme="majorHAnsi"/>
          <w:bCs/>
          <w:iCs/>
        </w:rPr>
        <w:t xml:space="preserve"> </w:t>
      </w:r>
      <w:r w:rsidR="00813AA0">
        <w:rPr>
          <w:rFonts w:asciiTheme="majorHAnsi" w:hAnsiTheme="majorHAnsi" w:cstheme="majorHAnsi"/>
          <w:bCs/>
          <w:iCs/>
        </w:rPr>
        <w:t xml:space="preserve">to </w:t>
      </w:r>
      <w:r w:rsidR="000B2BCC">
        <w:rPr>
          <w:rFonts w:asciiTheme="majorHAnsi" w:hAnsiTheme="majorHAnsi" w:cstheme="majorHAnsi"/>
          <w:bCs/>
          <w:iCs/>
        </w:rPr>
        <w:t xml:space="preserve">utilize ESR strategies to produce desired sex ratios in </w:t>
      </w:r>
      <w:r w:rsidR="000B2BCC">
        <w:rPr>
          <w:rFonts w:asciiTheme="majorHAnsi" w:hAnsiTheme="majorHAnsi" w:cstheme="majorHAnsi"/>
          <w:bCs/>
          <w:iCs/>
        </w:rPr>
        <w:lastRenderedPageBreak/>
        <w:t>captive</w:t>
      </w:r>
      <w:r w:rsidR="00EF3EBC">
        <w:rPr>
          <w:rFonts w:asciiTheme="majorHAnsi" w:hAnsiTheme="majorHAnsi" w:cstheme="majorHAnsi"/>
          <w:bCs/>
          <w:iCs/>
        </w:rPr>
        <w:t xml:space="preserve"> populations</w:t>
      </w:r>
      <w:r w:rsidR="00813AA0">
        <w:rPr>
          <w:rFonts w:asciiTheme="majorHAnsi" w:hAnsiTheme="majorHAnsi" w:cstheme="majorHAnsi"/>
          <w:bCs/>
          <w:iCs/>
        </w:rPr>
        <w:t xml:space="preserve"> </w:t>
      </w:r>
      <w:r w:rsidR="00E5483C">
        <w:rPr>
          <w:rFonts w:asciiTheme="majorHAnsi" w:hAnsiTheme="majorHAnsi" w:cstheme="majorHAnsi"/>
          <w:bCs/>
          <w:iCs/>
        </w:rPr>
        <w:t xml:space="preserve">or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328F30C" w14:textId="4B233DE5"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w:t>
      </w:r>
      <w:proofErr w:type="spellStart"/>
      <w:r w:rsidRPr="00C07444">
        <w:rPr>
          <w:rFonts w:ascii="Calibri Light" w:hAnsiTheme="majorHAnsi" w:cs="Calibri Light"/>
        </w:rPr>
        <w:t>Baroiller</w:t>
      </w:r>
      <w:proofErr w:type="spellEnd"/>
      <w:r w:rsidRPr="00C07444">
        <w:rPr>
          <w:rFonts w:ascii="Calibri Light" w:hAnsiTheme="majorHAnsi" w:cs="Calibri Light"/>
        </w:rPr>
        <w:t xml:space="preserve"> &amp; </w:t>
      </w:r>
      <w:proofErr w:type="spellStart"/>
      <w:r w:rsidRPr="00C07444">
        <w:rPr>
          <w:rFonts w:ascii="Calibri Light" w:hAnsiTheme="majorHAnsi" w:cs="Calibri Light"/>
        </w:rPr>
        <w:t>D’Cotta</w:t>
      </w:r>
      <w:proofErr w:type="spellEnd"/>
      <w:r w:rsidRPr="00C07444">
        <w:rPr>
          <w:rFonts w:ascii="Calibri Light" w:hAnsiTheme="majorHAnsi" w:cs="Calibri Light"/>
        </w:rPr>
        <w:t xml:space="preserve">, 2016; </w:t>
      </w:r>
      <w:proofErr w:type="spellStart"/>
      <w:r w:rsidRPr="00C07444">
        <w:rPr>
          <w:rFonts w:ascii="Calibri Light" w:hAnsiTheme="majorHAnsi" w:cs="Calibri Light"/>
        </w:rPr>
        <w:t>Geffroy</w:t>
      </w:r>
      <w:proofErr w:type="spellEnd"/>
      <w:r w:rsidRPr="00C07444">
        <w:rPr>
          <w:rFonts w:ascii="Calibri Light" w:hAnsiTheme="majorHAnsi" w:cs="Calibri Light"/>
        </w:rPr>
        <w:t xml:space="preserve"> &amp; </w:t>
      </w:r>
      <w:proofErr w:type="spellStart"/>
      <w:r w:rsidRPr="00C07444">
        <w:rPr>
          <w:rFonts w:ascii="Calibri Light" w:hAnsiTheme="majorHAnsi" w:cs="Calibri Light"/>
        </w:rPr>
        <w:t>Wedekind</w:t>
      </w:r>
      <w:proofErr w:type="spellEnd"/>
      <w:r w:rsidRPr="00C07444">
        <w:rPr>
          <w:rFonts w:ascii="Calibri Light" w:hAnsiTheme="majorHAnsi" w:cs="Calibri Light"/>
        </w:rPr>
        <w:t>,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sidR="00EF3EBC">
        <w:rPr>
          <w:rFonts w:asciiTheme="majorHAnsi" w:hAnsiTheme="majorHAnsi" w:cstheme="majorHAnsi"/>
          <w:bCs/>
          <w:iCs/>
        </w:rPr>
        <w:t xml:space="preserve">sex-specific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and</w:t>
      </w:r>
      <w:r w:rsidR="00EF3EBC">
        <w:rPr>
          <w:rFonts w:asciiTheme="majorHAnsi" w:hAnsiTheme="majorHAnsi" w:cstheme="majorHAnsi"/>
          <w:bCs/>
          <w:iCs/>
        </w:rPr>
        <w:t xml:space="preserve"> sex-biased</w:t>
      </w:r>
      <w:r>
        <w:rPr>
          <w:rFonts w:asciiTheme="majorHAnsi" w:hAnsiTheme="majorHAnsi" w:cstheme="majorHAnsi"/>
          <w:bCs/>
          <w:iCs/>
        </w:rPr>
        <w:t xml:space="preserve">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sidR="00BF6816">
        <w:rPr>
          <w:rFonts w:asciiTheme="majorHAnsi" w:hAnsiTheme="majorHAnsi" w:cstheme="majorHAnsi"/>
          <w:bCs/>
          <w:iCs/>
        </w:rPr>
        <w:t>,</w:t>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r w:rsidR="00BF6816">
        <w:rPr>
          <w:rFonts w:asciiTheme="majorHAnsi" w:hAnsiTheme="majorHAnsi" w:cstheme="majorHAnsi"/>
          <w:bCs/>
          <w:iCs/>
          <w:color w:val="00000A"/>
        </w:rPr>
        <w:t xml:space="preserve">. Sex ratio bias can contribute to a </w:t>
      </w:r>
      <w:commentRangeStart w:id="6"/>
      <w:r w:rsidR="00BF6816">
        <w:rPr>
          <w:rFonts w:asciiTheme="majorHAnsi" w:hAnsiTheme="majorHAnsi" w:cstheme="majorHAnsi"/>
          <w:bCs/>
          <w:iCs/>
          <w:color w:val="00000A"/>
        </w:rPr>
        <w:t xml:space="preserve">decrease in the number of breeding individuals </w:t>
      </w:r>
      <w:commentRangeEnd w:id="6"/>
      <w:r w:rsidR="00F0729D">
        <w:rPr>
          <w:rStyle w:val="CommentReference"/>
        </w:rPr>
        <w:commentReference w:id="6"/>
      </w:r>
      <w:r w:rsidR="00BF6816">
        <w:rPr>
          <w:rFonts w:asciiTheme="majorHAnsi" w:hAnsiTheme="majorHAnsi" w:cstheme="majorHAnsi"/>
          <w:bCs/>
          <w:iCs/>
          <w:color w:val="00000A"/>
        </w:rPr>
        <w:t>(i.e. N</w:t>
      </w:r>
      <w:r w:rsidR="00BF6816" w:rsidRPr="00643F49">
        <w:rPr>
          <w:rFonts w:asciiTheme="majorHAnsi" w:hAnsiTheme="majorHAnsi" w:cstheme="majorHAnsi"/>
          <w:bCs/>
          <w:iCs/>
          <w:color w:val="00000A"/>
          <w:vertAlign w:val="subscript"/>
        </w:rPr>
        <w:t>e</w:t>
      </w:r>
      <w:r w:rsidR="00BF6816">
        <w:rPr>
          <w:rFonts w:asciiTheme="majorHAnsi" w:hAnsiTheme="majorHAnsi" w:cstheme="majorHAnsi"/>
          <w:bCs/>
          <w:iCs/>
          <w:color w:val="00000A"/>
        </w:rPr>
        <w:t>)</w:t>
      </w:r>
      <w:r w:rsidR="00972F1D">
        <w:rPr>
          <w:rFonts w:asciiTheme="majorHAnsi" w:hAnsiTheme="majorHAnsi" w:cstheme="majorHAnsi"/>
          <w:bCs/>
          <w:iCs/>
          <w:color w:val="00000A"/>
        </w:rPr>
        <w:t xml:space="preserve"> </w:t>
      </w:r>
      <w:r w:rsidR="00A971FF">
        <w:rPr>
          <w:rFonts w:asciiTheme="majorHAnsi" w:hAnsiTheme="majorHAnsi" w:cstheme="majorHAnsi"/>
          <w:bCs/>
          <w:iCs/>
          <w:color w:val="00000A"/>
        </w:rPr>
        <w:t>resulting in populations more susceptible to the effects of inbreeding</w:t>
      </w:r>
      <w:r w:rsidR="00067FDB">
        <w:rPr>
          <w:rFonts w:asciiTheme="majorHAnsi" w:hAnsiTheme="majorHAnsi" w:cstheme="majorHAnsi"/>
          <w:bCs/>
          <w:iCs/>
          <w:color w:val="00000A"/>
        </w:rPr>
        <w:t xml:space="preserve"> depression</w:t>
      </w:r>
      <w:r w:rsidR="00A971FF">
        <w:rPr>
          <w:rFonts w:asciiTheme="majorHAnsi" w:hAnsiTheme="majorHAnsi" w:cstheme="majorHAnsi"/>
          <w:bCs/>
          <w:iCs/>
          <w:color w:val="00000A"/>
        </w:rPr>
        <w:t>, genetic drift and reductions in fitness</w:t>
      </w:r>
      <w:r w:rsidR="00067FDB">
        <w:rPr>
          <w:rFonts w:asciiTheme="majorHAnsi" w:hAnsiTheme="majorHAnsi" w:cstheme="majorHAnsi"/>
          <w:bCs/>
          <w:iCs/>
          <w:color w:val="00000A"/>
        </w:rPr>
        <w:t xml:space="preserve"> </w:t>
      </w:r>
      <w:r w:rsidR="00067FDB">
        <w:rPr>
          <w:rFonts w:asciiTheme="majorHAnsi" w:hAnsiTheme="majorHAnsi" w:cstheme="majorHAnsi"/>
          <w:bCs/>
          <w:iCs/>
          <w:color w:val="00000A"/>
        </w:rPr>
        <w:fldChar w:fldCharType="begin"/>
      </w:r>
      <w:r w:rsidR="00067FDB">
        <w:rPr>
          <w:rFonts w:asciiTheme="majorHAnsi" w:hAnsiTheme="majorHAnsi" w:cstheme="majorHAnsi"/>
          <w:bCs/>
          <w:iCs/>
          <w:color w:val="00000A"/>
        </w:rPr>
        <w:instrText xml:space="preserve"> ADDIN ZOTERO_ITEM CSL_CITATION {"citationID":"4Z6l2onM","properties":{"formattedCitation":"(Frankham, 2005; Hedrick &amp; Garcia-Dorado, 2016; Kardos et al., 2016)","plainCitation":"(Frankham, 2005; Hedrick &amp; Garcia-Dorado, 2016; Kardos et al., 2016)","noteIndex":0},"citationItems":[{"id":303,"uris":["http://zotero.org/users/local/3tku6QP0/items/JAQPNXLK"],"itemData":{"id":303,"type":"article-journal","abstract":"The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extinction","volume":"126","author":[{"family":"Frankham","given":"Richard"}],"issued":{"date-parts":[["2005"]]}}},{"id":778,"uris":["http://zotero.org/users/local/3tku6QP0/items/YBK9IYQ3"],"itemData":{"id":778,"type":"article-journal","container-title":"Trends in Ecology &amp; Evolution","DOI":"10.1016/j.tree.2016.09.005","ISSN":"01695347","issue":"12","journalAbbreviation":"Trends in Ecology &amp; Evolution","language":"en","page":"940-952","source":"DOI.org (Crossref)","title":"Understanding Inbreeding Depression, Purging, and Genetic Rescue","volume":"31","author":[{"family":"Hedrick","given":"Philip W."},{"family":"Garcia-Dorado","given":"Aurora"}],"issued":{"date-parts":[["2016",12]]}}},{"id":780,"uris":["http://zotero.org/users/local/3tku6QP0/items/K7F7BP72"],"itemData":{"id":780,"type":"article-journal","abstract":"Inbreeding depression (reduced fitness of individuals with related parents) has long been a major focus of ecology, evolution, and conservation biology. Despite decades of research, we still have a limited understanding of the strength, underlying genetic mechanisms, and demographic consequences of inbreeding depression in the wild. Studying inbreeding depression in natural populations has been hampered by the inability to precisely measure individual inbreeding. Fortunately, the rapidly increasing availability of high-­throughput sequencing data means it is now feasible to measure the inbreeding of any individual with high precision. Here, we review how genomic data are advancing our understanding of inbreeding depression in the wild. Recent results show that individual inbreeding and inbreeding depression can be measured more precisely with genomic data than via traditional pedigree analysis. Additionally, the availability of genomic data has made it possible to pinpoint loci with large effects contributing to inbreeding depression in wild populations, although this will continue to be a challenging task in many study systems due to low statistical power. Now that reliably measuring individual inbreeding is no longer a limitation, a major focus of future studies should be to more accurately quantify effects of inbreeding depression on population growth and viability.","container-title":"Evolutionary Applications","DOI":"10.1111/eva.12414","ISSN":"1752-4571, 1752-4571","issue":"10","journalAbbreviation":"Evolutionary Applications","language":"en","page":"1205-1218","source":"DOI.org (Crossref)","title":"Genomics advances the study of inbreeding depression in the wild","volume":"9","author":[{"family":"Kardos","given":"Marty"},{"family":"Taylor","given":"Helen R."},{"family":"Ellegren","given":"Hans"},{"family":"Luikart","given":"Gordon"},{"family":"Allendorf","given":"Fred W."}],"issued":{"date-parts":[["2016",12]]}}}],"schema":"https://github.com/citation-style-language/schema/raw/master/csl-citation.json"} </w:instrText>
      </w:r>
      <w:r w:rsidR="00067FDB">
        <w:rPr>
          <w:rFonts w:asciiTheme="majorHAnsi" w:hAnsiTheme="majorHAnsi" w:cstheme="majorHAnsi"/>
          <w:bCs/>
          <w:iCs/>
          <w:color w:val="00000A"/>
        </w:rPr>
        <w:fldChar w:fldCharType="separate"/>
      </w:r>
      <w:r w:rsidR="00067FDB">
        <w:rPr>
          <w:rFonts w:asciiTheme="majorHAnsi" w:hAnsiTheme="majorHAnsi" w:cstheme="majorHAnsi"/>
          <w:bCs/>
          <w:iCs/>
          <w:noProof/>
          <w:color w:val="00000A"/>
        </w:rPr>
        <w:t>(Frankham, 2005; Hedrick &amp; Garcia-Dorado, 2016; Kardos et al., 2016)</w:t>
      </w:r>
      <w:r w:rsidR="00067FDB">
        <w:rPr>
          <w:rFonts w:asciiTheme="majorHAnsi" w:hAnsiTheme="majorHAnsi" w:cstheme="majorHAnsi"/>
          <w:bCs/>
          <w:iCs/>
          <w:color w:val="00000A"/>
        </w:rPr>
        <w:fldChar w:fldCharType="end"/>
      </w:r>
      <w:r w:rsidR="00A971FF">
        <w:rPr>
          <w:rFonts w:asciiTheme="majorHAnsi" w:hAnsiTheme="majorHAnsi" w:cstheme="majorHAnsi"/>
          <w:bCs/>
          <w:iCs/>
          <w:color w:val="00000A"/>
        </w:rPr>
        <w:t xml:space="preserve">. </w:t>
      </w:r>
      <w:r w:rsidR="001953AF">
        <w:rPr>
          <w:rFonts w:asciiTheme="majorHAnsi" w:hAnsiTheme="majorHAnsi" w:cstheme="majorHAnsi"/>
          <w:bCs/>
          <w:iCs/>
          <w:color w:val="00000A"/>
        </w:rPr>
        <w:t>Additionally</w:t>
      </w:r>
      <w:r w:rsidR="00A971FF">
        <w:rPr>
          <w:rFonts w:asciiTheme="majorHAnsi" w:hAnsiTheme="majorHAnsi" w:cstheme="majorHAnsi"/>
          <w:bCs/>
          <w:iCs/>
          <w:color w:val="00000A"/>
        </w:rPr>
        <w:t>, male</w:t>
      </w:r>
      <w:r>
        <w:rPr>
          <w:rFonts w:asciiTheme="majorHAnsi" w:hAnsiTheme="majorHAnsi" w:cstheme="majorHAnsi"/>
          <w:bCs/>
          <w:iCs/>
          <w:color w:val="00000A"/>
        </w:rPr>
        <w:t xml:space="preserve"> sex-bias within wild populations, especially small populations, can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 xml:space="preserve">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a small</w:t>
      </w:r>
      <w:r w:rsidR="00B54DB9">
        <w:rPr>
          <w:rFonts w:asciiTheme="majorHAnsi" w:hAnsiTheme="majorHAnsi" w:cstheme="majorHAnsi"/>
          <w:bCs/>
          <w:iCs/>
          <w:color w:val="00000A"/>
        </w:rPr>
        <w:t xml:space="preserve"> population size, understanding sex ratios throughout the life</w:t>
      </w:r>
      <w:r w:rsidR="00A8647B">
        <w:rPr>
          <w:rFonts w:asciiTheme="majorHAnsi" w:hAnsiTheme="majorHAnsi" w:cstheme="majorHAnsi"/>
          <w:bCs/>
          <w:iCs/>
          <w:color w:val="00000A"/>
        </w:rPr>
        <w:t xml:space="preserve"> </w:t>
      </w:r>
      <w:r w:rsidR="00B54DB9">
        <w:rPr>
          <w:rFonts w:asciiTheme="majorHAnsi" w:hAnsiTheme="majorHAnsi" w:cstheme="majorHAnsi"/>
          <w:bCs/>
          <w:iCs/>
          <w:color w:val="00000A"/>
        </w:rPr>
        <w:t>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171581D9" w:rsidR="001A76B3" w:rsidRDefault="001A76B3" w:rsidP="005600B5">
      <w:pPr>
        <w:rPr>
          <w:rFonts w:asciiTheme="majorHAnsi" w:hAnsiTheme="majorHAnsi" w:cstheme="majorHAnsi"/>
          <w:bCs/>
          <w:iCs/>
          <w:color w:val="00000A"/>
        </w:rPr>
      </w:pPr>
    </w:p>
    <w:p w14:paraId="1DB31631" w14:textId="72105797" w:rsidR="005401DC" w:rsidRDefault="00D843B1" w:rsidP="005401DC">
      <w:pPr>
        <w:rPr>
          <w:rFonts w:asciiTheme="majorHAnsi" w:hAnsiTheme="majorHAnsi" w:cstheme="majorHAnsi"/>
          <w:bCs/>
          <w:iCs/>
          <w:color w:val="00000A"/>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2015)","noteIndex":0},"citationItems":[{"id":"qADU2FLA/kw0dOXmo","uris":["http://www.mendeley.com/documents/?uuid=bf62f766-0bdc-4713-80eb-0c79ca8ca548"],"itemData":{"DOI":"10.1007/s11427-014-4797-9","ISSN":"16747305","abstract":"Aquaculture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 xml:space="preserve">(Mei &amp; </w:t>
      </w:r>
      <w:proofErr w:type="spellStart"/>
      <w:r w:rsidR="00B03F48">
        <w:rPr>
          <w:rFonts w:asciiTheme="majorHAnsi" w:hAnsiTheme="majorHAnsi" w:cstheme="majorHAnsi"/>
          <w:color w:val="00000A"/>
        </w:rPr>
        <w:t>Gui</w:t>
      </w:r>
      <w:proofErr w:type="spellEnd"/>
      <w:r w:rsidR="00B03F48">
        <w:rPr>
          <w:rFonts w:asciiTheme="majorHAnsi" w:hAnsiTheme="majorHAnsi" w:cstheme="majorHAnsi"/>
          <w:color w:val="00000A"/>
        </w:rPr>
        <w:t>,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Despite the State of California’s active monitoring of the wild delta smelt population abundance </w:t>
      </w:r>
      <w:r w:rsidR="00A8647B">
        <w:rPr>
          <w:rFonts w:asciiTheme="majorHAnsi" w:hAnsiTheme="majorHAnsi" w:cstheme="majorHAnsi"/>
          <w:bCs/>
          <w:iCs/>
          <w:color w:val="00000A"/>
        </w:rPr>
        <w:t>and</w:t>
      </w:r>
      <w:r w:rsidR="008E69D6">
        <w:rPr>
          <w:rFonts w:asciiTheme="majorHAnsi" w:hAnsiTheme="majorHAnsi" w:cstheme="majorHAnsi"/>
          <w:bCs/>
          <w:iCs/>
          <w:color w:val="00000A"/>
        </w:rPr>
        <w:t xml:space="preserve"> distribution, the inability to identify the sex of fish at all life stages leaves an important metric of population dynamics unknown. </w:t>
      </w:r>
      <w:r w:rsidR="00A8647B">
        <w:rPr>
          <w:rFonts w:asciiTheme="majorHAnsi" w:hAnsiTheme="majorHAnsi" w:cstheme="majorHAnsi"/>
          <w:bCs/>
          <w:iCs/>
          <w:color w:val="00000A"/>
        </w:rPr>
        <w:t>Because</w:t>
      </w:r>
      <w:r w:rsidR="00B03F48">
        <w:rPr>
          <w:rFonts w:asciiTheme="majorHAnsi" w:hAnsiTheme="majorHAnsi" w:cstheme="majorHAnsi"/>
          <w:bCs/>
          <w:iCs/>
          <w:color w:val="00000A"/>
        </w:rPr>
        <w:t xml:space="preserv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vary </w:t>
      </w:r>
      <w:r w:rsidR="005600B5" w:rsidRPr="00120DAA">
        <w:rPr>
          <w:rFonts w:asciiTheme="majorHAnsi" w:hAnsiTheme="majorHAnsi" w:cstheme="majorHAnsi"/>
          <w:bCs/>
          <w:iCs/>
          <w:color w:val="00000A"/>
        </w:rPr>
        <w:t>between closely related species</w:t>
      </w:r>
      <w:r w:rsidR="000114F5">
        <w:rPr>
          <w:rFonts w:asciiTheme="majorHAnsi" w:hAnsiTheme="majorHAnsi" w:cstheme="majorHAnsi"/>
          <w:bCs/>
          <w:iCs/>
          <w:color w:val="00000A"/>
        </w:rPr>
        <w:t xml:space="preserve"> and within different populations of a single species</w:t>
      </w:r>
      <w:r w:rsidR="005600B5">
        <w:rPr>
          <w:rFonts w:asciiTheme="majorHAnsi" w:hAnsiTheme="majorHAnsi" w:cstheme="majorHAnsi"/>
          <w:bCs/>
          <w:iCs/>
          <w:color w:val="00000A"/>
        </w:rPr>
        <w:t xml:space="preserve">, </w:t>
      </w:r>
      <w:r w:rsidR="008E69D6">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sidR="008E69D6">
        <w:rPr>
          <w:rFonts w:asciiTheme="majorHAnsi" w:hAnsiTheme="majorHAnsi" w:cstheme="majorHAnsi"/>
          <w:bCs/>
          <w:iCs/>
          <w:color w:val="00000A"/>
        </w:rPr>
        <w:t xml:space="preserve">and </w:t>
      </w:r>
      <w:r w:rsidR="00A8647B">
        <w:rPr>
          <w:rFonts w:asciiTheme="majorHAnsi" w:hAnsiTheme="majorHAnsi" w:cstheme="majorHAnsi"/>
          <w:bCs/>
          <w:iCs/>
          <w:color w:val="00000A"/>
        </w:rPr>
        <w:t xml:space="preserve">a search for </w:t>
      </w:r>
      <w:r w:rsidR="008E69D6">
        <w:rPr>
          <w:rFonts w:asciiTheme="majorHAnsi" w:hAnsiTheme="majorHAnsi" w:cstheme="majorHAnsi"/>
          <w:bCs/>
          <w:iCs/>
          <w:color w:val="00000A"/>
        </w:rPr>
        <w:t xml:space="preserve">diagnostic markers </w:t>
      </w:r>
      <w:r w:rsidR="005600B5">
        <w:rPr>
          <w:rFonts w:asciiTheme="majorHAnsi" w:hAnsiTheme="majorHAnsi" w:cstheme="majorHAnsi"/>
          <w:bCs/>
          <w:iCs/>
          <w:color w:val="00000A"/>
        </w:rPr>
        <w:t xml:space="preserve">must </w:t>
      </w:r>
      <w:r w:rsidR="00A8647B">
        <w:rPr>
          <w:rFonts w:asciiTheme="majorHAnsi" w:hAnsiTheme="majorHAnsi" w:cstheme="majorHAnsi"/>
          <w:bCs/>
          <w:iCs/>
          <w:color w:val="00000A"/>
        </w:rPr>
        <w:t>be performed</w:t>
      </w:r>
      <w:r w:rsidR="005600B5">
        <w:rPr>
          <w:rFonts w:asciiTheme="majorHAnsi" w:hAnsiTheme="majorHAnsi" w:cstheme="majorHAnsi"/>
          <w:bCs/>
          <w:iCs/>
          <w:color w:val="00000A"/>
        </w:rPr>
        <w:t xml:space="preserve"> at the individual species level </w:t>
      </w:r>
      <w:r w:rsidR="005600B5"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{"citationID":"xN876Iit","properties":{"formattedCitation":"(Conover &amp; Kynard, 2013; Devlin &amp; Nagahama, 2002; Kobayashi et al., 2013; Mank &amp; Avise, 2009; Nakamura et al., 1998; Volff, 2005; Volff &amp; Schartl, 2001)","plainCitation":"(Conover &amp; Kynard, 2013; Devlin &amp; Nagahama, 2002; Kobayashi et al., 2013; Mank &amp; Avise, 2009; Nakamura et al., 1998; Volff, 2005; Volff &amp; Schartl, 2001)","noteIndex":0},"citationItems":[{"id":"qADU2FLA/fMVSbQQQ","uris":["http://www.mendeley.com/documents/?uuid=8b73779d-f525-48e0-ba64-b1dbd7428d63"],"itemData":{"author":[{"dropping-particle":"","family":"Conover","given":"David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qADU2FLA/auVPH5BW","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fish","type":"article-journal","volume":"94"}},{"id":766,"uris":["http://zotero.org/users/local/3tku6QP0/items/CMGAMU6X"],"itemData":{"id":766,"type":"article-journal","abstract":"Poeciliids are one of the best-studied groups of ﬁshes with respect to sex determination. They present an amazing variety of mechanisms, which span from simple XX-XY or ZZ-ZW systems to polyfactorial sex determination. The gonosomes of poeciliids generally are homomorphic, but very early stages of sex chromosome differentiation have been occasionally detected in some species. In the platyﬁsh Xiphophorus maculatus, gene loci involved in melanoma formation, in different pigmentation patterns and in sexual maturity are closely linked to the sex-determining locus in the subtelomeric region of the X- and Y- chromosomes. The majority of traits encoded by these loci are highly polymorphic. This phenomenon might be explained by the high level of genomic plasticity apparently affecting the sex-determining region, where frequent rearrangements such as duplications, deletions, ampliﬁcations, and transpositions frequently occur. We propose that the high plasticity of the sex-determining region might explain the variability of sex determination in Xiphophorus and other poeciliids.","container-title":"Genetica","language":"en","page":"101-110","source":"Zotero","title":"Variability of genetic sex determination in poeciliid fishes","volume":"111","author":[{"family":"Volff","given":"J. N."},{"family":"Schartl","given":"M."}],"issued":{"date-parts":[["2001"]]}}}],"schema":"https://github.com/citation-style-language/schema/raw/master/csl-citation.json"} </w:instrText>
      </w:r>
      <w:r w:rsidR="005600B5" w:rsidRPr="00120DAA">
        <w:rPr>
          <w:rFonts w:asciiTheme="majorHAnsi" w:hAnsiTheme="majorHAnsi" w:cstheme="majorHAnsi"/>
          <w:bCs/>
          <w:iCs/>
          <w:color w:val="00000A"/>
        </w:rPr>
        <w:fldChar w:fldCharType="separate"/>
      </w:r>
      <w:r w:rsidR="00EF665B">
        <w:rPr>
          <w:rFonts w:asciiTheme="majorHAnsi" w:hAnsiTheme="majorHAnsi" w:cstheme="majorHAnsi"/>
          <w:color w:val="00000A"/>
        </w:rPr>
        <w:t xml:space="preserve">(Conover &amp; Kynard, 2013; Devlin &amp; </w:t>
      </w:r>
      <w:proofErr w:type="spellStart"/>
      <w:r w:rsidR="00EF665B">
        <w:rPr>
          <w:rFonts w:asciiTheme="majorHAnsi" w:hAnsiTheme="majorHAnsi" w:cstheme="majorHAnsi"/>
          <w:color w:val="00000A"/>
        </w:rPr>
        <w:t>Nagahama</w:t>
      </w:r>
      <w:proofErr w:type="spellEnd"/>
      <w:r w:rsidR="00EF665B">
        <w:rPr>
          <w:rFonts w:asciiTheme="majorHAnsi" w:hAnsiTheme="majorHAnsi" w:cstheme="majorHAnsi"/>
          <w:color w:val="00000A"/>
        </w:rPr>
        <w:t xml:space="preserve">, 2002; Kobayashi et al., 2013; </w:t>
      </w:r>
      <w:proofErr w:type="spellStart"/>
      <w:r w:rsidR="00EF665B">
        <w:rPr>
          <w:rFonts w:asciiTheme="majorHAnsi" w:hAnsiTheme="majorHAnsi" w:cstheme="majorHAnsi"/>
          <w:color w:val="00000A"/>
        </w:rPr>
        <w:t>Mank</w:t>
      </w:r>
      <w:proofErr w:type="spellEnd"/>
      <w:r w:rsidR="00EF665B">
        <w:rPr>
          <w:rFonts w:asciiTheme="majorHAnsi" w:hAnsiTheme="majorHAnsi" w:cstheme="majorHAnsi"/>
          <w:color w:val="00000A"/>
        </w:rPr>
        <w:t xml:space="preserve"> &amp; </w:t>
      </w:r>
      <w:proofErr w:type="spellStart"/>
      <w:r w:rsidR="00EF665B">
        <w:rPr>
          <w:rFonts w:asciiTheme="majorHAnsi" w:hAnsiTheme="majorHAnsi" w:cstheme="majorHAnsi"/>
          <w:color w:val="00000A"/>
        </w:rPr>
        <w:t>Avise</w:t>
      </w:r>
      <w:proofErr w:type="spellEnd"/>
      <w:r w:rsidR="00EF665B">
        <w:rPr>
          <w:rFonts w:asciiTheme="majorHAnsi" w:hAnsiTheme="majorHAnsi" w:cstheme="majorHAnsi"/>
          <w:color w:val="00000A"/>
        </w:rPr>
        <w:t xml:space="preserve">, 2009; Nakamura et al., 1998; </w:t>
      </w:r>
      <w:proofErr w:type="spellStart"/>
      <w:r w:rsidR="00EF665B">
        <w:rPr>
          <w:rFonts w:asciiTheme="majorHAnsi" w:hAnsiTheme="majorHAnsi" w:cstheme="majorHAnsi"/>
          <w:color w:val="00000A"/>
        </w:rPr>
        <w:t>Volff</w:t>
      </w:r>
      <w:proofErr w:type="spellEnd"/>
      <w:r w:rsidR="00EF665B">
        <w:rPr>
          <w:rFonts w:asciiTheme="majorHAnsi" w:hAnsiTheme="majorHAnsi" w:cstheme="majorHAnsi"/>
          <w:color w:val="00000A"/>
        </w:rPr>
        <w:t xml:space="preserve">, 2005; </w:t>
      </w:r>
      <w:proofErr w:type="spellStart"/>
      <w:r w:rsidR="00EF665B">
        <w:rPr>
          <w:rFonts w:asciiTheme="majorHAnsi" w:hAnsiTheme="majorHAnsi" w:cstheme="majorHAnsi"/>
          <w:color w:val="00000A"/>
        </w:rPr>
        <w:t>Volff</w:t>
      </w:r>
      <w:proofErr w:type="spellEnd"/>
      <w:r w:rsidR="00EF665B">
        <w:rPr>
          <w:rFonts w:asciiTheme="majorHAnsi" w:hAnsiTheme="majorHAnsi" w:cstheme="majorHAnsi"/>
          <w:color w:val="00000A"/>
        </w:rPr>
        <w:t xml:space="preserve"> &amp; </w:t>
      </w:r>
      <w:proofErr w:type="spellStart"/>
      <w:r w:rsidR="00EF665B">
        <w:rPr>
          <w:rFonts w:asciiTheme="majorHAnsi" w:hAnsiTheme="majorHAnsi" w:cstheme="majorHAnsi"/>
          <w:color w:val="00000A"/>
        </w:rPr>
        <w:t>Schartl</w:t>
      </w:r>
      <w:proofErr w:type="spellEnd"/>
      <w:r w:rsidR="00EF665B">
        <w:rPr>
          <w:rFonts w:asciiTheme="majorHAnsi" w:hAnsiTheme="majorHAnsi" w:cstheme="majorHAnsi"/>
          <w:color w:val="00000A"/>
        </w:rPr>
        <w:t>, 2001)</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bookmarkEnd w:id="1"/>
    <w:bookmarkEnd w:id="0"/>
    <w:bookmarkEnd w:id="2"/>
    <w:p w14:paraId="1373CB06" w14:textId="344BD544" w:rsidR="00E53ED6" w:rsidRPr="00D00F97" w:rsidRDefault="00E53ED6" w:rsidP="00E53ED6">
      <w:pPr>
        <w:rPr>
          <w:rFonts w:asciiTheme="majorHAnsi" w:hAnsiTheme="majorHAnsi" w:cstheme="majorHAnsi"/>
          <w:bCs/>
          <w:iCs/>
          <w:color w:val="00000A"/>
        </w:rPr>
      </w:pPr>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w:t>
      </w:r>
      <w:r w:rsidR="007215B8">
        <w:rPr>
          <w:rFonts w:asciiTheme="majorHAnsi" w:hAnsiTheme="majorHAnsi" w:cstheme="majorHAnsi"/>
          <w:bCs/>
          <w:iCs/>
          <w:color w:val="00000A"/>
        </w:rPr>
        <w:t>(s)</w:t>
      </w:r>
      <w:r>
        <w:rPr>
          <w:rFonts w:asciiTheme="majorHAnsi" w:hAnsiTheme="majorHAnsi" w:cstheme="majorHAnsi"/>
          <w:bCs/>
          <w:iCs/>
          <w:color w:val="00000A"/>
        </w:rPr>
        <w:t xml:space="preserve">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of sexing individual</w:t>
      </w:r>
      <w:r w:rsidR="007215B8">
        <w:rPr>
          <w:rFonts w:asciiTheme="majorHAnsi" w:hAnsiTheme="majorHAnsi" w:cstheme="majorHAnsi"/>
          <w:bCs/>
          <w:iCs/>
          <w:color w:val="00000A"/>
        </w:rPr>
        <w:t>s</w:t>
      </w:r>
      <w:r w:rsidR="00E61BA2">
        <w:rPr>
          <w:rFonts w:asciiTheme="majorHAnsi" w:hAnsiTheme="majorHAnsi" w:cstheme="majorHAnsi"/>
          <w:bCs/>
          <w:iCs/>
          <w:color w:val="00000A"/>
        </w:rPr>
        <w:t xml:space="preserve">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1485C080" w:rsidR="00120DAA" w:rsidRPr="00643F49" w:rsidRDefault="00E53ED6" w:rsidP="00734141">
      <w:pPr>
        <w:rPr>
          <w:rFonts w:asciiTheme="majorHAnsi" w:hAnsiTheme="majorHAnsi" w:cstheme="majorHAnsi"/>
        </w:rPr>
      </w:pPr>
      <w:r>
        <w:rPr>
          <w:rFonts w:asciiTheme="majorHAnsi" w:hAnsiTheme="majorHAnsi" w:cstheme="majorHAnsi"/>
          <w:bCs/>
          <w:iCs/>
          <w:color w:val="00000A"/>
        </w:rPr>
        <w:t xml:space="preserve">Knowing population demographic information will lead to informed management decisions to best support recovery efforts </w:t>
      </w:r>
      <w:r w:rsidR="003360B5">
        <w:rPr>
          <w:rFonts w:asciiTheme="majorHAnsi" w:hAnsiTheme="majorHAnsi" w:cstheme="majorHAnsi"/>
          <w:bCs/>
          <w:iCs/>
          <w:color w:val="00000A"/>
        </w:rPr>
        <w:t>for</w:t>
      </w:r>
      <w:r>
        <w:rPr>
          <w:rFonts w:asciiTheme="majorHAnsi" w:hAnsiTheme="majorHAnsi" w:cstheme="majorHAnsi"/>
          <w:bCs/>
          <w:iCs/>
          <w:color w:val="00000A"/>
        </w:rPr>
        <w:t xml:space="preserve"> imperiled </w:t>
      </w:r>
      <w:r w:rsidR="007215B8">
        <w:rPr>
          <w:rFonts w:asciiTheme="majorHAnsi" w:hAnsiTheme="majorHAnsi" w:cstheme="majorHAnsi"/>
          <w:bCs/>
          <w:iCs/>
          <w:color w:val="00000A"/>
        </w:rPr>
        <w:t>delta smelt</w:t>
      </w:r>
      <w:r>
        <w:rPr>
          <w:rFonts w:asciiTheme="majorHAnsi" w:hAnsiTheme="majorHAnsi" w:cstheme="majorHAnsi"/>
          <w:bCs/>
          <w:iCs/>
          <w:color w:val="00000A"/>
        </w:rPr>
        <w:t xml:space="preserve">.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Currently</w:t>
      </w:r>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the sex of a delta smelt can only be determined</w:t>
      </w:r>
      <w:r w:rsidR="00317E6F" w:rsidRPr="002F3C85">
        <w:rPr>
          <w:rFonts w:asciiTheme="majorHAnsi" w:hAnsiTheme="majorHAnsi" w:cstheme="majorHAnsi"/>
          <w:bCs/>
          <w:iCs/>
        </w:rPr>
        <w:t xml:space="preserve"> </w:t>
      </w:r>
      <w:r w:rsidR="00575C42">
        <w:rPr>
          <w:rFonts w:asciiTheme="majorHAnsi" w:hAnsiTheme="majorHAnsi" w:cstheme="majorHAnsi"/>
          <w:bCs/>
          <w:iCs/>
        </w:rPr>
        <w:t xml:space="preserve">non-lethally </w:t>
      </w:r>
      <w:r w:rsidR="00317E6F" w:rsidRPr="002F3C85">
        <w:rPr>
          <w:rFonts w:asciiTheme="majorHAnsi" w:hAnsiTheme="majorHAnsi" w:cstheme="majorHAnsi"/>
          <w:bCs/>
          <w:iCs/>
        </w:rPr>
        <w:t xml:space="preserve">by the expression of </w:t>
      </w:r>
      <w:r w:rsidR="004B371E">
        <w:rPr>
          <w:rFonts w:asciiTheme="majorHAnsi" w:hAnsiTheme="majorHAnsi" w:cstheme="majorHAnsi"/>
          <w:bCs/>
          <w:iCs/>
        </w:rPr>
        <w:t>reproductive cells (i.e. eggs or s</w:t>
      </w:r>
      <w:r w:rsidR="003360B5">
        <w:rPr>
          <w:rFonts w:asciiTheme="majorHAnsi" w:hAnsiTheme="majorHAnsi" w:cstheme="majorHAnsi"/>
          <w:bCs/>
          <w:iCs/>
        </w:rPr>
        <w:t>perm</w:t>
      </w:r>
      <w:r w:rsidR="004B371E">
        <w:rPr>
          <w:rFonts w:asciiTheme="majorHAnsi" w:hAnsiTheme="majorHAnsi" w:cstheme="majorHAnsi"/>
          <w:bCs/>
          <w:iCs/>
        </w:rPr>
        <w:t>)</w:t>
      </w:r>
      <w:r w:rsidR="00575C42">
        <w:rPr>
          <w:rFonts w:asciiTheme="majorHAnsi" w:hAnsiTheme="majorHAnsi" w:cstheme="majorHAnsi"/>
          <w:bCs/>
          <w:iCs/>
        </w:rPr>
        <w:t>, where</w:t>
      </w:r>
      <w:r w:rsidR="00317E6F" w:rsidRPr="002F3C85">
        <w:rPr>
          <w:rFonts w:asciiTheme="majorHAnsi" w:hAnsiTheme="majorHAnsi" w:cstheme="majorHAnsi"/>
          <w:bCs/>
          <w:iCs/>
        </w:rPr>
        <w:t xml:space="preserve">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xml:space="preserve">. </w:t>
      </w:r>
      <w:r w:rsidR="00575C42">
        <w:rPr>
          <w:rFonts w:asciiTheme="majorHAnsi" w:hAnsiTheme="majorHAnsi" w:cstheme="majorHAnsi"/>
          <w:bCs/>
          <w:iCs/>
        </w:rPr>
        <w:t xml:space="preserve">Dissection and visual inspection of gonads represents a lethal method to identify sex. </w:t>
      </w:r>
      <w:r w:rsidR="00317E6F" w:rsidRPr="002F3C85">
        <w:rPr>
          <w:rFonts w:asciiTheme="majorHAnsi" w:hAnsiTheme="majorHAnsi" w:cstheme="majorHAnsi"/>
          <w:bCs/>
          <w:iCs/>
        </w:rPr>
        <w:t>Because sexual identification of wild fish depends on the physiological status of an individual fish, only about two-thirds of wild adult delta smelt sampled can be sexed (Hammock pers. comm.).</w:t>
      </w:r>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This presents a hurdle in studying the wild population and for rearing fish in captivity.</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 xml:space="preserve">the ability to </w:t>
      </w:r>
      <w:r w:rsidR="00575C42">
        <w:rPr>
          <w:rFonts w:asciiTheme="majorHAnsi" w:hAnsiTheme="majorHAnsi" w:cstheme="majorHAnsi"/>
          <w:bCs/>
          <w:iCs/>
          <w:color w:val="00000A"/>
        </w:rPr>
        <w:t xml:space="preserve">genetically </w:t>
      </w:r>
      <w:r w:rsidR="00317E6F">
        <w:rPr>
          <w:rFonts w:asciiTheme="majorHAnsi" w:hAnsiTheme="majorHAnsi" w:cstheme="majorHAnsi"/>
          <w:bCs/>
          <w:iCs/>
          <w:color w:val="00000A"/>
        </w:rPr>
        <w:t>sex fish</w:t>
      </w:r>
      <w:r w:rsidR="004B371E">
        <w:rPr>
          <w:rFonts w:asciiTheme="majorHAnsi" w:hAnsiTheme="majorHAnsi" w:cstheme="majorHAnsi"/>
          <w:bCs/>
          <w:iCs/>
          <w:color w:val="00000A"/>
        </w:rPr>
        <w:t xml:space="preserve"> through </w:t>
      </w:r>
      <w:r w:rsidR="00906C3B">
        <w:rPr>
          <w:rFonts w:asciiTheme="majorHAnsi" w:hAnsiTheme="majorHAnsi" w:cstheme="majorHAnsi"/>
          <w:bCs/>
          <w:iCs/>
          <w:color w:val="00000A"/>
        </w:rPr>
        <w:t>non-lethal fin clip</w:t>
      </w:r>
      <w:r w:rsidR="00575C42">
        <w:rPr>
          <w:rFonts w:asciiTheme="majorHAnsi" w:hAnsiTheme="majorHAnsi" w:cstheme="majorHAnsi"/>
          <w:bCs/>
          <w:iCs/>
          <w:color w:val="00000A"/>
        </w:rPr>
        <w:t xml:space="preserve"> sampling</w:t>
      </w:r>
      <w:r w:rsidR="00906C3B">
        <w:rPr>
          <w:rFonts w:asciiTheme="majorHAnsi" w:hAnsiTheme="majorHAnsi" w:cstheme="majorHAnsi"/>
          <w:bCs/>
          <w:iCs/>
          <w:color w:val="00000A"/>
        </w:rPr>
        <w:t>,</w:t>
      </w:r>
      <w:r w:rsidR="000368D6">
        <w:rPr>
          <w:rFonts w:asciiTheme="majorHAnsi" w:hAnsiTheme="majorHAnsi" w:cstheme="majorHAnsi"/>
          <w:bCs/>
          <w:iCs/>
          <w:color w:val="00000A"/>
        </w:rPr>
        <w:t xml:space="preserve"> without culling or relying on gametic expression</w:t>
      </w:r>
      <w:r w:rsidR="00906C3B">
        <w:rPr>
          <w:rFonts w:asciiTheme="majorHAnsi" w:hAnsiTheme="majorHAnsi" w:cstheme="majorHAnsi"/>
          <w:bCs/>
          <w:iCs/>
          <w:color w:val="00000A"/>
        </w:rPr>
        <w:t>,</w:t>
      </w:r>
      <w:r w:rsidR="000368D6">
        <w:rPr>
          <w:rFonts w:asciiTheme="majorHAnsi" w:hAnsiTheme="majorHAnsi" w:cstheme="majorHAnsi"/>
          <w:bCs/>
          <w:iCs/>
          <w:color w:val="00000A"/>
        </w:rPr>
        <w:t xml:space="preserve">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reliably sex fish at all stages of their life</w:t>
      </w:r>
      <w:r w:rsidR="007215B8">
        <w:rPr>
          <w:rFonts w:asciiTheme="majorHAnsi" w:hAnsiTheme="majorHAnsi" w:cstheme="majorHAnsi"/>
          <w:bCs/>
          <w:iCs/>
          <w:color w:val="00000A"/>
        </w:rPr>
        <w:t xml:space="preserve"> </w:t>
      </w:r>
      <w:r w:rsidR="00317E6F">
        <w:rPr>
          <w:rFonts w:asciiTheme="majorHAnsi" w:hAnsiTheme="majorHAnsi" w:cstheme="majorHAnsi"/>
          <w:bCs/>
          <w:iCs/>
          <w:color w:val="00000A"/>
        </w:rPr>
        <w:t xml:space="preserve">cycle </w:t>
      </w:r>
      <w:r w:rsidR="00575C42">
        <w:rPr>
          <w:rFonts w:asciiTheme="majorHAnsi" w:hAnsiTheme="majorHAnsi" w:cstheme="majorHAnsi"/>
          <w:bCs/>
          <w:iCs/>
          <w:color w:val="00000A"/>
        </w:rPr>
        <w:t>without</w:t>
      </w:r>
      <w:r w:rsidR="00D64C4C">
        <w:rPr>
          <w:rFonts w:asciiTheme="majorHAnsi" w:hAnsiTheme="majorHAnsi" w:cstheme="majorHAnsi"/>
          <w:bCs/>
          <w:iCs/>
          <w:color w:val="00000A"/>
        </w:rPr>
        <w:t xml:space="preserve"> </w:t>
      </w:r>
      <w:r w:rsidR="00906C3B">
        <w:rPr>
          <w:rFonts w:asciiTheme="majorHAnsi" w:hAnsiTheme="majorHAnsi" w:cstheme="majorHAnsi"/>
          <w:bCs/>
          <w:iCs/>
          <w:color w:val="00000A"/>
        </w:rPr>
        <w:t>reducing the species’ population size</w:t>
      </w:r>
      <w:r w:rsidR="00317E6F">
        <w:rPr>
          <w:rFonts w:asciiTheme="majorHAnsi" w:hAnsiTheme="majorHAnsi" w:cstheme="majorHAnsi"/>
          <w:bCs/>
          <w:iCs/>
          <w:color w:val="00000A"/>
        </w:rPr>
        <w:t xml:space="preserv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w:t>
      </w:r>
      <w:r w:rsidR="00D64C4C">
        <w:rPr>
          <w:rFonts w:asciiTheme="majorHAnsi" w:hAnsiTheme="majorHAnsi" w:cstheme="majorHAnsi"/>
          <w:bCs/>
          <w:iCs/>
          <w:color w:val="00000A"/>
        </w:rPr>
        <w:t xml:space="preserve">at all stages of their </w:t>
      </w:r>
      <w:proofErr w:type="gramStart"/>
      <w:r w:rsidR="00D64C4C">
        <w:rPr>
          <w:rFonts w:asciiTheme="majorHAnsi" w:hAnsiTheme="majorHAnsi" w:cstheme="majorHAnsi"/>
          <w:bCs/>
          <w:iCs/>
          <w:color w:val="00000A"/>
        </w:rPr>
        <w:t>lifecycle, and</w:t>
      </w:r>
      <w:proofErr w:type="gramEnd"/>
      <w:r w:rsidR="00D64C4C">
        <w:rPr>
          <w:rFonts w:asciiTheme="majorHAnsi" w:hAnsiTheme="majorHAnsi" w:cstheme="majorHAnsi"/>
          <w:bCs/>
          <w:iCs/>
          <w:color w:val="00000A"/>
        </w:rPr>
        <w:t xml:space="preserve"> </w:t>
      </w:r>
      <w:r w:rsidR="008D04B0">
        <w:rPr>
          <w:rFonts w:asciiTheme="majorHAnsi" w:hAnsiTheme="majorHAnsi" w:cstheme="majorHAnsi"/>
          <w:bCs/>
          <w:iCs/>
          <w:color w:val="00000A"/>
        </w:rPr>
        <w:t>allowing</w:t>
      </w:r>
      <w:r w:rsidR="00D64C4C">
        <w:rPr>
          <w:rFonts w:asciiTheme="majorHAnsi" w:hAnsiTheme="majorHAnsi" w:cstheme="majorHAnsi"/>
          <w:bCs/>
          <w:iCs/>
          <w:color w:val="00000A"/>
        </w:rPr>
        <w:t xml:space="preserve"> managers</w:t>
      </w:r>
      <w:r w:rsidR="008D04B0">
        <w:rPr>
          <w:rFonts w:asciiTheme="majorHAnsi" w:hAnsiTheme="majorHAnsi" w:cstheme="majorHAnsi"/>
          <w:bCs/>
          <w:iCs/>
          <w:color w:val="00000A"/>
        </w:rPr>
        <w:t xml:space="preserve"> to factor population demographics into breeding decisions</w:t>
      </w:r>
      <w:r w:rsidR="00EA7339">
        <w:rPr>
          <w:rFonts w:asciiTheme="majorHAnsi" w:hAnsiTheme="majorHAnsi" w:cstheme="majorHAnsi"/>
          <w:bCs/>
          <w:iCs/>
          <w:color w:val="00000A"/>
        </w:rPr>
        <w:t xml:space="preserve">. While state and federal agencies conduct </w:t>
      </w:r>
      <w:r w:rsidR="00984759">
        <w:rPr>
          <w:rFonts w:asciiTheme="majorHAnsi" w:hAnsiTheme="majorHAnsi" w:cstheme="majorHAnsi"/>
          <w:bCs/>
          <w:iCs/>
          <w:color w:val="00000A"/>
        </w:rPr>
        <w:t xml:space="preserve">annual abundance and distribution </w:t>
      </w:r>
      <w:r w:rsidR="00401A7D">
        <w:rPr>
          <w:rFonts w:asciiTheme="majorHAnsi" w:hAnsiTheme="majorHAnsi" w:cstheme="majorHAnsi"/>
          <w:bCs/>
          <w:iCs/>
          <w:color w:val="00000A"/>
        </w:rPr>
        <w:t>monitoring</w:t>
      </w:r>
      <w:r w:rsidR="00984759">
        <w:rPr>
          <w:rFonts w:asciiTheme="majorHAnsi" w:hAnsiTheme="majorHAnsi" w:cstheme="majorHAnsi"/>
          <w:bCs/>
          <w:iCs/>
          <w:color w:val="00000A"/>
        </w:rPr>
        <w:t xml:space="preserve">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w:t>
      </w:r>
      <w:r w:rsidR="007215B8">
        <w:rPr>
          <w:rFonts w:asciiTheme="majorHAnsi" w:hAnsiTheme="majorHAnsi" w:cstheme="majorHAnsi"/>
          <w:bCs/>
          <w:iCs/>
          <w:color w:val="00000A"/>
        </w:rPr>
        <w:t>unknown</w:t>
      </w:r>
      <w:r w:rsidR="00984759">
        <w:rPr>
          <w:rFonts w:asciiTheme="majorHAnsi" w:hAnsiTheme="majorHAnsi" w:cstheme="majorHAnsi"/>
          <w:bCs/>
          <w:iCs/>
          <w:color w:val="00000A"/>
        </w:rPr>
        <w:t>. Since sex</w:t>
      </w:r>
      <w:r w:rsidR="00575C42">
        <w:rPr>
          <w:rFonts w:asciiTheme="majorHAnsi" w:hAnsiTheme="majorHAnsi" w:cstheme="majorHAnsi"/>
          <w:bCs/>
          <w:iCs/>
          <w:color w:val="00000A"/>
        </w:rPr>
        <w:t xml:space="preserve"> ratio </w:t>
      </w:r>
      <w:r w:rsidR="00984759">
        <w:rPr>
          <w:rFonts w:asciiTheme="majorHAnsi" w:hAnsiTheme="majorHAnsi" w:cstheme="majorHAnsi"/>
          <w:bCs/>
          <w:iCs/>
          <w:color w:val="00000A"/>
        </w:rPr>
        <w:t>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401A7D">
        <w:rPr>
          <w:rFonts w:asciiTheme="majorHAnsi" w:hAnsiTheme="majorHAnsi" w:cstheme="majorHAnsi"/>
          <w:bCs/>
          <w:iCs/>
          <w:color w:val="00000A"/>
        </w:rPr>
        <w:t>,</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w:t>
      </w:r>
      <w:r w:rsidR="00401A7D">
        <w:rPr>
          <w:rFonts w:asciiTheme="majorHAnsi" w:hAnsiTheme="majorHAnsi" w:cstheme="majorHAnsi"/>
          <w:bCs/>
          <w:iCs/>
        </w:rPr>
        <w:t>and developing a genetic sex marker</w:t>
      </w:r>
      <w:r w:rsidR="00EA4F68">
        <w:rPr>
          <w:rFonts w:asciiTheme="majorHAnsi" w:hAnsiTheme="majorHAnsi" w:cstheme="majorHAnsi"/>
          <w:bCs/>
          <w:iCs/>
        </w:rPr>
        <w:t xml:space="preserve"> to identify sex </w:t>
      </w:r>
      <w:r w:rsidR="00401A7D">
        <w:rPr>
          <w:rFonts w:asciiTheme="majorHAnsi" w:hAnsiTheme="majorHAnsi" w:cstheme="majorHAnsi"/>
          <w:bCs/>
          <w:iCs/>
        </w:rPr>
        <w:t xml:space="preserve">would allow </w:t>
      </w:r>
      <w:r w:rsidR="00120DAA" w:rsidRPr="002F3C85">
        <w:rPr>
          <w:rFonts w:asciiTheme="majorHAnsi" w:hAnsiTheme="majorHAnsi" w:cstheme="majorHAnsi"/>
          <w:bCs/>
          <w:iCs/>
        </w:rPr>
        <w:t>manage</w:t>
      </w:r>
      <w:r w:rsidR="00401A7D">
        <w:rPr>
          <w:rFonts w:asciiTheme="majorHAnsi" w:hAnsiTheme="majorHAnsi" w:cstheme="majorHAnsi"/>
          <w:bCs/>
          <w:iCs/>
        </w:rPr>
        <w:t>rs</w:t>
      </w:r>
      <w:r w:rsidR="00EA4F68">
        <w:rPr>
          <w:rFonts w:asciiTheme="majorHAnsi" w:hAnsiTheme="majorHAnsi" w:cstheme="majorHAnsi"/>
          <w:bCs/>
          <w:iCs/>
        </w:rPr>
        <w:t xml:space="preserve"> to make more informed decisions</w:t>
      </w:r>
      <w:r w:rsidR="00926B1B">
        <w:rPr>
          <w:rFonts w:asciiTheme="majorHAnsi" w:hAnsiTheme="majorHAnsi" w:cstheme="majorHAnsi"/>
          <w:bCs/>
          <w:iCs/>
        </w:rPr>
        <w:t xml:space="preserve"> and better understand the influences</w:t>
      </w:r>
      <w:r w:rsidR="00EA4F68">
        <w:rPr>
          <w:rFonts w:asciiTheme="majorHAnsi" w:hAnsiTheme="majorHAnsi" w:cstheme="majorHAnsi"/>
          <w:bCs/>
          <w:iCs/>
        </w:rPr>
        <w:t xml:space="preserve"> affecting the fate of the wild population.</w:t>
      </w:r>
      <w:r w:rsidR="00926B1B">
        <w:rPr>
          <w:rFonts w:asciiTheme="majorHAnsi" w:hAnsiTheme="majorHAnsi" w:cstheme="majorHAnsi"/>
          <w:bCs/>
          <w:iCs/>
        </w:rPr>
        <w:t xml:space="preserve"> </w:t>
      </w:r>
      <w:r w:rsidR="00D41FE2">
        <w:rPr>
          <w:rFonts w:asciiTheme="majorHAnsi" w:hAnsiTheme="majorHAnsi" w:cstheme="majorHAnsi"/>
          <w:bCs/>
          <w:iCs/>
        </w:rPr>
        <w:t>Such information would inform decisions on how to best utilize the</w:t>
      </w:r>
      <w:r w:rsidR="00D41FE2">
        <w:rPr>
          <w:rFonts w:asciiTheme="majorHAnsi" w:hAnsiTheme="majorHAnsi" w:cstheme="majorHAnsi"/>
        </w:rPr>
        <w:t xml:space="preserve"> captive breeding program to reduce genetic bottlenecks associated with skewed sex bias</w:t>
      </w:r>
      <w:r w:rsidR="00D41FE2">
        <w:rPr>
          <w:rFonts w:asciiTheme="majorHAnsi" w:hAnsiTheme="majorHAnsi" w:cstheme="majorHAnsi"/>
          <w:bCs/>
          <w:iCs/>
        </w:rPr>
        <w:t>.</w:t>
      </w:r>
      <w:r w:rsidR="00D41FE2">
        <w:rPr>
          <w:rFonts w:asciiTheme="majorHAnsi" w:hAnsiTheme="majorHAnsi" w:cstheme="majorHAnsi"/>
        </w:rPr>
        <w:t xml:space="preserve"> </w:t>
      </w:r>
      <w:r w:rsidR="00734141">
        <w:rPr>
          <w:rFonts w:asciiTheme="majorHAnsi" w:hAnsiTheme="majorHAnsi" w:cstheme="majorHAnsi"/>
        </w:rPr>
        <w:t xml:space="preserve">The ability to non-lethally sex fish opens up the door for </w:t>
      </w:r>
      <w:r w:rsidR="00926B1B">
        <w:rPr>
          <w:rFonts w:asciiTheme="majorHAnsi" w:hAnsiTheme="majorHAnsi" w:cstheme="majorHAnsi"/>
          <w:bCs/>
          <w:iCs/>
        </w:rPr>
        <w:t xml:space="preserve">managers </w:t>
      </w:r>
      <w:r w:rsidR="00734141">
        <w:rPr>
          <w:rFonts w:asciiTheme="majorHAnsi" w:hAnsiTheme="majorHAnsi" w:cstheme="majorHAnsi"/>
          <w:bCs/>
          <w:iCs/>
        </w:rPr>
        <w:t>to</w:t>
      </w:r>
      <w:r w:rsidR="00926B1B">
        <w:rPr>
          <w:rFonts w:asciiTheme="majorHAnsi" w:hAnsiTheme="majorHAnsi" w:cstheme="majorHAnsi"/>
          <w:bCs/>
          <w:iCs/>
        </w:rPr>
        <w:t xml:space="preserve"> </w:t>
      </w:r>
      <w:r w:rsidR="00734141">
        <w:rPr>
          <w:rFonts w:asciiTheme="majorHAnsi" w:hAnsiTheme="majorHAnsi" w:cstheme="majorHAnsi"/>
          <w:bCs/>
          <w:iCs/>
        </w:rPr>
        <w:t xml:space="preserve">better understand </w:t>
      </w:r>
      <w:r w:rsidR="00575C42">
        <w:rPr>
          <w:rFonts w:asciiTheme="majorHAnsi" w:hAnsiTheme="majorHAnsi" w:cstheme="majorHAnsi"/>
          <w:bCs/>
          <w:iCs/>
        </w:rPr>
        <w:t xml:space="preserve">current and past </w:t>
      </w:r>
      <w:r w:rsidR="00734141">
        <w:rPr>
          <w:rFonts w:asciiTheme="majorHAnsi" w:hAnsiTheme="majorHAnsi" w:cstheme="majorHAnsi"/>
          <w:bCs/>
          <w:iCs/>
        </w:rPr>
        <w:t xml:space="preserve">population dynamics, carry out species modeling, and </w:t>
      </w:r>
      <w:r w:rsidR="00926B1B">
        <w:rPr>
          <w:rFonts w:asciiTheme="majorHAnsi" w:hAnsiTheme="majorHAnsi" w:cstheme="majorHAnsi"/>
          <w:bCs/>
          <w:iCs/>
        </w:rPr>
        <w:t xml:space="preserve">test the association of sex-specific behavior, </w:t>
      </w:r>
      <w:r w:rsidR="006E6C9B">
        <w:rPr>
          <w:rFonts w:asciiTheme="majorHAnsi" w:hAnsiTheme="majorHAnsi" w:cstheme="majorHAnsi"/>
          <w:bCs/>
          <w:iCs/>
        </w:rPr>
        <w:t xml:space="preserve">geographic location, salinity, </w:t>
      </w:r>
      <w:r w:rsidR="00D41FE2">
        <w:rPr>
          <w:rFonts w:asciiTheme="majorHAnsi" w:hAnsiTheme="majorHAnsi" w:cstheme="majorHAnsi"/>
          <w:bCs/>
          <w:iCs/>
        </w:rPr>
        <w:t>and</w:t>
      </w:r>
      <w:r w:rsidR="006E6C9B">
        <w:rPr>
          <w:rFonts w:asciiTheme="majorHAnsi" w:hAnsiTheme="majorHAnsi" w:cstheme="majorHAnsi"/>
          <w:bCs/>
          <w:iCs/>
        </w:rPr>
        <w:t xml:space="preserve"> life stage</w:t>
      </w:r>
      <w:r w:rsidR="00D41FE2">
        <w:rPr>
          <w:rFonts w:asciiTheme="majorHAnsi" w:hAnsiTheme="majorHAnsi" w:cstheme="majorHAnsi"/>
          <w:bCs/>
          <w:iCs/>
        </w:rPr>
        <w:t xml:space="preserve"> to identify </w:t>
      </w:r>
      <w:r w:rsidR="00890EF9">
        <w:rPr>
          <w:rFonts w:asciiTheme="majorHAnsi" w:hAnsiTheme="majorHAnsi" w:cstheme="majorHAnsi"/>
          <w:bCs/>
          <w:iCs/>
        </w:rPr>
        <w:t>vulnerable subgroup</w:t>
      </w:r>
      <w:r w:rsidR="00D41FE2">
        <w:rPr>
          <w:rFonts w:asciiTheme="majorHAnsi" w:hAnsiTheme="majorHAnsi" w:cstheme="majorHAnsi"/>
          <w:bCs/>
          <w:iCs/>
        </w:rPr>
        <w:t>(s)</w:t>
      </w:r>
      <w:r w:rsidR="006E6C9B">
        <w:rPr>
          <w:rFonts w:asciiTheme="majorHAnsi" w:hAnsiTheme="majorHAnsi" w:cstheme="majorHAnsi"/>
          <w:bCs/>
          <w:iCs/>
        </w:rPr>
        <w:t xml:space="preserve"> </w:t>
      </w:r>
      <w:r w:rsidR="00D41FE2">
        <w:rPr>
          <w:rFonts w:asciiTheme="majorHAnsi" w:hAnsiTheme="majorHAnsi" w:cstheme="majorHAnsi"/>
          <w:bCs/>
          <w:iCs/>
        </w:rPr>
        <w:t>which can then</w:t>
      </w:r>
      <w:r w:rsidR="00890EF9">
        <w:rPr>
          <w:rFonts w:asciiTheme="majorHAnsi" w:hAnsiTheme="majorHAnsi" w:cstheme="majorHAnsi"/>
          <w:bCs/>
          <w:iCs/>
        </w:rPr>
        <w:t xml:space="preserve"> be </w:t>
      </w:r>
      <w:r w:rsidR="00D41FE2">
        <w:rPr>
          <w:rFonts w:asciiTheme="majorHAnsi" w:hAnsiTheme="majorHAnsi" w:cstheme="majorHAnsi"/>
          <w:bCs/>
          <w:iCs/>
        </w:rPr>
        <w:t>classified</w:t>
      </w:r>
      <w:r w:rsidR="00890EF9">
        <w:rPr>
          <w:rFonts w:asciiTheme="majorHAnsi" w:hAnsiTheme="majorHAnsi" w:cstheme="majorHAnsi"/>
          <w:bCs/>
          <w:iCs/>
        </w:rPr>
        <w:t xml:space="preserve"> as high priority for conservation efforts, protection, and future research</w:t>
      </w:r>
      <w:r w:rsidR="00734141">
        <w:rPr>
          <w:rFonts w:asciiTheme="majorHAnsi" w:hAnsiTheme="majorHAnsi" w:cstheme="majorHAnsi"/>
          <w:bCs/>
          <w:iCs/>
        </w:rPr>
        <w:t xml:space="preserve"> </w:t>
      </w:r>
      <w:r w:rsidR="00120DAA" w:rsidRPr="002F3C85">
        <w:rPr>
          <w:rFonts w:asciiTheme="majorHAnsi" w:hAnsiTheme="majorHAnsi" w:cstheme="majorHAnsi"/>
        </w:rPr>
        <w:fldChar w:fldCharType="begin"/>
      </w:r>
      <w:r w:rsidR="00CB5A50">
        <w:rPr>
          <w:rFonts w:asciiTheme="majorHAnsi" w:hAnsiTheme="majorHAnsi" w:cstheme="majorHAnsi"/>
          <w:bCs/>
          <w:iCs/>
        </w:rPr>
        <w:instrText xml:space="preserve"> ADDIN ZOTERO_ITEM CSL_CITATION {"citationID":"0oOf1QI5","properties":{"formattedCitation":"(Marchi et al., 2021; Mart\\uc0\\u237{}nez et al., 2014)","plainCitation":"(Marchi et al., 2021; Martínez et al., 2014)","noteIndex":0},"citationItems":[{"id":784,"uris":["http://zotero.org/users/local/3tku6QP0/items/9AK8CNLS"],"itemData":{"id":784,"type":"article-journal","container-title":"Current Biology","DOI":"10.1016/j.cub.2021.01.053","ISSN":"09609822","issue":"6","journalAbbreviation":"Current Biology","language":"en","page":"R276-R279","source":"DOI.org (Crossref)","title":"Demographic inference","volume":"31","author":[{"family":"Marchi","given":"Nina"},{"family":"Schlichta","given":"Flávia"},{"family":"Excoffier","given":"Laurent"}],"issued":{"date-parts":[["2021",3]]}}},{"id":"qADU2FLA/lFOyx1NE","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CB5A50" w:rsidRPr="00CB5A50">
        <w:rPr>
          <w:rFonts w:ascii="Calibri Light" w:hAnsiTheme="majorHAnsi" w:cs="Calibri Light"/>
        </w:rPr>
        <w:t>(</w:t>
      </w:r>
      <w:proofErr w:type="spellStart"/>
      <w:r w:rsidR="00CB5A50" w:rsidRPr="00CB5A50">
        <w:rPr>
          <w:rFonts w:ascii="Calibri Light" w:hAnsiTheme="majorHAnsi" w:cs="Calibri Light"/>
        </w:rPr>
        <w:t>Marchi</w:t>
      </w:r>
      <w:proofErr w:type="spellEnd"/>
      <w:r w:rsidR="00CB5A50" w:rsidRPr="00CB5A50">
        <w:rPr>
          <w:rFonts w:ascii="Calibri Light" w:hAnsiTheme="majorHAnsi" w:cs="Calibri Light"/>
        </w:rPr>
        <w:t xml:space="preserve"> et al., 2021; Martínez et al., 2014)</w:t>
      </w:r>
      <w:r w:rsidR="00120DAA" w:rsidRPr="002F3C85">
        <w:rPr>
          <w:rFonts w:asciiTheme="majorHAnsi" w:hAnsiTheme="majorHAnsi" w:cstheme="majorHAnsi"/>
        </w:rPr>
        <w:fldChar w:fldCharType="end"/>
      </w:r>
      <w:r w:rsidR="00F37F17">
        <w:rPr>
          <w:rFonts w:asciiTheme="majorHAnsi" w:hAnsiTheme="majorHAnsi" w:cstheme="majorHAnsi"/>
        </w:rPr>
        <w:t xml:space="preserve">. </w:t>
      </w:r>
    </w:p>
    <w:p w14:paraId="38026976" w14:textId="77777777" w:rsidR="00E53ED6" w:rsidRPr="002F3C85" w:rsidRDefault="00E53ED6" w:rsidP="00120DAA">
      <w:pPr>
        <w:rPr>
          <w:rFonts w:asciiTheme="majorHAnsi" w:hAnsiTheme="majorHAnsi" w:cstheme="majorHAnsi"/>
          <w:bCs/>
          <w:iCs/>
        </w:rPr>
      </w:pPr>
    </w:p>
    <w:p w14:paraId="618FC620" w14:textId="6DAEC8A3" w:rsidR="00120DAA" w:rsidRDefault="00984759" w:rsidP="0003453B">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w:t>
      </w:r>
      <w:r w:rsidR="00401A7D">
        <w:rPr>
          <w:rFonts w:asciiTheme="majorHAnsi" w:hAnsiTheme="majorHAnsi" w:cstheme="majorHAnsi"/>
        </w:rPr>
        <w:t xml:space="preserve">relatively non-invasively </w:t>
      </w:r>
      <w:r>
        <w:rPr>
          <w:rFonts w:asciiTheme="majorHAnsi" w:hAnsiTheme="majorHAnsi" w:cstheme="majorHAnsi"/>
        </w:rPr>
        <w:t xml:space="preserve">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candidate </w:t>
      </w:r>
      <w:r w:rsidR="00450E89">
        <w:rPr>
          <w:rFonts w:asciiTheme="majorHAnsi" w:hAnsiTheme="majorHAnsi" w:cstheme="majorHAnsi"/>
        </w:rPr>
        <w:t>loci</w:t>
      </w:r>
      <w:r w:rsidR="00120DAA" w:rsidRPr="002F3C85">
        <w:rPr>
          <w:rFonts w:asciiTheme="majorHAnsi" w:hAnsiTheme="majorHAnsi" w:cstheme="majorHAnsi"/>
        </w:rPr>
        <w:t xml:space="preserve"> </w:t>
      </w:r>
      <w:r w:rsidR="00401A7D">
        <w:rPr>
          <w:rFonts w:asciiTheme="majorHAnsi" w:hAnsiTheme="majorHAnsi" w:cstheme="majorHAnsi"/>
        </w:rPr>
        <w:t>associated with</w:t>
      </w:r>
      <w:r w:rsidR="00120DAA" w:rsidRPr="002F3C85">
        <w:rPr>
          <w:rFonts w:asciiTheme="majorHAnsi" w:hAnsiTheme="majorHAnsi" w:cstheme="majorHAnsi"/>
        </w:rPr>
        <w:t xml:space="preserve">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 xml:space="preserve">2) </w:t>
      </w:r>
      <w:r w:rsidR="0098776E">
        <w:rPr>
          <w:rFonts w:asciiTheme="majorHAnsi" w:hAnsiTheme="majorHAnsi" w:cstheme="majorHAnsi"/>
        </w:rPr>
        <w:t xml:space="preserve">read </w:t>
      </w:r>
      <w:r w:rsidR="00956297">
        <w:rPr>
          <w:rFonts w:asciiTheme="majorHAnsi" w:hAnsiTheme="majorHAnsi" w:cstheme="majorHAnsi"/>
        </w:rPr>
        <w:t>depth</w:t>
      </w:r>
      <w:r w:rsidR="00423B01">
        <w:rPr>
          <w:rFonts w:asciiTheme="majorHAnsi" w:hAnsiTheme="majorHAnsi" w:cstheme="majorHAnsi"/>
        </w:rPr>
        <w:t xml:space="preserve"> </w:t>
      </w:r>
      <w:r w:rsidR="00956297">
        <w:rPr>
          <w:rFonts w:asciiTheme="majorHAnsi" w:hAnsiTheme="majorHAnsi" w:cstheme="majorHAnsi"/>
        </w:rPr>
        <w:t>analysis, and 3) k-mer analysis.</w:t>
      </w:r>
      <w:r w:rsidR="00553701">
        <w:rPr>
          <w:rFonts w:asciiTheme="majorHAnsi" w:hAnsiTheme="majorHAnsi" w:cstheme="majorHAnsi"/>
        </w:rPr>
        <w:t xml:space="preserve"> </w:t>
      </w:r>
      <w:r w:rsidR="0003453B">
        <w:rPr>
          <w:rFonts w:asciiTheme="majorHAnsi" w:hAnsiTheme="majorHAnsi" w:cstheme="majorHAnsi"/>
        </w:rPr>
        <w:t>The</w:t>
      </w:r>
      <w:r w:rsidR="00553701">
        <w:rPr>
          <w:rFonts w:asciiTheme="majorHAnsi" w:hAnsiTheme="majorHAnsi" w:cstheme="majorHAnsi"/>
        </w:rPr>
        <w:t xml:space="preserve"> genome-wide association study uses a reference genome and RAD-sequencing data to look for SNPs diagnostic of sex</w:t>
      </w:r>
      <w:r w:rsidR="0003453B">
        <w:rPr>
          <w:rFonts w:asciiTheme="majorHAnsi" w:hAnsiTheme="majorHAnsi" w:cstheme="majorHAnsi"/>
        </w:rPr>
        <w:t>. Our r</w:t>
      </w:r>
      <w:r w:rsidR="00553701">
        <w:rPr>
          <w:rFonts w:asciiTheme="majorHAnsi" w:hAnsiTheme="majorHAnsi" w:cstheme="majorHAnsi"/>
        </w:rPr>
        <w:t xml:space="preserve">ead depth analysis investigates </w:t>
      </w:r>
      <w:r w:rsidR="00553701">
        <w:rPr>
          <w:rFonts w:asciiTheme="majorHAnsi" w:hAnsiTheme="majorHAnsi" w:cstheme="majorHAnsi"/>
        </w:rPr>
        <w:lastRenderedPageBreak/>
        <w:t xml:space="preserve">RAD-sequencing data to probe for </w:t>
      </w:r>
      <w:r w:rsidR="0003453B">
        <w:rPr>
          <w:rFonts w:asciiTheme="majorHAnsi" w:hAnsiTheme="majorHAnsi" w:cstheme="majorHAnsi"/>
        </w:rPr>
        <w:t>read depth disparities between female</w:t>
      </w:r>
      <w:r w:rsidR="00575C42">
        <w:rPr>
          <w:rFonts w:asciiTheme="majorHAnsi" w:hAnsiTheme="majorHAnsi" w:cstheme="majorHAnsi"/>
        </w:rPr>
        <w:t>s</w:t>
      </w:r>
      <w:r w:rsidR="0003453B">
        <w:rPr>
          <w:rFonts w:asciiTheme="majorHAnsi" w:hAnsiTheme="majorHAnsi" w:cstheme="majorHAnsi"/>
        </w:rPr>
        <w:t xml:space="preserve"> and males which would be expected in chromosome-based sex determination. And finally,</w:t>
      </w:r>
      <w:r w:rsidR="00553701">
        <w:rPr>
          <w:rFonts w:asciiTheme="majorHAnsi" w:hAnsiTheme="majorHAnsi" w:cstheme="majorHAnsi"/>
        </w:rPr>
        <w:t xml:space="preserve"> our k-mer analysis is a reference</w:t>
      </w:r>
      <w:r w:rsidR="0003453B">
        <w:rPr>
          <w:rFonts w:asciiTheme="majorHAnsi" w:hAnsiTheme="majorHAnsi" w:cstheme="majorHAnsi"/>
        </w:rPr>
        <w:t xml:space="preserve"> genome</w:t>
      </w:r>
      <w:r w:rsidR="00553701">
        <w:rPr>
          <w:rFonts w:asciiTheme="majorHAnsi" w:hAnsiTheme="majorHAnsi" w:cstheme="majorHAnsi"/>
        </w:rPr>
        <w:t xml:space="preserve"> free investigation into sequence differences </w:t>
      </w:r>
      <w:r w:rsidR="0003453B">
        <w:rPr>
          <w:rFonts w:asciiTheme="majorHAnsi" w:hAnsiTheme="majorHAnsi" w:cstheme="majorHAnsi"/>
        </w:rPr>
        <w:t>between</w:t>
      </w:r>
      <w:r w:rsidR="00553701">
        <w:rPr>
          <w:rFonts w:asciiTheme="majorHAnsi" w:hAnsiTheme="majorHAnsi" w:cstheme="majorHAnsi"/>
        </w:rPr>
        <w:t xml:space="preserve"> female and male</w:t>
      </w:r>
      <w:r w:rsidR="0003453B">
        <w:rPr>
          <w:rFonts w:asciiTheme="majorHAnsi" w:hAnsiTheme="majorHAnsi" w:cstheme="majorHAnsi"/>
        </w:rPr>
        <w:t xml:space="preserve"> individual’s linked-read data.</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7" w:name="_Toc113123184"/>
      <w:bookmarkStart w:id="8" w:name="_Toc113273223"/>
      <w:bookmarkStart w:id="9" w:name="_Toc113440560"/>
      <w:r w:rsidRPr="00FD21E9">
        <w:rPr>
          <w:rFonts w:asciiTheme="majorHAnsi" w:hAnsiTheme="majorHAnsi" w:cstheme="majorHAnsi"/>
          <w:szCs w:val="24"/>
        </w:rPr>
        <w:t>Methods</w:t>
      </w:r>
      <w:bookmarkEnd w:id="7"/>
      <w:bookmarkEnd w:id="8"/>
      <w:bookmarkEnd w:id="9"/>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10" w:name="_Toc113123185"/>
      <w:bookmarkStart w:id="11" w:name="_Toc113273224"/>
      <w:bookmarkStart w:id="12"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10"/>
      <w:bookmarkEnd w:id="11"/>
      <w:bookmarkEnd w:id="12"/>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0FBCEE16"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 xml:space="preserve">with </w:t>
      </w:r>
      <w:r w:rsidR="00600EE0">
        <w:rPr>
          <w:rFonts w:asciiTheme="majorHAnsi" w:hAnsiTheme="majorHAnsi" w:cstheme="majorHAnsi"/>
        </w:rPr>
        <w:t>one</w:t>
      </w:r>
      <w:r w:rsidR="00120DAA" w:rsidRPr="00120DAA">
        <w:rPr>
          <w:rFonts w:asciiTheme="majorHAnsi" w:hAnsiTheme="majorHAnsi" w:cstheme="majorHAnsi"/>
        </w:rPr>
        <w:t xml:space="preserve"> modification</w:t>
      </w:r>
      <w:r w:rsidR="00600EE0">
        <w:rPr>
          <w:rFonts w:asciiTheme="majorHAnsi" w:hAnsiTheme="majorHAnsi" w:cstheme="majorHAnsi"/>
        </w:rPr>
        <w:t xml:space="preserve">, </w:t>
      </w:r>
      <w:r w:rsidR="00120DAA" w:rsidRPr="00120DAA">
        <w:rPr>
          <w:rFonts w:asciiTheme="majorHAnsi" w:hAnsiTheme="majorHAnsi" w:cstheme="majorHAnsi"/>
        </w:rPr>
        <w:t>eluti</w:t>
      </w:r>
      <w:r w:rsidR="00600EE0">
        <w:rPr>
          <w:rFonts w:asciiTheme="majorHAnsi" w:hAnsiTheme="majorHAnsi" w:cstheme="majorHAnsi"/>
        </w:rPr>
        <w:t>ng</w:t>
      </w:r>
      <w:r w:rsidR="00120DAA" w:rsidRPr="00120DAA">
        <w:rPr>
          <w:rFonts w:asciiTheme="majorHAnsi" w:hAnsiTheme="majorHAnsi" w:cstheme="majorHAnsi"/>
        </w:rPr>
        <w:t xml:space="preserve"> in 100</w:t>
      </w:r>
      <w:r w:rsidR="003E2DA4">
        <w:rPr>
          <w:rFonts w:asciiTheme="majorHAnsi" w:hAnsiTheme="majorHAnsi" w:cstheme="majorHAnsi"/>
        </w:rPr>
        <w:t xml:space="preserve"> </w:t>
      </w:r>
      <w:proofErr w:type="spellStart"/>
      <w:r w:rsidR="00120DAA" w:rsidRPr="00120DAA">
        <w:rPr>
          <w:rFonts w:asciiTheme="majorHAnsi" w:hAnsiTheme="majorHAnsi" w:cstheme="majorHAnsi"/>
        </w:rPr>
        <w:t>uL</w:t>
      </w:r>
      <w:proofErr w:type="spellEnd"/>
      <w:r w:rsidR="00120DAA" w:rsidRPr="00120DAA">
        <w:rPr>
          <w:rFonts w:asciiTheme="majorHAnsi" w:hAnsiTheme="majorHAnsi" w:cstheme="majorHAnsi"/>
        </w:rPr>
        <w:t xml:space="preserve"> of </w:t>
      </w:r>
      <w:r w:rsidR="0098776E">
        <w:rPr>
          <w:rFonts w:asciiTheme="majorHAnsi" w:hAnsiTheme="majorHAnsi" w:cstheme="majorHAnsi"/>
        </w:rPr>
        <w:t xml:space="preserve">deionized water </w:t>
      </w:r>
      <w:r w:rsidR="00120DAA" w:rsidRPr="00120DAA">
        <w:rPr>
          <w:rFonts w:asciiTheme="majorHAnsi" w:hAnsiTheme="majorHAnsi" w:cstheme="majorHAnsi"/>
        </w:rPr>
        <w:t xml:space="preserve">rather than the proprietary AE Buffer included with the kit. </w:t>
      </w:r>
      <w:r w:rsidR="00DB7544">
        <w:rPr>
          <w:rFonts w:asciiTheme="majorHAnsi" w:hAnsiTheme="majorHAnsi" w:cstheme="majorHAnsi"/>
        </w:rPr>
        <w:t>To sample a broad distribution of loci throughout the genome, we digested DNA using</w:t>
      </w:r>
      <w:r w:rsidR="00423B01">
        <w:rPr>
          <w:rFonts w:asciiTheme="majorHAnsi" w:hAnsiTheme="majorHAnsi" w:cstheme="majorHAnsi"/>
        </w:rPr>
        <w:t xml:space="preserve"> the </w:t>
      </w:r>
      <w:r w:rsidR="00423B01">
        <w:rPr>
          <w:rFonts w:asciiTheme="majorHAnsi" w:hAnsiTheme="majorHAnsi" w:cstheme="majorHAnsi"/>
          <w:i/>
          <w:iCs/>
        </w:rPr>
        <w:t>Pst1</w:t>
      </w:r>
      <w:r w:rsidR="00423B01">
        <w:rPr>
          <w:rFonts w:asciiTheme="majorHAnsi" w:hAnsiTheme="majorHAnsi" w:cstheme="majorHAnsi"/>
        </w:rPr>
        <w:t xml:space="preserve"> restriction enzyme.</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sequencing libraries were prepared according to</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{"citationID":"2SW9t8I5","properties":{"formattedCitation":"(Ali et al., 2016)","plainCitation":"(Ali et al., 2016)","noteIndex":0},"citationItems":[{"id":"qADU2FLA/Pc3oaXjG","uris":["http://www.mendeley.com/documents/?uuid=108c1601-9e2f-4f7b-81a8-b381c49c5d30"],"itemData":{"DOI":"10.1534/genetics.115.183665","ISBN":"8013186628","ISSN":"19432631","PMID":"26715661","abstract":"Massively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EF665B">
        <w:rPr>
          <w:rFonts w:asciiTheme="majorHAnsi" w:hAnsiTheme="majorHAnsi" w:cstheme="majorHAnsi"/>
        </w:rPr>
        <w:t xml:space="preserve">Ali et al., </w:t>
      </w:r>
      <w:r w:rsidR="003E2DA4">
        <w:rPr>
          <w:rFonts w:asciiTheme="majorHAnsi" w:hAnsiTheme="majorHAnsi" w:cstheme="majorHAnsi"/>
        </w:rPr>
        <w:t>(</w:t>
      </w:r>
      <w:r w:rsidR="00EF665B">
        <w:rPr>
          <w:rFonts w:asciiTheme="majorHAnsi" w:hAnsiTheme="majorHAnsi" w:cstheme="majorHAnsi"/>
        </w:rPr>
        <w:t>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57E3A7E"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600EE0">
        <w:rPr>
          <w:rFonts w:asciiTheme="majorHAnsi" w:hAnsiTheme="majorHAnsi" w:cstheme="majorHAnsi"/>
        </w:rPr>
        <w:t>e</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10"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13" w:name="_Toc113440562"/>
      <w:r>
        <w:rPr>
          <w:rFonts w:asciiTheme="majorHAnsi" w:hAnsiTheme="majorHAnsi" w:cstheme="majorHAnsi"/>
          <w:sz w:val="24"/>
          <w:szCs w:val="24"/>
        </w:rPr>
        <w:t>Genome-wide association study</w:t>
      </w:r>
      <w:bookmarkEnd w:id="13"/>
    </w:p>
    <w:p w14:paraId="04016840" w14:textId="515812BB"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{"citationID":"BASK10z8","properties":{"formattedCitation":"(Korneliussen et al., 2014)","plainCitation":"(Korneliussen et al., 2014)","noteIndex":0},"citationItems":[{"id":"qADU2FLA/UJcJf4ks","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w:t>
      </w:r>
      <w:proofErr w:type="spellStart"/>
      <w:r w:rsidR="00D4483E">
        <w:rPr>
          <w:rFonts w:asciiTheme="majorHAnsi" w:hAnsiTheme="majorHAnsi" w:cstheme="majorHAnsi"/>
        </w:rPr>
        <w:t>Korneliussen</w:t>
      </w:r>
      <w:proofErr w:type="spellEnd"/>
      <w:r w:rsidR="00D4483E">
        <w:rPr>
          <w:rFonts w:asciiTheme="majorHAnsi" w:hAnsiTheme="majorHAnsi" w:cstheme="majorHAnsi"/>
        </w:rPr>
        <w:t xml:space="preserve">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831734">
        <w:rPr>
          <w:rFonts w:asciiTheme="majorHAnsi" w:hAnsiTheme="majorHAnsi" w:cstheme="majorHAnsi"/>
        </w:rPr>
        <w:t xml:space="preserve"> (</w:t>
      </w:r>
      <w:r w:rsidR="00CE0283" w:rsidRPr="00CE0283">
        <w:rPr>
          <w:rFonts w:asciiTheme="majorHAnsi" w:hAnsiTheme="majorHAnsi" w:cstheme="majorHAnsi"/>
        </w:rPr>
        <w:t>https://raw.githubusercontent.com/shannonekj/DS_sex-marker/master/scripts/doAssoc_LRT.sh</w:t>
      </w:r>
      <w:r w:rsidR="00CE0283">
        <w:rPr>
          <w:rFonts w:asciiTheme="majorHAnsi" w:hAnsiTheme="majorHAnsi" w:cstheme="majorHAnsi"/>
        </w:rPr>
        <w:t>).</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Bonferroni corrected p-value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w:t>
      </w:r>
      <w:r w:rsidR="00752602" w:rsidRPr="00752602">
        <w:rPr>
          <w:rFonts w:ascii="Cambria Math" w:hAnsi="Cambria Math" w:cstheme="majorHAnsi"/>
          <w:i/>
        </w:rPr>
        <w:t xml:space="preserve"> </w:t>
      </w:r>
      <m:oMath>
        <m:r>
          <w:rPr>
            <w:rFonts w:ascii="Cambria Math" w:hAnsi="Cambria Math" w:cstheme="majorHAnsi"/>
          </w:rPr>
          <m:t>α</m:t>
        </m:r>
      </m:oMath>
      <w:r w:rsidR="00752602" w:rsidRPr="00120DAA">
        <w:rPr>
          <w:rFonts w:asciiTheme="majorHAnsi" w:hAnsiTheme="majorHAnsi" w:cstheme="majorHAnsi"/>
        </w:rPr>
        <w:t xml:space="preserve"> is the desired p-value or significance threshold (</w:t>
      </w:r>
      <m:oMath>
        <m:r>
          <w:rPr>
            <w:rFonts w:ascii="Cambria Math" w:hAnsi="Cambria Math" w:cstheme="majorHAnsi"/>
          </w:rPr>
          <m:t>α</m:t>
        </m:r>
      </m:oMath>
      <w:r w:rsidR="00752602" w:rsidRPr="00120DAA">
        <w:rPr>
          <w:rFonts w:asciiTheme="majorHAnsi" w:hAnsiTheme="majorHAnsi" w:cstheme="majorHAnsi"/>
        </w:rPr>
        <w:t xml:space="preserve"> </w:t>
      </w:r>
      <w:r w:rsidR="00752602">
        <w:rPr>
          <w:rFonts w:asciiTheme="majorHAnsi" w:hAnsiTheme="majorHAnsi" w:cstheme="majorHAnsi"/>
        </w:rPr>
        <w:t>=</w:t>
      </w:r>
      <w:r w:rsidR="00752602" w:rsidRPr="00120DAA">
        <w:rPr>
          <w:rFonts w:asciiTheme="majorHAnsi" w:hAnsiTheme="majorHAnsi" w:cstheme="majorHAnsi"/>
        </w:rPr>
        <w:t xml:space="preserve"> 0.05),</w:t>
      </w:r>
      <w:r w:rsidRPr="00120DAA">
        <w:rPr>
          <w:rFonts w:asciiTheme="majorHAnsi" w:hAnsiTheme="majorHAnsi" w:cstheme="majorHAnsi"/>
        </w:rPr>
        <w:t xml:space="preserve"> </w:t>
      </w:r>
      <m:oMath>
        <m:r>
          <w:rPr>
            <w:rFonts w:ascii="Cambria Math" w:hAnsi="Cambria Math" w:cstheme="majorHAnsi"/>
          </w:rPr>
          <m:t>n</m:t>
        </m:r>
      </m:oMath>
      <w:r w:rsidRPr="00120DAA">
        <w:rPr>
          <w:rFonts w:asciiTheme="majorHAnsi" w:hAnsiTheme="majorHAnsi" w:cstheme="majorHAnsi"/>
        </w:rPr>
        <w:t xml:space="preserve"> is the number of loci analyzed</w:t>
      </w:r>
      <w:r w:rsidR="00752602">
        <w:rPr>
          <w:rFonts w:asciiTheme="majorHAnsi" w:hAnsiTheme="majorHAnsi" w:cstheme="majorHAnsi"/>
        </w:rPr>
        <w:t xml:space="preserve"> (</w:t>
      </w:r>
      <m:oMath>
        <m:r>
          <w:rPr>
            <w:rFonts w:ascii="Cambria Math" w:hAnsi="Cambria Math" w:cstheme="majorHAnsi"/>
          </w:rPr>
          <m:t>n</m:t>
        </m:r>
      </m:oMath>
      <w:r w:rsidR="00752602">
        <w:rPr>
          <w:rFonts w:asciiTheme="majorHAnsi" w:hAnsiTheme="majorHAnsi" w:cstheme="majorHAnsi"/>
        </w:rPr>
        <w:t xml:space="preserve"> varies depending on number of RAD tags post-filtration)</w:t>
      </w:r>
      <w:r w:rsidRPr="00120DAA">
        <w:rPr>
          <w:rFonts w:asciiTheme="majorHAnsi" w:hAnsiTheme="majorHAnsi" w:cstheme="majorHAnsi"/>
        </w:rPr>
        <w:t xml:space="preserve">,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1CAD04B9" w14:textId="10C62BF4" w:rsidR="00750064" w:rsidRPr="00A86E61" w:rsidRDefault="00924AE8" w:rsidP="00120DAA">
      <w:pPr>
        <w:rPr>
          <w:rFonts w:asciiTheme="majorHAnsi" w:hAnsiTheme="majorHAnsi" w:cstheme="majorHAnsi"/>
        </w:rPr>
      </w:pPr>
      <w:r>
        <w:rPr>
          <w:rFonts w:asciiTheme="majorHAnsi" w:hAnsiTheme="majorHAnsi" w:cstheme="majorHAnsi"/>
        </w:rPr>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r w:rsidR="002571B8">
        <w:rPr>
          <w:rFonts w:asciiTheme="majorHAnsi" w:hAnsiTheme="majorHAnsi" w:cstheme="majorHAnsi"/>
        </w:rPr>
        <w:t>RAD-</w:t>
      </w:r>
      <w:r w:rsidR="00C712AC">
        <w:rPr>
          <w:rFonts w:asciiTheme="majorHAnsi" w:hAnsiTheme="majorHAnsi" w:cstheme="majorHAnsi"/>
        </w:rPr>
        <w:t>tags</w:t>
      </w:r>
      <w:r w:rsidR="002571B8">
        <w:rPr>
          <w:rFonts w:asciiTheme="majorHAnsi" w:hAnsiTheme="majorHAnsi" w:cstheme="majorHAnsi"/>
        </w:rPr>
        <w:t>.</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 xml:space="preserve">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w:t>
      </w:r>
      <w:r w:rsidR="00750064">
        <w:rPr>
          <w:rFonts w:asciiTheme="majorHAnsi" w:hAnsiTheme="majorHAnsi" w:cstheme="majorHAnsi"/>
        </w:rPr>
        <w:t xml:space="preserve"> (</w:t>
      </w:r>
      <w:proofErr w:type="spellStart"/>
      <w:r w:rsidR="00750064">
        <w:rPr>
          <w:rFonts w:ascii="Courier" w:hAnsi="Courier" w:cstheme="majorHAnsi"/>
        </w:rPr>
        <w:t>samtools</w:t>
      </w:r>
      <w:proofErr w:type="spellEnd"/>
      <w:r w:rsidR="00750064">
        <w:rPr>
          <w:rFonts w:ascii="Courier" w:hAnsi="Courier" w:cstheme="majorHAnsi"/>
        </w:rPr>
        <w:t xml:space="preserve"> depth -aa</w:t>
      </w:r>
      <w:r w:rsidR="00750064">
        <w:rPr>
          <w:rFonts w:asciiTheme="majorHAnsi" w:hAnsiTheme="majorHAnsi" w:cstheme="majorHAnsi"/>
        </w:rPr>
        <w:t>)</w:t>
      </w:r>
      <w:r w:rsidR="00A10CF6" w:rsidRPr="00120DAA">
        <w:rPr>
          <w:rFonts w:asciiTheme="majorHAnsi" w:hAnsiTheme="majorHAnsi" w:cstheme="majorHAnsi"/>
        </w:rPr>
        <w:t xml:space="preserv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w:t>
      </w:r>
      <w:r w:rsidR="00E82A52">
        <w:rPr>
          <w:rFonts w:asciiTheme="majorHAnsi" w:hAnsiTheme="majorHAnsi" w:cstheme="majorHAnsi"/>
        </w:rPr>
        <w:t xml:space="preserve">both </w:t>
      </w:r>
      <w:r w:rsidR="00A86E61">
        <w:rPr>
          <w:rFonts w:asciiTheme="majorHAnsi" w:hAnsiTheme="majorHAnsi" w:cstheme="majorHAnsi"/>
        </w:rPr>
        <w:t>sex</w:t>
      </w:r>
      <w:r w:rsidR="00E82A52">
        <w:rPr>
          <w:rFonts w:asciiTheme="majorHAnsi" w:hAnsiTheme="majorHAnsi" w:cstheme="majorHAnsi"/>
        </w:rPr>
        <w:t>es</w:t>
      </w:r>
      <w:r w:rsidR="00A86E61">
        <w:rPr>
          <w:rFonts w:asciiTheme="majorHAnsi" w:hAnsiTheme="majorHAnsi" w:cstheme="majorHAnsi"/>
        </w:rPr>
        <w:t xml:space="preserve"> and compared the ratio of the mean depth for </w:t>
      </w:r>
      <w:r w:rsidR="00E82A52">
        <w:rPr>
          <w:rFonts w:asciiTheme="majorHAnsi" w:hAnsiTheme="majorHAnsi" w:cstheme="majorHAnsi"/>
        </w:rPr>
        <w:t>females and male</w:t>
      </w:r>
      <w:r w:rsidR="003E2DA4">
        <w:rPr>
          <w:rFonts w:asciiTheme="majorHAnsi" w:hAnsiTheme="majorHAnsi" w:cstheme="majorHAnsi"/>
        </w:rPr>
        <w:t>s</w:t>
      </w:r>
      <w:r w:rsidR="00A86E61">
        <w:rPr>
          <w:rFonts w:asciiTheme="majorHAnsi" w:hAnsiTheme="majorHAnsi" w:cstheme="majorHAnsi"/>
        </w:rPr>
        <w:t xml:space="preserve"> at each loc</w:t>
      </w:r>
      <w:r w:rsidR="00600EE0">
        <w:rPr>
          <w:rFonts w:asciiTheme="majorHAnsi" w:hAnsiTheme="majorHAnsi" w:cstheme="majorHAnsi"/>
        </w:rPr>
        <w:t>us</w:t>
      </w:r>
      <w:r w:rsidR="00E82A52">
        <w:rPr>
          <w:rFonts w:asciiTheme="majorHAnsi" w:hAnsiTheme="majorHAnsi" w:cstheme="majorHAnsi"/>
        </w:rPr>
        <w:t xml:space="preserve"> (</w:t>
      </w:r>
      <w:r w:rsidR="00E82A52" w:rsidRPr="00E82A52">
        <w:rPr>
          <w:rFonts w:asciiTheme="majorHAnsi" w:hAnsiTheme="majorHAnsi" w:cstheme="majorHAnsi"/>
        </w:rPr>
        <w:t>https://raw.githubusercontent.com/shannonekj/DS_sex-marker/master/scripts/get_depth_24v24.pl</w:t>
      </w:r>
      <w:r w:rsidR="00E82A52">
        <w:rPr>
          <w:rFonts w:asciiTheme="majorHAnsi" w:hAnsiTheme="majorHAnsi" w:cstheme="majorHAnsi"/>
        </w:rPr>
        <w:t>)</w:t>
      </w:r>
      <w:r w:rsidR="00A86E61">
        <w:rPr>
          <w:rFonts w:asciiTheme="majorHAnsi" w:hAnsiTheme="majorHAnsi" w:cstheme="majorHAnsi"/>
        </w:rPr>
        <w:t>.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exhibit</w:t>
      </w:r>
      <w:r w:rsidR="00600EE0">
        <w:rPr>
          <w:rFonts w:asciiTheme="majorHAnsi" w:hAnsiTheme="majorHAnsi" w:cstheme="majorHAnsi"/>
        </w:rPr>
        <w:t>ed</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600EE0">
        <w:rPr>
          <w:rFonts w:asciiTheme="majorHAnsi" w:hAnsiTheme="majorHAnsi" w:cstheme="majorHAnsi"/>
        </w:rPr>
        <w:t>exhibited</w:t>
      </w:r>
      <w:r w:rsidR="00A86E61">
        <w:rPr>
          <w:rFonts w:asciiTheme="majorHAnsi" w:hAnsiTheme="majorHAnsi" w:cstheme="majorHAnsi"/>
        </w:rPr>
        <w:t xml:space="preserve"> less than or equal to half of the opposite sex’s depth, we looked for high-fidelity regions greater than 5,000 bp exhibiting a sex coverage ratio greater than or equal to two.</w:t>
      </w: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4" w:name="_Toc113440564"/>
      <w:r>
        <w:rPr>
          <w:rFonts w:asciiTheme="majorHAnsi" w:hAnsiTheme="majorHAnsi" w:cstheme="majorHAnsi"/>
          <w:sz w:val="24"/>
          <w:szCs w:val="24"/>
        </w:rPr>
        <w:t>K-mer analysis</w:t>
      </w:r>
      <w:bookmarkEnd w:id="14"/>
    </w:p>
    <w:p w14:paraId="6F4C4D99" w14:textId="69B664C8" w:rsidR="00C370BB" w:rsidRDefault="003E2DA4" w:rsidP="00A675F4">
      <w:pPr>
        <w:rPr>
          <w:rFonts w:asciiTheme="majorHAnsi" w:hAnsiTheme="majorHAnsi" w:cstheme="majorHAnsi"/>
        </w:rPr>
      </w:pPr>
      <w:r>
        <w:rPr>
          <w:rFonts w:asciiTheme="majorHAnsi" w:hAnsiTheme="majorHAnsi" w:cstheme="majorHAnsi"/>
        </w:rPr>
        <w:t>Next</w:t>
      </w:r>
      <w:r w:rsidR="0060238E">
        <w:rPr>
          <w:rFonts w:asciiTheme="majorHAnsi" w:hAnsiTheme="majorHAnsi" w:cstheme="majorHAnsi"/>
        </w:rPr>
        <w:t xml:space="preserve">, we used a k-mer based approach to </w:t>
      </w:r>
      <w:r w:rsidR="004A7DA1">
        <w:rPr>
          <w:rFonts w:asciiTheme="majorHAnsi" w:hAnsiTheme="majorHAnsi" w:cstheme="majorHAnsi"/>
        </w:rPr>
        <w:t>look for</w:t>
      </w:r>
      <w:r w:rsidR="00A675F4" w:rsidRPr="00A675F4">
        <w:rPr>
          <w:rFonts w:asciiTheme="majorHAnsi" w:hAnsiTheme="majorHAnsi" w:cstheme="majorHAnsi"/>
        </w:rPr>
        <w:t xml:space="preserve"> unique differences of sequence content in males versus females. </w:t>
      </w:r>
      <w:r w:rsidR="007A5E05">
        <w:rPr>
          <w:rFonts w:asciiTheme="majorHAnsi" w:hAnsiTheme="majorHAnsi" w:cstheme="majorHAnsi"/>
        </w:rPr>
        <w:t xml:space="preserve">First, we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 xml:space="preserve">male </w:t>
      </w:r>
      <w:proofErr w:type="gramStart"/>
      <w:r w:rsidR="007C1D20">
        <w:rPr>
          <w:rFonts w:asciiTheme="majorHAnsi" w:hAnsiTheme="majorHAnsi" w:cstheme="majorHAnsi"/>
        </w:rPr>
        <w:t>individuals</w:t>
      </w:r>
      <w:r w:rsidR="00600EE0">
        <w:rPr>
          <w:rFonts w:asciiTheme="majorHAnsi" w:hAnsiTheme="majorHAnsi" w:cstheme="majorHAnsi"/>
        </w:rPr>
        <w:t>’</w:t>
      </w:r>
      <w:proofErr w:type="gramEnd"/>
      <w:r w:rsidR="007C1D20">
        <w:rPr>
          <w:rFonts w:asciiTheme="majorHAnsi" w:hAnsiTheme="majorHAnsi" w:cstheme="majorHAnsi"/>
        </w:rPr>
        <w:t xml:space="preserve">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xml:space="preserve">. </w:t>
      </w:r>
      <w:r w:rsidR="007A5E05">
        <w:rPr>
          <w:rFonts w:asciiTheme="majorHAnsi" w:hAnsiTheme="majorHAnsi" w:cstheme="majorHAnsi"/>
        </w:rPr>
        <w:t>Next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 xml:space="preserve">(Brown &amp; </w:t>
      </w:r>
      <w:proofErr w:type="spellStart"/>
      <w:r w:rsidR="00FC4471">
        <w:rPr>
          <w:rFonts w:asciiTheme="majorHAnsi" w:hAnsiTheme="majorHAnsi" w:cstheme="majorHAnsi"/>
        </w:rPr>
        <w:t>Irber</w:t>
      </w:r>
      <w:proofErr w:type="spellEnd"/>
      <w:r w:rsidR="00FC4471">
        <w:rPr>
          <w:rFonts w:asciiTheme="majorHAnsi" w:hAnsiTheme="majorHAnsi" w:cstheme="majorHAnsi"/>
        </w:rPr>
        <w:t>, 2016)</w:t>
      </w:r>
      <w:r w:rsidR="00FC4471" w:rsidRPr="00A675F4">
        <w:rPr>
          <w:rFonts w:asciiTheme="majorHAnsi" w:hAnsiTheme="majorHAnsi" w:cstheme="majorHAnsi"/>
        </w:rPr>
        <w:fldChar w:fldCharType="end"/>
      </w:r>
      <w:r w:rsidR="00C370BB">
        <w:rPr>
          <w:rFonts w:asciiTheme="majorHAnsi" w:hAnsiTheme="majorHAnsi" w:cstheme="majorHAnsi"/>
        </w:rPr>
        <w:t xml:space="preserve">. </w:t>
      </w:r>
      <w:r w:rsidR="007A5E05">
        <w:rPr>
          <w:rFonts w:asciiTheme="majorHAnsi" w:hAnsiTheme="majorHAnsi" w:cstheme="majorHAnsi"/>
        </w:rPr>
        <w:t>After</w:t>
      </w:r>
      <w:r w:rsidR="00C370BB">
        <w:rPr>
          <w:rFonts w:asciiTheme="majorHAnsi" w:hAnsiTheme="majorHAnsi" w:cstheme="majorHAnsi"/>
        </w:rPr>
        <w: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7A5E05">
        <w:rPr>
          <w:rFonts w:asciiTheme="majorHAnsi" w:hAnsiTheme="majorHAnsi" w:cstheme="majorHAnsi"/>
        </w:rPr>
        <w:t>Finally</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2BF40AB9"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60238E">
        <w:rPr>
          <w:rFonts w:asciiTheme="majorHAnsi" w:hAnsiTheme="majorHAnsi" w:cstheme="majorHAnsi"/>
        </w:rPr>
        <w:t xml:space="preserve">containing five or more k-mers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w:t>
      </w:r>
      <w:r w:rsidR="00E576F3">
        <w:rPr>
          <w:rFonts w:asciiTheme="majorHAnsi" w:hAnsiTheme="majorHAnsi" w:cstheme="majorHAnsi"/>
        </w:rPr>
        <w:t xml:space="preserve">version of the delta smelt </w:t>
      </w:r>
      <w:r w:rsidR="00E87B56">
        <w:rPr>
          <w:rFonts w:asciiTheme="majorHAnsi" w:hAnsiTheme="majorHAnsi" w:cstheme="majorHAnsi"/>
        </w:rPr>
        <w:t>assembly</w:t>
      </w:r>
      <w:r w:rsidR="00E576F3">
        <w:rPr>
          <w:rFonts w:asciiTheme="majorHAnsi" w:hAnsiTheme="majorHAnsi" w:cstheme="majorHAnsi"/>
        </w:rPr>
        <w:t xml:space="preserve"> </w:t>
      </w:r>
      <w:r w:rsidR="00114E1F">
        <w:rPr>
          <w:rFonts w:asciiTheme="majorHAnsi" w:hAnsiTheme="majorHAnsi" w:cstheme="majorHAnsi"/>
        </w:rPr>
        <w:t>(Joslin et al., in prep)</w:t>
      </w:r>
      <w:r w:rsidR="001D0313">
        <w:rPr>
          <w:rFonts w:asciiTheme="majorHAnsi" w:hAnsiTheme="majorHAnsi" w:cstheme="majorHAnsi"/>
        </w:rPr>
        <w:t>.</w:t>
      </w:r>
      <w:r w:rsidR="00A86E61">
        <w:rPr>
          <w:rFonts w:asciiTheme="majorHAnsi" w:hAnsiTheme="majorHAnsi" w:cstheme="majorHAnsi"/>
        </w:rPr>
        <w:t xml:space="preserve"> </w:t>
      </w:r>
      <w:r w:rsidR="00E576F3">
        <w:rPr>
          <w:rFonts w:asciiTheme="majorHAnsi" w:hAnsiTheme="majorHAnsi" w:cstheme="majorHAnsi"/>
        </w:rPr>
        <w:t xml:space="preserve">We used the </w:t>
      </w:r>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r>
        <w:rPr>
          <w:rFonts w:asciiTheme="majorHAnsi" w:hAnsiTheme="majorHAnsi" w:cstheme="majorHAnsi"/>
        </w:rPr>
        <w:t>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A977EE">
        <w:rPr>
          <w:rFonts w:asciiTheme="majorHAnsi" w:hAnsiTheme="majorHAnsi" w:cstheme="majorHAnsi"/>
        </w:rPr>
        <w:t>Lastly</w:t>
      </w:r>
      <w:r w:rsidR="001D0313">
        <w:rPr>
          <w:rFonts w:asciiTheme="majorHAnsi" w:hAnsiTheme="majorHAnsi" w:cstheme="majorHAnsi"/>
        </w:rPr>
        <w:t>, 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6D3EED78" w:rsidR="00A86E61" w:rsidRDefault="00A977EE" w:rsidP="00A86E61">
      <w:pPr>
        <w:rPr>
          <w:rFonts w:asciiTheme="majorHAnsi" w:hAnsiTheme="majorHAnsi" w:cstheme="majorHAnsi"/>
        </w:rPr>
      </w:pPr>
      <w:r>
        <w:rPr>
          <w:rFonts w:asciiTheme="majorHAnsi" w:hAnsiTheme="majorHAnsi" w:cstheme="majorHAnsi"/>
        </w:rPr>
        <w:lastRenderedPageBreak/>
        <w:t>W</w:t>
      </w:r>
      <w:r w:rsidR="003E2DA4">
        <w:rPr>
          <w:rFonts w:asciiTheme="majorHAnsi" w:hAnsiTheme="majorHAnsi" w:cstheme="majorHAnsi"/>
        </w:rPr>
        <w:t>e</w:t>
      </w:r>
      <w:r w:rsidR="00A86E61">
        <w:rPr>
          <w:rFonts w:asciiTheme="majorHAnsi" w:hAnsiTheme="majorHAnsi" w:cstheme="majorHAnsi"/>
        </w:rPr>
        <w:t xml:space="preserve"> ran a depth analysis on reads </w:t>
      </w:r>
      <w:commentRangeStart w:id="15"/>
      <w:r w:rsidR="00A86E61">
        <w:rPr>
          <w:rFonts w:asciiTheme="majorHAnsi" w:hAnsiTheme="majorHAnsi" w:cstheme="majorHAnsi"/>
        </w:rPr>
        <w:t xml:space="preserve">contained within </w:t>
      </w:r>
      <w:r w:rsidR="00BD6D6C">
        <w:rPr>
          <w:rFonts w:asciiTheme="majorHAnsi" w:hAnsiTheme="majorHAnsi" w:cstheme="majorHAnsi"/>
        </w:rPr>
        <w:t>the</w:t>
      </w:r>
      <w:r w:rsidR="00A86E61">
        <w:rPr>
          <w:rFonts w:asciiTheme="majorHAnsi" w:hAnsiTheme="majorHAnsi" w:cstheme="majorHAnsi"/>
        </w:rPr>
        <w:t xml:space="preserve"> putative Y reads</w:t>
      </w:r>
      <w:r>
        <w:rPr>
          <w:rFonts w:asciiTheme="majorHAnsi" w:hAnsiTheme="majorHAnsi" w:cstheme="majorHAnsi"/>
        </w:rPr>
        <w:t xml:space="preserve"> </w:t>
      </w:r>
      <w:commentRangeEnd w:id="15"/>
      <w:r w:rsidR="004E36DB">
        <w:rPr>
          <w:rStyle w:val="CommentReference"/>
        </w:rPr>
        <w:commentReference w:id="15"/>
      </w:r>
      <w:r>
        <w:rPr>
          <w:rFonts w:asciiTheme="majorHAnsi" w:hAnsiTheme="majorHAnsi" w:cstheme="majorHAnsi"/>
        </w:rPr>
        <w:t>to look for RAD-tags</w:t>
      </w:r>
      <w:r w:rsidR="005A1A5E">
        <w:rPr>
          <w:rFonts w:asciiTheme="majorHAnsi" w:hAnsiTheme="majorHAnsi" w:cstheme="majorHAnsi"/>
        </w:rPr>
        <w:t xml:space="preserve"> which</w:t>
      </w:r>
      <w:r>
        <w:rPr>
          <w:rFonts w:asciiTheme="majorHAnsi" w:hAnsiTheme="majorHAnsi" w:cstheme="majorHAnsi"/>
        </w:rPr>
        <w:t xml:space="preserve"> confirm</w:t>
      </w:r>
      <w:r w:rsidR="004E36DB">
        <w:rPr>
          <w:rFonts w:asciiTheme="majorHAnsi" w:hAnsiTheme="majorHAnsi" w:cstheme="majorHAnsi"/>
        </w:rPr>
        <w:t>ed</w:t>
      </w:r>
      <w:r>
        <w:rPr>
          <w:rFonts w:asciiTheme="majorHAnsi" w:hAnsiTheme="majorHAnsi" w:cstheme="majorHAnsi"/>
        </w:rPr>
        <w:t xml:space="preserve"> the presence of male-specific sequences in individuals beyond the single female and male used in our k-mer analysis</w:t>
      </w:r>
      <w:r w:rsidR="00A86E61">
        <w:rPr>
          <w:rFonts w:asciiTheme="majorHAnsi" w:hAnsiTheme="majorHAnsi" w:cstheme="majorHAnsi"/>
        </w:rPr>
        <w:t xml:space="preserve">.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r w:rsidR="005A1A5E">
        <w:rPr>
          <w:rFonts w:asciiTheme="majorHAnsi" w:hAnsiTheme="majorHAnsi" w:cstheme="majorHAnsi"/>
        </w:rPr>
        <w:t xml:space="preserve">v2.5.0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r w:rsidR="00E35BEE">
        <w:rPr>
          <w:rFonts w:asciiTheme="majorHAnsi" w:hAnsiTheme="majorHAnsi" w:cstheme="majorHAnsi"/>
        </w:rPr>
        <w:t xml:space="preserve">v2.29.2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w:t>
      </w:r>
      <w:r w:rsidR="00114E1F">
        <w:rPr>
          <w:rFonts w:asciiTheme="majorHAnsi" w:hAnsiTheme="majorHAnsi" w:cstheme="majorHAnsi"/>
        </w:rPr>
        <w:t>described</w:t>
      </w:r>
      <w:r w:rsidR="00A86E61" w:rsidRPr="00A675F4">
        <w:rPr>
          <w:rFonts w:asciiTheme="majorHAnsi" w:hAnsiTheme="majorHAnsi" w:cstheme="majorHAnsi"/>
        </w:rPr>
        <w:t xml:space="preserve"> above.</w:t>
      </w:r>
    </w:p>
    <w:p w14:paraId="21BD750C" w14:textId="4AE583EC" w:rsidR="00A86E61" w:rsidRDefault="00A86E61" w:rsidP="00A675F4">
      <w:pPr>
        <w:rPr>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6" w:name="_Toc113440565"/>
      <w:r>
        <w:rPr>
          <w:rFonts w:asciiTheme="majorHAnsi" w:hAnsiTheme="majorHAnsi" w:cstheme="majorHAnsi"/>
          <w:szCs w:val="24"/>
        </w:rPr>
        <w:t>Results</w:t>
      </w:r>
      <w:bookmarkEnd w:id="16"/>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7"/>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2BEA96D2"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 xml:space="preserve">acquired </w:t>
      </w:r>
      <w:r w:rsidR="00114E1F">
        <w:rPr>
          <w:rFonts w:asciiTheme="majorHAnsi" w:hAnsiTheme="majorHAnsi" w:cstheme="majorHAnsi"/>
        </w:rPr>
        <w:t>RAD</w:t>
      </w:r>
      <w:r w:rsidR="00E576F3">
        <w:rPr>
          <w:rFonts w:asciiTheme="majorHAnsi" w:hAnsiTheme="majorHAnsi" w:cstheme="majorHAnsi"/>
        </w:rPr>
        <w:t>-</w:t>
      </w:r>
      <w:r>
        <w:rPr>
          <w:rFonts w:asciiTheme="majorHAnsi" w:hAnsiTheme="majorHAnsi" w:cstheme="majorHAnsi"/>
        </w:rPr>
        <w:t>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w:t>
      </w:r>
      <w:r w:rsidR="000E65DB">
        <w:rPr>
          <w:rFonts w:asciiTheme="majorHAnsi" w:hAnsiTheme="majorHAnsi" w:cstheme="majorHAnsi"/>
        </w:rPr>
        <w:t>delta smelt</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0175C9">
        <w:rPr>
          <w:rFonts w:asciiTheme="majorHAnsi" w:hAnsiTheme="majorHAnsi" w:cstheme="majorHAnsi"/>
        </w:rPr>
        <w:t xml:space="preserve">mean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7"/>
      <w:r>
        <w:rPr>
          <w:rFonts w:asciiTheme="majorHAnsi" w:hAnsiTheme="majorHAnsi" w:cstheme="majorHAnsi"/>
          <w:sz w:val="24"/>
          <w:szCs w:val="24"/>
        </w:rPr>
        <w:t>Genome-wide association study</w:t>
      </w:r>
      <w:bookmarkEnd w:id="18"/>
    </w:p>
    <w:p w14:paraId="0CBBE3C3" w14:textId="008A3923"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t>
      </w:r>
      <w:r w:rsidR="00660295">
        <w:rPr>
          <w:rFonts w:asciiTheme="majorHAnsi" w:hAnsiTheme="majorHAnsi" w:cstheme="majorHAnsi"/>
        </w:rPr>
        <w:t>for RAD</w:t>
      </w:r>
      <w:r w:rsidR="00E35949">
        <w:rPr>
          <w:rFonts w:asciiTheme="majorHAnsi" w:hAnsiTheme="majorHAnsi" w:cstheme="majorHAnsi"/>
        </w:rPr>
        <w:t>-</w:t>
      </w:r>
      <w:r w:rsidR="00660295">
        <w:rPr>
          <w:rFonts w:asciiTheme="majorHAnsi" w:hAnsiTheme="majorHAnsi" w:cstheme="majorHAnsi"/>
        </w:rPr>
        <w:t xml:space="preserve">seq reads </w:t>
      </w:r>
      <w:r>
        <w:rPr>
          <w:rFonts w:asciiTheme="majorHAnsi" w:hAnsiTheme="majorHAnsi" w:cstheme="majorHAnsi"/>
        </w:rPr>
        <w:t xml:space="preserve">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xml:space="preserve">, respectively. </w:t>
      </w:r>
      <w:r w:rsidR="004E36DB">
        <w:rPr>
          <w:rFonts w:asciiTheme="majorHAnsi" w:hAnsiTheme="majorHAnsi" w:cstheme="majorHAnsi"/>
        </w:rPr>
        <w:t>With t</w:t>
      </w:r>
      <w:r w:rsidR="00A675F4" w:rsidRPr="00A675F4">
        <w:rPr>
          <w:rFonts w:asciiTheme="majorHAnsi" w:hAnsiTheme="majorHAnsi" w:cstheme="majorHAnsi"/>
        </w:rPr>
        <w:t xml:space="preserve">hese loci </w:t>
      </w:r>
      <w:r w:rsidR="004E36DB">
        <w:rPr>
          <w:rFonts w:asciiTheme="majorHAnsi" w:hAnsiTheme="majorHAnsi" w:cstheme="majorHAnsi"/>
        </w:rPr>
        <w:t>we calculated</w:t>
      </w:r>
      <w:r w:rsidR="00A675F4" w:rsidRPr="00A675F4">
        <w:rPr>
          <w:rFonts w:asciiTheme="majorHAnsi" w:hAnsiTheme="majorHAnsi" w:cstheme="majorHAnsi"/>
        </w:rPr>
        <w:t xml:space="preserve">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required for significance of 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w:t>
      </w:r>
      <w:r w:rsidR="000E65DB">
        <w:rPr>
          <w:rFonts w:asciiTheme="majorHAnsi" w:hAnsiTheme="majorHAnsi" w:cstheme="majorHAnsi"/>
        </w:rPr>
        <w:t xml:space="preserve">loci were found to be </w:t>
      </w:r>
      <w:r w:rsidR="00A675F4" w:rsidRPr="00A675F4">
        <w:rPr>
          <w:rFonts w:asciiTheme="majorHAnsi" w:hAnsiTheme="majorHAnsi" w:cstheme="majorHAnsi"/>
        </w:rPr>
        <w:t>significant</w:t>
      </w:r>
      <w:r w:rsidR="000E65DB">
        <w:rPr>
          <w:rFonts w:asciiTheme="majorHAnsi" w:hAnsiTheme="majorHAnsi" w:cstheme="majorHAnsi"/>
        </w:rPr>
        <w:t>ly</w:t>
      </w:r>
      <w:r w:rsidR="00A675F4" w:rsidRPr="00A675F4">
        <w:rPr>
          <w:rFonts w:asciiTheme="majorHAnsi" w:hAnsiTheme="majorHAnsi" w:cstheme="majorHAnsi"/>
        </w:rPr>
        <w:t xml:space="preserve"> associat</w:t>
      </w:r>
      <w:r w:rsidR="000E65DB">
        <w:rPr>
          <w:rFonts w:asciiTheme="majorHAnsi" w:hAnsiTheme="majorHAnsi" w:cstheme="majorHAnsi"/>
        </w:rPr>
        <w:t>ed</w:t>
      </w:r>
      <w:r w:rsidR="00A675F4" w:rsidRPr="00A675F4">
        <w:rPr>
          <w:rFonts w:asciiTheme="majorHAnsi" w:hAnsiTheme="majorHAnsi" w:cstheme="majorHAnsi"/>
        </w:rPr>
        <w:t xml:space="preserve"> </w:t>
      </w:r>
      <w:r w:rsidR="000E65DB">
        <w:rPr>
          <w:rFonts w:asciiTheme="majorHAnsi" w:hAnsiTheme="majorHAnsi" w:cstheme="majorHAnsi"/>
        </w:rPr>
        <w:t>with</w:t>
      </w:r>
      <w:r w:rsidR="00A675F4" w:rsidRPr="00A675F4">
        <w:rPr>
          <w:rFonts w:asciiTheme="majorHAnsi" w:hAnsiTheme="majorHAnsi" w:cstheme="majorHAnsi"/>
        </w:rPr>
        <w:t xml:space="preserve"> sex </w:t>
      </w:r>
      <w:r w:rsidR="000E65DB">
        <w:rPr>
          <w:rFonts w:asciiTheme="majorHAnsi" w:hAnsiTheme="majorHAnsi" w:cstheme="majorHAnsi"/>
        </w:rPr>
        <w:t>in</w:t>
      </w:r>
      <w:r w:rsidR="00A675F4" w:rsidRPr="00A675F4">
        <w:rPr>
          <w:rFonts w:asciiTheme="majorHAnsi" w:hAnsiTheme="majorHAnsi" w:cstheme="majorHAnsi"/>
        </w:rPr>
        <w:t xml:space="preserve"> the female reference genome</w:t>
      </w:r>
      <w:r w:rsidR="00E35949">
        <w:rPr>
          <w:rFonts w:asciiTheme="majorHAnsi" w:hAnsiTheme="majorHAnsi" w:cstheme="majorHAnsi"/>
        </w:rPr>
        <w:t xml:space="preserve"> </w:t>
      </w:r>
      <w:r w:rsidR="00A675F4" w:rsidRPr="00A675F4">
        <w:rPr>
          <w:rFonts w:asciiTheme="majorHAnsi" w:hAnsiTheme="majorHAnsi" w:cstheme="majorHAnsi"/>
        </w:rPr>
        <w:t xml:space="preserve">(Figure </w:t>
      </w:r>
      <w:r w:rsidR="00C6714D">
        <w:rPr>
          <w:rFonts w:asciiTheme="majorHAnsi" w:hAnsiTheme="majorHAnsi" w:cstheme="majorHAnsi"/>
        </w:rPr>
        <w:t>3.1</w:t>
      </w:r>
      <w:r w:rsidR="00A675F4" w:rsidRPr="00A675F4">
        <w:rPr>
          <w:rFonts w:asciiTheme="majorHAnsi" w:hAnsiTheme="majorHAnsi" w:cstheme="majorHAnsi"/>
        </w:rPr>
        <w:t>). 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proofErr w:type="gramStart"/>
      <w:r w:rsidR="00C6714D">
        <w:rPr>
          <w:rFonts w:asciiTheme="majorHAnsi" w:hAnsiTheme="majorHAnsi" w:cstheme="majorHAnsi"/>
        </w:rPr>
        <w:t>)</w:t>
      </w:r>
      <w:r w:rsidR="00A675F4" w:rsidRPr="00A675F4">
        <w:rPr>
          <w:rFonts w:asciiTheme="majorHAnsi" w:hAnsiTheme="majorHAnsi" w:cstheme="majorHAnsi"/>
        </w:rPr>
        <w:t>.</w:t>
      </w:r>
      <w:r w:rsidR="00C8155C">
        <w:rPr>
          <w:rFonts w:asciiTheme="majorHAnsi" w:hAnsiTheme="majorHAnsi" w:cstheme="majorHAnsi"/>
        </w:rPr>
        <w:t>However</w:t>
      </w:r>
      <w:proofErr w:type="gramEnd"/>
      <w:r w:rsidR="000E65DB">
        <w:rPr>
          <w:rFonts w:asciiTheme="majorHAnsi" w:hAnsiTheme="majorHAnsi" w:cstheme="majorHAnsi"/>
        </w:rPr>
        <w:t>,</w:t>
      </w:r>
      <w:r w:rsidR="00A675F4" w:rsidRPr="00A675F4">
        <w:rPr>
          <w:rFonts w:asciiTheme="majorHAnsi" w:hAnsiTheme="majorHAnsi" w:cstheme="majorHAnsi"/>
        </w:rPr>
        <w:t xml:space="preserve"> the genotypes at these loci were not diagnostic of sex</w:t>
      </w:r>
      <w:r w:rsidR="00BE7331">
        <w:rPr>
          <w:rFonts w:asciiTheme="majorHAnsi" w:hAnsiTheme="majorHAnsi" w:cstheme="majorHAnsi"/>
        </w:rPr>
        <w:t xml:space="preserve"> </w:t>
      </w:r>
      <w:r w:rsidR="00A675F4" w:rsidRPr="00A675F4">
        <w:rPr>
          <w:rFonts w:asciiTheme="majorHAnsi" w:hAnsiTheme="majorHAnsi" w:cstheme="majorHAnsi"/>
        </w:rPr>
        <w:t xml:space="preserve">(Table </w:t>
      </w:r>
      <w:r w:rsidR="00C6714D">
        <w:rPr>
          <w:rFonts w:asciiTheme="majorHAnsi" w:hAnsiTheme="majorHAnsi" w:cstheme="majorHAnsi"/>
        </w:rPr>
        <w:t>3.2</w:t>
      </w:r>
      <w:r w:rsidR="00A675F4" w:rsidRPr="00A675F4">
        <w:rPr>
          <w:rFonts w:asciiTheme="majorHAnsi" w:hAnsiTheme="majorHAnsi" w:cstheme="majorHAnsi"/>
        </w:rPr>
        <w:t>).</w:t>
      </w:r>
      <w:r w:rsidR="00C8155C">
        <w:rPr>
          <w:rFonts w:asciiTheme="majorHAnsi" w:hAnsiTheme="majorHAnsi" w:cstheme="majorHAnsi"/>
        </w:rPr>
        <w:t xml:space="preserve"> </w:t>
      </w:r>
      <w:r w:rsidR="00C8155C" w:rsidRPr="00A675F4">
        <w:rPr>
          <w:rFonts w:asciiTheme="majorHAnsi" w:hAnsiTheme="majorHAnsi" w:cstheme="majorHAnsi"/>
        </w:rPr>
        <w:t>Despite</w:t>
      </w:r>
      <w:r w:rsidR="00C8155C">
        <w:rPr>
          <w:rFonts w:asciiTheme="majorHAnsi" w:hAnsiTheme="majorHAnsi" w:cstheme="majorHAnsi"/>
        </w:rPr>
        <w:t xml:space="preserve"> individual alleles at each locus</w:t>
      </w:r>
      <w:r w:rsidR="00C8155C" w:rsidRPr="00A675F4">
        <w:rPr>
          <w:rFonts w:asciiTheme="majorHAnsi" w:hAnsiTheme="majorHAnsi" w:cstheme="majorHAnsi"/>
        </w:rPr>
        <w:t xml:space="preserve"> being highly associated with sex</w:t>
      </w:r>
      <w:r w:rsidR="00C8155C">
        <w:rPr>
          <w:rFonts w:asciiTheme="majorHAnsi" w:hAnsiTheme="majorHAnsi" w:cstheme="majorHAnsi"/>
        </w:rPr>
        <w:t>, female and male sequencing data contained individuals which were homozygous for the major and minor alleles and heterozygous in significant proportions (Table 3.3)</w:t>
      </w:r>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9" w:name="_Toc113440568"/>
      <w:r>
        <w:rPr>
          <w:rFonts w:asciiTheme="majorHAnsi" w:hAnsiTheme="majorHAnsi" w:cstheme="majorHAnsi"/>
          <w:sz w:val="24"/>
          <w:szCs w:val="24"/>
        </w:rPr>
        <w:t>Depth analysis</w:t>
      </w:r>
      <w:bookmarkEnd w:id="19"/>
    </w:p>
    <w:p w14:paraId="130190A8" w14:textId="69C9F4DD"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w:t>
      </w:r>
      <w:r w:rsidR="000E65DB">
        <w:rPr>
          <w:rFonts w:asciiTheme="majorHAnsi" w:hAnsiTheme="majorHAnsi" w:cstheme="majorHAnsi"/>
        </w:rPr>
        <w:t xml:space="preserve">RAD </w:t>
      </w:r>
      <w:r>
        <w:rPr>
          <w:rFonts w:asciiTheme="majorHAnsi" w:hAnsiTheme="majorHAnsi" w:cstheme="majorHAnsi"/>
        </w:rPr>
        <w:t xml:space="preserve">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r w:rsidR="008466C0">
        <w:rPr>
          <w:rFonts w:asciiTheme="majorHAnsi" w:hAnsiTheme="majorHAnsi" w:cstheme="majorHAnsi"/>
        </w:rPr>
        <w:t xml:space="preserve">longer </w:t>
      </w:r>
      <w:r w:rsidR="00A86E61">
        <w:rPr>
          <w:rFonts w:asciiTheme="majorHAnsi" w:hAnsiTheme="majorHAnsi" w:cstheme="majorHAnsi"/>
        </w:rPr>
        <w:t>than 5</w:t>
      </w:r>
      <w:r w:rsidR="000E65DB">
        <w:rPr>
          <w:rFonts w:asciiTheme="majorHAnsi" w:hAnsiTheme="majorHAnsi" w:cstheme="majorHAnsi"/>
        </w:rPr>
        <w:t xml:space="preserve"> </w:t>
      </w:r>
      <w:r w:rsidR="00A86E61">
        <w:rPr>
          <w:rFonts w:asciiTheme="majorHAnsi" w:hAnsiTheme="majorHAnsi" w:cstheme="majorHAnsi"/>
        </w:rPr>
        <w:t xml:space="preserve">kb </w:t>
      </w:r>
      <w:r w:rsidR="008466C0">
        <w:rPr>
          <w:rFonts w:asciiTheme="majorHAnsi" w:hAnsiTheme="majorHAnsi" w:cstheme="majorHAnsi"/>
        </w:rPr>
        <w:t xml:space="preserve">with </w:t>
      </w:r>
      <w:r w:rsidR="00A675F4" w:rsidRPr="00A675F4">
        <w:rPr>
          <w:rFonts w:asciiTheme="majorHAnsi" w:hAnsiTheme="majorHAnsi" w:cstheme="majorHAnsi"/>
        </w:rPr>
        <w:t>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20" w:name="_Toc113440569"/>
      <w:r>
        <w:rPr>
          <w:rFonts w:asciiTheme="majorHAnsi" w:hAnsiTheme="majorHAnsi" w:cstheme="majorHAnsi"/>
          <w:sz w:val="24"/>
          <w:szCs w:val="24"/>
        </w:rPr>
        <w:t>K-mer analysis</w:t>
      </w:r>
      <w:bookmarkEnd w:id="20"/>
    </w:p>
    <w:p w14:paraId="261E07FB" w14:textId="03885AF2" w:rsidR="00B2511B" w:rsidRDefault="004A14ED" w:rsidP="00491240">
      <w:pPr>
        <w:rPr>
          <w:rFonts w:asciiTheme="majorHAnsi" w:hAnsiTheme="majorHAnsi" w:cstheme="majorHAnsi"/>
        </w:rPr>
      </w:pPr>
      <w:r>
        <w:rPr>
          <w:rFonts w:asciiTheme="majorHAnsi" w:hAnsiTheme="majorHAnsi" w:cstheme="majorHAnsi"/>
        </w:rPr>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lastRenderedPageBreak/>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w:t>
      </w:r>
      <w:r w:rsidR="00F07DB3">
        <w:rPr>
          <w:rFonts w:asciiTheme="majorHAnsi" w:hAnsiTheme="majorHAnsi" w:cstheme="majorHAnsi"/>
        </w:rPr>
        <w:t>of</w:t>
      </w:r>
      <w:r w:rsidR="00B2511B">
        <w:rPr>
          <w:rFonts w:asciiTheme="majorHAnsi" w:hAnsiTheme="majorHAnsi" w:cstheme="majorHAnsi"/>
        </w:rPr>
        <w:t xml:space="preserve"> 50-100 we found 4,964 hashes corresponding to approximately 4,964,000 high abundance k-mers</w:t>
      </w:r>
      <w:r w:rsidR="00E04573">
        <w:rPr>
          <w:rFonts w:asciiTheme="majorHAnsi" w:hAnsiTheme="majorHAnsi" w:cstheme="majorHAnsi"/>
        </w:rPr>
        <w:t xml:space="preserve"> </w:t>
      </w:r>
      <w:r w:rsidR="00B2511B">
        <w:rPr>
          <w:rFonts w:asciiTheme="majorHAnsi" w:hAnsiTheme="majorHAnsi" w:cstheme="majorHAnsi"/>
        </w:rPr>
        <w:t xml:space="preserve">(Figure 3.3). </w:t>
      </w:r>
    </w:p>
    <w:p w14:paraId="461CF34A" w14:textId="77777777" w:rsidR="00B2511B" w:rsidRDefault="00B2511B" w:rsidP="00491240">
      <w:pPr>
        <w:rPr>
          <w:rFonts w:asciiTheme="majorHAnsi" w:hAnsiTheme="majorHAnsi" w:cstheme="majorHAnsi"/>
        </w:rPr>
      </w:pPr>
    </w:p>
    <w:p w14:paraId="7EF2F25B" w14:textId="3ED6D85D"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1" w:name="_Toc113440570"/>
      <w:r>
        <w:rPr>
          <w:rFonts w:asciiTheme="majorHAnsi" w:hAnsiTheme="majorHAnsi" w:cstheme="majorHAnsi"/>
          <w:szCs w:val="24"/>
        </w:rPr>
        <w:t>Discussion &amp; Conclusion</w:t>
      </w:r>
      <w:bookmarkEnd w:id="21"/>
    </w:p>
    <w:p w14:paraId="5CC30083" w14:textId="51268234" w:rsidR="00A675F4" w:rsidRDefault="00A675F4" w:rsidP="00A675F4"/>
    <w:p w14:paraId="619AB194" w14:textId="28F1D4F2" w:rsidR="00E20B86" w:rsidRDefault="00F07DB3" w:rsidP="00A675F4">
      <w:pPr>
        <w:rPr>
          <w:rFonts w:asciiTheme="majorHAnsi" w:hAnsiTheme="majorHAnsi" w:cstheme="majorHAnsi"/>
        </w:rPr>
      </w:pPr>
      <w:r>
        <w:rPr>
          <w:rFonts w:asciiTheme="majorHAnsi" w:hAnsiTheme="majorHAnsi" w:cstheme="majorHAnsi"/>
        </w:rPr>
        <w:t>T</w:t>
      </w:r>
      <w:r w:rsidR="00A86E61">
        <w:rPr>
          <w:rFonts w:asciiTheme="majorHAnsi" w:hAnsiTheme="majorHAnsi" w:cstheme="majorHAnsi"/>
        </w:rPr>
        <w:t>o identify sex-specific markers</w:t>
      </w:r>
      <w:r w:rsidR="006F1AC1">
        <w:rPr>
          <w:rFonts w:asciiTheme="majorHAnsi" w:hAnsiTheme="majorHAnsi" w:cstheme="majorHAnsi"/>
        </w:rPr>
        <w:t xml:space="preserve"> within the genome of delta smelt</w:t>
      </w:r>
      <w:r w:rsidR="00A86E61">
        <w:rPr>
          <w:rFonts w:asciiTheme="majorHAnsi" w:hAnsiTheme="majorHAnsi" w:cstheme="majorHAnsi"/>
        </w:rPr>
        <w:t>, our</w:t>
      </w:r>
      <w:r w:rsidR="00A675F4" w:rsidRPr="00A675F4">
        <w:rPr>
          <w:rFonts w:asciiTheme="majorHAnsi" w:hAnsiTheme="majorHAnsi" w:cstheme="majorHAnsi"/>
        </w:rPr>
        <w:t xml:space="preserve"> </w:t>
      </w:r>
      <w:r w:rsidR="00A86E61">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sidR="00A86E61">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576F0EBB"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w:t>
      </w:r>
      <w:r w:rsidR="004E36DB">
        <w:rPr>
          <w:rFonts w:asciiTheme="majorHAnsi" w:hAnsiTheme="majorHAnsi" w:cstheme="majorHAnsi"/>
        </w:rPr>
        <w:t xml:space="preserve"> on </w:t>
      </w:r>
      <w:r w:rsidR="00705E95">
        <w:rPr>
          <w:rFonts w:asciiTheme="majorHAnsi" w:hAnsiTheme="majorHAnsi" w:cstheme="majorHAnsi"/>
        </w:rPr>
        <w:t>Ch</w:t>
      </w:r>
      <w:r w:rsidR="004E36DB">
        <w:rPr>
          <w:rFonts w:asciiTheme="majorHAnsi" w:hAnsiTheme="majorHAnsi" w:cstheme="majorHAnsi"/>
        </w:rPr>
        <w:t>romosome 5</w:t>
      </w:r>
      <w:r w:rsidR="00DE79E2">
        <w:rPr>
          <w:rFonts w:asciiTheme="majorHAnsi" w:hAnsiTheme="majorHAnsi" w:cstheme="majorHAnsi"/>
        </w:rPr>
        <w:t xml:space="preserve">,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only samples at sequence</w:t>
      </w:r>
      <w:r>
        <w:rPr>
          <w:rFonts w:asciiTheme="majorHAnsi" w:hAnsiTheme="majorHAnsi" w:cstheme="majorHAnsi"/>
        </w:rPr>
        <w:t>s</w:t>
      </w:r>
      <w:r w:rsidR="00E35949">
        <w:rPr>
          <w:rFonts w:asciiTheme="majorHAnsi" w:hAnsiTheme="majorHAnsi" w:cstheme="majorHAnsi"/>
        </w:rPr>
        <w:t xml:space="preserve"> near </w:t>
      </w:r>
      <w:r w:rsidR="00705E95">
        <w:rPr>
          <w:rFonts w:asciiTheme="majorHAnsi" w:hAnsiTheme="majorHAnsi" w:cstheme="majorHAnsi"/>
        </w:rPr>
        <w:t xml:space="preserve">restriction enzyme </w:t>
      </w:r>
      <w:r w:rsidR="00E35949">
        <w:rPr>
          <w:rFonts w:asciiTheme="majorHAnsi" w:hAnsiTheme="majorHAnsi" w:cstheme="majorHAnsi"/>
        </w:rPr>
        <w:t>cut sites</w:t>
      </w:r>
      <w:r>
        <w:rPr>
          <w:rFonts w:asciiTheme="majorHAnsi" w:hAnsiTheme="majorHAnsi" w:cstheme="majorHAnsi"/>
        </w:rPr>
        <w:t>,</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 xml:space="preserve">ack of adequate coverage in the area of interest could easily result in inconclusive results as </w:t>
      </w:r>
      <w:r w:rsidR="00F15883">
        <w:rPr>
          <w:rFonts w:asciiTheme="majorHAnsi" w:hAnsiTheme="majorHAnsi" w:cstheme="majorHAnsi"/>
        </w:rPr>
        <w:t>the</w:t>
      </w:r>
      <w:r w:rsidR="00293332">
        <w:rPr>
          <w:rFonts w:asciiTheme="majorHAnsi" w:hAnsiTheme="majorHAnsi" w:cstheme="majorHAnsi"/>
        </w:rPr>
        <w:t xml:space="preserve"> genomes </w:t>
      </w:r>
      <w:r w:rsidR="00F15883">
        <w:rPr>
          <w:rFonts w:asciiTheme="majorHAnsi" w:hAnsiTheme="majorHAnsi" w:cstheme="majorHAnsi"/>
        </w:rPr>
        <w:t xml:space="preserve">of other fish species </w:t>
      </w:r>
      <w:r w:rsidR="00293332">
        <w:rPr>
          <w:rFonts w:asciiTheme="majorHAnsi" w:hAnsiTheme="majorHAnsi" w:cstheme="majorHAnsi"/>
        </w:rPr>
        <w:t xml:space="preserve">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if the sex determining region in delta smelt </w:t>
      </w:r>
      <w:r w:rsidR="00DE79E2">
        <w:rPr>
          <w:rFonts w:asciiTheme="majorHAnsi" w:hAnsiTheme="majorHAnsi" w:cstheme="majorHAnsi"/>
        </w:rPr>
        <w:lastRenderedPageBreak/>
        <w:t xml:space="preserve">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5286EDA8"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 indicat</w:t>
      </w:r>
      <w:r w:rsidR="00C14551">
        <w:rPr>
          <w:rFonts w:asciiTheme="majorHAnsi" w:hAnsiTheme="majorHAnsi" w:cstheme="majorHAnsi"/>
        </w:rPr>
        <w:t>e</w:t>
      </w:r>
      <w:r w:rsidR="00790724">
        <w:rPr>
          <w:rFonts w:asciiTheme="majorHAnsi" w:hAnsiTheme="majorHAnsi" w:cstheme="majorHAnsi"/>
        </w:rPr>
        <w:t xml:space="preserve"> that </w:t>
      </w:r>
      <w:r w:rsidR="00790724" w:rsidRPr="00A951B3">
        <w:rPr>
          <w:rFonts w:asciiTheme="majorHAnsi" w:hAnsiTheme="majorHAnsi" w:cstheme="majorHAnsi"/>
        </w:rPr>
        <w:t xml:space="preserve">the male genome contains a large amount of sequencing data not contained in the female genome (potentially a Y or male-specific chromosome) and provides evidence that the male delta smelt may be </w:t>
      </w:r>
      <w:r w:rsidR="00705E95">
        <w:rPr>
          <w:rFonts w:asciiTheme="majorHAnsi" w:hAnsiTheme="majorHAnsi" w:cstheme="majorHAnsi"/>
        </w:rPr>
        <w:t>the</w:t>
      </w:r>
      <w:r w:rsidR="00790724" w:rsidRPr="00A951B3">
        <w:rPr>
          <w:rFonts w:asciiTheme="majorHAnsi" w:hAnsiTheme="majorHAnsi" w:cstheme="majorHAnsi"/>
        </w:rPr>
        <w:t xml:space="preserve"> heterogametic sex.</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726F20D4" w:rsidR="00A675F4" w:rsidRPr="00A675F4" w:rsidRDefault="00A675F4" w:rsidP="0026755B">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r w:rsidR="00796BA9">
        <w:rPr>
          <w:rFonts w:asciiTheme="majorHAnsi" w:hAnsiTheme="majorHAnsi" w:cstheme="majorHAnsi"/>
        </w:rPr>
        <w:t xml:space="preserve"> Interestingly,</w:t>
      </w:r>
      <w:r w:rsidR="001B790B">
        <w:rPr>
          <w:rFonts w:asciiTheme="majorHAnsi" w:hAnsiTheme="majorHAnsi" w:cstheme="majorHAnsi"/>
        </w:rPr>
        <w:t xml:space="preserve"> sex differentiation in</w:t>
      </w:r>
      <w:r w:rsidR="00772E51">
        <w:rPr>
          <w:rFonts w:asciiTheme="majorHAnsi" w:hAnsiTheme="majorHAnsi" w:cstheme="majorHAnsi"/>
        </w:rPr>
        <w:t xml:space="preserve"> </w:t>
      </w:r>
      <w:proofErr w:type="spellStart"/>
      <w:r w:rsidR="00730478" w:rsidRPr="001B790B">
        <w:rPr>
          <w:rFonts w:asciiTheme="majorHAnsi" w:hAnsiTheme="majorHAnsi" w:cstheme="majorHAnsi"/>
          <w:i/>
          <w:iCs/>
        </w:rPr>
        <w:t>Plecoglossus</w:t>
      </w:r>
      <w:proofErr w:type="spellEnd"/>
      <w:r w:rsidR="00730478" w:rsidRPr="001B790B">
        <w:rPr>
          <w:rFonts w:asciiTheme="majorHAnsi" w:hAnsiTheme="majorHAnsi" w:cstheme="majorHAnsi"/>
          <w:i/>
          <w:iCs/>
        </w:rPr>
        <w:t xml:space="preserve"> </w:t>
      </w:r>
      <w:proofErr w:type="spellStart"/>
      <w:r w:rsidR="00730478" w:rsidRPr="001B790B">
        <w:rPr>
          <w:rFonts w:asciiTheme="majorHAnsi" w:hAnsiTheme="majorHAnsi" w:cstheme="majorHAnsi"/>
          <w:i/>
          <w:iCs/>
        </w:rPr>
        <w:t>altivelis</w:t>
      </w:r>
      <w:proofErr w:type="spellEnd"/>
      <w:r w:rsidR="00730478" w:rsidRPr="00796BA9">
        <w:rPr>
          <w:rFonts w:asciiTheme="majorHAnsi" w:hAnsiTheme="majorHAnsi" w:cstheme="majorHAnsi"/>
        </w:rPr>
        <w:t xml:space="preserve"> </w:t>
      </w:r>
      <w:r w:rsidR="00730478">
        <w:rPr>
          <w:rFonts w:asciiTheme="majorHAnsi" w:hAnsiTheme="majorHAnsi" w:cstheme="majorHAnsi"/>
        </w:rPr>
        <w:t>(</w:t>
      </w:r>
      <w:proofErr w:type="spellStart"/>
      <w:r w:rsidR="00730478">
        <w:rPr>
          <w:rFonts w:asciiTheme="majorHAnsi" w:hAnsiTheme="majorHAnsi" w:cstheme="majorHAnsi"/>
        </w:rPr>
        <w:t>sweetfish</w:t>
      </w:r>
      <w:proofErr w:type="spellEnd"/>
      <w:r w:rsidR="00730478">
        <w:rPr>
          <w:rFonts w:asciiTheme="majorHAnsi" w:hAnsiTheme="majorHAnsi" w:cstheme="majorHAnsi"/>
        </w:rPr>
        <w:t xml:space="preserve">/ayu), </w:t>
      </w:r>
      <w:r w:rsidR="00772E51">
        <w:rPr>
          <w:rFonts w:asciiTheme="majorHAnsi" w:hAnsiTheme="majorHAnsi" w:cstheme="majorHAnsi"/>
        </w:rPr>
        <w:t xml:space="preserve">another fish species </w:t>
      </w:r>
      <w:r w:rsidR="00730478">
        <w:rPr>
          <w:rFonts w:asciiTheme="majorHAnsi" w:hAnsiTheme="majorHAnsi" w:cstheme="majorHAnsi"/>
        </w:rPr>
        <w:t>in</w:t>
      </w:r>
      <w:r w:rsidR="00772E51">
        <w:rPr>
          <w:rFonts w:asciiTheme="majorHAnsi" w:hAnsiTheme="majorHAnsi" w:cstheme="majorHAnsi"/>
        </w:rPr>
        <w:t xml:space="preserve"> the </w:t>
      </w:r>
      <w:proofErr w:type="spellStart"/>
      <w:r w:rsidR="00772E51">
        <w:rPr>
          <w:rFonts w:asciiTheme="majorHAnsi" w:hAnsiTheme="majorHAnsi" w:cstheme="majorHAnsi"/>
        </w:rPr>
        <w:t>Osmeriform</w:t>
      </w:r>
      <w:r w:rsidR="00730478">
        <w:rPr>
          <w:rFonts w:asciiTheme="majorHAnsi" w:hAnsiTheme="majorHAnsi" w:cstheme="majorHAnsi"/>
        </w:rPr>
        <w:t>es</w:t>
      </w:r>
      <w:proofErr w:type="spellEnd"/>
      <w:r w:rsidR="00730478">
        <w:rPr>
          <w:rFonts w:asciiTheme="majorHAnsi" w:hAnsiTheme="majorHAnsi" w:cstheme="majorHAnsi"/>
        </w:rPr>
        <w:t xml:space="preserve"> order which has </w:t>
      </w:r>
      <w:r w:rsidR="00796BA9">
        <w:rPr>
          <w:rFonts w:asciiTheme="majorHAnsi" w:hAnsiTheme="majorHAnsi" w:cstheme="majorHAnsi"/>
        </w:rPr>
        <w:t>XX</w:t>
      </w:r>
      <w:r w:rsidR="0033581E">
        <w:rPr>
          <w:rFonts w:asciiTheme="majorHAnsi" w:hAnsiTheme="majorHAnsi" w:cstheme="majorHAnsi"/>
        </w:rPr>
        <w:t xml:space="preserve"> females and </w:t>
      </w:r>
      <w:r w:rsidR="00796BA9">
        <w:rPr>
          <w:rFonts w:asciiTheme="majorHAnsi" w:hAnsiTheme="majorHAnsi" w:cstheme="majorHAnsi"/>
        </w:rPr>
        <w:t>XY</w:t>
      </w:r>
      <w:r w:rsidR="0033581E">
        <w:rPr>
          <w:rFonts w:asciiTheme="majorHAnsi" w:hAnsiTheme="majorHAnsi" w:cstheme="majorHAnsi"/>
        </w:rPr>
        <w:t xml:space="preserve"> males</w:t>
      </w:r>
      <w:r w:rsidR="001B790B">
        <w:rPr>
          <w:rFonts w:asciiTheme="majorHAnsi" w:hAnsiTheme="majorHAnsi" w:cstheme="majorHAnsi"/>
        </w:rPr>
        <w:t>, is controlled by an</w:t>
      </w:r>
      <w:r w:rsidR="0033581E">
        <w:rPr>
          <w:rFonts w:asciiTheme="majorHAnsi" w:hAnsiTheme="majorHAnsi" w:cstheme="majorHAnsi"/>
        </w:rPr>
        <w:t xml:space="preserve"> </w:t>
      </w:r>
      <w:r w:rsidR="0033581E">
        <w:rPr>
          <w:rFonts w:asciiTheme="majorHAnsi" w:hAnsiTheme="majorHAnsi" w:cstheme="majorHAnsi"/>
          <w:i/>
          <w:iCs/>
        </w:rPr>
        <w:t>amh</w:t>
      </w:r>
      <w:r w:rsidR="001B790B">
        <w:rPr>
          <w:rFonts w:asciiTheme="majorHAnsi" w:hAnsiTheme="majorHAnsi" w:cstheme="majorHAnsi"/>
          <w:i/>
          <w:iCs/>
        </w:rPr>
        <w:t>r</w:t>
      </w:r>
      <w:r w:rsidR="0033581E">
        <w:rPr>
          <w:rFonts w:asciiTheme="majorHAnsi" w:hAnsiTheme="majorHAnsi" w:cstheme="majorHAnsi"/>
          <w:i/>
          <w:iCs/>
        </w:rPr>
        <w:t>2</w:t>
      </w:r>
      <w:r w:rsidR="0033581E">
        <w:rPr>
          <w:rFonts w:asciiTheme="majorHAnsi" w:hAnsiTheme="majorHAnsi" w:cstheme="majorHAnsi"/>
        </w:rPr>
        <w:t xml:space="preserve"> paralog </w:t>
      </w:r>
      <w:r w:rsidR="001B790B">
        <w:rPr>
          <w:rFonts w:asciiTheme="majorHAnsi" w:hAnsiTheme="majorHAnsi" w:cstheme="majorHAnsi"/>
        </w:rPr>
        <w:t>(</w:t>
      </w:r>
      <w:r w:rsidR="001B790B" w:rsidRPr="001B790B">
        <w:rPr>
          <w:rFonts w:asciiTheme="majorHAnsi" w:hAnsiTheme="majorHAnsi" w:cstheme="majorHAnsi"/>
          <w:i/>
          <w:iCs/>
        </w:rPr>
        <w:t>amhr2bY</w:t>
      </w:r>
      <w:r w:rsidR="001B790B">
        <w:rPr>
          <w:rFonts w:asciiTheme="majorHAnsi" w:hAnsiTheme="majorHAnsi" w:cstheme="majorHAnsi"/>
        </w:rPr>
        <w:t xml:space="preserve">) </w:t>
      </w:r>
      <w:r w:rsidR="0033581E">
        <w:rPr>
          <w:rFonts w:asciiTheme="majorHAnsi" w:hAnsiTheme="majorHAnsi" w:cstheme="majorHAnsi"/>
        </w:rPr>
        <w:t>located on the Y chromosome</w:t>
      </w:r>
      <w:r w:rsidR="00B460E5">
        <w:rPr>
          <w:rFonts w:asciiTheme="majorHAnsi" w:hAnsiTheme="majorHAnsi" w:cstheme="majorHAnsi"/>
        </w:rPr>
        <w:t xml:space="preserve"> </w:t>
      </w:r>
      <w:r w:rsidR="00B460E5">
        <w:rPr>
          <w:rFonts w:asciiTheme="majorHAnsi" w:hAnsiTheme="majorHAnsi" w:cstheme="majorHAnsi"/>
        </w:rPr>
        <w:fldChar w:fldCharType="begin"/>
      </w:r>
      <w:r w:rsidR="00B460E5">
        <w:rPr>
          <w:rFonts w:asciiTheme="majorHAnsi" w:hAnsiTheme="majorHAnsi" w:cstheme="majorHAnsi"/>
        </w:rPr>
        <w:instrText xml:space="preserve"> ADDIN ZOTERO_ITEM CSL_CITATION {"citationID":"TCDchUBN","properties":{"formattedCitation":"(Nakamoto et al., 2021)","plainCitation":"(Nakamoto et al., 2021)","noteIndex":0},"citationItems":[{"id":786,"uris":["http://zotero.org/users/local/3tku6QP0/items/2DHC9X8Q"],"itemData":{"id":786,"type":"article-journal","abstract":"Whole-genome duplication and genome compaction are thought to have played important roles in teleost fish evolution. Ayu (or sweetfish),\n              Plecoglossus altivelis\n              , belongs to the superorder Stomiati, order Osmeriformes. Stomiati is phylogenetically classified as sister taxa of Neoteleostei. Thus, ayu holds an important position in the fish tree of life. Although ayu is economically important for the food industry and recreational fishing in Japan, few genomic resources are available for this species. To address this problem, we produced a draft genome sequence of ayu by whole-genome shotgun sequencing and constructed linkage maps using a genotyping-by-sequencing approach. Syntenic analyses of ayu and other teleost fish provided information about chromosomal rearrangements during the divergence of Stomiati, Protacanthopterygii and Neoteleostei. The size of the ayu genome indicates that genome compaction occurred after the divergence of the family Osmeridae. Ayu has an XX/XY sex-determination system for which we identified sex-associated loci by a genome-wide association study by genotyping-by-sequencing and whole-genome resequencing using wild populations. Genome-wide association mapping using wild ayu populations revealed three sex-linked scaffolds (total, 2.03 Mb). Comparison of whole-genome resequencing mapping coverage between males and females identified male-specific regions in sex-linked scaffolds. A duplicate copy of the anti-Müllerian hormone type-II receptor gene (\n              amhr2bY\n              ) was found within these male-specific regions, distinct from the autosomal copy of\n              amhr2\n              . Expression of the Y-linked\n              amhr2\n              gene was male-specific in\n              sox9b\n              -positive somatic cells surrounding germ cells in undifferentiated gonads, whereas autosomal\n              amhr2\n              transcripts were detected in somatic cells in sexually undifferentiated gonads of both genetic males and females. Loss-of-function mutation for\n              amhr2bY\n              induced male to female sex reversal. Taken together with the known role of\n              Amh\n              and\n              Amhr2\n              in sex differentiation, these results indicate that the paralog of\n              amhr2\n              on the ayu Y chromosome determines genetic sex, and the male-specific amh-amhr2 pathway is critical for testicular differentiation in ayu.","container-title":"PLOS Genetics","DOI":"10.1371/journal.pgen.1009705","ISSN":"1553-7404","issue":"8","journalAbbreviation":"PLoS Genet","language":"en","page":"e1009705","source":"DOI.org (Crossref)","title":"A Y-linked anti-Müllerian hormone type-II receptor is the sex-determining gene in ayu, Plecoglossus altivelis","volume":"17","author":[{"family":"Nakamoto","given":"Masatoshi"},{"family":"Uchino","given":"Tsubasa"},{"family":"Koshimizu","given":"Eriko"},{"family":"Kuchiishi","given":"Yudai"},{"family":"Sekiguchi","given":"Ryota"},{"family":"Wang","given":"Liu"},{"family":"Sudo","given":"Ryusuke"},{"family":"Endo","given":"Masato"},{"family":"Guiguen","given":"Yann"},{"family":"Schartl","given":"Manfred"},{"family":"Postlethwait","given":"John H."},{"family":"Sakamoto","given":"Takashi"}],"editor":[{"family":"Moens","given":"Cecilia"}],"issued":{"date-parts":[["2021",8,26]]}}}],"schema":"https://github.com/citation-style-language/schema/raw/master/csl-citation.json"} </w:instrText>
      </w:r>
      <w:r w:rsidR="00B460E5">
        <w:rPr>
          <w:rFonts w:asciiTheme="majorHAnsi" w:hAnsiTheme="majorHAnsi" w:cstheme="majorHAnsi"/>
        </w:rPr>
        <w:fldChar w:fldCharType="separate"/>
      </w:r>
      <w:r w:rsidR="00B460E5">
        <w:rPr>
          <w:rFonts w:asciiTheme="majorHAnsi" w:hAnsiTheme="majorHAnsi" w:cstheme="majorHAnsi"/>
          <w:noProof/>
        </w:rPr>
        <w:t>(Nakamoto et al., 2021)</w:t>
      </w:r>
      <w:r w:rsidR="00B460E5">
        <w:rPr>
          <w:rFonts w:asciiTheme="majorHAnsi" w:hAnsiTheme="majorHAnsi" w:cstheme="majorHAnsi"/>
        </w:rPr>
        <w:fldChar w:fldCharType="end"/>
      </w:r>
      <w:r w:rsidR="0033581E">
        <w:rPr>
          <w:rFonts w:asciiTheme="majorHAnsi" w:hAnsiTheme="majorHAnsi" w:cstheme="majorHAnsi"/>
        </w:rPr>
        <w:t xml:space="preserve">. </w:t>
      </w:r>
      <w:r w:rsidR="00B460E5">
        <w:rPr>
          <w:rFonts w:asciiTheme="majorHAnsi" w:hAnsiTheme="majorHAnsi" w:cstheme="majorHAnsi"/>
        </w:rPr>
        <w:t xml:space="preserve">The current published and annotated version of the delta smelt genome, which is the female assembly, does not contain copies of the </w:t>
      </w:r>
      <w:r w:rsidR="00B460E5">
        <w:rPr>
          <w:rFonts w:asciiTheme="majorHAnsi" w:hAnsiTheme="majorHAnsi" w:cstheme="majorHAnsi"/>
          <w:i/>
          <w:iCs/>
        </w:rPr>
        <w:t>amhr2</w:t>
      </w:r>
      <w:r w:rsidR="00B460E5">
        <w:rPr>
          <w:rFonts w:asciiTheme="majorHAnsi" w:hAnsiTheme="majorHAnsi" w:cstheme="majorHAnsi"/>
        </w:rPr>
        <w:t xml:space="preserve"> or </w:t>
      </w:r>
      <w:r w:rsidR="00B460E5">
        <w:rPr>
          <w:rFonts w:asciiTheme="majorHAnsi" w:hAnsiTheme="majorHAnsi" w:cstheme="majorHAnsi"/>
          <w:i/>
          <w:iCs/>
        </w:rPr>
        <w:t>amhr2bY</w:t>
      </w:r>
      <w:r w:rsidR="001B790B">
        <w:rPr>
          <w:rFonts w:asciiTheme="majorHAnsi" w:hAnsiTheme="majorHAnsi" w:cstheme="majorHAnsi"/>
        </w:rPr>
        <w:t xml:space="preserve"> </w:t>
      </w:r>
      <w:r w:rsidR="00B460E5">
        <w:rPr>
          <w:rFonts w:asciiTheme="majorHAnsi" w:hAnsiTheme="majorHAnsi" w:cstheme="majorHAnsi"/>
        </w:rPr>
        <w:t xml:space="preserve">genes. However, the published delta smelt genome does contain the </w:t>
      </w:r>
      <w:proofErr w:type="spellStart"/>
      <w:r w:rsidR="00B460E5">
        <w:rPr>
          <w:rFonts w:asciiTheme="majorHAnsi" w:hAnsiTheme="majorHAnsi" w:cstheme="majorHAnsi"/>
          <w:i/>
          <w:iCs/>
        </w:rPr>
        <w:t>amh</w:t>
      </w:r>
      <w:proofErr w:type="spellEnd"/>
      <w:r w:rsidR="00B460E5">
        <w:rPr>
          <w:rFonts w:asciiTheme="majorHAnsi" w:hAnsiTheme="majorHAnsi" w:cstheme="majorHAnsi"/>
        </w:rPr>
        <w:t xml:space="preserve"> gene</w:t>
      </w:r>
      <w:r w:rsidR="0026755B">
        <w:rPr>
          <w:rFonts w:asciiTheme="majorHAnsi" w:hAnsiTheme="majorHAnsi" w:cstheme="majorHAnsi"/>
        </w:rPr>
        <w:t>,</w:t>
      </w:r>
      <w:r w:rsidR="00B460E5">
        <w:rPr>
          <w:rFonts w:asciiTheme="majorHAnsi" w:hAnsiTheme="majorHAnsi" w:cstheme="majorHAnsi"/>
        </w:rPr>
        <w:t xml:space="preserve"> but it is located on </w:t>
      </w:r>
      <w:r w:rsidR="00CB4590">
        <w:rPr>
          <w:rFonts w:asciiTheme="majorHAnsi" w:hAnsiTheme="majorHAnsi" w:cstheme="majorHAnsi"/>
        </w:rPr>
        <w:t xml:space="preserve">an unplaced </w:t>
      </w:r>
      <w:r w:rsidR="0026755B">
        <w:rPr>
          <w:rFonts w:asciiTheme="majorHAnsi" w:hAnsiTheme="majorHAnsi" w:cstheme="majorHAnsi"/>
        </w:rPr>
        <w:t>scaffold</w:t>
      </w:r>
      <w:r w:rsidR="00CB4590">
        <w:rPr>
          <w:rFonts w:asciiTheme="majorHAnsi" w:hAnsiTheme="majorHAnsi" w:cstheme="majorHAnsi"/>
        </w:rPr>
        <w:t xml:space="preserve"> (</w:t>
      </w:r>
      <w:r w:rsidR="00CB4590" w:rsidRPr="00CB4590">
        <w:rPr>
          <w:rFonts w:asciiTheme="majorHAnsi" w:hAnsiTheme="majorHAnsi" w:cstheme="majorHAnsi"/>
        </w:rPr>
        <w:t>chrUn_NW_025813713v1</w:t>
      </w:r>
      <w:r w:rsidR="00CB4590">
        <w:rPr>
          <w:rFonts w:asciiTheme="majorHAnsi" w:hAnsiTheme="majorHAnsi" w:cstheme="majorHAnsi"/>
        </w:rPr>
        <w:t>)</w:t>
      </w:r>
      <w:r w:rsidR="0026755B">
        <w:rPr>
          <w:rFonts w:asciiTheme="majorHAnsi" w:hAnsiTheme="majorHAnsi" w:cstheme="majorHAnsi"/>
        </w:rPr>
        <w:t>. Notably the unplaced scaffold</w:t>
      </w:r>
      <w:r w:rsidR="00CB4590">
        <w:rPr>
          <w:rFonts w:asciiTheme="majorHAnsi" w:hAnsiTheme="majorHAnsi" w:cstheme="majorHAnsi"/>
        </w:rPr>
        <w:t xml:space="preserve"> also contains several genes</w:t>
      </w:r>
      <w:r w:rsidR="00963AB7">
        <w:rPr>
          <w:rFonts w:asciiTheme="majorHAnsi" w:hAnsiTheme="majorHAnsi" w:cstheme="majorHAnsi"/>
        </w:rPr>
        <w:t xml:space="preserve"> (</w:t>
      </w:r>
      <w:r w:rsidR="00963AB7">
        <w:rPr>
          <w:rFonts w:asciiTheme="majorHAnsi" w:hAnsiTheme="majorHAnsi" w:cstheme="majorHAnsi"/>
          <w:i/>
          <w:iCs/>
        </w:rPr>
        <w:t>fkbp8, ELL, DOT1L</w:t>
      </w:r>
      <w:r w:rsidR="0026755B">
        <w:rPr>
          <w:rFonts w:asciiTheme="majorHAnsi" w:hAnsiTheme="majorHAnsi" w:cstheme="majorHAnsi"/>
        </w:rPr>
        <w:t xml:space="preserve">) </w:t>
      </w:r>
      <w:r w:rsidR="00CB4590">
        <w:rPr>
          <w:rFonts w:asciiTheme="majorHAnsi" w:hAnsiTheme="majorHAnsi" w:cstheme="majorHAnsi"/>
        </w:rPr>
        <w:t>known to be in close proximity</w:t>
      </w:r>
      <w:r w:rsidR="0026755B">
        <w:rPr>
          <w:rFonts w:asciiTheme="majorHAnsi" w:hAnsiTheme="majorHAnsi" w:cstheme="majorHAnsi"/>
        </w:rPr>
        <w:t xml:space="preserve">, </w:t>
      </w:r>
      <w:r w:rsidR="00CB4590">
        <w:rPr>
          <w:rFonts w:asciiTheme="majorHAnsi" w:hAnsiTheme="majorHAnsi" w:cstheme="majorHAnsi"/>
        </w:rPr>
        <w:t>within</w:t>
      </w:r>
      <w:r w:rsidR="0026755B">
        <w:rPr>
          <w:rFonts w:asciiTheme="majorHAnsi" w:hAnsiTheme="majorHAnsi" w:cstheme="majorHAnsi"/>
        </w:rPr>
        <w:t xml:space="preserve"> or linked to</w:t>
      </w:r>
      <w:r w:rsidR="00CB4590">
        <w:rPr>
          <w:rFonts w:asciiTheme="majorHAnsi" w:hAnsiTheme="majorHAnsi" w:cstheme="majorHAnsi"/>
        </w:rPr>
        <w:t xml:space="preserve"> sex determining regions of other fish </w:t>
      </w:r>
      <w:r w:rsidR="00963AB7">
        <w:rPr>
          <w:rFonts w:asciiTheme="majorHAnsi" w:hAnsiTheme="majorHAnsi" w:cstheme="majorHAnsi"/>
        </w:rPr>
        <w:fldChar w:fldCharType="begin"/>
      </w:r>
      <w:r w:rsidR="0026755B">
        <w:rPr>
          <w:rFonts w:asciiTheme="majorHAnsi" w:hAnsiTheme="majorHAnsi" w:cstheme="majorHAnsi"/>
        </w:rPr>
        <w:instrText xml:space="preserve"> ADDIN ZOTERO_ITEM CSL_CITATION {"citationID":"JWh4E4jS","properties":{"formattedCitation":"(Eshel et al., 2012; Rodr\\uc0\\u237{}guez-Mar\\uc0\\u237{} et al., 2005; Triay et al., 2020)","plainCitation":"(Eshel et al., 2012; Rodríguez-Marí et al., 2005; Triay et al., 2020)","noteIndex":0},"citationItems":[{"id":792,"uris":["http://zotero.org/users/local/3tku6QP0/items/85YA8HKP"],"itemData":{"id":792,"type":"article-journal","abstract":"Evidence supports that sex determination (SD) in tilapia is controlled by major genetic factors that may interact with minor genetic as well as environmental factors, thus implying that SD should be analyzed as a quantitative trait. Quantitative trait loci (QTL) for SD in Oreochromis niloticus were previously detected on linkage groups (LG) 1 and 23. Twenty-one short single repeats (SSR) of .12 TGs and one single nucleotide polymorphism were identiﬁed using the unpublished tilapia genome sequence on LG23. All markers showed two segregating alleles in a mapping family that was obtained by a cross between O. niloticus male (XY) and sex-reversed female (DXY) yielding 29 females (XX) and 61 males (XY and YY). Interval mapping analysis mapped the QTL peak between SSR markers ARO172 and ARO177 with a maximum F value of 78.7 (P , 7.6 · 10214). Twelve adjacent markers found in this region were homozygous in females and either homozygous for the alternative allele or heterozygous in males. This segment was deﬁned as the sex region (SR). The SR encompasses 1.5 Mbp on a single tilapia scaffold (no. 101) harboring 51 annotated genes. Among 10 candidate genes for SD that were tested for gene expression, anti-Müllerian hormone (Amh), which is located in the center of the SR, showed the highest overexpression in male vs. female embryos at 3 to 7 days postfertilization.","container-title":"G3 Genes|Genomes|Genetics","DOI":"10.1534/g3.111.001545","ISSN":"2160-1836","issue":"1","language":"en","page":"35-42","source":"DOI.org (Crossref)","title":"Linkage and Physical Mapping of Sex Region on LG23 of Nile Tilapia ( &lt;i&gt;Oreochromis niloticus&lt;/i&gt; )","volume":"2","author":[{"family":"Eshel","given":"O"},{"family":"Shirak","given":"A"},{"family":"Weller","given":"J I"},{"family":"Hulata","given":"G"},{"family":"Ron","given":"M"}],"editor":[{"family":"De Koning","given":"D-J"}],"issued":{"date-parts":[["2012",1,1]]}}},{"id":788,"uris":["http://zotero.org/users/local/3tku6QP0/items/NV7KP3IX"],"itemData":{"id":788,"type":"article-journal","abstract":"The role of Anti-Mu¨llerian hormone (Amh) during gonad development has been studied extensively in mammals, but is less well understood in other vertebrates. In male mammalian embryos, Sox9 activates expression of Amh, which initiates the regression of the Mu¨llerian ducts and inhibits the expression of aromatase (Cyp19a1), the enzyme that converts androgens to estrogens. To better understand shared features of vertebrate gonadogenesis, we cloned amh cDNA from zebraﬁsh, characterized its genomic structure, mapped it, analyzed conserved syntenies, studied its expression pattern in embryos, larvae, juveniles, and adults, and compared it to the expression patterns of sox9a, sox9b and cyp19a1a. We found that the onset of amh expression occurred while gonads were still undifferentiated and sox9a and cyp19a1a were already expressed. In differentiated gonads of juveniles, amh showed a sexually dimorphic expression pattern. In 31 days post-fertilization juveniles, testes expressed amh and sox9a, but not cyp19a1a, while ovaries expressed cyp19a1a and sox9b, but not amh. In adult testes, amh and sox9a were expressed in presumptive Sertoli cells. In adult ovaries, amh and cyp19a1a were expressed in granulosa cells surrounding the oocytes, and sox9b was expressed in a complementary fashion in the ooplasm of oocytes. The observed expression patterns of amh, sox9a, sox9b, and cyp19a1a in zebraﬁsh correspond to the patterns expected if their regulatory interactions have been conserved with mammals. The ﬁnding that zebraﬁsh sox9b and sox8 were not co-expressed with amh in oocytes excludes the possibility that amh expression in zebraﬁsh granulosa cells is directly regulated by either of these two genes.","container-title":"Gene Expression Patterns","DOI":"10.1016/j.modgep.2005.02.008","ISSN":"1567133X","issue":"5","journalAbbreviation":"Gene Expression Patterns","language":"en","page":"655-667","source":"DOI.org (Crossref)","title":"Characterization and expression pattern of zebrafish anti-Müllerian hormone (amh) relative to sox9a, sox9b, and cyp19a1a, during gonad development","volume":"5","author":[{"family":"Rodríguez-Marí","given":"Adriana"},{"family":"Yan","given":"Yi-Lin"},{"family":"BreMiller","given":"Ruth A."},{"family":"Wilson","given":"Catherine"},{"family":"Cañestro","given":"Cristian"},{"family":"Postlethwait","given":"John H."}],"issued":{"date-parts":[["2005",6]]}}},{"id":790,"uris":["http://zotero.org/users/local/3tku6QP0/items/6JF2BVH8"],"itemData":{"id":790,"type":"article-journal","abstract":"In domesticated strains of the Nile tilapia, phenotypic sex has been linked to genetic variants on linkage groups 1, 20 and 23. This diversity of sex-loci might reﬂect a naturally polymorphic sex determination system in Nile tilapia, or it might be an artefact arising from the process of domestication. Here, we searched for sex-determiners in wild populations from Kpandu, Lake Volta (Ghana-West Africa), and from Lake Koka (Ethiopia-East Africa) that have not been subjected to any genetic manipulation. We analysed lab-reared families using double-digest Restriction Associated DNA sequencing (ddRAD) and analysed wild-caught males and females with pooled whole-genome sequencing (WGS). Strong sex-linked signals were found on LG23 in both populations, and sex-linked signals with LG3 were observed in Kpandu samples. WGS uncovered blocks of high sequence coverage, suggesting the presence of B chromosomes. We conﬁrmed the existence of a tandem amh duplication in LG23 in both populations and determined its breakpoints between the oaz1 and dot1l genes. We found two common deletions of ~5 kb in males and conﬁrmed the presence of both amhY and amh∆Y genes. Males from Lake Koka lack both the previously reported 234 bp deletion and the 5 bp frameshift-insertion that creates a premature stop codon in amh∆Y.","container-title":"Genes","DOI":"10.3390/genes11091017","ISSN":"2073-4425","issue":"9","journalAbbreviation":"Genes","language":"en","page":"1017","source":"DOI.org (Crossref)","title":"Structure and Sequence of the Sex Determining Locus in Two Wild Populations of Nile Tilapia","volume":"11","author":[{"family":"Triay","given":"Cécile"},{"family":"Conte","given":"Matthew A."},{"family":"Baroiller","given":"Jean-François"},{"family":"Bezault","given":"Etienne"},{"family":"Clark","given":"Frances E."},{"family":"Penman","given":"David J."},{"family":"Kocher","given":"Thomas D."},{"family":"D’Cotta","given":"Helena"}],"issued":{"date-parts":[["2020",8,29]]}}}],"schema":"https://github.com/citation-style-language/schema/raw/master/csl-citation.json"} </w:instrText>
      </w:r>
      <w:r w:rsidR="00963AB7">
        <w:rPr>
          <w:rFonts w:asciiTheme="majorHAnsi" w:hAnsiTheme="majorHAnsi" w:cstheme="majorHAnsi"/>
        </w:rPr>
        <w:fldChar w:fldCharType="separate"/>
      </w:r>
      <w:r w:rsidR="0026755B" w:rsidRPr="0026755B">
        <w:rPr>
          <w:rFonts w:ascii="Calibri Light" w:hAnsiTheme="majorHAnsi" w:cs="Calibri Light"/>
        </w:rPr>
        <w:t>(</w:t>
      </w:r>
      <w:proofErr w:type="spellStart"/>
      <w:r w:rsidR="0026755B" w:rsidRPr="0026755B">
        <w:rPr>
          <w:rFonts w:ascii="Calibri Light" w:hAnsiTheme="majorHAnsi" w:cs="Calibri Light"/>
        </w:rPr>
        <w:t>Eshel</w:t>
      </w:r>
      <w:proofErr w:type="spellEnd"/>
      <w:r w:rsidR="0026755B" w:rsidRPr="0026755B">
        <w:rPr>
          <w:rFonts w:ascii="Calibri Light" w:hAnsiTheme="majorHAnsi" w:cs="Calibri Light"/>
        </w:rPr>
        <w:t xml:space="preserve"> et al., 2012; Rodríguez-</w:t>
      </w:r>
      <w:proofErr w:type="spellStart"/>
      <w:r w:rsidR="0026755B" w:rsidRPr="0026755B">
        <w:rPr>
          <w:rFonts w:ascii="Calibri Light" w:hAnsiTheme="majorHAnsi" w:cs="Calibri Light"/>
        </w:rPr>
        <w:t>Marí</w:t>
      </w:r>
      <w:proofErr w:type="spellEnd"/>
      <w:r w:rsidR="0026755B" w:rsidRPr="0026755B">
        <w:rPr>
          <w:rFonts w:ascii="Calibri Light" w:hAnsiTheme="majorHAnsi" w:cs="Calibri Light"/>
        </w:rPr>
        <w:t xml:space="preserve"> et al., 2005; </w:t>
      </w:r>
      <w:proofErr w:type="spellStart"/>
      <w:r w:rsidR="0026755B" w:rsidRPr="0026755B">
        <w:rPr>
          <w:rFonts w:ascii="Calibri Light" w:hAnsiTheme="majorHAnsi" w:cs="Calibri Light"/>
        </w:rPr>
        <w:t>Triay</w:t>
      </w:r>
      <w:proofErr w:type="spellEnd"/>
      <w:r w:rsidR="0026755B" w:rsidRPr="0026755B">
        <w:rPr>
          <w:rFonts w:ascii="Calibri Light" w:hAnsiTheme="majorHAnsi" w:cs="Calibri Light"/>
        </w:rPr>
        <w:t xml:space="preserve"> et al., 2020)</w:t>
      </w:r>
      <w:r w:rsidR="00963AB7">
        <w:rPr>
          <w:rFonts w:asciiTheme="majorHAnsi" w:hAnsiTheme="majorHAnsi" w:cstheme="majorHAnsi"/>
        </w:rPr>
        <w:fldChar w:fldCharType="end"/>
      </w:r>
      <w:r w:rsidR="00B31888">
        <w:rPr>
          <w:rFonts w:asciiTheme="majorHAnsi" w:hAnsiTheme="majorHAnsi" w:cstheme="majorHAnsi"/>
        </w:rPr>
        <w:t>.</w:t>
      </w:r>
    </w:p>
    <w:p w14:paraId="1ADB02E9" w14:textId="77777777" w:rsidR="00A675F4" w:rsidRPr="00A675F4" w:rsidRDefault="00A675F4" w:rsidP="00A675F4">
      <w:pPr>
        <w:rPr>
          <w:rFonts w:asciiTheme="majorHAnsi" w:hAnsiTheme="majorHAnsi" w:cstheme="majorHAnsi"/>
          <w:b/>
          <w:bCs/>
          <w:u w:val="single"/>
        </w:rPr>
      </w:pPr>
    </w:p>
    <w:p w14:paraId="5F0B7019" w14:textId="1B59886C" w:rsidR="00A675F4" w:rsidRDefault="00A675F4" w:rsidP="00A675F4">
      <w:pPr>
        <w:rPr>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w:t>
      </w:r>
      <w:r w:rsidR="00C14551">
        <w:rPr>
          <w:rFonts w:asciiTheme="majorHAnsi" w:hAnsiTheme="majorHAnsi" w:cstheme="majorHAnsi"/>
        </w:rPr>
        <w:t>delta smelt</w:t>
      </w:r>
      <w:r w:rsidRPr="00A675F4">
        <w:rPr>
          <w:rFonts w:asciiTheme="majorHAnsi" w:hAnsiTheme="majorHAnsi" w:cstheme="majorHAnsi"/>
        </w:rPr>
        <w:t xml:space="preserve">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4551">
        <w:rPr>
          <w:rFonts w:asciiTheme="majorHAnsi" w:hAnsiTheme="majorHAnsi" w:cstheme="majorHAnsi"/>
        </w:rPr>
        <w:t xml:space="preserve">interrogates </w:t>
      </w:r>
      <w:r w:rsidR="008A78A5">
        <w:rPr>
          <w:rFonts w:asciiTheme="majorHAnsi" w:hAnsiTheme="majorHAnsi" w:cstheme="majorHAnsi"/>
        </w:rPr>
        <w:t xml:space="preserve">hundreds of </w:t>
      </w:r>
      <w:r w:rsidR="00C14551">
        <w:rPr>
          <w:rFonts w:asciiTheme="majorHAnsi" w:hAnsiTheme="majorHAnsi" w:cstheme="majorHAnsi"/>
        </w:rPr>
        <w:t>thousands of</w:t>
      </w:r>
      <w:r w:rsidR="00C103F3" w:rsidRPr="00A675F4">
        <w:rPr>
          <w:rFonts w:asciiTheme="majorHAnsi" w:hAnsiTheme="majorHAnsi" w:cstheme="majorHAnsi"/>
        </w:rPr>
        <w:t xml:space="preserve"> discrete locations throughout </w:t>
      </w:r>
      <w:r w:rsidR="00705E95">
        <w:rPr>
          <w:rFonts w:asciiTheme="majorHAnsi" w:hAnsiTheme="majorHAnsi" w:cstheme="majorHAnsi"/>
        </w:rPr>
        <w:t>individuals’</w:t>
      </w:r>
      <w:r w:rsidR="00C103F3" w:rsidRPr="00A675F4">
        <w:rPr>
          <w:rFonts w:asciiTheme="majorHAnsi" w:hAnsiTheme="majorHAnsi" w:cstheme="majorHAnsi"/>
        </w:rPr>
        <w:t xml:space="preserve"> genome</w:t>
      </w:r>
      <w:r w:rsidR="00705E95">
        <w:rPr>
          <w:rFonts w:asciiTheme="majorHAnsi" w:hAnsiTheme="majorHAnsi" w:cstheme="majorHAnsi"/>
        </w:rPr>
        <w:t>s</w:t>
      </w:r>
      <w:r w:rsidR="0077392E">
        <w:rPr>
          <w:rFonts w:asciiTheme="majorHAnsi" w:hAnsiTheme="majorHAnsi" w:cstheme="majorHAnsi"/>
        </w:rPr>
        <w:t>,</w:t>
      </w:r>
      <w:r w:rsidR="00C103F3">
        <w:rPr>
          <w:rFonts w:asciiTheme="majorHAnsi" w:hAnsiTheme="majorHAnsi" w:cstheme="majorHAnsi"/>
        </w:rPr>
        <w:t xml:space="preserve"> it unevenly samples genome</w:t>
      </w:r>
      <w:r w:rsidR="00705E95">
        <w:rPr>
          <w:rFonts w:asciiTheme="majorHAnsi" w:hAnsiTheme="majorHAnsi" w:cstheme="majorHAnsi"/>
        </w:rPr>
        <w:t>s</w:t>
      </w:r>
      <w:r w:rsidR="00C103F3">
        <w:rPr>
          <w:rFonts w:asciiTheme="majorHAnsi" w:hAnsiTheme="majorHAnsi" w:cstheme="majorHAnsi"/>
        </w:rPr>
        <w:t xml:space="preserve"> as it is dependent upon </w:t>
      </w:r>
      <w:r w:rsidR="00C14551">
        <w:rPr>
          <w:rFonts w:asciiTheme="majorHAnsi" w:hAnsiTheme="majorHAnsi" w:cstheme="majorHAnsi"/>
        </w:rPr>
        <w:t>the location of restriction enzyme</w:t>
      </w:r>
      <w:r w:rsidR="00C103F3">
        <w:rPr>
          <w:rFonts w:asciiTheme="majorHAnsi" w:hAnsiTheme="majorHAnsi" w:cstheme="majorHAnsi"/>
        </w:rPr>
        <w:t xml:space="preserve"> cut 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lastRenderedPageBreak/>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commentRangeStart w:id="22"/>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w:t>
      </w:r>
      <w:commentRangeEnd w:id="22"/>
      <w:r w:rsidR="00705E95">
        <w:rPr>
          <w:rStyle w:val="CommentReference"/>
        </w:rPr>
        <w:commentReference w:id="22"/>
      </w:r>
      <w:r w:rsidR="0077392E">
        <w:rPr>
          <w:rFonts w:asciiTheme="majorHAnsi" w:hAnsiTheme="majorHAnsi" w:cstheme="majorHAnsi"/>
        </w:rPr>
        <w:t>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including a large</w:t>
      </w:r>
      <w:r w:rsidR="00C14551">
        <w:rPr>
          <w:rFonts w:asciiTheme="majorHAnsi" w:hAnsiTheme="majorHAnsi" w:cstheme="majorHAnsi"/>
        </w:rPr>
        <w:t>r</w:t>
      </w:r>
      <w:r w:rsidRPr="00A675F4">
        <w:rPr>
          <w:rFonts w:asciiTheme="majorHAnsi" w:hAnsiTheme="majorHAnsi" w:cstheme="majorHAnsi"/>
        </w:rPr>
        <w:t xml:space="preserve"> number of individuals (e.g., 500) in this analysis would provide more statistical power to detect loci with a modest effect on sex, as would be expected with polygenic sex determination.</w:t>
      </w:r>
    </w:p>
    <w:p w14:paraId="0713D7D7" w14:textId="77777777" w:rsidR="00B31888" w:rsidRPr="00C103F3" w:rsidRDefault="00B31888" w:rsidP="00A675F4">
      <w:pPr>
        <w:rPr>
          <w:rFonts w:asciiTheme="majorHAnsi" w:hAnsiTheme="majorHAnsi" w:cstheme="majorHAnsi"/>
        </w:rPr>
      </w:pPr>
    </w:p>
    <w:p w14:paraId="12B03AD7" w14:textId="77777777" w:rsidR="006E2350" w:rsidRDefault="006E2350" w:rsidP="006E2350"/>
    <w:p w14:paraId="27F1F7CF" w14:textId="528A9016" w:rsidR="0025047B" w:rsidRPr="0025047B" w:rsidRDefault="00683A81" w:rsidP="0025047B">
      <w:r>
        <w:br w:type="page"/>
      </w:r>
      <w:bookmarkStart w:id="23"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23"/>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44722411" w14:textId="54D34CCF" w:rsidR="00836F11" w:rsidRDefault="00836F11" w:rsidP="00836F11">
            <w:pPr>
              <w:rPr>
                <w:rFonts w:ascii="Calibri" w:hAnsi="Calibri" w:cs="Calibri"/>
                <w:color w:val="000000"/>
              </w:rPr>
            </w:pPr>
            <w:r w:rsidRPr="00B54DB9">
              <w:rPr>
                <w:rFonts w:ascii="Calibri" w:hAnsi="Calibri" w:cs="Calibri"/>
                <w:b/>
                <w:bCs/>
                <w:color w:val="000000"/>
              </w:rPr>
              <w:lastRenderedPageBreak/>
              <w:t>Table 3.2</w:t>
            </w:r>
            <w:r w:rsidR="00BE6A10">
              <w:rPr>
                <w:rFonts w:ascii="Calibri" w:hAnsi="Calibri" w:cs="Calibri"/>
                <w:b/>
                <w:bCs/>
                <w:color w:val="000000"/>
              </w:rPr>
              <w:t>.</w:t>
            </w:r>
            <w:r w:rsidRPr="00B54DB9">
              <w:rPr>
                <w:rFonts w:ascii="Calibri" w:hAnsi="Calibri" w:cs="Calibri"/>
                <w:b/>
                <w:bCs/>
                <w:color w:val="000000"/>
              </w:rPr>
              <w:t xml:space="preserve">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significantly associated with sex in delta smelt</w:t>
            </w:r>
            <w:r w:rsidR="000E3588">
              <w:rPr>
                <w:rFonts w:ascii="Calibri" w:hAnsi="Calibri" w:cs="Calibri"/>
                <w:color w:val="000000"/>
              </w:rPr>
              <w:t xml:space="preserve"> </w:t>
            </w:r>
            <w:r w:rsidR="00BE6A10">
              <w:rPr>
                <w:rFonts w:ascii="Calibri" w:hAnsi="Calibri" w:cs="Calibri"/>
                <w:color w:val="000000"/>
              </w:rPr>
              <w:t>(red= homozygous for major allele; purple=heterozygous; blue=homozygous for minor allele).</w:t>
            </w:r>
            <w:r w:rsidRPr="00836F11">
              <w:rPr>
                <w:rFonts w:ascii="Calibri" w:hAnsi="Calibri" w:cs="Calibri"/>
                <w:color w:val="000000"/>
              </w:rPr>
              <w:t> </w:t>
            </w:r>
          </w:p>
          <w:p w14:paraId="1C535A34" w14:textId="2EDADCF0" w:rsidR="00705E95" w:rsidRPr="00836F11" w:rsidRDefault="00705E95" w:rsidP="00836F11">
            <w:pPr>
              <w:rPr>
                <w:rFonts w:ascii="Calibri" w:hAnsi="Calibri" w:cs="Calibri"/>
                <w:color w:val="000000"/>
              </w:rPr>
            </w:pP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A6CE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8F3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45BC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EC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DBD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9C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8E24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7C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F335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83E3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724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B98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818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838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010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2934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C98505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A4F4C7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35F2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7458A6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1DB25E0"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65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F38B5B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DA112A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FB3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CE3761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5D36865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A76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ACF344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A15E50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CF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A2799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12093E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201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05C5B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241CAE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A7CE81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44E14E5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1286529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14:paraId="7A5712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797CA0C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3D31A89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single" w:sz="8" w:space="0" w:color="auto"/>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C44043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single" w:sz="8" w:space="0" w:color="auto"/>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D8FF76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98A3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55D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FA3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8B28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CAC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247C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FD82875"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28B7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DCFC2B"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C2D05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C3F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83941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784A41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A4B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8004C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7E75A90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060C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D5E9D2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C06EC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C078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CDA8A6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6FC9D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BA2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FA77C8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761EA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A9E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DC731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BA3E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199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5AE2F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C101A7"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4F1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33CE5F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5014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AC2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DCFA0A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152849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8DAB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7DB759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3C383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1FFA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619A59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0F2C90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04C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B05204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EB449C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324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9424BD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F65A80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00E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C4759A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846932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F3B3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4F9C1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E24533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60B8EBC1" w14:textId="77777777" w:rsidR="00C8155C" w:rsidRDefault="00836F11">
      <w:pPr>
        <w:rPr>
          <w:rFonts w:asciiTheme="majorHAnsi" w:hAnsiTheme="majorHAnsi" w:cstheme="majorHAnsi"/>
        </w:rPr>
      </w:pPr>
      <w:r>
        <w:rPr>
          <w:rFonts w:asciiTheme="majorHAnsi" w:hAnsiTheme="majorHAnsi" w:cstheme="majorHAnsi"/>
        </w:rPr>
        <w:br w:type="page"/>
      </w:r>
    </w:p>
    <w:tbl>
      <w:tblPr>
        <w:tblW w:w="7840" w:type="dxa"/>
        <w:tblCellMar>
          <w:left w:w="0" w:type="dxa"/>
          <w:right w:w="0" w:type="dxa"/>
        </w:tblCellMar>
        <w:tblLook w:val="04A0" w:firstRow="1" w:lastRow="0" w:firstColumn="1" w:lastColumn="0" w:noHBand="0" w:noVBand="1"/>
      </w:tblPr>
      <w:tblGrid>
        <w:gridCol w:w="175"/>
        <w:gridCol w:w="2700"/>
        <w:gridCol w:w="1903"/>
        <w:gridCol w:w="1444"/>
        <w:gridCol w:w="1444"/>
        <w:gridCol w:w="174"/>
      </w:tblGrid>
      <w:tr w:rsidR="004F724D" w14:paraId="785764B8" w14:textId="77777777" w:rsidTr="00C8155C">
        <w:trPr>
          <w:trHeight w:val="280"/>
        </w:trPr>
        <w:tc>
          <w:tcPr>
            <w:tcW w:w="7840" w:type="dxa"/>
            <w:gridSpan w:val="6"/>
            <w:tcBorders>
              <w:top w:val="single" w:sz="4" w:space="0" w:color="auto"/>
              <w:left w:val="single" w:sz="4" w:space="0" w:color="auto"/>
              <w:bottom w:val="nil"/>
              <w:right w:val="single" w:sz="4" w:space="0" w:color="000000"/>
            </w:tcBorders>
            <w:shd w:val="clear" w:color="auto" w:fill="auto"/>
            <w:noWrap/>
            <w:tcMar>
              <w:top w:w="15" w:type="dxa"/>
              <w:left w:w="15" w:type="dxa"/>
              <w:bottom w:w="0" w:type="dxa"/>
              <w:right w:w="15" w:type="dxa"/>
            </w:tcMar>
            <w:vAlign w:val="bottom"/>
            <w:hideMark/>
          </w:tcPr>
          <w:p w14:paraId="31392ED8" w14:textId="277B9AFA" w:rsidR="00C8155C" w:rsidRDefault="00C8155C" w:rsidP="00247DB2">
            <w:pPr>
              <w:rPr>
                <w:rFonts w:ascii="Calibri" w:hAnsi="Calibri" w:cs="Calibri"/>
                <w:color w:val="000000"/>
                <w:sz w:val="20"/>
                <w:szCs w:val="20"/>
              </w:rPr>
            </w:pPr>
            <w:r w:rsidRPr="00247DB2">
              <w:rPr>
                <w:rFonts w:ascii="Calibri" w:hAnsi="Calibri" w:cs="Calibri"/>
                <w:b/>
                <w:bCs/>
                <w:color w:val="000000"/>
                <w:sz w:val="20"/>
                <w:szCs w:val="20"/>
              </w:rPr>
              <w:lastRenderedPageBreak/>
              <w:t>Table 3.3</w:t>
            </w:r>
            <w:r w:rsidR="008444B4">
              <w:rPr>
                <w:rFonts w:ascii="Calibri" w:hAnsi="Calibri" w:cs="Calibri"/>
                <w:color w:val="000000"/>
                <w:sz w:val="20"/>
                <w:szCs w:val="20"/>
              </w:rPr>
              <w:t xml:space="preserve">. </w:t>
            </w:r>
            <w:r>
              <w:rPr>
                <w:rFonts w:ascii="Calibri" w:hAnsi="Calibri" w:cs="Calibri"/>
                <w:color w:val="000000"/>
                <w:sz w:val="20"/>
                <w:szCs w:val="20"/>
              </w:rPr>
              <w:t> </w:t>
            </w:r>
            <w:r w:rsidR="008444B4">
              <w:rPr>
                <w:rFonts w:ascii="Calibri" w:hAnsi="Calibri" w:cs="Calibri"/>
                <w:color w:val="000000"/>
                <w:sz w:val="20"/>
                <w:szCs w:val="20"/>
              </w:rPr>
              <w:t>Frequency of genotypes in female and male sequencing data from GWAS using the male reference assembly.</w:t>
            </w:r>
          </w:p>
        </w:tc>
      </w:tr>
      <w:tr w:rsidR="004F724D" w14:paraId="1B599FE9"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E554E05"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099EEF36"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Locus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314B927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Genotype</w:t>
            </w:r>
          </w:p>
        </w:tc>
        <w:tc>
          <w:tcPr>
            <w:tcW w:w="0" w:type="auto"/>
            <w:gridSpan w:val="2"/>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B3F4470" w14:textId="3A5093F2" w:rsidR="00C8155C" w:rsidRDefault="008444B4">
            <w:pPr>
              <w:jc w:val="center"/>
              <w:rPr>
                <w:rFonts w:ascii="Calibri" w:hAnsi="Calibri" w:cs="Calibri"/>
                <w:color w:val="000000"/>
                <w:sz w:val="20"/>
                <w:szCs w:val="20"/>
              </w:rPr>
            </w:pPr>
            <w:r>
              <w:rPr>
                <w:rFonts w:ascii="Calibri" w:hAnsi="Calibri" w:cs="Calibri"/>
                <w:color w:val="000000"/>
                <w:sz w:val="20"/>
                <w:szCs w:val="20"/>
              </w:rPr>
              <w:t>Frequency</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3148A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7669CED6"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749A219"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EDC6EBA" w14:textId="77777777" w:rsidR="00C8155C" w:rsidRDefault="00C8155C">
            <w:pPr>
              <w:rPr>
                <w:rFonts w:ascii="Calibri" w:hAnsi="Calibri" w:cs="Calibri"/>
                <w:color w:val="000000"/>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990A0A6" w14:textId="77777777" w:rsidR="00C8155C" w:rsidRDefault="00C8155C">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DA4C"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Female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64ED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Male</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4DBF8B5"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53E4A8A4"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4CBF8A5"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00E9B12"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Chr5:1885249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5FE62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GG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DD74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62.50%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08F94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29.17%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5069B1"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36C19071"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0A8EC55"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tcBorders>
              <w:top w:val="nil"/>
              <w:left w:val="single" w:sz="4" w:space="0" w:color="auto"/>
              <w:bottom w:val="single" w:sz="4" w:space="0" w:color="000000"/>
              <w:right w:val="single" w:sz="4" w:space="0" w:color="auto"/>
            </w:tcBorders>
            <w:vAlign w:val="center"/>
            <w:hideMark/>
          </w:tcPr>
          <w:p w14:paraId="4B7F5AF6" w14:textId="77777777" w:rsidR="00C8155C" w:rsidRDefault="00C8155C">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1604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GA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D751"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20.83%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C0F94"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16.67%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AE4960"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29535373"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E4688DE"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tcBorders>
              <w:top w:val="nil"/>
              <w:left w:val="single" w:sz="4" w:space="0" w:color="auto"/>
              <w:bottom w:val="single" w:sz="4" w:space="0" w:color="000000"/>
              <w:right w:val="single" w:sz="4" w:space="0" w:color="auto"/>
            </w:tcBorders>
            <w:vAlign w:val="center"/>
            <w:hideMark/>
          </w:tcPr>
          <w:p w14:paraId="72FDAF9F" w14:textId="77777777" w:rsidR="00C8155C" w:rsidRDefault="00C8155C">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75416"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18412"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16.67%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4633A"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54.16%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BFAD37"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6D996183"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8EF8690"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80A2C2F"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Chr5:1885251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DFA2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GG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82F718"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62.50%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E4BC1"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33.33%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BD04A6"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787F04F2"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FD7ED0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tcBorders>
              <w:top w:val="nil"/>
              <w:left w:val="single" w:sz="4" w:space="0" w:color="auto"/>
              <w:bottom w:val="single" w:sz="4" w:space="0" w:color="000000"/>
              <w:right w:val="single" w:sz="4" w:space="0" w:color="auto"/>
            </w:tcBorders>
            <w:vAlign w:val="center"/>
            <w:hideMark/>
          </w:tcPr>
          <w:p w14:paraId="69AD735E" w14:textId="77777777" w:rsidR="00C8155C" w:rsidRDefault="00C8155C">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FDC14"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AB991"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20.83%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DC266"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12.50%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278AE9"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5C44A751" w14:textId="77777777" w:rsidTr="00C8155C">
        <w:trPr>
          <w:trHeight w:val="280"/>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49B87E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vMerge/>
            <w:tcBorders>
              <w:top w:val="nil"/>
              <w:left w:val="single" w:sz="4" w:space="0" w:color="auto"/>
              <w:bottom w:val="single" w:sz="4" w:space="0" w:color="000000"/>
              <w:right w:val="single" w:sz="4" w:space="0" w:color="auto"/>
            </w:tcBorders>
            <w:vAlign w:val="center"/>
            <w:hideMark/>
          </w:tcPr>
          <w:p w14:paraId="2DBA037C" w14:textId="77777777" w:rsidR="00C8155C" w:rsidRDefault="00C8155C">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47FF7"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TT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E115B"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16.67%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95BE" w14:textId="77777777" w:rsidR="00C8155C" w:rsidRDefault="00C8155C">
            <w:pPr>
              <w:jc w:val="center"/>
              <w:rPr>
                <w:rFonts w:ascii="Calibri Light" w:hAnsi="Calibri Light" w:cs="Calibri Light"/>
                <w:color w:val="000000"/>
                <w:sz w:val="20"/>
                <w:szCs w:val="20"/>
              </w:rPr>
            </w:pPr>
            <w:r>
              <w:rPr>
                <w:rFonts w:ascii="Calibri Light" w:hAnsi="Calibri Light" w:cs="Calibri Light"/>
                <w:color w:val="000000"/>
                <w:sz w:val="20"/>
                <w:szCs w:val="20"/>
              </w:rPr>
              <w:t>54.17%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097103"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r w:rsidR="004F724D" w14:paraId="4296CA0A" w14:textId="77777777" w:rsidTr="00C8155C">
        <w:trPr>
          <w:trHeight w:val="280"/>
        </w:trPr>
        <w:tc>
          <w:tcPr>
            <w:tcW w:w="0" w:type="auto"/>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6139F68C"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B43F4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8ECB8F9"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C81000D"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EBB32A"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50DD4" w14:textId="77777777" w:rsidR="00C8155C" w:rsidRDefault="00C8155C">
            <w:pPr>
              <w:jc w:val="center"/>
              <w:rPr>
                <w:rFonts w:ascii="Calibri" w:hAnsi="Calibri" w:cs="Calibri"/>
                <w:color w:val="000000"/>
                <w:sz w:val="20"/>
                <w:szCs w:val="20"/>
              </w:rPr>
            </w:pPr>
            <w:r>
              <w:rPr>
                <w:rFonts w:ascii="Calibri" w:hAnsi="Calibri" w:cs="Calibri"/>
                <w:color w:val="000000"/>
                <w:sz w:val="20"/>
                <w:szCs w:val="20"/>
              </w:rPr>
              <w:t> </w:t>
            </w:r>
          </w:p>
        </w:tc>
      </w:tr>
    </w:tbl>
    <w:p w14:paraId="52442137" w14:textId="163A85AD" w:rsidR="00C8155C" w:rsidRDefault="00C8155C">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br w:type="page"/>
      </w:r>
    </w:p>
    <w:p w14:paraId="58050829" w14:textId="77777777" w:rsidR="00836F11" w:rsidRDefault="00836F11">
      <w:pPr>
        <w:rPr>
          <w:rFonts w:asciiTheme="majorHAnsi" w:hAnsiTheme="majorHAnsi" w:cstheme="majorHAnsi"/>
        </w:rPr>
      </w:pP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24681555"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w:t>
      </w:r>
      <w:r w:rsidR="00BE6A10">
        <w:rPr>
          <w:rFonts w:asciiTheme="majorHAnsi" w:hAnsiTheme="majorHAnsi" w:cstheme="majorHAnsi"/>
        </w:rPr>
        <w:t xml:space="preserve">final </w:t>
      </w:r>
      <w:r w:rsidR="00B2511B">
        <w:rPr>
          <w:rFonts w:asciiTheme="majorHAnsi" w:hAnsiTheme="majorHAnsi" w:cstheme="majorHAnsi"/>
        </w:rPr>
        <w:t xml:space="preserve">male </w:t>
      </w:r>
      <w:r w:rsidR="00C14551">
        <w:rPr>
          <w:rFonts w:asciiTheme="majorHAnsi" w:hAnsiTheme="majorHAnsi" w:cstheme="majorHAnsi"/>
        </w:rPr>
        <w:t xml:space="preserve">delta smelt </w:t>
      </w:r>
      <w:r w:rsidR="00BE6A10">
        <w:rPr>
          <w:rFonts w:asciiTheme="majorHAnsi" w:hAnsiTheme="majorHAnsi" w:cstheme="majorHAnsi"/>
        </w:rPr>
        <w:t>reference genome (Joslin in prep.)</w:t>
      </w:r>
      <w:r w:rsidRPr="00A951B3">
        <w:rPr>
          <w:rFonts w:asciiTheme="majorHAnsi" w:hAnsiTheme="majorHAnsi" w:cstheme="majorHAnsi"/>
        </w:rPr>
        <w:t xml:space="preserve">. Location on the x axis and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10</m:t>
                </m:r>
                <m:ctrlPr>
                  <w:rPr>
                    <w:rFonts w:ascii="Cambria Math" w:hAnsi="Cambria Math" w:cstheme="majorHAnsi"/>
                  </w:rPr>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k-mer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where f = female k-mer abundance and A</w:t>
      </w:r>
      <w:proofErr w:type="spellStart"/>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5312159D">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k-mer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0E7AB157"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sidR="0037796F">
        <w:rPr>
          <w:rFonts w:asciiTheme="majorHAnsi" w:hAnsiTheme="majorHAnsi" w:cstheme="majorHAnsi"/>
        </w:rPr>
        <w:t>for</w:t>
      </w:r>
      <w:r>
        <w:rPr>
          <w:rFonts w:asciiTheme="majorHAnsi" w:hAnsiTheme="majorHAnsi" w:cstheme="majorHAnsi"/>
        </w:rPr>
        <w:t xml:space="preserve">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3B5406FA"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w:t>
      </w:r>
      <w:r w:rsidR="004F724D">
        <w:rPr>
          <w:rFonts w:asciiTheme="majorHAnsi" w:hAnsiTheme="majorHAnsi" w:cstheme="majorHAnsi"/>
        </w:rPr>
        <w:t>five</w:t>
      </w:r>
      <w:r w:rsidRPr="00A951B3">
        <w:rPr>
          <w:rFonts w:asciiTheme="majorHAnsi" w:hAnsiTheme="majorHAnsi" w:cstheme="majorHAnsi"/>
        </w:rPr>
        <w:t xml:space="preserve">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w:t>
      </w:r>
      <w:r w:rsidR="004F724D">
        <w:rPr>
          <w:rFonts w:asciiTheme="majorHAnsi" w:hAnsiTheme="majorHAnsi" w:cstheme="majorHAnsi"/>
        </w:rPr>
        <w:t>s</w:t>
      </w:r>
      <w:r w:rsidR="00E17F08">
        <w:rPr>
          <w:rFonts w:asciiTheme="majorHAnsi" w:hAnsiTheme="majorHAnsi" w:cstheme="majorHAnsi"/>
        </w:rPr>
        <w:t xml:space="preserve"> show</w:t>
      </w:r>
      <w:r w:rsidR="004F724D">
        <w:rPr>
          <w:rFonts w:asciiTheme="majorHAnsi" w:hAnsiTheme="majorHAnsi" w:cstheme="majorHAnsi"/>
        </w:rPr>
        <w:t xml:space="preserve"> the</w:t>
      </w:r>
      <w:r w:rsidR="00E17F08">
        <w:rPr>
          <w:rFonts w:asciiTheme="majorHAnsi" w:hAnsiTheme="majorHAnsi" w:cstheme="majorHAnsi"/>
        </w:rPr>
        <w:t xml:space="preserve"> slope of </w:t>
      </w:r>
      <w:r w:rsidR="004F724D">
        <w:rPr>
          <w:rFonts w:asciiTheme="majorHAnsi" w:hAnsiTheme="majorHAnsi" w:cstheme="majorHAnsi"/>
        </w:rPr>
        <w:t xml:space="preserve">a </w:t>
      </w:r>
      <w:r w:rsidR="00E17F08">
        <w:rPr>
          <w:rFonts w:asciiTheme="majorHAnsi" w:hAnsiTheme="majorHAnsi" w:cstheme="majorHAnsi"/>
        </w:rPr>
        <w:t xml:space="preserve">one-to-one </w:t>
      </w:r>
      <w:r w:rsidR="004F724D">
        <w:rPr>
          <w:rFonts w:asciiTheme="majorHAnsi" w:hAnsiTheme="majorHAnsi" w:cstheme="majorHAnsi"/>
        </w:rPr>
        <w:t xml:space="preserve">ratio </w:t>
      </w:r>
      <w:r w:rsidR="00E17F08">
        <w:rPr>
          <w:rFonts w:asciiTheme="majorHAnsi" w:hAnsiTheme="majorHAnsi" w:cstheme="majorHAnsi"/>
        </w:rPr>
        <w:t>between female and male</w:t>
      </w:r>
      <w:r w:rsidR="004F724D">
        <w:rPr>
          <w:rFonts w:asciiTheme="majorHAnsi" w:hAnsiTheme="majorHAnsi" w:cstheme="majorHAnsi"/>
        </w:rPr>
        <w:t xml:space="preserve"> abundance</w:t>
      </w:r>
      <w:r w:rsidR="00E17F08">
        <w:rPr>
          <w:rFonts w:asciiTheme="majorHAnsi" w:hAnsiTheme="majorHAnsi" w:cstheme="majorHAnsi"/>
        </w:rPr>
        <w:t>s.</w:t>
      </w:r>
      <w:r w:rsidRPr="00A951B3">
        <w:rPr>
          <w:rFonts w:asciiTheme="majorHAnsi" w:hAnsiTheme="majorHAnsi" w:cstheme="majorHAnsi"/>
        </w:rPr>
        <w:t xml:space="preserve"> </w:t>
      </w:r>
      <w:r w:rsidR="004F724D">
        <w:rPr>
          <w:rFonts w:asciiTheme="majorHAnsi" w:hAnsiTheme="majorHAnsi" w:cstheme="majorHAnsi"/>
        </w:rPr>
        <w:t>The r</w:t>
      </w:r>
      <w:r w:rsidR="00E17F08">
        <w:rPr>
          <w:rFonts w:asciiTheme="majorHAnsi" w:hAnsiTheme="majorHAnsi" w:cstheme="majorHAnsi"/>
        </w:rPr>
        <w:t>ight plot show</w:t>
      </w:r>
      <w:r w:rsidR="004F724D">
        <w:rPr>
          <w:rFonts w:asciiTheme="majorHAnsi" w:hAnsiTheme="majorHAnsi" w:cstheme="majorHAnsi"/>
        </w:rPr>
        <w:t>s</w:t>
      </w:r>
      <w:r w:rsidR="00E17F08">
        <w:rPr>
          <w:rFonts w:asciiTheme="majorHAnsi" w:hAnsiTheme="majorHAnsi" w:cstheme="majorHAnsi"/>
        </w:rPr>
        <w:t xml:space="preserve"> all </w:t>
      </w:r>
      <w:r w:rsidR="004F724D">
        <w:rPr>
          <w:rFonts w:asciiTheme="majorHAnsi" w:hAnsiTheme="majorHAnsi" w:cstheme="majorHAnsi"/>
        </w:rPr>
        <w:t xml:space="preserve">analyzed </w:t>
      </w:r>
      <w:r w:rsidR="00E17F08">
        <w:rPr>
          <w:rFonts w:asciiTheme="majorHAnsi" w:hAnsiTheme="majorHAnsi" w:cstheme="majorHAnsi"/>
        </w:rPr>
        <w:t xml:space="preserve">contigs, while the left plot is zoomed in to better visualize </w:t>
      </w:r>
      <w:r w:rsidR="004F724D">
        <w:rPr>
          <w:rFonts w:asciiTheme="majorHAnsi" w:hAnsiTheme="majorHAnsi" w:cstheme="majorHAnsi"/>
        </w:rPr>
        <w:t xml:space="preserve">the </w:t>
      </w:r>
      <w:r w:rsidR="00E17F08">
        <w:rPr>
          <w:rFonts w:asciiTheme="majorHAnsi" w:hAnsiTheme="majorHAnsi" w:cstheme="majorHAnsi"/>
        </w:rPr>
        <w:t>44 contigs with k-mer</w:t>
      </w:r>
      <w:r w:rsidR="0037796F">
        <w:rPr>
          <w:rFonts w:asciiTheme="majorHAnsi" w:hAnsiTheme="majorHAnsi" w:cstheme="majorHAnsi"/>
        </w:rPr>
        <w:t>s present</w:t>
      </w:r>
      <w:r w:rsidR="00E17F08">
        <w:rPr>
          <w:rFonts w:asciiTheme="majorHAnsi" w:hAnsiTheme="majorHAnsi" w:cstheme="majorHAnsi"/>
        </w:rPr>
        <w:t xml:space="preserve"> in male sequencing data but </w:t>
      </w:r>
      <w:r w:rsidR="0037796F">
        <w:rPr>
          <w:rFonts w:asciiTheme="majorHAnsi" w:hAnsiTheme="majorHAnsi" w:cstheme="majorHAnsi"/>
        </w:rPr>
        <w:t xml:space="preserve">absent </w:t>
      </w:r>
      <w:r w:rsidR="00E17F08">
        <w:rPr>
          <w:rFonts w:asciiTheme="majorHAnsi" w:hAnsiTheme="majorHAnsi" w:cstheme="majorHAnsi"/>
        </w:rPr>
        <w:t xml:space="preserve">in female sequencing data. </w:t>
      </w:r>
      <w:r w:rsidR="004F724D">
        <w:rPr>
          <w:rFonts w:asciiTheme="majorHAnsi" w:hAnsiTheme="majorHAnsi" w:cstheme="majorHAnsi"/>
        </w:rPr>
        <w:t>Contigs present in males with zero abundance in females</w:t>
      </w:r>
      <w:r w:rsidR="003E19F2" w:rsidRPr="00A951B3">
        <w:rPr>
          <w:rFonts w:asciiTheme="majorHAnsi" w:hAnsiTheme="majorHAnsi" w:cstheme="majorHAnsi"/>
        </w:rPr>
        <w:t xml:space="preserve"> indicate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21A35091" w14:textId="77777777" w:rsidR="004F724D" w:rsidRPr="004F724D" w:rsidRDefault="00E17F08" w:rsidP="004F724D">
      <w:pPr>
        <w:pStyle w:val="Bibliography"/>
      </w:pPr>
      <w:r>
        <w:rPr>
          <w:rFonts w:asciiTheme="majorHAnsi" w:hAnsiTheme="majorHAnsi" w:cstheme="majorHAnsi"/>
        </w:rPr>
        <w:fldChar w:fldCharType="begin"/>
      </w:r>
      <w:r w:rsidR="003A745E">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4F724D" w:rsidRPr="004F724D">
        <w:t xml:space="preserve">Ali, O. A., O’Rourke, S. M., Amish, S. J., Meek, M. H., Luikart, G., Jeffres, C., &amp; Miller, M. R. (2016). Rad capture (Rapture): Flexible and efficient sequence-based genotyping. </w:t>
      </w:r>
      <w:r w:rsidR="004F724D" w:rsidRPr="004F724D">
        <w:rPr>
          <w:i/>
          <w:iCs/>
        </w:rPr>
        <w:t>Genetics</w:t>
      </w:r>
      <w:r w:rsidR="004F724D" w:rsidRPr="004F724D">
        <w:t xml:space="preserve">, </w:t>
      </w:r>
      <w:r w:rsidR="004F724D" w:rsidRPr="004F724D">
        <w:rPr>
          <w:i/>
          <w:iCs/>
        </w:rPr>
        <w:t>202</w:t>
      </w:r>
      <w:r w:rsidR="004F724D" w:rsidRPr="004F724D">
        <w:t>(2), 389–400. https://doi.org/10.1534/genetics.115.183665</w:t>
      </w:r>
    </w:p>
    <w:p w14:paraId="11569861" w14:textId="77777777" w:rsidR="004F724D" w:rsidRPr="004F724D" w:rsidRDefault="004F724D" w:rsidP="004F724D">
      <w:pPr>
        <w:pStyle w:val="Bibliography"/>
      </w:pPr>
      <w:r w:rsidRPr="004F724D">
        <w:t xml:space="preserve">Bachtrog, D., Perrin, N., Ming, R., Valenzuela, N., Mayrose, I., Peichel, C. L., Hahn, M. W., Ashman, T.-L., Vamosi, J. C., Ross, L., Kirkpatrick, M., Kitano, J., Otto, S. P., &amp; Mank, J. E. (2014). Sex Determination: Why So Many Ways of Doing It? </w:t>
      </w:r>
      <w:r w:rsidRPr="004F724D">
        <w:rPr>
          <w:i/>
          <w:iCs/>
        </w:rPr>
        <w:t>PLoS Biology</w:t>
      </w:r>
      <w:r w:rsidRPr="004F724D">
        <w:t xml:space="preserve">, </w:t>
      </w:r>
      <w:r w:rsidRPr="004F724D">
        <w:rPr>
          <w:i/>
          <w:iCs/>
        </w:rPr>
        <w:t>12</w:t>
      </w:r>
      <w:r w:rsidRPr="004F724D">
        <w:t>(7), e1001899–e1001899. https://doi.org/10.1371/journal.pbio.1001899</w:t>
      </w:r>
    </w:p>
    <w:p w14:paraId="42208293" w14:textId="77777777" w:rsidR="004F724D" w:rsidRPr="004F724D" w:rsidRDefault="004F724D" w:rsidP="004F724D">
      <w:pPr>
        <w:pStyle w:val="Bibliography"/>
      </w:pPr>
      <w:r w:rsidRPr="004F724D">
        <w:t xml:space="preserve">Baroiller, J.-F., &amp; D’Cotta, H. (2016). The Reversible Sex of Gonochoristic Fish: Insights and Consequences. </w:t>
      </w:r>
      <w:r w:rsidRPr="004F724D">
        <w:rPr>
          <w:i/>
          <w:iCs/>
        </w:rPr>
        <w:t>Sexual Development</w:t>
      </w:r>
      <w:r w:rsidRPr="004F724D">
        <w:t xml:space="preserve">, </w:t>
      </w:r>
      <w:r w:rsidRPr="004F724D">
        <w:rPr>
          <w:i/>
          <w:iCs/>
        </w:rPr>
        <w:t>10</w:t>
      </w:r>
      <w:r w:rsidRPr="004F724D">
        <w:t>, 242–266.</w:t>
      </w:r>
    </w:p>
    <w:p w14:paraId="743E2A39" w14:textId="77777777" w:rsidR="004F724D" w:rsidRPr="004F724D" w:rsidRDefault="004F724D" w:rsidP="004F724D">
      <w:pPr>
        <w:pStyle w:val="Bibliography"/>
      </w:pPr>
      <w:r w:rsidRPr="004F724D">
        <w:t xml:space="preserve">Baroiller, J.-F., Guiguen, Y., &amp; Fostier, A. (1999). Endocrine and environmental aspects of sex differentiation in fish. </w:t>
      </w:r>
      <w:r w:rsidRPr="004F724D">
        <w:rPr>
          <w:i/>
          <w:iCs/>
        </w:rPr>
        <w:t>Cellular and Molecular Life Sciences</w:t>
      </w:r>
      <w:r w:rsidRPr="004F724D">
        <w:t xml:space="preserve">, </w:t>
      </w:r>
      <w:r w:rsidRPr="004F724D">
        <w:rPr>
          <w:i/>
          <w:iCs/>
        </w:rPr>
        <w:t>55</w:t>
      </w:r>
      <w:r w:rsidRPr="004F724D">
        <w:t>, 910–931. https://doi.org/10.1007/978-3-0348-7781-7_9</w:t>
      </w:r>
    </w:p>
    <w:p w14:paraId="0FE6D155" w14:textId="77777777" w:rsidR="004F724D" w:rsidRPr="004F724D" w:rsidRDefault="004F724D" w:rsidP="004F724D">
      <w:pPr>
        <w:pStyle w:val="Bibliography"/>
      </w:pPr>
      <w:r w:rsidRPr="004F724D">
        <w:t xml:space="preserve">Bhattacharya, I., &amp; Modi, D. (2021). Sex Determination in Teleost Fish. In J. K. Sundaray, M. A. Rather, S. Kumar, &amp; D. Agarwal (Eds.), </w:t>
      </w:r>
      <w:r w:rsidRPr="004F724D">
        <w:rPr>
          <w:i/>
          <w:iCs/>
        </w:rPr>
        <w:t>Recent updates in molecular Endocrinology and Reproductive Physiology of Fish</w:t>
      </w:r>
      <w:r w:rsidRPr="004F724D">
        <w:t xml:space="preserve"> (pp. 121–138). Springer Singapore. https://doi.org/10.1007/978-981-15-8369-8_9</w:t>
      </w:r>
    </w:p>
    <w:p w14:paraId="24F970D7" w14:textId="77777777" w:rsidR="004F724D" w:rsidRPr="004F724D" w:rsidRDefault="004F724D" w:rsidP="004F724D">
      <w:pPr>
        <w:pStyle w:val="Bibliography"/>
      </w:pPr>
      <w:r w:rsidRPr="004F724D">
        <w:t xml:space="preserve">Brown, C. T., &amp; Irber, L. (2016). sourmash: A library for MinHash sketching of DNA. </w:t>
      </w:r>
      <w:r w:rsidRPr="004F724D">
        <w:rPr>
          <w:i/>
          <w:iCs/>
        </w:rPr>
        <w:t>The Journal of Open Source Software</w:t>
      </w:r>
      <w:r w:rsidRPr="004F724D">
        <w:t xml:space="preserve">, </w:t>
      </w:r>
      <w:r w:rsidRPr="004F724D">
        <w:rPr>
          <w:i/>
          <w:iCs/>
        </w:rPr>
        <w:t>1</w:t>
      </w:r>
      <w:r w:rsidRPr="004F724D">
        <w:t>(5), 27. https://doi.org/10.21105/joss.00027</w:t>
      </w:r>
    </w:p>
    <w:p w14:paraId="106A9C1C" w14:textId="77777777" w:rsidR="004F724D" w:rsidRPr="004F724D" w:rsidRDefault="004F724D" w:rsidP="004F724D">
      <w:pPr>
        <w:pStyle w:val="Bibliography"/>
      </w:pPr>
      <w:r w:rsidRPr="004F724D">
        <w:t xml:space="preserve">Carroll, R. L. (1997). </w:t>
      </w:r>
      <w:r w:rsidRPr="004F724D">
        <w:rPr>
          <w:i/>
          <w:iCs/>
        </w:rPr>
        <w:t>Vertebrate Paleontology and Evolution</w:t>
      </w:r>
      <w:r w:rsidRPr="004F724D">
        <w:t xml:space="preserve"> (7th ed.). W.H. Freeman and Company.</w:t>
      </w:r>
    </w:p>
    <w:p w14:paraId="64F393E5" w14:textId="77777777" w:rsidR="004F724D" w:rsidRPr="004F724D" w:rsidRDefault="004F724D" w:rsidP="004F724D">
      <w:pPr>
        <w:pStyle w:val="Bibliography"/>
      </w:pPr>
      <w:r w:rsidRPr="004F724D">
        <w:lastRenderedPageBreak/>
        <w:t xml:space="preserve">Conover, D. O., &amp; Kynard, B. E. (2013). </w:t>
      </w:r>
      <w:r w:rsidRPr="004F724D">
        <w:rPr>
          <w:i/>
          <w:iCs/>
        </w:rPr>
        <w:t>Environmental Sex Determination: Interaction of Temperature and Genotype in a Fish Environmental Sex Determinaffon: Interaction of Temperature and Genotype in a Fish</w:t>
      </w:r>
      <w:r w:rsidRPr="004F724D">
        <w:t xml:space="preserve">. </w:t>
      </w:r>
      <w:r w:rsidRPr="004F724D">
        <w:rPr>
          <w:i/>
          <w:iCs/>
        </w:rPr>
        <w:t>213</w:t>
      </w:r>
      <w:r w:rsidRPr="004F724D">
        <w:t>(4507), 577–579.</w:t>
      </w:r>
    </w:p>
    <w:p w14:paraId="6F7D9B18" w14:textId="77777777" w:rsidR="004F724D" w:rsidRPr="004F724D" w:rsidRDefault="004F724D" w:rsidP="004F724D">
      <w:pPr>
        <w:pStyle w:val="Bibliography"/>
      </w:pPr>
      <w:r w:rsidRPr="004F724D">
        <w:t xml:space="preserve">Devlin, R. H., &amp; Nagahama, Y. (2002). Sex determination and sex differentiation in fish: An overview of genetic, physiological, and environmental influences. </w:t>
      </w:r>
      <w:r w:rsidRPr="004F724D">
        <w:rPr>
          <w:i/>
          <w:iCs/>
        </w:rPr>
        <w:t>Aquaculture</w:t>
      </w:r>
      <w:r w:rsidRPr="004F724D">
        <w:t xml:space="preserve">, </w:t>
      </w:r>
      <w:r w:rsidRPr="004F724D">
        <w:rPr>
          <w:i/>
          <w:iCs/>
        </w:rPr>
        <w:t>208</w:t>
      </w:r>
      <w:r w:rsidRPr="004F724D">
        <w:t>(3–4), 191–364. https://doi.org/10.1016/S0044-8486(02)00057-1</w:t>
      </w:r>
    </w:p>
    <w:p w14:paraId="40B3DEEE" w14:textId="77777777" w:rsidR="004F724D" w:rsidRPr="004F724D" w:rsidRDefault="004F724D" w:rsidP="004F724D">
      <w:pPr>
        <w:pStyle w:val="Bibliography"/>
      </w:pPr>
      <w:r w:rsidRPr="004F724D">
        <w:t xml:space="preserve">Eshel, O., Shirak, A., Weller, J. I., Hulata, G., &amp; Ron, M. (2012). Linkage and Physical Mapping of Sex Region on LG23 of Nile Tilapia ( </w:t>
      </w:r>
      <w:r w:rsidRPr="004F724D">
        <w:rPr>
          <w:i/>
          <w:iCs/>
        </w:rPr>
        <w:t>Oreochromis niloticus</w:t>
      </w:r>
      <w:r w:rsidRPr="004F724D">
        <w:t xml:space="preserve"> ). </w:t>
      </w:r>
      <w:r w:rsidRPr="004F724D">
        <w:rPr>
          <w:i/>
          <w:iCs/>
        </w:rPr>
        <w:t>G3 Genes|Genomes|Genetics</w:t>
      </w:r>
      <w:r w:rsidRPr="004F724D">
        <w:t xml:space="preserve">, </w:t>
      </w:r>
      <w:r w:rsidRPr="004F724D">
        <w:rPr>
          <w:i/>
          <w:iCs/>
        </w:rPr>
        <w:t>2</w:t>
      </w:r>
      <w:r w:rsidRPr="004F724D">
        <w:t>(1), 35–42. https://doi.org/10.1534/g3.111.001545</w:t>
      </w:r>
    </w:p>
    <w:p w14:paraId="4F7C2A00" w14:textId="77777777" w:rsidR="004F724D" w:rsidRPr="004F724D" w:rsidRDefault="004F724D" w:rsidP="004F724D">
      <w:pPr>
        <w:pStyle w:val="Bibliography"/>
      </w:pPr>
      <w:r w:rsidRPr="004F724D">
        <w:t xml:space="preserve">Frankham, R. (2005). Genetics and extinction. </w:t>
      </w:r>
      <w:r w:rsidRPr="004F724D">
        <w:rPr>
          <w:i/>
          <w:iCs/>
        </w:rPr>
        <w:t>Biological Conservation</w:t>
      </w:r>
      <w:r w:rsidRPr="004F724D">
        <w:t xml:space="preserve">, </w:t>
      </w:r>
      <w:r w:rsidRPr="004F724D">
        <w:rPr>
          <w:i/>
          <w:iCs/>
        </w:rPr>
        <w:t>126</w:t>
      </w:r>
      <w:r w:rsidRPr="004F724D">
        <w:t>(2), 131–140. https://doi.org/10.1016/j.biocon.2005.05.002</w:t>
      </w:r>
    </w:p>
    <w:p w14:paraId="69641E29" w14:textId="77777777" w:rsidR="004F724D" w:rsidRPr="004F724D" w:rsidRDefault="004F724D" w:rsidP="004F724D">
      <w:pPr>
        <w:pStyle w:val="Bibliography"/>
      </w:pPr>
      <w:r w:rsidRPr="004F724D">
        <w:t xml:space="preserve">Geffroy, B., &amp; Wedekind, C. (2020). Effects of global warming on sex ratios in fishes. </w:t>
      </w:r>
      <w:r w:rsidRPr="004F724D">
        <w:rPr>
          <w:i/>
          <w:iCs/>
        </w:rPr>
        <w:t>Journal of Fish Biology</w:t>
      </w:r>
      <w:r w:rsidRPr="004F724D">
        <w:t xml:space="preserve">, </w:t>
      </w:r>
      <w:r w:rsidRPr="004F724D">
        <w:rPr>
          <w:i/>
          <w:iCs/>
        </w:rPr>
        <w:t>97</w:t>
      </w:r>
      <w:r w:rsidRPr="004F724D">
        <w:t>(3), 596–606. https://doi.org/10.1111/jfb.14429</w:t>
      </w:r>
    </w:p>
    <w:p w14:paraId="40E5F4C5" w14:textId="77777777" w:rsidR="004F724D" w:rsidRPr="004F724D" w:rsidRDefault="004F724D" w:rsidP="004F724D">
      <w:pPr>
        <w:pStyle w:val="Bibliography"/>
      </w:pPr>
      <w:r w:rsidRPr="004F724D">
        <w:t xml:space="preserve">Gilpin, M. E., &amp; Soule, M. E. (1986). Viable Populations for Conservation. In </w:t>
      </w:r>
      <w:r w:rsidRPr="004F724D">
        <w:rPr>
          <w:i/>
          <w:iCs/>
        </w:rPr>
        <w:t>Minimum viable populations: Processes of species extinction</w:t>
      </w:r>
      <w:r w:rsidRPr="004F724D">
        <w:t>. Cambridge University Press.</w:t>
      </w:r>
    </w:p>
    <w:p w14:paraId="50EBF64B" w14:textId="77777777" w:rsidR="004F724D" w:rsidRPr="004F724D" w:rsidRDefault="004F724D" w:rsidP="004F724D">
      <w:pPr>
        <w:pStyle w:val="Bibliography"/>
      </w:pPr>
      <w:r w:rsidRPr="004F724D">
        <w:t xml:space="preserve">Grayson, P., Wright, A., Garroway, C. J., &amp; Docker, M. F. (2022). </w:t>
      </w:r>
      <w:r w:rsidRPr="004F724D">
        <w:rPr>
          <w:i/>
          <w:iCs/>
        </w:rPr>
        <w:t>SexFindR: A computational workflow to identify young and old sex chromosomes</w:t>
      </w:r>
      <w:r w:rsidRPr="004F724D">
        <w:t>. https://doi.org/10.1101/2022.02.21.481346</w:t>
      </w:r>
    </w:p>
    <w:p w14:paraId="07547517" w14:textId="77777777" w:rsidR="004F724D" w:rsidRPr="004F724D" w:rsidRDefault="004F724D" w:rsidP="004F724D">
      <w:pPr>
        <w:pStyle w:val="Bibliography"/>
      </w:pPr>
      <w:r w:rsidRPr="004F724D">
        <w:t xml:space="preserve">Guiguen, Y., Fostier, A., &amp; Herpin, A. (2018). Sex Determination and Differentiation in Fish: Genetic, Genomic, and Endocrine Aspects. In H. Wang, F. Piferrer, S. Chen, &amp; Z. Shen (Eds.), </w:t>
      </w:r>
      <w:r w:rsidRPr="004F724D">
        <w:rPr>
          <w:i/>
          <w:iCs/>
        </w:rPr>
        <w:t>Sex Control in Aquaculture</w:t>
      </w:r>
      <w:r w:rsidRPr="004F724D">
        <w:t xml:space="preserve"> (1st ed., pp. 35–63). Wiley. https://doi.org/10.1002/9781119127291.ch2</w:t>
      </w:r>
    </w:p>
    <w:p w14:paraId="4E1C9EAA" w14:textId="77777777" w:rsidR="004F724D" w:rsidRPr="004F724D" w:rsidRDefault="004F724D" w:rsidP="004F724D">
      <w:pPr>
        <w:pStyle w:val="Bibliography"/>
      </w:pPr>
      <w:r w:rsidRPr="004F724D">
        <w:lastRenderedPageBreak/>
        <w:t xml:space="preserve">Hedrick, P. W., &amp; Garcia-Dorado, A. (2016). Understanding Inbreeding Depression, Purging, and Genetic Rescue. </w:t>
      </w:r>
      <w:r w:rsidRPr="004F724D">
        <w:rPr>
          <w:i/>
          <w:iCs/>
        </w:rPr>
        <w:t>Trends in Ecology &amp; Evolution</w:t>
      </w:r>
      <w:r w:rsidRPr="004F724D">
        <w:t xml:space="preserve">, </w:t>
      </w:r>
      <w:r w:rsidRPr="004F724D">
        <w:rPr>
          <w:i/>
          <w:iCs/>
        </w:rPr>
        <w:t>31</w:t>
      </w:r>
      <w:r w:rsidRPr="004F724D">
        <w:t>(12), 940–952. https://doi.org/10.1016/j.tree.2016.09.005</w:t>
      </w:r>
    </w:p>
    <w:p w14:paraId="3AFFB926" w14:textId="77777777" w:rsidR="004F724D" w:rsidRPr="004F724D" w:rsidRDefault="004F724D" w:rsidP="004F724D">
      <w:pPr>
        <w:pStyle w:val="Bibliography"/>
      </w:pPr>
      <w:r w:rsidRPr="004F724D">
        <w:t xml:space="preserve">Hutchings, J. A., &amp; Gerber, L. (2002). Sex–biased dispersal in a salmonid fish. </w:t>
      </w:r>
      <w:r w:rsidRPr="004F724D">
        <w:rPr>
          <w:i/>
          <w:iCs/>
        </w:rPr>
        <w:t>Proceedings of the Royal Society B: Biological Sciences</w:t>
      </w:r>
      <w:r w:rsidRPr="004F724D">
        <w:t xml:space="preserve">, </w:t>
      </w:r>
      <w:r w:rsidRPr="004F724D">
        <w:rPr>
          <w:i/>
          <w:iCs/>
        </w:rPr>
        <w:t>269</w:t>
      </w:r>
      <w:r w:rsidRPr="004F724D">
        <w:t>, 2487–2493. https://doi.org/10.1098/rspb.2002.2176</w:t>
      </w:r>
    </w:p>
    <w:p w14:paraId="7F6EB507" w14:textId="77777777" w:rsidR="004F724D" w:rsidRPr="004F724D" w:rsidRDefault="004F724D" w:rsidP="004F724D">
      <w:pPr>
        <w:pStyle w:val="Bibliography"/>
      </w:pPr>
      <w:r w:rsidRPr="004F724D">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4F724D">
        <w:rPr>
          <w:i/>
          <w:iCs/>
        </w:rPr>
        <w:t>PLoS Genetics</w:t>
      </w:r>
      <w:r w:rsidRPr="004F724D">
        <w:t xml:space="preserve">, </w:t>
      </w:r>
      <w:r w:rsidRPr="004F724D">
        <w:rPr>
          <w:i/>
          <w:iCs/>
        </w:rPr>
        <w:t>8</w:t>
      </w:r>
      <w:r w:rsidRPr="004F724D">
        <w:t>(7), e1002798. https://doi.org/10.1371/journal.pgen.1002798</w:t>
      </w:r>
    </w:p>
    <w:p w14:paraId="5523BFA8" w14:textId="77777777" w:rsidR="004F724D" w:rsidRPr="004F724D" w:rsidRDefault="004F724D" w:rsidP="004F724D">
      <w:pPr>
        <w:pStyle w:val="Bibliography"/>
      </w:pPr>
      <w:r w:rsidRPr="004F724D">
        <w:t xml:space="preserve">Kardos, M., Taylor, H. R., Ellegren, H., Luikart, G., &amp; Allendorf, F. W. (2016). Genomics advances the study of inbreeding depression in the wild. </w:t>
      </w:r>
      <w:r w:rsidRPr="004F724D">
        <w:rPr>
          <w:i/>
          <w:iCs/>
        </w:rPr>
        <w:t>Evolutionary Applications</w:t>
      </w:r>
      <w:r w:rsidRPr="004F724D">
        <w:t xml:space="preserve">, </w:t>
      </w:r>
      <w:r w:rsidRPr="004F724D">
        <w:rPr>
          <w:i/>
          <w:iCs/>
        </w:rPr>
        <w:t>9</w:t>
      </w:r>
      <w:r w:rsidRPr="004F724D">
        <w:t>(10), 1205–1218. https://doi.org/10.1111/eva.12414</w:t>
      </w:r>
    </w:p>
    <w:p w14:paraId="577C8272" w14:textId="77777777" w:rsidR="004F724D" w:rsidRPr="004F724D" w:rsidRDefault="004F724D" w:rsidP="004F724D">
      <w:pPr>
        <w:pStyle w:val="Bibliography"/>
      </w:pPr>
      <w:r w:rsidRPr="004F724D">
        <w:t xml:space="preserve">Kikuchi, K., &amp; Hamaguchi, S. (2013). Novel sex-determining genes in fish and sex chromosome evolution. </w:t>
      </w:r>
      <w:r w:rsidRPr="004F724D">
        <w:rPr>
          <w:i/>
          <w:iCs/>
        </w:rPr>
        <w:t>Developmental Dynamics</w:t>
      </w:r>
      <w:r w:rsidRPr="004F724D">
        <w:t xml:space="preserve">, </w:t>
      </w:r>
      <w:r w:rsidRPr="004F724D">
        <w:rPr>
          <w:i/>
          <w:iCs/>
        </w:rPr>
        <w:t>242</w:t>
      </w:r>
      <w:r w:rsidRPr="004F724D">
        <w:t>(4), 339–353. https://doi.org/10.1002/dvdy.23927</w:t>
      </w:r>
    </w:p>
    <w:p w14:paraId="5EA53743" w14:textId="77777777" w:rsidR="004F724D" w:rsidRPr="004F724D" w:rsidRDefault="004F724D" w:rsidP="004F724D">
      <w:pPr>
        <w:pStyle w:val="Bibliography"/>
      </w:pPr>
      <w:r w:rsidRPr="004F724D">
        <w:t xml:space="preserve">Kobayashi, Y., Nagahama, Y., &amp; Nakamura, M. (2013). Diversity and Plasticity of Sex Determination and Differentiation in Fishes. </w:t>
      </w:r>
      <w:r w:rsidRPr="004F724D">
        <w:rPr>
          <w:i/>
          <w:iCs/>
        </w:rPr>
        <w:t>Sexual Development</w:t>
      </w:r>
      <w:r w:rsidRPr="004F724D">
        <w:t xml:space="preserve">, </w:t>
      </w:r>
      <w:r w:rsidRPr="004F724D">
        <w:rPr>
          <w:i/>
          <w:iCs/>
        </w:rPr>
        <w:t>7</w:t>
      </w:r>
      <w:r w:rsidRPr="004F724D">
        <w:t>(1–3), 115–125. https://doi.org/10.1159/000342009</w:t>
      </w:r>
    </w:p>
    <w:p w14:paraId="0345FC1B" w14:textId="77777777" w:rsidR="004F724D" w:rsidRPr="004F724D" w:rsidRDefault="004F724D" w:rsidP="004F724D">
      <w:pPr>
        <w:pStyle w:val="Bibliography"/>
      </w:pPr>
      <w:r w:rsidRPr="004F724D">
        <w:t xml:space="preserve">Korneliussen, T. S., Albrechtsen, A., &amp; Nielsen, R. (2014). ANGSD: Analysis of Next Generation Sequencing Data. </w:t>
      </w:r>
      <w:r w:rsidRPr="004F724D">
        <w:rPr>
          <w:i/>
          <w:iCs/>
        </w:rPr>
        <w:t>BMC Bioinformatics</w:t>
      </w:r>
      <w:r w:rsidRPr="004F724D">
        <w:t xml:space="preserve">, </w:t>
      </w:r>
      <w:r w:rsidRPr="004F724D">
        <w:rPr>
          <w:i/>
          <w:iCs/>
        </w:rPr>
        <w:t>15</w:t>
      </w:r>
      <w:r w:rsidRPr="004F724D">
        <w:t>(1), 1–13. https://doi.org/10.1186/s12859-014-0356-4</w:t>
      </w:r>
    </w:p>
    <w:p w14:paraId="2EE54777" w14:textId="77777777" w:rsidR="004F724D" w:rsidRPr="004F724D" w:rsidRDefault="004F724D" w:rsidP="004F724D">
      <w:pPr>
        <w:pStyle w:val="Bibliography"/>
      </w:pPr>
      <w:r w:rsidRPr="004F724D">
        <w:lastRenderedPageBreak/>
        <w:t xml:space="preserve">Korpelainen, H. (1990). SEX RATIOS AND CONDITIONS REQUIRED FOR ENVIRONMENTAL SEX DETERMINATION IN ANIMALS. </w:t>
      </w:r>
      <w:r w:rsidRPr="004F724D">
        <w:rPr>
          <w:i/>
          <w:iCs/>
        </w:rPr>
        <w:t>Biological Reviews</w:t>
      </w:r>
      <w:r w:rsidRPr="004F724D">
        <w:t xml:space="preserve">, </w:t>
      </w:r>
      <w:r w:rsidRPr="004F724D">
        <w:rPr>
          <w:i/>
          <w:iCs/>
        </w:rPr>
        <w:t>65</w:t>
      </w:r>
      <w:r w:rsidRPr="004F724D">
        <w:t>(2), 147–184. https://doi.org/10.1111/j.1469-185X.1990.tb01187.x</w:t>
      </w:r>
    </w:p>
    <w:p w14:paraId="2CF367CA" w14:textId="77777777" w:rsidR="004F724D" w:rsidRPr="004F724D" w:rsidRDefault="004F724D" w:rsidP="004F724D">
      <w:pPr>
        <w:pStyle w:val="Bibliography"/>
      </w:pPr>
      <w:r w:rsidRPr="004F724D">
        <w:t xml:space="preserve">Lande, R. (1993). Risks of Population Extinction from Demographic and Environmental Stochasticity and Random Catastrophes. </w:t>
      </w:r>
      <w:r w:rsidRPr="004F724D">
        <w:rPr>
          <w:i/>
          <w:iCs/>
        </w:rPr>
        <w:t>The American Naturalist</w:t>
      </w:r>
      <w:r w:rsidRPr="004F724D">
        <w:t xml:space="preserve">, </w:t>
      </w:r>
      <w:r w:rsidRPr="004F724D">
        <w:rPr>
          <w:i/>
          <w:iCs/>
        </w:rPr>
        <w:t>142</w:t>
      </w:r>
      <w:r w:rsidRPr="004F724D">
        <w:t>(6), 911–927. https://doi.org/10.1086/285580</w:t>
      </w:r>
    </w:p>
    <w:p w14:paraId="10E18CC6" w14:textId="77777777" w:rsidR="004F724D" w:rsidRPr="004F724D" w:rsidRDefault="004F724D" w:rsidP="004F724D">
      <w:pPr>
        <w:pStyle w:val="Bibliography"/>
      </w:pPr>
      <w:r w:rsidRPr="004F724D">
        <w:t xml:space="preserve">Langmead, B., &amp; Salzberg, S. L. (2012). Fast gapped-read alignment with Bowtie 2. </w:t>
      </w:r>
      <w:r w:rsidRPr="004F724D">
        <w:rPr>
          <w:i/>
          <w:iCs/>
        </w:rPr>
        <w:t>Nature Methods</w:t>
      </w:r>
      <w:r w:rsidRPr="004F724D">
        <w:t xml:space="preserve">, </w:t>
      </w:r>
      <w:r w:rsidRPr="004F724D">
        <w:rPr>
          <w:i/>
          <w:iCs/>
        </w:rPr>
        <w:t>9</w:t>
      </w:r>
      <w:r w:rsidRPr="004F724D">
        <w:t>(4), 357–359. https://doi.org/10.1038/nmeth.1923</w:t>
      </w:r>
    </w:p>
    <w:p w14:paraId="37E239FC" w14:textId="77777777" w:rsidR="004F724D" w:rsidRPr="004F724D" w:rsidRDefault="004F724D" w:rsidP="004F724D">
      <w:pPr>
        <w:pStyle w:val="Bibliography"/>
      </w:pPr>
      <w:r w:rsidRPr="004F724D">
        <w:t xml:space="preserve">Li, H., &amp; Durbin, R. (2009). Fast and accurate short read alignment with Burrows-Wheeler transform. </w:t>
      </w:r>
      <w:r w:rsidRPr="004F724D">
        <w:rPr>
          <w:i/>
          <w:iCs/>
        </w:rPr>
        <w:t>Bioinformatics</w:t>
      </w:r>
      <w:r w:rsidRPr="004F724D">
        <w:t xml:space="preserve">, </w:t>
      </w:r>
      <w:r w:rsidRPr="004F724D">
        <w:rPr>
          <w:i/>
          <w:iCs/>
        </w:rPr>
        <w:t>25</w:t>
      </w:r>
      <w:r w:rsidRPr="004F724D">
        <w:t>(14), 1754–1760. https://doi.org/10.1093/bioinformatics/btp324</w:t>
      </w:r>
    </w:p>
    <w:p w14:paraId="7CD738E8" w14:textId="77777777" w:rsidR="004F724D" w:rsidRPr="004F724D" w:rsidRDefault="004F724D" w:rsidP="004F724D">
      <w:pPr>
        <w:pStyle w:val="Bibliography"/>
      </w:pPr>
      <w:r w:rsidRPr="004F724D">
        <w:t xml:space="preserve">Li, H., Handsaker, B., Wysoker, A., Fennell, T., Ruan, J., Homer, N., Marth, G., Abecasis, G., &amp; Durbin, R. (2009). The Sequence Alignment/Map format and SAMtools. </w:t>
      </w:r>
      <w:r w:rsidRPr="004F724D">
        <w:rPr>
          <w:i/>
          <w:iCs/>
        </w:rPr>
        <w:t>Bioinformatics</w:t>
      </w:r>
      <w:r w:rsidRPr="004F724D">
        <w:t xml:space="preserve">, </w:t>
      </w:r>
      <w:r w:rsidRPr="004F724D">
        <w:rPr>
          <w:i/>
          <w:iCs/>
        </w:rPr>
        <w:t>25</w:t>
      </w:r>
      <w:r w:rsidRPr="004F724D">
        <w:t>(16), 2078–2079. https://doi.org/10.1093/bioinformatics/btp352</w:t>
      </w:r>
    </w:p>
    <w:p w14:paraId="67AF1D9B" w14:textId="77777777" w:rsidR="004F724D" w:rsidRPr="004F724D" w:rsidRDefault="004F724D" w:rsidP="004F724D">
      <w:pPr>
        <w:pStyle w:val="Bibliography"/>
      </w:pPr>
      <w:r w:rsidRPr="004F724D">
        <w:t xml:space="preserve">Lindberg, J. C., Tigan, G., Ellison, L., Rettinghouse, T., Nagel, M. M., &amp; Fisch, K. M. (2013). Aquaculture methods for a genetically managed population of endangered delta smelt. </w:t>
      </w:r>
      <w:r w:rsidRPr="004F724D">
        <w:rPr>
          <w:i/>
          <w:iCs/>
        </w:rPr>
        <w:t>North American Journal of Aquaculture</w:t>
      </w:r>
      <w:r w:rsidRPr="004F724D">
        <w:t xml:space="preserve">, </w:t>
      </w:r>
      <w:r w:rsidRPr="004F724D">
        <w:rPr>
          <w:i/>
          <w:iCs/>
        </w:rPr>
        <w:t>75</w:t>
      </w:r>
      <w:r w:rsidRPr="004F724D">
        <w:t>(2), 186–196. https://doi.org/10.1080/15222055.2012.751942</w:t>
      </w:r>
    </w:p>
    <w:p w14:paraId="440FB0EE" w14:textId="77777777" w:rsidR="004F724D" w:rsidRPr="004F724D" w:rsidRDefault="004F724D" w:rsidP="004F724D">
      <w:pPr>
        <w:pStyle w:val="Bibliography"/>
      </w:pPr>
      <w:r w:rsidRPr="004F724D">
        <w:t xml:space="preserve">Long, J. A. (2011). </w:t>
      </w:r>
      <w:r w:rsidRPr="004F724D">
        <w:rPr>
          <w:i/>
          <w:iCs/>
        </w:rPr>
        <w:t>The Rise of Fishes: 500 Million Years of Evolution</w:t>
      </w:r>
      <w:r w:rsidRPr="004F724D">
        <w:t xml:space="preserve"> (2nd ed.). Johns Hopkins University Press.</w:t>
      </w:r>
    </w:p>
    <w:p w14:paraId="29036A56" w14:textId="77777777" w:rsidR="004F724D" w:rsidRPr="004F724D" w:rsidRDefault="004F724D" w:rsidP="004F724D">
      <w:pPr>
        <w:pStyle w:val="Bibliography"/>
      </w:pPr>
      <w:r w:rsidRPr="004F724D">
        <w:t xml:space="preserve">Mank, J. E., &amp; Avise, J. C. (2009). Evolutionary diversity and turn-over of sex determination in teleost fishes. </w:t>
      </w:r>
      <w:r w:rsidRPr="004F724D">
        <w:rPr>
          <w:i/>
          <w:iCs/>
        </w:rPr>
        <w:t>Sexual Development</w:t>
      </w:r>
      <w:r w:rsidRPr="004F724D">
        <w:t xml:space="preserve">, </w:t>
      </w:r>
      <w:r w:rsidRPr="004F724D">
        <w:rPr>
          <w:i/>
          <w:iCs/>
        </w:rPr>
        <w:t>3</w:t>
      </w:r>
      <w:r w:rsidRPr="004F724D">
        <w:t>(2–3), 60–67. https://doi.org/10.1159/000223071</w:t>
      </w:r>
    </w:p>
    <w:p w14:paraId="031330D9" w14:textId="77777777" w:rsidR="004F724D" w:rsidRPr="004F724D" w:rsidRDefault="004F724D" w:rsidP="004F724D">
      <w:pPr>
        <w:pStyle w:val="Bibliography"/>
      </w:pPr>
      <w:r w:rsidRPr="004F724D">
        <w:lastRenderedPageBreak/>
        <w:t xml:space="preserve">Marchi, N., Schlichta, F., &amp; Excoffier, L. (2021). Demographic inference. </w:t>
      </w:r>
      <w:r w:rsidRPr="004F724D">
        <w:rPr>
          <w:i/>
          <w:iCs/>
        </w:rPr>
        <w:t>Current Biology</w:t>
      </w:r>
      <w:r w:rsidRPr="004F724D">
        <w:t xml:space="preserve">, </w:t>
      </w:r>
      <w:r w:rsidRPr="004F724D">
        <w:rPr>
          <w:i/>
          <w:iCs/>
        </w:rPr>
        <w:t>31</w:t>
      </w:r>
      <w:r w:rsidRPr="004F724D">
        <w:t>(6), R276–R279. https://doi.org/10.1016/j.cub.2021.01.053</w:t>
      </w:r>
    </w:p>
    <w:p w14:paraId="1245B2E0" w14:textId="77777777" w:rsidR="004F724D" w:rsidRPr="004F724D" w:rsidRDefault="004F724D" w:rsidP="004F724D">
      <w:pPr>
        <w:pStyle w:val="Bibliography"/>
      </w:pPr>
      <w:r w:rsidRPr="004F724D">
        <w:t xml:space="preserve">Martínez, P., Viñas, A. M., Sánchez, L., Díaz, N., Ribas, L., &amp; Piferrer, F. (2014). Genetic architecture of sex determination in fish: Applications to sex ratio control in aquaculture. </w:t>
      </w:r>
      <w:r w:rsidRPr="004F724D">
        <w:rPr>
          <w:i/>
          <w:iCs/>
        </w:rPr>
        <w:t>Frontiers in Genetics</w:t>
      </w:r>
      <w:r w:rsidRPr="004F724D">
        <w:t xml:space="preserve">, </w:t>
      </w:r>
      <w:r w:rsidRPr="004F724D">
        <w:rPr>
          <w:i/>
          <w:iCs/>
        </w:rPr>
        <w:t>5</w:t>
      </w:r>
      <w:r w:rsidRPr="004F724D">
        <w:t>(SEP), 1–13. https://doi.org/10.3389/fgene.2014.00340</w:t>
      </w:r>
    </w:p>
    <w:p w14:paraId="16EBFE24" w14:textId="77777777" w:rsidR="004F724D" w:rsidRPr="004F724D" w:rsidRDefault="004F724D" w:rsidP="004F724D">
      <w:pPr>
        <w:pStyle w:val="Bibliography"/>
      </w:pPr>
      <w:r w:rsidRPr="004F724D">
        <w:t xml:space="preserve">Mei, J., &amp; Gui, J. F. (2015). Genetic basis and biotechnological manipulation of sexual dimorphism and sex determination in fish. </w:t>
      </w:r>
      <w:r w:rsidRPr="004F724D">
        <w:rPr>
          <w:i/>
          <w:iCs/>
        </w:rPr>
        <w:t>Science China Life Sciences</w:t>
      </w:r>
      <w:r w:rsidRPr="004F724D">
        <w:t xml:space="preserve">, </w:t>
      </w:r>
      <w:r w:rsidRPr="004F724D">
        <w:rPr>
          <w:i/>
          <w:iCs/>
        </w:rPr>
        <w:t>58</w:t>
      </w:r>
      <w:r w:rsidRPr="004F724D">
        <w:t>(2), 124–136. https://doi.org/10.1007/s11427-014-4797-9</w:t>
      </w:r>
    </w:p>
    <w:p w14:paraId="76816F7C" w14:textId="77777777" w:rsidR="004F724D" w:rsidRPr="004F724D" w:rsidRDefault="004F724D" w:rsidP="004F724D">
      <w:pPr>
        <w:pStyle w:val="Bibliography"/>
      </w:pPr>
      <w:r w:rsidRPr="004F724D">
        <w:t xml:space="preserve">Nagahama, Y. (2005). Molecular mechanisms of sex determination and gonadal sex differentiation in fish. </w:t>
      </w:r>
      <w:r w:rsidRPr="004F724D">
        <w:rPr>
          <w:i/>
          <w:iCs/>
        </w:rPr>
        <w:t>Fish Physiology and Biochemistry</w:t>
      </w:r>
      <w:r w:rsidRPr="004F724D">
        <w:t xml:space="preserve">, </w:t>
      </w:r>
      <w:r w:rsidRPr="004F724D">
        <w:rPr>
          <w:i/>
          <w:iCs/>
        </w:rPr>
        <w:t>31</w:t>
      </w:r>
      <w:r w:rsidRPr="004F724D">
        <w:t>, 105–109. https://doi.org/10.1007/s10695-006-7590-2</w:t>
      </w:r>
    </w:p>
    <w:p w14:paraId="5E9EE207" w14:textId="77777777" w:rsidR="004F724D" w:rsidRPr="004F724D" w:rsidRDefault="004F724D" w:rsidP="004F724D">
      <w:pPr>
        <w:pStyle w:val="Bibliography"/>
      </w:pPr>
      <w:r w:rsidRPr="004F724D">
        <w:t xml:space="preserve">Nakamoto, M., Uchino, T., Koshimizu, E., Kuchiishi, Y., Sekiguchi, R., Wang, L., Sudo, R., Endo, M., Guiguen, Y., Schartl, M., Postlethwait, J. H., &amp; Sakamoto, T. (2021). A Y-linked anti-Müllerian hormone type-II receptor is the sex-determining gene in ayu, Plecoglossus altivelis. </w:t>
      </w:r>
      <w:r w:rsidRPr="004F724D">
        <w:rPr>
          <w:i/>
          <w:iCs/>
        </w:rPr>
        <w:t>PLOS Genetics</w:t>
      </w:r>
      <w:r w:rsidRPr="004F724D">
        <w:t xml:space="preserve">, </w:t>
      </w:r>
      <w:r w:rsidRPr="004F724D">
        <w:rPr>
          <w:i/>
          <w:iCs/>
        </w:rPr>
        <w:t>17</w:t>
      </w:r>
      <w:r w:rsidRPr="004F724D">
        <w:t>(8), e1009705. https://doi.org/10.1371/journal.pgen.1009705</w:t>
      </w:r>
    </w:p>
    <w:p w14:paraId="10521BA9" w14:textId="77777777" w:rsidR="004F724D" w:rsidRPr="004F724D" w:rsidRDefault="004F724D" w:rsidP="004F724D">
      <w:pPr>
        <w:pStyle w:val="Bibliography"/>
      </w:pPr>
      <w:r w:rsidRPr="004F724D">
        <w:t xml:space="preserve">Nakamura, M., Kobayashi, T., &amp; Chang, X. (1998). Gonadal sex differentiation in teleost fish. </w:t>
      </w:r>
      <w:r w:rsidRPr="004F724D">
        <w:rPr>
          <w:i/>
          <w:iCs/>
        </w:rPr>
        <w:t>Journal of Experimental Zoology</w:t>
      </w:r>
      <w:r w:rsidRPr="004F724D">
        <w:t xml:space="preserve">, </w:t>
      </w:r>
      <w:r w:rsidRPr="004F724D">
        <w:rPr>
          <w:i/>
          <w:iCs/>
        </w:rPr>
        <w:t>281</w:t>
      </w:r>
      <w:r w:rsidRPr="004F724D">
        <w:t>, 362–372.</w:t>
      </w:r>
    </w:p>
    <w:p w14:paraId="38FBD233" w14:textId="77777777" w:rsidR="004F724D" w:rsidRPr="004F724D" w:rsidRDefault="004F724D" w:rsidP="004F724D">
      <w:pPr>
        <w:pStyle w:val="Bibliography"/>
      </w:pPr>
      <w:r w:rsidRPr="004F724D">
        <w:t xml:space="preserve">Narum, S. R., Di Genova, A., Micheletti, S. J., &amp; Maass, A. (2018). Genomic variation underlying complex life-history traits revealed by genome sequencing in Chinook salmon. </w:t>
      </w:r>
      <w:r w:rsidRPr="004F724D">
        <w:rPr>
          <w:i/>
          <w:iCs/>
        </w:rPr>
        <w:t>Proceedings of the Royal Society B: Biological Sciences</w:t>
      </w:r>
      <w:r w:rsidRPr="004F724D">
        <w:t xml:space="preserve">, </w:t>
      </w:r>
      <w:r w:rsidRPr="004F724D">
        <w:rPr>
          <w:i/>
          <w:iCs/>
        </w:rPr>
        <w:t>285</w:t>
      </w:r>
      <w:r w:rsidRPr="004F724D">
        <w:t>(1883), 20180935. https://doi.org/10.1098/rspb.2018.0935</w:t>
      </w:r>
    </w:p>
    <w:p w14:paraId="2FBBC406" w14:textId="77777777" w:rsidR="004F724D" w:rsidRPr="004F724D" w:rsidRDefault="004F724D" w:rsidP="004F724D">
      <w:pPr>
        <w:pStyle w:val="Bibliography"/>
      </w:pPr>
      <w:r w:rsidRPr="004F724D">
        <w:lastRenderedPageBreak/>
        <w:t xml:space="preserve">Nelson, J. S., Grande, T. C., &amp; Wilson, M. V. H. (2016). </w:t>
      </w:r>
      <w:r w:rsidRPr="004F724D">
        <w:rPr>
          <w:i/>
          <w:iCs/>
        </w:rPr>
        <w:t>Fishes of the World</w:t>
      </w:r>
      <w:r w:rsidRPr="004F724D">
        <w:t xml:space="preserve"> (5th ed.). John Wiley &amp; Sons.</w:t>
      </w:r>
    </w:p>
    <w:p w14:paraId="515BD752" w14:textId="77777777" w:rsidR="004F724D" w:rsidRPr="004F724D" w:rsidRDefault="004F724D" w:rsidP="004F724D">
      <w:pPr>
        <w:pStyle w:val="Bibliography"/>
      </w:pPr>
      <w:r w:rsidRPr="004F724D">
        <w:t xml:space="preserve">Prince, D. J., Saglam, I. K., Hotaling, T. J., Spidle, A. P., &amp; Miller, M. R. (2017). The evolutionary basis of premature migration in Pacific salmon highlights the utility of genomics for informing conservation. </w:t>
      </w:r>
      <w:r w:rsidRPr="004F724D">
        <w:rPr>
          <w:i/>
          <w:iCs/>
        </w:rPr>
        <w:t>SCIENCE ADVANCES</w:t>
      </w:r>
      <w:r w:rsidRPr="004F724D">
        <w:t>.</w:t>
      </w:r>
    </w:p>
    <w:p w14:paraId="4B604705" w14:textId="77777777" w:rsidR="004F724D" w:rsidRPr="004F724D" w:rsidRDefault="004F724D" w:rsidP="004F724D">
      <w:pPr>
        <w:pStyle w:val="Bibliography"/>
      </w:pPr>
      <w:r w:rsidRPr="004F724D">
        <w:t xml:space="preserve">Quinlan, A. R., &amp; Hall, I. M. (2010). BEDTools: A flexible suite of utilities for comparing genomic features. </w:t>
      </w:r>
      <w:r w:rsidRPr="004F724D">
        <w:rPr>
          <w:i/>
          <w:iCs/>
        </w:rPr>
        <w:t>Bioinformatics</w:t>
      </w:r>
      <w:r w:rsidRPr="004F724D">
        <w:t xml:space="preserve">, </w:t>
      </w:r>
      <w:r w:rsidRPr="004F724D">
        <w:rPr>
          <w:i/>
          <w:iCs/>
        </w:rPr>
        <w:t>26</w:t>
      </w:r>
      <w:r w:rsidRPr="004F724D">
        <w:t>(6), 841–842. https://doi.org/10.1093/bioinformatics/btq033</w:t>
      </w:r>
    </w:p>
    <w:p w14:paraId="479169AD" w14:textId="77777777" w:rsidR="004F724D" w:rsidRPr="004F724D" w:rsidRDefault="004F724D" w:rsidP="004F724D">
      <w:pPr>
        <w:pStyle w:val="Bibliography"/>
      </w:pPr>
      <w:r w:rsidRPr="004F724D">
        <w:t xml:space="preserve">Rankin, D. J., Dieckmann, U., &amp; Kokko, H. (2011). Sexual Conflict and the Tragedy of the Commons. </w:t>
      </w:r>
      <w:r w:rsidRPr="004F724D">
        <w:rPr>
          <w:i/>
          <w:iCs/>
        </w:rPr>
        <w:t>The American Naturalist</w:t>
      </w:r>
      <w:r w:rsidRPr="004F724D">
        <w:t xml:space="preserve">, </w:t>
      </w:r>
      <w:r w:rsidRPr="004F724D">
        <w:rPr>
          <w:i/>
          <w:iCs/>
        </w:rPr>
        <w:t>177</w:t>
      </w:r>
      <w:r w:rsidRPr="004F724D">
        <w:t>(6), 780–791. https://doi.org/10.1086/659947</w:t>
      </w:r>
    </w:p>
    <w:p w14:paraId="308FEA0A" w14:textId="77777777" w:rsidR="004F724D" w:rsidRPr="004F724D" w:rsidRDefault="004F724D" w:rsidP="004F724D">
      <w:pPr>
        <w:pStyle w:val="Bibliography"/>
      </w:pPr>
      <w:r w:rsidRPr="004F724D">
        <w:t xml:space="preserve">Robertson, B. C., Elliott, G. P., Eason, D. K., Clout, M. N., &amp; Gemmell, N. J. (2006). Sex allocation theory aids species conservation. </w:t>
      </w:r>
      <w:r w:rsidRPr="004F724D">
        <w:rPr>
          <w:i/>
          <w:iCs/>
        </w:rPr>
        <w:t>Biology Letters</w:t>
      </w:r>
      <w:r w:rsidRPr="004F724D">
        <w:t xml:space="preserve">, </w:t>
      </w:r>
      <w:r w:rsidRPr="004F724D">
        <w:rPr>
          <w:i/>
          <w:iCs/>
        </w:rPr>
        <w:t>2</w:t>
      </w:r>
      <w:r w:rsidRPr="004F724D">
        <w:t>(2), 229–231. https://doi.org/10.1098/rsbl.2005.0430</w:t>
      </w:r>
    </w:p>
    <w:p w14:paraId="1C125375" w14:textId="77777777" w:rsidR="004F724D" w:rsidRPr="004F724D" w:rsidRDefault="004F724D" w:rsidP="004F724D">
      <w:pPr>
        <w:pStyle w:val="Bibliography"/>
      </w:pPr>
      <w:r w:rsidRPr="004F724D">
        <w:t xml:space="preserve">Rodríguez-Marí, A., Yan, Y.-L., BreMiller, R. A., Wilson, C., Cañestro, C., &amp; Postlethwait, J. H. (2005). Characterization and expression pattern of zebrafish anti-Müllerian hormone (amh) relative to sox9a, sox9b, and cyp19a1a, during gonad development. </w:t>
      </w:r>
      <w:r w:rsidRPr="004F724D">
        <w:rPr>
          <w:i/>
          <w:iCs/>
        </w:rPr>
        <w:t>Gene Expression Patterns</w:t>
      </w:r>
      <w:r w:rsidRPr="004F724D">
        <w:t xml:space="preserve">, </w:t>
      </w:r>
      <w:r w:rsidRPr="004F724D">
        <w:rPr>
          <w:i/>
          <w:iCs/>
        </w:rPr>
        <w:t>5</w:t>
      </w:r>
      <w:r w:rsidRPr="004F724D">
        <w:t>(5), 655–667. https://doi.org/10.1016/j.modgep.2005.02.008</w:t>
      </w:r>
    </w:p>
    <w:p w14:paraId="06187078" w14:textId="77777777" w:rsidR="004F724D" w:rsidRPr="004F724D" w:rsidRDefault="004F724D" w:rsidP="004F724D">
      <w:pPr>
        <w:pStyle w:val="Bibliography"/>
      </w:pPr>
      <w:r w:rsidRPr="004F724D">
        <w:t xml:space="preserve">Shao, C., Li, Q., Chen, S., Zhang, P., Lian, J., Hu, Q., Sun, B., Jin, L., Liu, S., Wang, Z., Zhao, H., Jin, Z., Liang, Z., Li, Y., Zheng, Q., Zhang, Y., Wang, J., &amp; Zhang, G. (2014). Epigenetic modification and inheritance in sexual reversal of fish. </w:t>
      </w:r>
      <w:r w:rsidRPr="004F724D">
        <w:rPr>
          <w:i/>
          <w:iCs/>
        </w:rPr>
        <w:t>Genome Research</w:t>
      </w:r>
      <w:r w:rsidRPr="004F724D">
        <w:t xml:space="preserve">, </w:t>
      </w:r>
      <w:r w:rsidRPr="004F724D">
        <w:rPr>
          <w:i/>
          <w:iCs/>
        </w:rPr>
        <w:t>24</w:t>
      </w:r>
      <w:r w:rsidRPr="004F724D">
        <w:t>(4), 604–615. https://doi.org/10.1101/gr.162172.113</w:t>
      </w:r>
    </w:p>
    <w:p w14:paraId="729F7193" w14:textId="77777777" w:rsidR="004F724D" w:rsidRPr="004F724D" w:rsidRDefault="004F724D" w:rsidP="004F724D">
      <w:pPr>
        <w:pStyle w:val="Bibliography"/>
      </w:pPr>
      <w:r w:rsidRPr="004F724D">
        <w:t xml:space="preserve">Shen, Z., &amp; Wang, H. (2018). Environmental Sex Determination and Sex Differentiation in Teleosts – How Sex Is Established. In H. Wang, F. Piferrer, S. Chen, &amp; Z. Shen (Eds.), </w:t>
      </w:r>
      <w:r w:rsidRPr="004F724D">
        <w:rPr>
          <w:i/>
          <w:iCs/>
        </w:rPr>
        <w:lastRenderedPageBreak/>
        <w:t>Sex Control in Aquaculture</w:t>
      </w:r>
      <w:r w:rsidRPr="004F724D">
        <w:t xml:space="preserve"> (1st ed., pp. 85–115). Wiley. https://doi.org/10.1002/9781119127291.ch4</w:t>
      </w:r>
    </w:p>
    <w:p w14:paraId="69D50744" w14:textId="77777777" w:rsidR="004F724D" w:rsidRPr="004F724D" w:rsidRDefault="004F724D" w:rsidP="004F724D">
      <w:pPr>
        <w:pStyle w:val="Bibliography"/>
      </w:pPr>
      <w:r w:rsidRPr="004F724D">
        <w:t xml:space="preserve">Stelkens, R. B., &amp; Wedekind, C. (2010). Environmental sex reversal, Trojan sex genes, and sex ratio adjustment: Conditions and population consequences: ENVIRONMENTAL SEX REVERSAL AND TROJAN SEX GENES. </w:t>
      </w:r>
      <w:r w:rsidRPr="004F724D">
        <w:rPr>
          <w:i/>
          <w:iCs/>
        </w:rPr>
        <w:t>Molecular Ecology</w:t>
      </w:r>
      <w:r w:rsidRPr="004F724D">
        <w:t xml:space="preserve">, </w:t>
      </w:r>
      <w:r w:rsidRPr="004F724D">
        <w:rPr>
          <w:i/>
          <w:iCs/>
        </w:rPr>
        <w:t>19</w:t>
      </w:r>
      <w:r w:rsidRPr="004F724D">
        <w:t>(4), 627–646. https://doi.org/10.1111/j.1365-294X.2010.04526.x</w:t>
      </w:r>
    </w:p>
    <w:p w14:paraId="2C84A714" w14:textId="77777777" w:rsidR="004F724D" w:rsidRPr="004F724D" w:rsidRDefault="004F724D" w:rsidP="004F724D">
      <w:pPr>
        <w:pStyle w:val="Bibliography"/>
      </w:pPr>
      <w:r w:rsidRPr="004F724D">
        <w:t xml:space="preserve">Tenugu, S., &amp; Senthilkumaran, B. (2022). Sexual plasticity in bony fishes: Analyzing morphological to molecular changes of sex reversal. </w:t>
      </w:r>
      <w:r w:rsidRPr="004F724D">
        <w:rPr>
          <w:i/>
          <w:iCs/>
        </w:rPr>
        <w:t>Aquaculture and Fisheries</w:t>
      </w:r>
      <w:r w:rsidRPr="004F724D">
        <w:t xml:space="preserve">, </w:t>
      </w:r>
      <w:r w:rsidRPr="004F724D">
        <w:rPr>
          <w:i/>
          <w:iCs/>
        </w:rPr>
        <w:t>7</w:t>
      </w:r>
      <w:r w:rsidRPr="004F724D">
        <w:t>(5), 525–539. https://doi.org/10.1016/j.aaf.2022.02.007</w:t>
      </w:r>
    </w:p>
    <w:p w14:paraId="780A68E7" w14:textId="77777777" w:rsidR="004F724D" w:rsidRPr="004F724D" w:rsidRDefault="004F724D" w:rsidP="004F724D">
      <w:pPr>
        <w:pStyle w:val="Bibliography"/>
      </w:pPr>
      <w:r w:rsidRPr="004F724D">
        <w:t xml:space="preserve">Triay, C., Conte, M. A., Baroiller, J.-F., Bezault, E., Clark, F. E., Penman, D. J., Kocher, T. D., &amp; D’Cotta, H. (2020). Structure and Sequence of the Sex Determining Locus in Two Wild Populations of Nile Tilapia. </w:t>
      </w:r>
      <w:r w:rsidRPr="004F724D">
        <w:rPr>
          <w:i/>
          <w:iCs/>
        </w:rPr>
        <w:t>Genes</w:t>
      </w:r>
      <w:r w:rsidRPr="004F724D">
        <w:t xml:space="preserve">, </w:t>
      </w:r>
      <w:r w:rsidRPr="004F724D">
        <w:rPr>
          <w:i/>
          <w:iCs/>
        </w:rPr>
        <w:t>11</w:t>
      </w:r>
      <w:r w:rsidRPr="004F724D">
        <w:t>(9), 1017. https://doi.org/10.3390/genes11091017</w:t>
      </w:r>
    </w:p>
    <w:p w14:paraId="4267606D" w14:textId="77777777" w:rsidR="004F724D" w:rsidRPr="004F724D" w:rsidRDefault="004F724D" w:rsidP="004F724D">
      <w:pPr>
        <w:pStyle w:val="Bibliography"/>
      </w:pPr>
      <w:r w:rsidRPr="004F724D">
        <w:t xml:space="preserve">Trivers, R. L., &amp; Willard, D. E. (1973). Natural Selection of Parental Ability to Vary the Sex Ratio of Offspring. </w:t>
      </w:r>
      <w:r w:rsidRPr="004F724D">
        <w:rPr>
          <w:i/>
          <w:iCs/>
        </w:rPr>
        <w:t>Science</w:t>
      </w:r>
      <w:r w:rsidRPr="004F724D">
        <w:t xml:space="preserve">, </w:t>
      </w:r>
      <w:r w:rsidRPr="004F724D">
        <w:rPr>
          <w:i/>
          <w:iCs/>
        </w:rPr>
        <w:t>179</w:t>
      </w:r>
      <w:r w:rsidRPr="004F724D">
        <w:t>(4068), 90–92. https://doi.org/10.1126/science.179.4068.90</w:t>
      </w:r>
    </w:p>
    <w:p w14:paraId="12EB0ED7" w14:textId="77777777" w:rsidR="004F724D" w:rsidRPr="004F724D" w:rsidRDefault="004F724D" w:rsidP="004F724D">
      <w:pPr>
        <w:pStyle w:val="Bibliography"/>
      </w:pPr>
      <w:r w:rsidRPr="004F724D">
        <w:t xml:space="preserve">Uhlenhaut, N. H., Jakob, S., Anlag, K., Eisenberger, T., Sekido, R., Kress, J., Treier, A.-C., Klugmann, C., Klasen, C., Holter, N. I., Riethmacher, D., Schütz, G., Cooney, A. J., Lovell-Badge, R., &amp; Treier, M. (2009). Somatic Sex Reprogramming of Adult Ovaries to Testes by FOXL2 Ablation. </w:t>
      </w:r>
      <w:r w:rsidRPr="004F724D">
        <w:rPr>
          <w:i/>
          <w:iCs/>
        </w:rPr>
        <w:t>Cell</w:t>
      </w:r>
      <w:r w:rsidRPr="004F724D">
        <w:t xml:space="preserve">, </w:t>
      </w:r>
      <w:r w:rsidRPr="004F724D">
        <w:rPr>
          <w:i/>
          <w:iCs/>
        </w:rPr>
        <w:t>139</w:t>
      </w:r>
      <w:r w:rsidRPr="004F724D">
        <w:t>(6), 1130–1142. https://doi.org/10.1016/j.cell.2009.11.021</w:t>
      </w:r>
    </w:p>
    <w:p w14:paraId="5EA50E64" w14:textId="77777777" w:rsidR="004F724D" w:rsidRPr="004F724D" w:rsidRDefault="004F724D" w:rsidP="004F724D">
      <w:pPr>
        <w:pStyle w:val="Bibliography"/>
      </w:pPr>
      <w:r w:rsidRPr="004F724D">
        <w:t xml:space="preserve">Volff, J. N. (2005). Genome evolution and biodiversity in teleost fish. </w:t>
      </w:r>
      <w:r w:rsidRPr="004F724D">
        <w:rPr>
          <w:i/>
          <w:iCs/>
        </w:rPr>
        <w:t>Heredity</w:t>
      </w:r>
      <w:r w:rsidRPr="004F724D">
        <w:t xml:space="preserve">, </w:t>
      </w:r>
      <w:r w:rsidRPr="004F724D">
        <w:rPr>
          <w:i/>
          <w:iCs/>
        </w:rPr>
        <w:t>94</w:t>
      </w:r>
      <w:r w:rsidRPr="004F724D">
        <w:t>(3), 280–294. https://doi.org/10.1038/sj.hdy.6800635</w:t>
      </w:r>
    </w:p>
    <w:p w14:paraId="7D260CAF" w14:textId="77777777" w:rsidR="004F724D" w:rsidRPr="004F724D" w:rsidRDefault="004F724D" w:rsidP="004F724D">
      <w:pPr>
        <w:pStyle w:val="Bibliography"/>
      </w:pPr>
      <w:r w:rsidRPr="004F724D">
        <w:lastRenderedPageBreak/>
        <w:t xml:space="preserve">Volff, J. N., &amp; Schartl, M. (2001). Variability of genetic sex determination in poeciliid fishes. </w:t>
      </w:r>
      <w:r w:rsidRPr="004F724D">
        <w:rPr>
          <w:i/>
          <w:iCs/>
        </w:rPr>
        <w:t>Genetica</w:t>
      </w:r>
      <w:r w:rsidRPr="004F724D">
        <w:t xml:space="preserve">, </w:t>
      </w:r>
      <w:r w:rsidRPr="004F724D">
        <w:rPr>
          <w:i/>
          <w:iCs/>
        </w:rPr>
        <w:t>111</w:t>
      </w:r>
      <w:r w:rsidRPr="004F724D">
        <w:t>, 101–110.</w:t>
      </w:r>
    </w:p>
    <w:p w14:paraId="37C1872B" w14:textId="77777777" w:rsidR="004F724D" w:rsidRPr="004F724D" w:rsidRDefault="004F724D" w:rsidP="004F724D">
      <w:pPr>
        <w:pStyle w:val="Bibliography"/>
      </w:pPr>
      <w:r w:rsidRPr="004F724D">
        <w:t xml:space="preserve">Wedekind, C. (2002). Manipulating sex ratios for conservation: Short‐term risks and long‐term benefits. </w:t>
      </w:r>
      <w:r w:rsidRPr="004F724D">
        <w:rPr>
          <w:i/>
          <w:iCs/>
        </w:rPr>
        <w:t>Animal Conservation</w:t>
      </w:r>
      <w:r w:rsidRPr="004F724D">
        <w:t xml:space="preserve">, </w:t>
      </w:r>
      <w:r w:rsidRPr="004F724D">
        <w:rPr>
          <w:i/>
          <w:iCs/>
        </w:rPr>
        <w:t>5</w:t>
      </w:r>
      <w:r w:rsidRPr="004F724D">
        <w:t>, 13–20. https://doi.org/10.1017/S1367943002001026</w:t>
      </w:r>
    </w:p>
    <w:p w14:paraId="597888A0" w14:textId="0B00FA90"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a Schreier" w:date="2023-10-28T10:11:00Z" w:initials="AS">
    <w:p w14:paraId="102DB9E3" w14:textId="45AEC918" w:rsidR="00EF3EBC" w:rsidRDefault="00EF3EBC" w:rsidP="00BB7DBC">
      <w:r>
        <w:rPr>
          <w:rStyle w:val="CommentReference"/>
        </w:rPr>
        <w:annotationRef/>
      </w:r>
      <w:r>
        <w:rPr>
          <w:color w:val="000000"/>
          <w:sz w:val="20"/>
          <w:szCs w:val="20"/>
        </w:rPr>
        <w:t>For species with ESD? It would be great to see a citation for this, especially the sex reversal piece. My knowledge of sex reversal has to do with exposure to endocrine disruptors and typically sex reversal can only occur at a particular life stage. But maybe that is different for ESD?</w:t>
      </w:r>
    </w:p>
  </w:comment>
  <w:comment w:id="4" w:author="Shannon Erica Kendal Joslin" w:date="2023-10-31T09:41:00Z" w:initials="SEKJ">
    <w:p w14:paraId="6038FB31" w14:textId="77777777" w:rsidR="005C2814" w:rsidRDefault="005C2814">
      <w:pPr>
        <w:pStyle w:val="CommentText"/>
      </w:pPr>
      <w:r>
        <w:rPr>
          <w:rStyle w:val="CommentReference"/>
        </w:rPr>
        <w:annotationRef/>
      </w:r>
      <w:r>
        <w:t xml:space="preserve">Yeah, for ESD. Should I rephrase? </w:t>
      </w:r>
    </w:p>
    <w:p w14:paraId="7944BFF4" w14:textId="7583E6C5" w:rsidR="005C2814" w:rsidRDefault="005C2814">
      <w:pPr>
        <w:pStyle w:val="CommentText"/>
      </w:pPr>
      <w:r>
        <w:t>Endocrine disruptors are one means but in sequential hermaphrodites it can also be dominance based from social dynamics – an example is in grouper fish).</w:t>
      </w:r>
    </w:p>
  </w:comment>
  <w:comment w:id="5" w:author="Andrea Schreier" w:date="2023-11-05T09:09:00Z" w:initials="AS">
    <w:p w14:paraId="23CE49A7" w14:textId="77777777" w:rsidR="00D95712" w:rsidRDefault="00D95712" w:rsidP="00222CF5">
      <w:r>
        <w:rPr>
          <w:rStyle w:val="CommentReference"/>
        </w:rPr>
        <w:annotationRef/>
      </w:r>
      <w:r>
        <w:rPr>
          <w:color w:val="000000"/>
          <w:sz w:val="20"/>
          <w:szCs w:val="20"/>
        </w:rPr>
        <w:t>I see. I haven’t thought about sex reversal as another way to describe sequential hermaphroditism. It seems like they are synonymous, but maybe check on this in the literature. Sex reversal refers to individuals without sequential hermaphroditism in their life history, and I’m not sure if it is just a more encompassing term or specifically a change in sex in a species that doesn’t otherwise experience sex change throughout life. This might be a detail that is more important to sort out for publication rather than the dissertation.</w:t>
      </w:r>
    </w:p>
  </w:comment>
  <w:comment w:id="6" w:author="Andrea Schreier" w:date="2023-11-05T09:19:00Z" w:initials="AS">
    <w:p w14:paraId="4487D5B8" w14:textId="77777777" w:rsidR="00F0729D" w:rsidRDefault="00F0729D" w:rsidP="008C0D32">
      <w:r>
        <w:rPr>
          <w:rStyle w:val="CommentReference"/>
        </w:rPr>
        <w:annotationRef/>
      </w:r>
      <w:r>
        <w:rPr>
          <w:color w:val="000000"/>
          <w:sz w:val="20"/>
          <w:szCs w:val="20"/>
        </w:rPr>
        <w:t>I’m thinking in this case that sex ratio bias can potentially skew reproductive success among individuals, although I suppose this would depend on the mating strategy of the organisms. I was thinking of polygynous species where one male could potentially mate with many females and have a much larger reproductive success than any individual female. But for species that are strictly monogamous, maybe one wouldn’t see as much of a decrease in Ne through that mechanism. But I could definitely see how having a deficit in one sex for a monogamous species could result in reduced opportunities for reproduction in the other sex. Is there a way to mention both scenarios?</w:t>
      </w:r>
    </w:p>
  </w:comment>
  <w:comment w:id="15" w:author="Andrea Schreier" w:date="2023-11-05T10:51:00Z" w:initials="AS">
    <w:p w14:paraId="1BE1986F" w14:textId="77777777" w:rsidR="004E36DB" w:rsidRDefault="004E36DB" w:rsidP="006578BE">
      <w:r>
        <w:rPr>
          <w:rStyle w:val="CommentReference"/>
        </w:rPr>
        <w:annotationRef/>
      </w:r>
      <w:r>
        <w:rPr>
          <w:color w:val="000000"/>
          <w:sz w:val="20"/>
          <w:szCs w:val="20"/>
        </w:rPr>
        <w:t>Aligning to the putative Y reads from the linked-read sequences?</w:t>
      </w:r>
    </w:p>
  </w:comment>
  <w:comment w:id="22" w:author="Andrea Schreier" w:date="2023-11-05T11:09:00Z" w:initials="AS">
    <w:p w14:paraId="5B296102" w14:textId="77777777" w:rsidR="00705E95" w:rsidRDefault="00705E95" w:rsidP="00611114">
      <w:r>
        <w:rPr>
          <w:rStyle w:val="CommentReference"/>
        </w:rPr>
        <w:annotationRef/>
      </w:r>
      <w:r>
        <w:rPr>
          <w:color w:val="000000"/>
          <w:sz w:val="20"/>
          <w:szCs w:val="20"/>
        </w:rPr>
        <w:t>Sequencing coverage?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DB9E3" w15:done="0"/>
  <w15:commentEx w15:paraId="7944BFF4" w15:paraIdParent="102DB9E3" w15:done="0"/>
  <w15:commentEx w15:paraId="23CE49A7" w15:paraIdParent="102DB9E3" w15:done="0"/>
  <w15:commentEx w15:paraId="4487D5B8" w15:done="0"/>
  <w15:commentEx w15:paraId="1BE1986F" w15:done="0"/>
  <w15:commentEx w15:paraId="5B296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D206AF" w16cex:dateUtc="2023-10-28T17:11:00Z"/>
  <w16cex:commentExtensible w16cex:durableId="28EB4A2F" w16cex:dateUtc="2023-10-31T00:41:00Z"/>
  <w16cex:commentExtensible w16cex:durableId="5FE8B37F" w16cex:dateUtc="2023-11-05T17:09:00Z"/>
  <w16cex:commentExtensible w16cex:durableId="541845CC" w16cex:dateUtc="2023-11-05T17:19:00Z"/>
  <w16cex:commentExtensible w16cex:durableId="528E554F" w16cex:dateUtc="2023-11-05T18:51:00Z"/>
  <w16cex:commentExtensible w16cex:durableId="500B772B" w16cex:dateUtc="2023-11-05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DB9E3" w16cid:durableId="18D206AF"/>
  <w16cid:commentId w16cid:paraId="7944BFF4" w16cid:durableId="28EB4A2F"/>
  <w16cid:commentId w16cid:paraId="23CE49A7" w16cid:durableId="5FE8B37F"/>
  <w16cid:commentId w16cid:paraId="4487D5B8" w16cid:durableId="541845CC"/>
  <w16cid:commentId w16cid:paraId="1BE1986F" w16cid:durableId="528E554F"/>
  <w16cid:commentId w16cid:paraId="5B296102" w16cid:durableId="500B7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Schreier">
    <w15:presenceInfo w15:providerId="AD" w15:userId="S::amdrauch@ucdavis.edu::f79b4462-bee1-4ace-88d0-48aa3e923fc4"/>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14F5"/>
    <w:rsid w:val="00012E3E"/>
    <w:rsid w:val="00013FCD"/>
    <w:rsid w:val="000175C9"/>
    <w:rsid w:val="000218FB"/>
    <w:rsid w:val="00025046"/>
    <w:rsid w:val="00032299"/>
    <w:rsid w:val="0003453B"/>
    <w:rsid w:val="000368D6"/>
    <w:rsid w:val="000400DD"/>
    <w:rsid w:val="000475F6"/>
    <w:rsid w:val="0006406A"/>
    <w:rsid w:val="00065768"/>
    <w:rsid w:val="00067FDB"/>
    <w:rsid w:val="00073A51"/>
    <w:rsid w:val="00073F56"/>
    <w:rsid w:val="000921E8"/>
    <w:rsid w:val="000B2BCC"/>
    <w:rsid w:val="000C07A2"/>
    <w:rsid w:val="000D27B0"/>
    <w:rsid w:val="000D5DE9"/>
    <w:rsid w:val="000E3588"/>
    <w:rsid w:val="000E65DB"/>
    <w:rsid w:val="000F713B"/>
    <w:rsid w:val="00103D0C"/>
    <w:rsid w:val="00114E1F"/>
    <w:rsid w:val="00120DAA"/>
    <w:rsid w:val="00136479"/>
    <w:rsid w:val="00152959"/>
    <w:rsid w:val="0016154B"/>
    <w:rsid w:val="00167165"/>
    <w:rsid w:val="001843A6"/>
    <w:rsid w:val="001953AF"/>
    <w:rsid w:val="00196F2D"/>
    <w:rsid w:val="001A76B3"/>
    <w:rsid w:val="001B790B"/>
    <w:rsid w:val="001D0313"/>
    <w:rsid w:val="00201C60"/>
    <w:rsid w:val="00204900"/>
    <w:rsid w:val="002270FF"/>
    <w:rsid w:val="0023328F"/>
    <w:rsid w:val="0023528C"/>
    <w:rsid w:val="00243B17"/>
    <w:rsid w:val="00244850"/>
    <w:rsid w:val="00247802"/>
    <w:rsid w:val="00247DB2"/>
    <w:rsid w:val="0025047B"/>
    <w:rsid w:val="00250681"/>
    <w:rsid w:val="00254121"/>
    <w:rsid w:val="002571B8"/>
    <w:rsid w:val="0026755B"/>
    <w:rsid w:val="00267C1E"/>
    <w:rsid w:val="002834EC"/>
    <w:rsid w:val="00293332"/>
    <w:rsid w:val="00297033"/>
    <w:rsid w:val="00297D4D"/>
    <w:rsid w:val="002A7C59"/>
    <w:rsid w:val="002B77A4"/>
    <w:rsid w:val="002D55FE"/>
    <w:rsid w:val="002D631A"/>
    <w:rsid w:val="002E314E"/>
    <w:rsid w:val="002F3C85"/>
    <w:rsid w:val="002F7C48"/>
    <w:rsid w:val="003036A1"/>
    <w:rsid w:val="00317E6F"/>
    <w:rsid w:val="00326179"/>
    <w:rsid w:val="00334C7B"/>
    <w:rsid w:val="0033581E"/>
    <w:rsid w:val="003360B5"/>
    <w:rsid w:val="0034499B"/>
    <w:rsid w:val="00347F5F"/>
    <w:rsid w:val="00360C3C"/>
    <w:rsid w:val="003630FC"/>
    <w:rsid w:val="00370451"/>
    <w:rsid w:val="00374A91"/>
    <w:rsid w:val="003756BF"/>
    <w:rsid w:val="0037796F"/>
    <w:rsid w:val="0038489E"/>
    <w:rsid w:val="00392DB9"/>
    <w:rsid w:val="003A745E"/>
    <w:rsid w:val="003C2264"/>
    <w:rsid w:val="003D178C"/>
    <w:rsid w:val="003D6F34"/>
    <w:rsid w:val="003E1581"/>
    <w:rsid w:val="003E19F2"/>
    <w:rsid w:val="003E2DA4"/>
    <w:rsid w:val="003F25BE"/>
    <w:rsid w:val="003F5EFB"/>
    <w:rsid w:val="004013F3"/>
    <w:rsid w:val="00401A7D"/>
    <w:rsid w:val="00405742"/>
    <w:rsid w:val="00423B01"/>
    <w:rsid w:val="00434292"/>
    <w:rsid w:val="0043509C"/>
    <w:rsid w:val="00446AF6"/>
    <w:rsid w:val="00450E89"/>
    <w:rsid w:val="004760F5"/>
    <w:rsid w:val="00480197"/>
    <w:rsid w:val="00491240"/>
    <w:rsid w:val="004A14ED"/>
    <w:rsid w:val="004A7DA1"/>
    <w:rsid w:val="004B232B"/>
    <w:rsid w:val="004B371E"/>
    <w:rsid w:val="004B5306"/>
    <w:rsid w:val="004D21D2"/>
    <w:rsid w:val="004D2217"/>
    <w:rsid w:val="004D6B2D"/>
    <w:rsid w:val="004E2B9C"/>
    <w:rsid w:val="004E36DB"/>
    <w:rsid w:val="004F724D"/>
    <w:rsid w:val="00502252"/>
    <w:rsid w:val="00514D8D"/>
    <w:rsid w:val="005217F8"/>
    <w:rsid w:val="00527768"/>
    <w:rsid w:val="00533F4C"/>
    <w:rsid w:val="005401DC"/>
    <w:rsid w:val="00553701"/>
    <w:rsid w:val="005600B5"/>
    <w:rsid w:val="005608CB"/>
    <w:rsid w:val="00575C42"/>
    <w:rsid w:val="00576563"/>
    <w:rsid w:val="00593331"/>
    <w:rsid w:val="005A169A"/>
    <w:rsid w:val="005A1A5E"/>
    <w:rsid w:val="005A2758"/>
    <w:rsid w:val="005A5576"/>
    <w:rsid w:val="005B2062"/>
    <w:rsid w:val="005C2814"/>
    <w:rsid w:val="005C411A"/>
    <w:rsid w:val="005D6709"/>
    <w:rsid w:val="005F017B"/>
    <w:rsid w:val="005F443F"/>
    <w:rsid w:val="00600EE0"/>
    <w:rsid w:val="0060238E"/>
    <w:rsid w:val="00634434"/>
    <w:rsid w:val="0063461F"/>
    <w:rsid w:val="006355D1"/>
    <w:rsid w:val="00636106"/>
    <w:rsid w:val="00643743"/>
    <w:rsid w:val="00643F49"/>
    <w:rsid w:val="00645ED4"/>
    <w:rsid w:val="006536F1"/>
    <w:rsid w:val="00656E37"/>
    <w:rsid w:val="00660295"/>
    <w:rsid w:val="00663CC9"/>
    <w:rsid w:val="0067064B"/>
    <w:rsid w:val="00680070"/>
    <w:rsid w:val="0068319D"/>
    <w:rsid w:val="00683A81"/>
    <w:rsid w:val="006958D8"/>
    <w:rsid w:val="006B0438"/>
    <w:rsid w:val="006B41B5"/>
    <w:rsid w:val="006B4DF5"/>
    <w:rsid w:val="006C2364"/>
    <w:rsid w:val="006C3C71"/>
    <w:rsid w:val="006C58C6"/>
    <w:rsid w:val="006C5ED0"/>
    <w:rsid w:val="006C683D"/>
    <w:rsid w:val="006E2350"/>
    <w:rsid w:val="006E6C9B"/>
    <w:rsid w:val="006F1AC1"/>
    <w:rsid w:val="007016F6"/>
    <w:rsid w:val="00701F67"/>
    <w:rsid w:val="00704C99"/>
    <w:rsid w:val="00705E6B"/>
    <w:rsid w:val="00705E95"/>
    <w:rsid w:val="007215B8"/>
    <w:rsid w:val="007278AC"/>
    <w:rsid w:val="00730478"/>
    <w:rsid w:val="007328C2"/>
    <w:rsid w:val="00732B4B"/>
    <w:rsid w:val="00734141"/>
    <w:rsid w:val="007468BD"/>
    <w:rsid w:val="00747209"/>
    <w:rsid w:val="00750064"/>
    <w:rsid w:val="00752602"/>
    <w:rsid w:val="007528C6"/>
    <w:rsid w:val="007702D2"/>
    <w:rsid w:val="00772E51"/>
    <w:rsid w:val="0077392E"/>
    <w:rsid w:val="007750BC"/>
    <w:rsid w:val="00785095"/>
    <w:rsid w:val="0079069B"/>
    <w:rsid w:val="00790724"/>
    <w:rsid w:val="00791F7B"/>
    <w:rsid w:val="00796BA9"/>
    <w:rsid w:val="007A5E05"/>
    <w:rsid w:val="007B12B0"/>
    <w:rsid w:val="007C1D20"/>
    <w:rsid w:val="007C5F69"/>
    <w:rsid w:val="007D514A"/>
    <w:rsid w:val="00806A80"/>
    <w:rsid w:val="00807957"/>
    <w:rsid w:val="00813A5A"/>
    <w:rsid w:val="00813AA0"/>
    <w:rsid w:val="00821847"/>
    <w:rsid w:val="008235CC"/>
    <w:rsid w:val="00831734"/>
    <w:rsid w:val="0083566A"/>
    <w:rsid w:val="00835968"/>
    <w:rsid w:val="00836F11"/>
    <w:rsid w:val="008444B4"/>
    <w:rsid w:val="008466C0"/>
    <w:rsid w:val="00857AEC"/>
    <w:rsid w:val="00870107"/>
    <w:rsid w:val="0087177D"/>
    <w:rsid w:val="008725AE"/>
    <w:rsid w:val="00874266"/>
    <w:rsid w:val="00886F25"/>
    <w:rsid w:val="00890EF9"/>
    <w:rsid w:val="008A5703"/>
    <w:rsid w:val="008A5B87"/>
    <w:rsid w:val="008A78A5"/>
    <w:rsid w:val="008C180C"/>
    <w:rsid w:val="008C4CFF"/>
    <w:rsid w:val="008D04B0"/>
    <w:rsid w:val="008D0A19"/>
    <w:rsid w:val="008D453E"/>
    <w:rsid w:val="008E69D6"/>
    <w:rsid w:val="00906C3B"/>
    <w:rsid w:val="009242AE"/>
    <w:rsid w:val="00924AE8"/>
    <w:rsid w:val="0092683D"/>
    <w:rsid w:val="00926B1B"/>
    <w:rsid w:val="00937788"/>
    <w:rsid w:val="00940B9D"/>
    <w:rsid w:val="009411C6"/>
    <w:rsid w:val="00956297"/>
    <w:rsid w:val="0095798E"/>
    <w:rsid w:val="00963AB7"/>
    <w:rsid w:val="00972F1D"/>
    <w:rsid w:val="00972F3F"/>
    <w:rsid w:val="00973D64"/>
    <w:rsid w:val="00984091"/>
    <w:rsid w:val="00984759"/>
    <w:rsid w:val="009872AF"/>
    <w:rsid w:val="00987664"/>
    <w:rsid w:val="0098776E"/>
    <w:rsid w:val="00997B83"/>
    <w:rsid w:val="009A39C1"/>
    <w:rsid w:val="009B5C8D"/>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47B"/>
    <w:rsid w:val="00A86E61"/>
    <w:rsid w:val="00A9057E"/>
    <w:rsid w:val="00A951B3"/>
    <w:rsid w:val="00A967F8"/>
    <w:rsid w:val="00A971FF"/>
    <w:rsid w:val="00A977EE"/>
    <w:rsid w:val="00A97F52"/>
    <w:rsid w:val="00AC1FBE"/>
    <w:rsid w:val="00AE4C3A"/>
    <w:rsid w:val="00AE7A0A"/>
    <w:rsid w:val="00AF6021"/>
    <w:rsid w:val="00B03515"/>
    <w:rsid w:val="00B03F48"/>
    <w:rsid w:val="00B05701"/>
    <w:rsid w:val="00B21A96"/>
    <w:rsid w:val="00B2511B"/>
    <w:rsid w:val="00B26DDC"/>
    <w:rsid w:val="00B31888"/>
    <w:rsid w:val="00B3591B"/>
    <w:rsid w:val="00B45AEA"/>
    <w:rsid w:val="00B460E5"/>
    <w:rsid w:val="00B54DB9"/>
    <w:rsid w:val="00B55BDB"/>
    <w:rsid w:val="00B5609E"/>
    <w:rsid w:val="00B75763"/>
    <w:rsid w:val="00B802EA"/>
    <w:rsid w:val="00B86F70"/>
    <w:rsid w:val="00BD47C9"/>
    <w:rsid w:val="00BD6D6C"/>
    <w:rsid w:val="00BE6A10"/>
    <w:rsid w:val="00BE7331"/>
    <w:rsid w:val="00BF2A40"/>
    <w:rsid w:val="00BF6816"/>
    <w:rsid w:val="00C07444"/>
    <w:rsid w:val="00C103F3"/>
    <w:rsid w:val="00C130D8"/>
    <w:rsid w:val="00C14551"/>
    <w:rsid w:val="00C20E8E"/>
    <w:rsid w:val="00C30186"/>
    <w:rsid w:val="00C370BB"/>
    <w:rsid w:val="00C37757"/>
    <w:rsid w:val="00C40930"/>
    <w:rsid w:val="00C43D43"/>
    <w:rsid w:val="00C47B68"/>
    <w:rsid w:val="00C50AF1"/>
    <w:rsid w:val="00C6714D"/>
    <w:rsid w:val="00C70F72"/>
    <w:rsid w:val="00C712AC"/>
    <w:rsid w:val="00C75AB6"/>
    <w:rsid w:val="00C8155C"/>
    <w:rsid w:val="00C81917"/>
    <w:rsid w:val="00C85504"/>
    <w:rsid w:val="00CB4590"/>
    <w:rsid w:val="00CB5A50"/>
    <w:rsid w:val="00CB5BB5"/>
    <w:rsid w:val="00CC0541"/>
    <w:rsid w:val="00CC251C"/>
    <w:rsid w:val="00CE0283"/>
    <w:rsid w:val="00CE6990"/>
    <w:rsid w:val="00D00F97"/>
    <w:rsid w:val="00D16827"/>
    <w:rsid w:val="00D2058E"/>
    <w:rsid w:val="00D27055"/>
    <w:rsid w:val="00D317C4"/>
    <w:rsid w:val="00D31C43"/>
    <w:rsid w:val="00D41FE2"/>
    <w:rsid w:val="00D4259B"/>
    <w:rsid w:val="00D4483E"/>
    <w:rsid w:val="00D64C4C"/>
    <w:rsid w:val="00D703CD"/>
    <w:rsid w:val="00D804F9"/>
    <w:rsid w:val="00D80594"/>
    <w:rsid w:val="00D829DD"/>
    <w:rsid w:val="00D843B1"/>
    <w:rsid w:val="00D866D7"/>
    <w:rsid w:val="00D900A4"/>
    <w:rsid w:val="00D95712"/>
    <w:rsid w:val="00DA147D"/>
    <w:rsid w:val="00DA2B5A"/>
    <w:rsid w:val="00DA3E57"/>
    <w:rsid w:val="00DB2340"/>
    <w:rsid w:val="00DB27A2"/>
    <w:rsid w:val="00DB53CB"/>
    <w:rsid w:val="00DB7544"/>
    <w:rsid w:val="00DD37E4"/>
    <w:rsid w:val="00DE79E2"/>
    <w:rsid w:val="00E004A3"/>
    <w:rsid w:val="00E01D22"/>
    <w:rsid w:val="00E03E5E"/>
    <w:rsid w:val="00E04573"/>
    <w:rsid w:val="00E15EA6"/>
    <w:rsid w:val="00E17F08"/>
    <w:rsid w:val="00E20912"/>
    <w:rsid w:val="00E20B86"/>
    <w:rsid w:val="00E35949"/>
    <w:rsid w:val="00E35BEE"/>
    <w:rsid w:val="00E535BF"/>
    <w:rsid w:val="00E53ED6"/>
    <w:rsid w:val="00E5483C"/>
    <w:rsid w:val="00E576F3"/>
    <w:rsid w:val="00E57803"/>
    <w:rsid w:val="00E61BA2"/>
    <w:rsid w:val="00E73AFB"/>
    <w:rsid w:val="00E8134E"/>
    <w:rsid w:val="00E82A52"/>
    <w:rsid w:val="00E87B56"/>
    <w:rsid w:val="00E928EA"/>
    <w:rsid w:val="00E97898"/>
    <w:rsid w:val="00EA2082"/>
    <w:rsid w:val="00EA26D4"/>
    <w:rsid w:val="00EA3C98"/>
    <w:rsid w:val="00EA4F68"/>
    <w:rsid w:val="00EA7339"/>
    <w:rsid w:val="00EA7D11"/>
    <w:rsid w:val="00EB09C3"/>
    <w:rsid w:val="00EB56D4"/>
    <w:rsid w:val="00EC0478"/>
    <w:rsid w:val="00EC3467"/>
    <w:rsid w:val="00EC4A5A"/>
    <w:rsid w:val="00ED6E2E"/>
    <w:rsid w:val="00EE72A9"/>
    <w:rsid w:val="00EF39B1"/>
    <w:rsid w:val="00EF3EBC"/>
    <w:rsid w:val="00EF665B"/>
    <w:rsid w:val="00EF74B2"/>
    <w:rsid w:val="00F01029"/>
    <w:rsid w:val="00F0729D"/>
    <w:rsid w:val="00F07DB3"/>
    <w:rsid w:val="00F1253A"/>
    <w:rsid w:val="00F15883"/>
    <w:rsid w:val="00F37F17"/>
    <w:rsid w:val="00F46B79"/>
    <w:rsid w:val="00F46F3D"/>
    <w:rsid w:val="00F47304"/>
    <w:rsid w:val="00F50195"/>
    <w:rsid w:val="00F62AB1"/>
    <w:rsid w:val="00F72DE7"/>
    <w:rsid w:val="00F74250"/>
    <w:rsid w:val="00F744C4"/>
    <w:rsid w:val="00FB35B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F742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 w:type="character" w:customStyle="1" w:styleId="Heading3Char">
    <w:name w:val="Heading 3 Char"/>
    <w:basedOn w:val="DefaultParagraphFont"/>
    <w:link w:val="Heading3"/>
    <w:uiPriority w:val="9"/>
    <w:rsid w:val="00F7425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47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5283">
      <w:bodyDiv w:val="1"/>
      <w:marLeft w:val="0"/>
      <w:marRight w:val="0"/>
      <w:marTop w:val="0"/>
      <w:marBottom w:val="0"/>
      <w:divBdr>
        <w:top w:val="none" w:sz="0" w:space="0" w:color="auto"/>
        <w:left w:val="none" w:sz="0" w:space="0" w:color="auto"/>
        <w:bottom w:val="none" w:sz="0" w:space="0" w:color="auto"/>
        <w:right w:val="none" w:sz="0" w:space="0" w:color="auto"/>
      </w:divBdr>
    </w:div>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046180265">
      <w:bodyDiv w:val="1"/>
      <w:marLeft w:val="0"/>
      <w:marRight w:val="0"/>
      <w:marTop w:val="0"/>
      <w:marBottom w:val="0"/>
      <w:divBdr>
        <w:top w:val="none" w:sz="0" w:space="0" w:color="auto"/>
        <w:left w:val="none" w:sz="0" w:space="0" w:color="auto"/>
        <w:bottom w:val="none" w:sz="0" w:space="0" w:color="auto"/>
        <w:right w:val="none" w:sz="0" w:space="0" w:color="auto"/>
      </w:divBdr>
    </w:div>
    <w:div w:id="1064990751">
      <w:bodyDiv w:val="1"/>
      <w:marLeft w:val="0"/>
      <w:marRight w:val="0"/>
      <w:marTop w:val="0"/>
      <w:marBottom w:val="0"/>
      <w:divBdr>
        <w:top w:val="none" w:sz="0" w:space="0" w:color="auto"/>
        <w:left w:val="none" w:sz="0" w:space="0" w:color="auto"/>
        <w:bottom w:val="none" w:sz="0" w:space="0" w:color="auto"/>
        <w:right w:val="none" w:sz="0" w:space="0" w:color="auto"/>
      </w:divBdr>
    </w:div>
    <w:div w:id="1093355452">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729765380">
      <w:bodyDiv w:val="1"/>
      <w:marLeft w:val="0"/>
      <w:marRight w:val="0"/>
      <w:marTop w:val="0"/>
      <w:marBottom w:val="0"/>
      <w:divBdr>
        <w:top w:val="none" w:sz="0" w:space="0" w:color="auto"/>
        <w:left w:val="none" w:sz="0" w:space="0" w:color="auto"/>
        <w:bottom w:val="none" w:sz="0" w:space="0" w:color="auto"/>
        <w:right w:val="none" w:sz="0" w:space="0" w:color="auto"/>
      </w:divBdr>
    </w:div>
    <w:div w:id="1790201250">
      <w:bodyDiv w:val="1"/>
      <w:marLeft w:val="0"/>
      <w:marRight w:val="0"/>
      <w:marTop w:val="0"/>
      <w:marBottom w:val="0"/>
      <w:divBdr>
        <w:top w:val="none" w:sz="0" w:space="0" w:color="auto"/>
        <w:left w:val="none" w:sz="0" w:space="0" w:color="auto"/>
        <w:bottom w:val="none" w:sz="0" w:space="0" w:color="auto"/>
        <w:right w:val="none" w:sz="0" w:space="0" w:color="auto"/>
      </w:divBdr>
    </w:div>
    <w:div w:id="1827429662">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usercontent.com/shannonekj/ngs_scripts/master/align_RAD_2019.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21800</Words>
  <Characters>124261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dcterms:created xsi:type="dcterms:W3CDTF">2023-11-06T16:34:00Z</dcterms:created>
  <dcterms:modified xsi:type="dcterms:W3CDTF">2023-11-06T16:58:00Z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id="qADU2FLA"/&gt;&lt;style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