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44374C" w14:textId="05D73857" w:rsidR="00650EFD" w:rsidRPr="003B7B17" w:rsidRDefault="00650EFD" w:rsidP="0011235A">
      <w:pPr>
        <w:spacing w:line="240" w:lineRule="auto"/>
        <w:ind w:left="-180" w:right="-90"/>
        <w:jc w:val="center"/>
        <w:rPr>
          <w:rFonts w:asciiTheme="majorHAnsi" w:eastAsia="Times New Roman" w:hAnsiTheme="majorHAnsi" w:cstheme="majorHAnsi"/>
          <w:b/>
          <w:sz w:val="24"/>
          <w:szCs w:val="24"/>
        </w:rPr>
      </w:pPr>
      <w:bookmarkStart w:id="0" w:name="_Toc113123177"/>
      <w:r w:rsidRPr="003B7B17">
        <w:rPr>
          <w:rFonts w:asciiTheme="majorHAnsi" w:eastAsia="Times New Roman" w:hAnsiTheme="majorHAnsi" w:cstheme="majorHAnsi"/>
          <w:b/>
          <w:sz w:val="24"/>
          <w:szCs w:val="24"/>
        </w:rPr>
        <w:t xml:space="preserve">Chromosome-scale genome assembly and investigation of </w:t>
      </w:r>
      <w:r w:rsidR="007D1AB2">
        <w:rPr>
          <w:rFonts w:asciiTheme="majorHAnsi" w:eastAsia="Times New Roman" w:hAnsiTheme="majorHAnsi" w:cstheme="majorHAnsi"/>
          <w:b/>
          <w:sz w:val="24"/>
          <w:szCs w:val="24"/>
        </w:rPr>
        <w:t xml:space="preserve">the </w:t>
      </w:r>
      <w:r w:rsidRPr="003B7B17">
        <w:rPr>
          <w:rFonts w:asciiTheme="majorHAnsi" w:eastAsia="Times New Roman" w:hAnsiTheme="majorHAnsi" w:cstheme="majorHAnsi"/>
          <w:b/>
          <w:i/>
          <w:sz w:val="24"/>
          <w:szCs w:val="24"/>
        </w:rPr>
        <w:t>Hypomesus transpacificus</w:t>
      </w:r>
      <w:r w:rsidRPr="003B7B17">
        <w:rPr>
          <w:rFonts w:asciiTheme="majorHAnsi" w:eastAsia="Times New Roman" w:hAnsiTheme="majorHAnsi" w:cstheme="majorHAnsi"/>
          <w:b/>
          <w:sz w:val="24"/>
          <w:szCs w:val="24"/>
        </w:rPr>
        <w:t xml:space="preserve"> genome for estimates of effective population sizes and identification of sex-specific markers.</w:t>
      </w:r>
    </w:p>
    <w:p w14:paraId="72F9C954" w14:textId="5CF1ABF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By</w:t>
      </w:r>
    </w:p>
    <w:p w14:paraId="3E5FB7D1" w14:textId="5F6B5D7D"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SHANNON ERICA KENDAL JOSLIN</w:t>
      </w:r>
    </w:p>
    <w:p w14:paraId="34EE678B" w14:textId="5068540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DISSERTATION</w:t>
      </w:r>
    </w:p>
    <w:p w14:paraId="4D6D926C" w14:textId="1FA5DAB1"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Submitted in partial satisfaction of the requirements for the degree of</w:t>
      </w:r>
    </w:p>
    <w:p w14:paraId="38C37930" w14:textId="0131C85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DOCTOR OF PHILOSOPHY</w:t>
      </w:r>
    </w:p>
    <w:p w14:paraId="6DDE50AB" w14:textId="49DF6CF6"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w:t>
      </w:r>
    </w:p>
    <w:p w14:paraId="1B63E4AC" w14:textId="5609737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Integrative Genetics and Genomics</w:t>
      </w:r>
    </w:p>
    <w:p w14:paraId="439F25F9" w14:textId="4686D340"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in the</w:t>
      </w:r>
    </w:p>
    <w:p w14:paraId="3D6322BB" w14:textId="7B55DA6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OFFICE OF GRADUATE STUDIES</w:t>
      </w:r>
    </w:p>
    <w:p w14:paraId="27A9A147" w14:textId="56734E6F"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of the</w:t>
      </w:r>
    </w:p>
    <w:p w14:paraId="2094DBE8" w14:textId="76DA651E"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UNIVERSITY OF CALIFORNIA</w:t>
      </w:r>
    </w:p>
    <w:p w14:paraId="33661D85" w14:textId="004997CC"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DAVIS</w:t>
      </w:r>
    </w:p>
    <w:p w14:paraId="22510F81" w14:textId="368092C9" w:rsid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Approved:</w:t>
      </w:r>
    </w:p>
    <w:p w14:paraId="7D8BEE40" w14:textId="77777777" w:rsidR="003B7B17" w:rsidRPr="00317A9B" w:rsidRDefault="003B7B17" w:rsidP="0011235A">
      <w:pPr>
        <w:spacing w:line="240" w:lineRule="auto"/>
        <w:ind w:left="-180" w:right="-90"/>
        <w:jc w:val="center"/>
        <w:rPr>
          <w:rFonts w:asciiTheme="majorHAnsi" w:eastAsia="Times New Roman" w:hAnsiTheme="majorHAnsi" w:cstheme="majorHAnsi"/>
          <w:bCs/>
          <w:sz w:val="10"/>
          <w:szCs w:val="10"/>
        </w:rPr>
      </w:pPr>
    </w:p>
    <w:p w14:paraId="5946BC2D"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p w14:paraId="09ADE9A9" w14:textId="05DE3633"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Dr. Andrea Schreier, Co-Chair</w:t>
      </w:r>
    </w:p>
    <w:p w14:paraId="6FE9ADAA" w14:textId="77777777" w:rsidR="00317A9B" w:rsidRPr="00317A9B" w:rsidRDefault="00317A9B" w:rsidP="0011235A">
      <w:pPr>
        <w:spacing w:after="0" w:line="240" w:lineRule="auto"/>
        <w:jc w:val="center"/>
        <w:rPr>
          <w:rFonts w:asciiTheme="majorHAnsi" w:hAnsiTheme="majorHAnsi" w:cstheme="majorHAnsi"/>
          <w:sz w:val="24"/>
          <w:szCs w:val="24"/>
          <w:u w:val="single"/>
        </w:rPr>
      </w:pPr>
    </w:p>
    <w:p w14:paraId="72B85894"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1574234061"/>
        <w:placeholder>
          <w:docPart w:val="71F78E92A1A75E4BA215D542EC769859"/>
        </w:placeholder>
        <w15:color w:val="00FFFF"/>
      </w:sdtPr>
      <w:sdtEndPr/>
      <w:sdtContent>
        <w:p w14:paraId="252B0F7E" w14:textId="04ED49E5"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403E27">
            <w:rPr>
              <w:rFonts w:asciiTheme="majorHAnsi" w:hAnsiTheme="majorHAnsi" w:cstheme="majorHAnsi"/>
              <w:sz w:val="24"/>
              <w:szCs w:val="24"/>
            </w:rPr>
            <w:t>C. Titus Brown</w:t>
          </w:r>
        </w:p>
      </w:sdtContent>
    </w:sdt>
    <w:p w14:paraId="7FFE13A2" w14:textId="77777777" w:rsidR="00317A9B" w:rsidRPr="00317A9B" w:rsidRDefault="00317A9B" w:rsidP="0011235A">
      <w:pPr>
        <w:spacing w:after="0" w:line="240" w:lineRule="auto"/>
        <w:jc w:val="center"/>
        <w:rPr>
          <w:rFonts w:asciiTheme="majorHAnsi" w:hAnsiTheme="majorHAnsi" w:cstheme="majorHAnsi"/>
          <w:sz w:val="24"/>
          <w:szCs w:val="24"/>
        </w:rPr>
      </w:pPr>
    </w:p>
    <w:p w14:paraId="51443D43" w14:textId="77777777" w:rsidR="00317A9B" w:rsidRPr="00317A9B" w:rsidRDefault="00317A9B" w:rsidP="0011235A">
      <w:pPr>
        <w:spacing w:after="0" w:line="240" w:lineRule="auto"/>
        <w:jc w:val="center"/>
        <w:rPr>
          <w:rFonts w:asciiTheme="majorHAnsi" w:hAnsiTheme="majorHAnsi" w:cstheme="majorHAnsi"/>
          <w:sz w:val="24"/>
          <w:szCs w:val="24"/>
          <w:u w:val="single"/>
        </w:rPr>
      </w:pP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r w:rsidRPr="00317A9B">
        <w:rPr>
          <w:rFonts w:asciiTheme="majorHAnsi" w:hAnsiTheme="majorHAnsi" w:cstheme="majorHAnsi"/>
          <w:sz w:val="24"/>
          <w:szCs w:val="24"/>
          <w:u w:val="single"/>
        </w:rPr>
        <w:tab/>
      </w:r>
    </w:p>
    <w:sdt>
      <w:sdtPr>
        <w:rPr>
          <w:rFonts w:asciiTheme="majorHAnsi" w:hAnsiTheme="majorHAnsi" w:cstheme="majorHAnsi"/>
          <w:sz w:val="24"/>
          <w:szCs w:val="24"/>
        </w:rPr>
        <w:id w:val="51743667"/>
        <w:placeholder>
          <w:docPart w:val="38402FDF1F95D84EAD4CF58CF0E22442"/>
        </w:placeholder>
        <w15:color w:val="00FFFF"/>
      </w:sdtPr>
      <w:sdtEndPr/>
      <w:sdtContent>
        <w:p w14:paraId="41EF26A8" w14:textId="4DC0B1B7" w:rsidR="00317A9B" w:rsidRPr="00317A9B" w:rsidRDefault="00317A9B" w:rsidP="0011235A">
          <w:pPr>
            <w:spacing w:after="0" w:line="240" w:lineRule="auto"/>
            <w:jc w:val="center"/>
            <w:rPr>
              <w:rFonts w:asciiTheme="majorHAnsi" w:hAnsiTheme="majorHAnsi" w:cstheme="majorHAnsi"/>
              <w:sz w:val="24"/>
              <w:szCs w:val="24"/>
            </w:rPr>
          </w:pPr>
          <w:r w:rsidRPr="00317A9B">
            <w:rPr>
              <w:rFonts w:asciiTheme="majorHAnsi" w:hAnsiTheme="majorHAnsi" w:cstheme="majorHAnsi"/>
              <w:sz w:val="24"/>
              <w:szCs w:val="24"/>
            </w:rPr>
            <w:t xml:space="preserve">Dr. </w:t>
          </w:r>
          <w:r w:rsidR="00E176B5">
            <w:rPr>
              <w:rFonts w:asciiTheme="majorHAnsi" w:hAnsiTheme="majorHAnsi" w:cstheme="majorHAnsi"/>
              <w:sz w:val="24"/>
              <w:szCs w:val="24"/>
            </w:rPr>
            <w:t>Benjamin Sacks</w:t>
          </w:r>
        </w:p>
      </w:sdtContent>
    </w:sdt>
    <w:p w14:paraId="1B65DCB7" w14:textId="77777777" w:rsidR="00317A9B" w:rsidRDefault="00317A9B" w:rsidP="0011235A">
      <w:pPr>
        <w:spacing w:line="240" w:lineRule="auto"/>
        <w:ind w:left="-180" w:right="-90"/>
        <w:jc w:val="center"/>
        <w:rPr>
          <w:rFonts w:asciiTheme="majorHAnsi" w:eastAsia="Times New Roman" w:hAnsiTheme="majorHAnsi" w:cstheme="majorHAnsi"/>
          <w:bCs/>
          <w:sz w:val="24"/>
          <w:szCs w:val="24"/>
        </w:rPr>
      </w:pPr>
    </w:p>
    <w:p w14:paraId="48077141" w14:textId="7C6720E5" w:rsidR="0019361B" w:rsidRPr="0019361B" w:rsidRDefault="0019361B" w:rsidP="0011235A">
      <w:pPr>
        <w:spacing w:line="240" w:lineRule="auto"/>
        <w:ind w:left="-180" w:right="-90"/>
        <w:jc w:val="center"/>
        <w:rPr>
          <w:rFonts w:asciiTheme="majorHAnsi" w:eastAsia="Times New Roman" w:hAnsiTheme="majorHAnsi" w:cstheme="majorHAnsi"/>
          <w:bCs/>
          <w:sz w:val="24"/>
          <w:szCs w:val="24"/>
        </w:rPr>
      </w:pPr>
      <w:r w:rsidRPr="0019361B">
        <w:rPr>
          <w:rFonts w:asciiTheme="majorHAnsi" w:eastAsia="Times New Roman" w:hAnsiTheme="majorHAnsi" w:cstheme="majorHAnsi"/>
          <w:bCs/>
          <w:sz w:val="24"/>
          <w:szCs w:val="24"/>
        </w:rPr>
        <w:t>Committee in Charge</w:t>
      </w:r>
    </w:p>
    <w:p w14:paraId="01AF7197" w14:textId="4B6E5D4D" w:rsidR="0019361B" w:rsidRPr="0019361B" w:rsidRDefault="00403E27" w:rsidP="0011235A">
      <w:pPr>
        <w:spacing w:line="240" w:lineRule="auto"/>
        <w:ind w:left="-180" w:right="-90"/>
        <w:jc w:val="center"/>
        <w:rPr>
          <w:rFonts w:asciiTheme="majorHAnsi" w:eastAsia="Times New Roman" w:hAnsiTheme="majorHAnsi" w:cstheme="majorHAnsi"/>
          <w:bCs/>
          <w:sz w:val="24"/>
          <w:szCs w:val="24"/>
        </w:rPr>
      </w:pPr>
      <w:r>
        <w:rPr>
          <w:rFonts w:asciiTheme="majorHAnsi" w:eastAsia="Times New Roman" w:hAnsiTheme="majorHAnsi" w:cstheme="majorHAnsi"/>
          <w:bCs/>
          <w:sz w:val="24"/>
          <w:szCs w:val="24"/>
        </w:rPr>
        <w:t>2023</w:t>
      </w:r>
    </w:p>
    <w:p w14:paraId="167C8506" w14:textId="3E149D17" w:rsidR="0019361B" w:rsidRDefault="00240056"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mc:AlternateContent>
          <mc:Choice Requires="wps">
            <w:drawing>
              <wp:anchor distT="0" distB="0" distL="114300" distR="114300" simplePos="0" relativeHeight="251659264" behindDoc="0" locked="0" layoutInCell="1" allowOverlap="1" wp14:anchorId="39CE7D3F" wp14:editId="662E03A5">
                <wp:simplePos x="0" y="0"/>
                <wp:positionH relativeFrom="column">
                  <wp:posOffset>-893135</wp:posOffset>
                </wp:positionH>
                <wp:positionV relativeFrom="paragraph">
                  <wp:posOffset>8346558</wp:posOffset>
                </wp:positionV>
                <wp:extent cx="7740384" cy="254977"/>
                <wp:effectExtent l="0" t="0" r="0" b="0"/>
                <wp:wrapNone/>
                <wp:docPr id="1" name="Text Box 1"/>
                <wp:cNvGraphicFramePr/>
                <a:graphic xmlns:a="http://schemas.openxmlformats.org/drawingml/2006/main">
                  <a:graphicData uri="http://schemas.microsoft.com/office/word/2010/wordprocessingShape">
                    <wps:wsp>
                      <wps:cNvSpPr txBox="1"/>
                      <wps:spPr>
                        <a:xfrm>
                          <a:off x="0" y="0"/>
                          <a:ext cx="7740384" cy="254977"/>
                        </a:xfrm>
                        <a:prstGeom prst="rect">
                          <a:avLst/>
                        </a:prstGeom>
                        <a:solidFill>
                          <a:schemeClr val="lt1"/>
                        </a:solidFill>
                        <a:ln w="6350">
                          <a:noFill/>
                        </a:ln>
                      </wps:spPr>
                      <wps:txb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9CE7D3F" id="_x0000_t202" coordsize="21600,21600" o:spt="202" path="m,l,21600r21600,l21600,xe">
                <v:stroke joinstyle="miter"/>
                <v:path gradientshapeok="t" o:connecttype="rect"/>
              </v:shapetype>
              <v:shape id="Text Box 1" o:spid="_x0000_s1026" type="#_x0000_t202" style="position:absolute;margin-left:-70.35pt;margin-top:657.2pt;width:609.5pt;height:20.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" fillcolor="white [3201]" stroked="f" strokeweight=".5pt">
                <v:textbox>
                  <w:txbxContent>
                    <w:p w14:paraId="62538D5D" w14:textId="3FDF3F42" w:rsidR="00240056" w:rsidRPr="00E2467E" w:rsidRDefault="00240056" w:rsidP="00240056">
                      <w:pPr>
                        <w:jc w:val="center"/>
                        <w:rPr>
                          <w:rFonts w:asciiTheme="majorHAnsi" w:hAnsiTheme="majorHAnsi" w:cstheme="majorHAnsi"/>
                          <w:sz w:val="24"/>
                          <w:szCs w:val="24"/>
                        </w:rPr>
                      </w:pPr>
                      <w:r w:rsidRPr="00E2467E">
                        <w:rPr>
                          <w:rFonts w:asciiTheme="majorHAnsi" w:hAnsiTheme="majorHAnsi" w:cstheme="majorHAnsi"/>
                          <w:sz w:val="24"/>
                          <w:szCs w:val="24"/>
                        </w:rPr>
                        <w:t>© 2022 Shannon Erica Kendal Joslin</w:t>
                      </w:r>
                    </w:p>
                  </w:txbxContent>
                </v:textbox>
              </v:shape>
            </w:pict>
          </mc:Fallback>
        </mc:AlternateContent>
      </w:r>
      <w:r>
        <w:rPr>
          <w:rFonts w:ascii="Times New Roman" w:eastAsia="Times New Roman" w:hAnsi="Times New Roman" w:cs="Times New Roman"/>
          <w:b/>
        </w:rPr>
        <w:br w:type="page"/>
      </w:r>
    </w:p>
    <w:p w14:paraId="37DB5113" w14:textId="2E17BA7A" w:rsidR="003903DF" w:rsidRDefault="003903DF" w:rsidP="0011235A">
      <w:pPr>
        <w:spacing w:after="0" w:line="240" w:lineRule="auto"/>
        <w:jc w:val="left"/>
        <w:rPr>
          <w:rFonts w:ascii="Times New Roman" w:eastAsia="Times New Roman" w:hAnsi="Times New Roman" w:cs="Times New Roman"/>
          <w:b/>
        </w:rPr>
      </w:pPr>
      <w:r>
        <w:rPr>
          <w:rFonts w:ascii="Times New Roman" w:eastAsia="Times New Roman" w:hAnsi="Times New Roman" w:cs="Times New Roman"/>
          <w:b/>
          <w:noProof/>
        </w:rPr>
        <w:lastRenderedPageBreak/>
        <mc:AlternateContent>
          <mc:Choice Requires="wps">
            <w:drawing>
              <wp:anchor distT="0" distB="0" distL="114300" distR="114300" simplePos="0" relativeHeight="251660288" behindDoc="0" locked="0" layoutInCell="1" allowOverlap="1" wp14:anchorId="5F59B7AE" wp14:editId="1A4A577C">
                <wp:simplePos x="0" y="0"/>
                <wp:positionH relativeFrom="column">
                  <wp:posOffset>-904009</wp:posOffset>
                </wp:positionH>
                <wp:positionV relativeFrom="paragraph">
                  <wp:posOffset>7938655</wp:posOffset>
                </wp:positionV>
                <wp:extent cx="7772400" cy="280554"/>
                <wp:effectExtent l="0" t="0" r="0" b="0"/>
                <wp:wrapNone/>
                <wp:docPr id="2" name="Text Box 2"/>
                <wp:cNvGraphicFramePr/>
                <a:graphic xmlns:a="http://schemas.openxmlformats.org/drawingml/2006/main">
                  <a:graphicData uri="http://schemas.microsoft.com/office/word/2010/wordprocessingShape">
                    <wps:wsp>
                      <wps:cNvSpPr txBox="1"/>
                      <wps:spPr>
                        <a:xfrm>
                          <a:off x="0" y="0"/>
                          <a:ext cx="7772400" cy="280554"/>
                        </a:xfrm>
                        <a:prstGeom prst="rect">
                          <a:avLst/>
                        </a:prstGeom>
                        <a:solidFill>
                          <a:schemeClr val="lt1"/>
                        </a:solidFill>
                        <a:ln w="6350">
                          <a:noFill/>
                        </a:ln>
                      </wps:spPr>
                      <wps:txb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59B7AE" id="_x0000_t202" coordsize="21600,21600" o:spt="202" path="m,l,21600r21600,l21600,xe">
                <v:stroke joinstyle="miter"/>
                <v:path gradientshapeok="t" o:connecttype="rect"/>
              </v:shapetype>
              <v:shape id="Text Box 2" o:spid="_x0000_s1027" type="#_x0000_t202" style="position:absolute;margin-left:-71.2pt;margin-top:625.1pt;width:612pt;height:2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" fillcolor="white [3201]" stroked="f" strokeweight=".5pt">
                <v:textbox>
                  <w:txbxContent>
                    <w:p w14:paraId="4C7B81EE" w14:textId="535B2856" w:rsidR="003903DF" w:rsidRPr="003903DF" w:rsidRDefault="003903DF" w:rsidP="003903DF">
                      <w:pPr>
                        <w:jc w:val="center"/>
                        <w:rPr>
                          <w:rFonts w:asciiTheme="majorHAnsi" w:hAnsiTheme="majorHAnsi" w:cstheme="majorHAnsi"/>
                          <w:sz w:val="24"/>
                          <w:szCs w:val="24"/>
                        </w:rPr>
                      </w:pPr>
                      <w:r>
                        <w:rPr>
                          <w:rFonts w:asciiTheme="majorHAnsi" w:hAnsiTheme="majorHAnsi" w:cstheme="majorHAnsi"/>
                          <w:sz w:val="24"/>
                          <w:szCs w:val="24"/>
                        </w:rPr>
                        <w:t xml:space="preserve">© </w:t>
                      </w:r>
                      <w:r w:rsidRPr="003903DF">
                        <w:rPr>
                          <w:rFonts w:asciiTheme="majorHAnsi" w:hAnsiTheme="majorHAnsi" w:cstheme="majorHAnsi"/>
                          <w:sz w:val="24"/>
                          <w:szCs w:val="24"/>
                        </w:rPr>
                        <w:t>202</w:t>
                      </w:r>
                      <w:r w:rsidR="00E176B5">
                        <w:rPr>
                          <w:rFonts w:asciiTheme="majorHAnsi" w:hAnsiTheme="majorHAnsi" w:cstheme="majorHAnsi"/>
                          <w:sz w:val="24"/>
                          <w:szCs w:val="24"/>
                        </w:rPr>
                        <w:t>3</w:t>
                      </w:r>
                      <w:r w:rsidRPr="003903DF">
                        <w:rPr>
                          <w:rFonts w:asciiTheme="majorHAnsi" w:hAnsiTheme="majorHAnsi" w:cstheme="majorHAnsi"/>
                          <w:sz w:val="24"/>
                          <w:szCs w:val="24"/>
                        </w:rPr>
                        <w:t xml:space="preserve"> Shannon Erica Kendal Joslin</w:t>
                      </w:r>
                    </w:p>
                  </w:txbxContent>
                </v:textbox>
              </v:shape>
            </w:pict>
          </mc:Fallback>
        </mc:AlternateContent>
      </w:r>
      <w:r>
        <w:rPr>
          <w:rFonts w:ascii="Times New Roman" w:eastAsia="Times New Roman" w:hAnsi="Times New Roman" w:cs="Times New Roman"/>
          <w:b/>
        </w:rPr>
        <w:br w:type="page"/>
      </w:r>
    </w:p>
    <w:p w14:paraId="52C62AD5" w14:textId="4D705D97" w:rsidR="003F5039" w:rsidRPr="00852508" w:rsidRDefault="003903DF" w:rsidP="0011235A">
      <w:pPr>
        <w:pStyle w:val="TOCHeading"/>
        <w:tabs>
          <w:tab w:val="left" w:pos="532"/>
        </w:tabs>
        <w:spacing w:line="240" w:lineRule="auto"/>
        <w:outlineLvl w:val="0"/>
      </w:pPr>
      <w:bookmarkStart w:id="1" w:name="_Toc113273215"/>
      <w:r>
        <w:lastRenderedPageBreak/>
        <w:t xml:space="preserve">Preliminary </w:t>
      </w:r>
      <w:proofErr w:type="gramStart"/>
      <w:r>
        <w:t>Pages</w:t>
      </w:r>
      <w:r w:rsidR="00B117DB">
        <w:t xml:space="preserve"> </w:t>
      </w:r>
      <w:r w:rsidR="003F5039" w:rsidRPr="00852508">
        <w:t xml:space="preserve"> –</w:t>
      </w:r>
      <w:proofErr w:type="gramEnd"/>
      <w:r w:rsidR="00B117DB">
        <w:t xml:space="preserve"> </w:t>
      </w:r>
      <w:r w:rsidR="003F5039" w:rsidRPr="00852508">
        <w:t xml:space="preserve">Acknowledgements, </w:t>
      </w:r>
      <w:r>
        <w:t>Abstract</w:t>
      </w:r>
      <w:r w:rsidRPr="00852508">
        <w:t xml:space="preserve">, </w:t>
      </w:r>
      <w:bookmarkEnd w:id="0"/>
      <w:r w:rsidR="003F5039">
        <w:t>Table of Contents</w:t>
      </w:r>
      <w:bookmarkEnd w:id="1"/>
    </w:p>
    <w:p w14:paraId="34E31FF3" w14:textId="77777777" w:rsidR="003903DF" w:rsidRPr="00173AE9" w:rsidRDefault="003903DF" w:rsidP="0011235A">
      <w:pPr>
        <w:pStyle w:val="Header"/>
        <w:outlineLvl w:val="1"/>
        <w:rPr>
          <w:rFonts w:asciiTheme="majorHAnsi" w:hAnsiTheme="majorHAnsi" w:cstheme="majorHAnsi"/>
          <w:b w:val="0"/>
        </w:rPr>
      </w:pPr>
      <w:bookmarkStart w:id="2" w:name="_Toc113123179"/>
      <w:bookmarkStart w:id="3" w:name="_Toc113273216"/>
      <w:bookmarkStart w:id="4" w:name="_Toc112679840"/>
      <w:bookmarkStart w:id="5" w:name="_Toc113123178"/>
      <w:r w:rsidRPr="00173AE9">
        <w:rPr>
          <w:rFonts w:asciiTheme="majorHAnsi" w:hAnsiTheme="majorHAnsi" w:cstheme="majorHAnsi"/>
        </w:rPr>
        <w:t>Acknowledgements</w:t>
      </w:r>
      <w:bookmarkEnd w:id="2"/>
      <w:bookmarkEnd w:id="3"/>
    </w:p>
    <w:p w14:paraId="084D7211" w14:textId="77777777" w:rsidR="003903DF" w:rsidRPr="00F95176" w:rsidRDefault="003903DF" w:rsidP="0011235A">
      <w:pPr>
        <w:spacing w:line="240" w:lineRule="auto"/>
        <w:rPr>
          <w:rFonts w:asciiTheme="majorHAnsi" w:hAnsiTheme="majorHAnsi" w:cstheme="majorHAnsi"/>
          <w:sz w:val="22"/>
          <w:szCs w:val="22"/>
        </w:rPr>
      </w:pPr>
      <w:proofErr w:type="spellStart"/>
      <w:r>
        <w:rPr>
          <w:rFonts w:asciiTheme="majorHAnsi" w:hAnsiTheme="majorHAnsi" w:cstheme="majorHAnsi"/>
          <w:sz w:val="22"/>
          <w:szCs w:val="22"/>
        </w:rPr>
        <w:t>tktkt</w:t>
      </w:r>
      <w:proofErr w:type="spellEnd"/>
      <w:r w:rsidRPr="00F95176">
        <w:rPr>
          <w:rFonts w:asciiTheme="majorHAnsi" w:hAnsiTheme="majorHAnsi" w:cstheme="majorHAnsi"/>
          <w:sz w:val="22"/>
          <w:szCs w:val="22"/>
        </w:rPr>
        <w:t>.</w:t>
      </w:r>
    </w:p>
    <w:p w14:paraId="1766105D" w14:textId="116767CA" w:rsidR="003F5039" w:rsidRPr="00F95176" w:rsidRDefault="003F5039" w:rsidP="0011235A">
      <w:pPr>
        <w:pStyle w:val="Header"/>
        <w:outlineLvl w:val="1"/>
        <w:rPr>
          <w:b w:val="0"/>
        </w:rPr>
      </w:pPr>
      <w:bookmarkStart w:id="6" w:name="_Toc113273217"/>
      <w:r w:rsidRPr="00F95176">
        <w:t>Abstract</w:t>
      </w:r>
      <w:bookmarkEnd w:id="4"/>
      <w:bookmarkEnd w:id="5"/>
      <w:bookmarkEnd w:id="6"/>
      <w:r w:rsidR="00355F91">
        <w:t xml:space="preserve"> </w:t>
      </w:r>
    </w:p>
    <w:p w14:paraId="5FA28A66" w14:textId="58B10930" w:rsidR="007A1054" w:rsidRDefault="007A1054" w:rsidP="0011235A">
      <w:pPr>
        <w:spacing w:line="240" w:lineRule="auto"/>
        <w:rPr>
          <w:rFonts w:asciiTheme="majorHAnsi" w:hAnsiTheme="majorHAnsi" w:cstheme="majorHAnsi"/>
          <w:sz w:val="24"/>
          <w:szCs w:val="24"/>
        </w:rPr>
      </w:pPr>
      <w:r w:rsidRPr="00382793">
        <w:rPr>
          <w:rFonts w:asciiTheme="majorHAnsi" w:hAnsiTheme="majorHAnsi" w:cstheme="majorHAnsi"/>
          <w:sz w:val="24"/>
          <w:szCs w:val="24"/>
        </w:rPr>
        <w:t>Delta smelt (</w:t>
      </w:r>
      <w:r w:rsidRPr="00382793">
        <w:rPr>
          <w:rFonts w:asciiTheme="majorHAnsi" w:hAnsiTheme="majorHAnsi" w:cstheme="majorHAnsi"/>
          <w:i/>
          <w:iCs/>
          <w:sz w:val="24"/>
          <w:szCs w:val="24"/>
        </w:rPr>
        <w:t>Hypomesus transpacificus</w:t>
      </w:r>
      <w:r w:rsidR="00D86949">
        <w:rPr>
          <w:rFonts w:asciiTheme="majorHAnsi" w:hAnsiTheme="majorHAnsi" w:cstheme="majorHAnsi"/>
          <w:sz w:val="24"/>
          <w:szCs w:val="24"/>
        </w:rPr>
        <w:t xml:space="preserve"> (delta smelt,</w:t>
      </w:r>
      <w:r w:rsidR="00D86949">
        <w:rPr>
          <w:rFonts w:asciiTheme="majorHAnsi" w:hAnsiTheme="majorHAnsi" w:cstheme="majorHAnsi"/>
          <w:i/>
          <w:iCs/>
          <w:sz w:val="24"/>
          <w:szCs w:val="24"/>
        </w:rPr>
        <w:t xml:space="preserve"> </w:t>
      </w:r>
      <w:r w:rsidRPr="00382793">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{"citationID":"OrmbabkI","properties":{"formattedCitation":"(McAllister, 1963)","plainCitation":"(McAllister, 1963)","noteIndex":0},"citationItems":[{"id":"Z89L5Dz4/Y6sGhb1L","uris":["http://www.mendeley.com/documents/?uuid=154a621a-a2e3-443b-849e-2593b42c5c2d"],"itemData":{"author":[{"dropping-particle":"","family":"McAllister","given":"D. E.","non-dropping-particle":"","parse-names":false,"suffix":""}],"id":"8IGFs4Dg/pOledPbF","issued":{"date-parts":[["1963"]]},"number-of-pages":"53","publisher":"National Museum of Canada, Biological Series 191","title":"Revision of the smelt family, Osmeridae.","type":"book"}}],"schema":"https://github.com/citation-style-language/schema/raw/master/csl-citation.json"} </w:instrText>
      </w:r>
      <w:r w:rsidRPr="00382793">
        <w:rPr>
          <w:rFonts w:asciiTheme="majorHAnsi" w:hAnsiTheme="majorHAnsi" w:cstheme="majorHAnsi"/>
          <w:sz w:val="24"/>
          <w:szCs w:val="24"/>
        </w:rPr>
        <w:fldChar w:fldCharType="separate"/>
      </w:r>
      <w:r w:rsidR="002335A7">
        <w:rPr>
          <w:rFonts w:asciiTheme="majorHAnsi" w:hAnsiTheme="majorHAnsi" w:cstheme="majorHAnsi"/>
          <w:sz w:val="24"/>
          <w:szCs w:val="24"/>
        </w:rPr>
        <w:t>(McAllister, 1963)</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is a federally threatened and state endangered fish endemic to the an Francisco Estuary and Sacramento-San Joaquin Delta of North America (SFE). The species is a small, pelagic, mostly annually reproductive fish with freshwater resident, migratory, and semi-migratory life histories</w:t>
      </w:r>
      <w:r w:rsidR="00D86949">
        <w:rPr>
          <w:rFonts w:asciiTheme="majorHAnsi" w:hAnsiTheme="majorHAnsi" w:cstheme="majorHAnsi"/>
          <w:sz w:val="24"/>
          <w:szCs w:val="24"/>
        </w:rPr>
        <w:t xml:space="preserve"> </w:t>
      </w:r>
      <w:r w:rsidRPr="00382793">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{"citationID":"2DF4gjh7","properties":{"formattedCitation":"(Campbell et al., 2022; Hobbs et al., 2019)","plainCitation":"(Campbell et al., 2022; Hobbs et al., 2019)","noteIndex":0},"citationItems":[{"id":579,"uris":["http://zotero.org/users/local/3tku6QP0/items/CAYCDWGR"],"itemData":{"id":579,"type":"article-journal","abstract":"Migration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J"}],"editor":[{"family":"Tachida","given":"H"}],"issued":{"date-parts":[["2022",7,29]]}}},{"id":601,"uris":["http://zotero.org/users/local/3tku6QP0/items/IFYTFSRI"],"itemData":{"id":601,"type":"article-journal","abstract":"Abstract\n            \n              Effective conservation of endangered species requires knowledge of the full range of life-history strategies used to maximize population resilience within a stochastic and ever-changing environment. California’s endemic Delta Smelt (\n              Hypomesus transpacificus\n              ) is rapidly approaching extinction in the San Francisco Estuary, placing it in the crossfire between human and environmental uses of limited freshwater resources. Though managed as a semi-anadromous species, recent studies have challenged this lifecycle model for Delta Smelt, suggesting the species is an estuarine resident with several localized “hot-spots” of abundance. Using laser-ablation otolith strontium isotope microchemistry, we discovered three distinct life-history phenotypes including freshwater resident (FWR), brackish-water resident (BWR), and semi-anadromous (SA) fish. We further refined life-history phenotypes using an unsupervised algorithm and hierarchical clustering and found that in the last resilient year-class, the FWR (12%) and BWR (7%) comprised a small portion of the population, while the majority of fish were SA (81%). Furthermore, the semi-anadromous fish could be clustered into at least four additional life-history phenotypes that varied by natal origin, dispersal age and adult salinity history. These diverse life-history strategies should be incorporated into future conservation and management efforts aimed at preventing the extinction of Delta Smelt in the wild.","container-title":"Scientific Reports","DOI":"10.1038/s41598-019-52273-8","ISSN":"2045-2322","issue":"1","journalAbbreviation":"Sci Rep","language":"en","page":"16772","source":"DOI.org (Crossref)","title":"Complex life histories discovered in a critically endangered fish","volume":"9","author":[{"family":"Hobbs","given":"James A."},{"family":"Lewis","given":"Levi S."},{"family":"Willmes","given":"Malte"},{"family":"Denney","given":"Christian"},{"family":"Bush","given":"Eva"}],"issued":{"date-parts":[["2019",12]]}}}],"schema":"https://github.com/citation-style-language/schema/raw/master/csl-citation.json"} </w:instrText>
      </w:r>
      <w:r w:rsidRPr="00382793">
        <w:rPr>
          <w:rFonts w:asciiTheme="majorHAnsi" w:hAnsiTheme="majorHAnsi" w:cstheme="majorHAnsi"/>
          <w:sz w:val="24"/>
          <w:szCs w:val="24"/>
        </w:rPr>
        <w:fldChar w:fldCharType="separate"/>
      </w:r>
      <w:r w:rsidR="00D86949">
        <w:rPr>
          <w:rFonts w:asciiTheme="majorHAnsi" w:hAnsiTheme="majorHAnsi" w:cstheme="majorHAnsi"/>
          <w:sz w:val="24"/>
          <w:szCs w:val="24"/>
        </w:rPr>
        <w:t>(Campbell et al., 2022; Hobbs et al., 2019)</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They have previously been thought of as an indicator species for the health of water quality in the SFE. The </w:t>
      </w:r>
      <w:r w:rsidRPr="00382793">
        <w:rPr>
          <w:rFonts w:asciiTheme="majorHAnsi" w:hAnsiTheme="majorHAnsi" w:cstheme="majorHAnsi"/>
          <w:sz w:val="24"/>
          <w:szCs w:val="24"/>
          <w:lang w:val="en"/>
        </w:rPr>
        <w:t>species has undergone a population collapse associated with drought and anthropogenic effects, and it is now believed stochastic processes may push the species to extinction</w:t>
      </w:r>
      <w:r w:rsidR="00D86949">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{"citationID":"esEzMCPX","properties":{"formattedCitation":"(Fisch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Meaningful conservation management of the species must encompass gaining a better understanding of the life history, ecology, and physiology of the species to effectively preserve biological components contributing to success in the wild. Because genetics, in combination with the environment, influence many aspects of individual and population level phenotypes, building a framework to better understand the species requires the development of genetic resources and monitoring of genetic diversity. Chapter one of this dissertation presents two chromosome-level genome assemblies –– one male and one female –– which are </w:t>
      </w:r>
      <w:r w:rsidR="00430654">
        <w:rPr>
          <w:rFonts w:asciiTheme="majorHAnsi" w:hAnsiTheme="majorHAnsi" w:cstheme="majorHAnsi"/>
          <w:sz w:val="24"/>
          <w:szCs w:val="24"/>
        </w:rPr>
        <w:t>necessary</w:t>
      </w:r>
      <w:r w:rsidRPr="00382793">
        <w:rPr>
          <w:rFonts w:asciiTheme="majorHAnsi" w:hAnsiTheme="majorHAnsi" w:cstheme="majorHAnsi"/>
          <w:sz w:val="24"/>
          <w:szCs w:val="24"/>
        </w:rPr>
        <w:t xml:space="preserve"> resources for current and ongoing research within delta smelt, </w:t>
      </w:r>
      <w:r w:rsidR="00EC3367">
        <w:rPr>
          <w:rFonts w:asciiTheme="majorHAnsi" w:hAnsiTheme="majorHAnsi" w:cstheme="majorHAnsi"/>
          <w:sz w:val="24"/>
          <w:szCs w:val="24"/>
        </w:rPr>
        <w:t>including</w:t>
      </w:r>
      <w:r w:rsidRPr="00382793">
        <w:rPr>
          <w:rFonts w:asciiTheme="majorHAnsi" w:hAnsiTheme="majorHAnsi" w:cstheme="majorHAnsi"/>
          <w:sz w:val="24"/>
          <w:szCs w:val="24"/>
        </w:rPr>
        <w:t xml:space="preserve"> evolutionary and conservation genetics. Chapter two investigates three novel methods for identifying sex marker(s) within the delta smelt genome. While no specific sequences diagnostic of sex </w:t>
      </w:r>
      <w:proofErr w:type="gramStart"/>
      <w:r w:rsidRPr="00382793">
        <w:rPr>
          <w:rFonts w:asciiTheme="majorHAnsi" w:hAnsiTheme="majorHAnsi" w:cstheme="majorHAnsi"/>
          <w:sz w:val="24"/>
          <w:szCs w:val="24"/>
        </w:rPr>
        <w:t>were</w:t>
      </w:r>
      <w:proofErr w:type="gramEnd"/>
      <w:r w:rsidRPr="00382793">
        <w:rPr>
          <w:rFonts w:asciiTheme="majorHAnsi" w:hAnsiTheme="majorHAnsi" w:cstheme="majorHAnsi"/>
          <w:sz w:val="24"/>
          <w:szCs w:val="24"/>
        </w:rPr>
        <w:t xml:space="preserve"> found, sex-specific discrepancies in </w:t>
      </w:r>
      <w:proofErr w:type="spellStart"/>
      <w:r w:rsidRPr="00382793">
        <w:rPr>
          <w:rFonts w:asciiTheme="majorHAnsi" w:hAnsiTheme="majorHAnsi" w:cstheme="majorHAnsi"/>
          <w:sz w:val="24"/>
          <w:szCs w:val="24"/>
        </w:rPr>
        <w:t>kmer</w:t>
      </w:r>
      <w:r w:rsidR="00EC3367">
        <w:rPr>
          <w:rFonts w:asciiTheme="majorHAnsi" w:hAnsiTheme="majorHAnsi" w:cstheme="majorHAnsi"/>
          <w:sz w:val="24"/>
          <w:szCs w:val="24"/>
        </w:rPr>
        <w:t>s</w:t>
      </w:r>
      <w:proofErr w:type="spellEnd"/>
      <w:r w:rsidRPr="00382793">
        <w:rPr>
          <w:rFonts w:asciiTheme="majorHAnsi" w:hAnsiTheme="majorHAnsi" w:cstheme="majorHAnsi"/>
          <w:sz w:val="24"/>
          <w:szCs w:val="24"/>
        </w:rPr>
        <w:t xml:space="preserve"> were identified. Chapter three uses restriction site-associated DNA sequencing (RAD</w:t>
      </w:r>
      <w:r w:rsidR="002C2F3F">
        <w:rPr>
          <w:rFonts w:asciiTheme="majorHAnsi" w:hAnsiTheme="majorHAnsi" w:cstheme="majorHAnsi"/>
          <w:sz w:val="24"/>
          <w:szCs w:val="24"/>
        </w:rPr>
        <w:t>-s</w:t>
      </w:r>
      <w:r w:rsidRPr="00382793">
        <w:rPr>
          <w:rFonts w:asciiTheme="majorHAnsi" w:hAnsiTheme="majorHAnsi" w:cstheme="majorHAnsi"/>
          <w:sz w:val="24"/>
          <w:szCs w:val="24"/>
        </w:rPr>
        <w:t>eq</w:t>
      </w:r>
      <w:r w:rsidR="002C2F3F">
        <w:rPr>
          <w:rFonts w:asciiTheme="majorHAnsi" w:hAnsiTheme="majorHAnsi" w:cstheme="majorHAnsi"/>
          <w:sz w:val="24"/>
          <w:szCs w:val="24"/>
        </w:rPr>
        <w:t>uencing</w:t>
      </w:r>
      <w:r w:rsidRPr="00382793">
        <w:rPr>
          <w:rFonts w:asciiTheme="majorHAnsi" w:hAnsiTheme="majorHAnsi" w:cstheme="majorHAnsi"/>
          <w:sz w:val="24"/>
          <w:szCs w:val="24"/>
        </w:rPr>
        <w:t>) of 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__ delta smelt from__</w:t>
      </w:r>
      <w:proofErr w:type="spellStart"/>
      <w:r w:rsidRPr="00382793">
        <w:rPr>
          <w:rFonts w:asciiTheme="majorHAnsi" w:hAnsiTheme="majorHAnsi" w:cstheme="majorHAnsi"/>
          <w:sz w:val="24"/>
          <w:szCs w:val="24"/>
        </w:rPr>
        <w:t>tk</w:t>
      </w:r>
      <w:proofErr w:type="spellEnd"/>
      <w:r w:rsidRPr="00382793">
        <w:rPr>
          <w:rFonts w:asciiTheme="majorHAnsi" w:hAnsiTheme="majorHAnsi" w:cstheme="majorHAnsi"/>
          <w:sz w:val="24"/>
          <w:szCs w:val="24"/>
        </w:rPr>
        <w:t xml:space="preserve">__ generations to monitor contemporary and historical effective population size, a metric </w:t>
      </w:r>
      <w:r w:rsidR="00EC3367">
        <w:rPr>
          <w:rFonts w:asciiTheme="majorHAnsi" w:hAnsiTheme="majorHAnsi" w:cstheme="majorHAnsi"/>
          <w:sz w:val="24"/>
          <w:szCs w:val="24"/>
        </w:rPr>
        <w:t>tracking</w:t>
      </w:r>
      <w:r w:rsidRPr="00382793">
        <w:rPr>
          <w:rFonts w:asciiTheme="majorHAnsi" w:hAnsiTheme="majorHAnsi" w:cstheme="majorHAnsi"/>
          <w:sz w:val="24"/>
          <w:szCs w:val="24"/>
        </w:rPr>
        <w:t xml:space="preserve"> genetic diversity</w:t>
      </w:r>
      <w:r w:rsidR="00EC3367">
        <w:rPr>
          <w:rFonts w:asciiTheme="majorHAnsi" w:hAnsiTheme="majorHAnsi" w:cstheme="majorHAnsi"/>
          <w:sz w:val="24"/>
          <w:szCs w:val="24"/>
        </w:rPr>
        <w:t xml:space="preserve"> loss</w:t>
      </w:r>
      <w:r w:rsidRPr="00382793">
        <w:rPr>
          <w:rFonts w:asciiTheme="majorHAnsi" w:hAnsiTheme="majorHAnsi" w:cstheme="majorHAnsi"/>
          <w:sz w:val="24"/>
          <w:szCs w:val="24"/>
        </w:rPr>
        <w:t xml:space="preserve"> through time. Results show a sweeping and significant decrease in genetic diversity for both measurements within wild delta smelt since 1993. This work contributes to the broad comparative biology and conservation genetic communities, and specifically to delta smelt monitoring, management, and research. To date, our assembled delta smelt genomes are the first to provide male and female specific </w:t>
      </w:r>
      <w:proofErr w:type="gramStart"/>
      <w:r w:rsidRPr="00382793">
        <w:rPr>
          <w:rFonts w:asciiTheme="majorHAnsi" w:hAnsiTheme="majorHAnsi" w:cstheme="majorHAnsi"/>
          <w:sz w:val="24"/>
          <w:szCs w:val="24"/>
        </w:rPr>
        <w:t xml:space="preserve">assemblies, </w:t>
      </w:r>
      <w:r w:rsidR="00EC3367">
        <w:rPr>
          <w:rFonts w:asciiTheme="majorHAnsi" w:hAnsiTheme="majorHAnsi" w:cstheme="majorHAnsi"/>
          <w:sz w:val="24"/>
          <w:szCs w:val="24"/>
        </w:rPr>
        <w:t>and</w:t>
      </w:r>
      <w:proofErr w:type="gramEnd"/>
      <w:r w:rsidR="00EC3367">
        <w:rPr>
          <w:rFonts w:asciiTheme="majorHAnsi" w:hAnsiTheme="majorHAnsi" w:cstheme="majorHAnsi"/>
          <w:sz w:val="24"/>
          <w:szCs w:val="24"/>
        </w:rPr>
        <w:t xml:space="preserve"> </w:t>
      </w:r>
      <w:r w:rsidRPr="00382793">
        <w:rPr>
          <w:rFonts w:asciiTheme="majorHAnsi" w:hAnsiTheme="majorHAnsi" w:cstheme="majorHAnsi"/>
          <w:sz w:val="24"/>
          <w:szCs w:val="24"/>
        </w:rPr>
        <w:t xml:space="preserve">are the first chromosome-level and least fragmented publicly available reference genomes within the </w:t>
      </w:r>
      <w:proofErr w:type="spellStart"/>
      <w:r w:rsidRPr="00382793">
        <w:rPr>
          <w:rFonts w:asciiTheme="majorHAnsi" w:hAnsiTheme="majorHAnsi" w:cstheme="majorHAnsi"/>
          <w:i/>
          <w:iCs/>
          <w:sz w:val="24"/>
          <w:szCs w:val="24"/>
        </w:rPr>
        <w:t>Osmeridae</w:t>
      </w:r>
      <w:proofErr w:type="spellEnd"/>
      <w:r w:rsidRPr="00382793">
        <w:rPr>
          <w:rFonts w:asciiTheme="majorHAnsi" w:hAnsiTheme="majorHAnsi" w:cstheme="majorHAnsi"/>
          <w:i/>
          <w:iCs/>
          <w:sz w:val="24"/>
          <w:szCs w:val="24"/>
        </w:rPr>
        <w:t xml:space="preserve"> </w:t>
      </w:r>
      <w:r w:rsidRPr="00382793">
        <w:rPr>
          <w:rFonts w:asciiTheme="majorHAnsi" w:hAnsiTheme="majorHAnsi" w:cstheme="majorHAnsi"/>
          <w:sz w:val="24"/>
          <w:szCs w:val="24"/>
        </w:rPr>
        <w:t>(smelt) family. Examination of male and female sequencing data shows a discrete difference between sexes and establishes a framework for further investigation. Contemporary and historical declines in effective population size support the need for effective conservation management to prioritize preserving genetic diversity within the cultivated refuge population. Together these components provide necessary resources and research objectives for moving evolutionary biology and delta smelt management forward.</w:t>
      </w:r>
    </w:p>
    <w:p w14:paraId="0A6DD919" w14:textId="75FA8C5C"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bookmarkStart w:id="7" w:name="_Toc113273218" w:displacedByCustomXml="next"/>
    <w:sdt>
      <w:sdtPr>
        <w:rPr>
          <w:rFonts w:cstheme="minorBidi"/>
          <w:b w:val="0"/>
          <w:bCs w:val="0"/>
          <w:i w:val="0"/>
          <w:iCs w:val="0"/>
          <w:sz w:val="20"/>
          <w:szCs w:val="20"/>
        </w:rPr>
        <w:id w:val="817002321"/>
        <w:docPartObj>
          <w:docPartGallery w:val="Table of Contents"/>
          <w:docPartUnique/>
        </w:docPartObj>
      </w:sdtPr>
      <w:sdtEndPr>
        <w:rPr>
          <w:noProof/>
        </w:rPr>
      </w:sdtEndPr>
      <w:sdtContent>
        <w:p w14:paraId="7B45BCA4" w14:textId="77777777" w:rsidR="003903DF" w:rsidRPr="003B7B17" w:rsidRDefault="003903DF" w:rsidP="0011235A">
          <w:pPr>
            <w:pStyle w:val="TOC1"/>
            <w:spacing w:line="240" w:lineRule="auto"/>
            <w:outlineLvl w:val="1"/>
            <w:rPr>
              <w:rFonts w:asciiTheme="majorHAnsi" w:hAnsiTheme="majorHAnsi" w:cstheme="majorHAnsi"/>
            </w:rPr>
          </w:pPr>
          <w:r w:rsidRPr="003B7B17">
            <w:rPr>
              <w:rFonts w:asciiTheme="majorHAnsi" w:hAnsiTheme="majorHAnsi" w:cstheme="majorHAnsi"/>
            </w:rPr>
            <w:t>Table of Contents</w:t>
          </w:r>
          <w:bookmarkEnd w:id="7"/>
        </w:p>
        <w:p w14:paraId="3629024C" w14:textId="71D7E7C5" w:rsidR="00635F3E" w:rsidRDefault="003903DF" w:rsidP="0011235A">
          <w:pPr>
            <w:pStyle w:val="TOC1"/>
            <w:tabs>
              <w:tab w:val="right" w:leader="dot" w:pos="9350"/>
            </w:tabs>
            <w:spacing w:line="240" w:lineRule="auto"/>
            <w:rPr>
              <w:rFonts w:cstheme="minorBidi"/>
              <w:b w:val="0"/>
              <w:bCs w:val="0"/>
              <w:i w:val="0"/>
              <w:iCs w:val="0"/>
              <w:noProof/>
            </w:rPr>
          </w:pPr>
          <w:r w:rsidRPr="003B7B17">
            <w:rPr>
              <w:rFonts w:asciiTheme="majorHAnsi" w:hAnsiTheme="majorHAnsi" w:cstheme="majorHAnsi"/>
              <w:b w:val="0"/>
              <w:bCs w:val="0"/>
            </w:rPr>
            <w:fldChar w:fldCharType="begin"/>
          </w:r>
          <w:r w:rsidRPr="003B7B17">
            <w:rPr>
              <w:rFonts w:asciiTheme="majorHAnsi" w:hAnsiTheme="majorHAnsi" w:cstheme="majorHAnsi"/>
            </w:rPr>
            <w:instrText xml:space="preserve"> TOC \o "1-3" \h \z \u </w:instrText>
          </w:r>
          <w:r w:rsidRPr="003B7B17">
            <w:rPr>
              <w:rFonts w:asciiTheme="majorHAnsi" w:hAnsiTheme="majorHAnsi" w:cstheme="majorHAnsi"/>
              <w:b w:val="0"/>
              <w:bCs w:val="0"/>
            </w:rPr>
            <w:fldChar w:fldCharType="separate"/>
          </w:r>
          <w:hyperlink w:anchor="_Toc113273215" w:history="1">
            <w:r w:rsidR="00635F3E" w:rsidRPr="007B5827">
              <w:rPr>
                <w:rStyle w:val="Hyperlink"/>
                <w:noProof/>
              </w:rPr>
              <w:t>Preliminary Pages  – Acknowledgements, Abstract, Table of Contents</w:t>
            </w:r>
            <w:r w:rsidR="00635F3E">
              <w:rPr>
                <w:noProof/>
                <w:webHidden/>
              </w:rPr>
              <w:tab/>
            </w:r>
            <w:r w:rsidR="00635F3E">
              <w:rPr>
                <w:noProof/>
                <w:webHidden/>
              </w:rPr>
              <w:fldChar w:fldCharType="begin"/>
            </w:r>
            <w:r w:rsidR="00635F3E">
              <w:rPr>
                <w:noProof/>
                <w:webHidden/>
              </w:rPr>
              <w:instrText xml:space="preserve"> PAGEREF _Toc113273215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E49DD26" w14:textId="76EF08D2" w:rsidR="00635F3E" w:rsidRDefault="00EC767F" w:rsidP="0011235A">
          <w:pPr>
            <w:pStyle w:val="TOC2"/>
            <w:tabs>
              <w:tab w:val="right" w:leader="dot" w:pos="9350"/>
            </w:tabs>
            <w:spacing w:line="240" w:lineRule="auto"/>
            <w:rPr>
              <w:rFonts w:cstheme="minorBidi"/>
              <w:b w:val="0"/>
              <w:bCs w:val="0"/>
              <w:noProof/>
              <w:sz w:val="24"/>
              <w:szCs w:val="24"/>
            </w:rPr>
          </w:pPr>
          <w:hyperlink w:anchor="_Toc113273216" w:history="1">
            <w:r w:rsidR="00635F3E" w:rsidRPr="007B5827">
              <w:rPr>
                <w:rStyle w:val="Hyperlink"/>
                <w:rFonts w:asciiTheme="majorHAnsi" w:hAnsiTheme="majorHAnsi" w:cstheme="majorHAnsi"/>
                <w:noProof/>
              </w:rPr>
              <w:t>Acknowledgements</w:t>
            </w:r>
            <w:r w:rsidR="00635F3E">
              <w:rPr>
                <w:noProof/>
                <w:webHidden/>
              </w:rPr>
              <w:tab/>
            </w:r>
            <w:r w:rsidR="00635F3E">
              <w:rPr>
                <w:noProof/>
                <w:webHidden/>
              </w:rPr>
              <w:fldChar w:fldCharType="begin"/>
            </w:r>
            <w:r w:rsidR="00635F3E">
              <w:rPr>
                <w:noProof/>
                <w:webHidden/>
              </w:rPr>
              <w:instrText xml:space="preserve"> PAGEREF _Toc113273216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52B5E14E" w14:textId="481FDEEF" w:rsidR="00635F3E" w:rsidRDefault="00EC767F" w:rsidP="0011235A">
          <w:pPr>
            <w:pStyle w:val="TOC2"/>
            <w:tabs>
              <w:tab w:val="right" w:leader="dot" w:pos="9350"/>
            </w:tabs>
            <w:spacing w:line="240" w:lineRule="auto"/>
            <w:rPr>
              <w:rFonts w:cstheme="minorBidi"/>
              <w:b w:val="0"/>
              <w:bCs w:val="0"/>
              <w:noProof/>
              <w:sz w:val="24"/>
              <w:szCs w:val="24"/>
            </w:rPr>
          </w:pPr>
          <w:hyperlink w:anchor="_Toc113273217" w:history="1">
            <w:r w:rsidR="00635F3E" w:rsidRPr="007B5827">
              <w:rPr>
                <w:rStyle w:val="Hyperlink"/>
                <w:noProof/>
              </w:rPr>
              <w:t>Abstract</w:t>
            </w:r>
            <w:r w:rsidR="00635F3E">
              <w:rPr>
                <w:noProof/>
                <w:webHidden/>
              </w:rPr>
              <w:tab/>
            </w:r>
            <w:r w:rsidR="00635F3E">
              <w:rPr>
                <w:noProof/>
                <w:webHidden/>
              </w:rPr>
              <w:fldChar w:fldCharType="begin"/>
            </w:r>
            <w:r w:rsidR="00635F3E">
              <w:rPr>
                <w:noProof/>
                <w:webHidden/>
              </w:rPr>
              <w:instrText xml:space="preserve"> PAGEREF _Toc113273217 \h </w:instrText>
            </w:r>
            <w:r w:rsidR="00635F3E">
              <w:rPr>
                <w:noProof/>
                <w:webHidden/>
              </w:rPr>
            </w:r>
            <w:r w:rsidR="00635F3E">
              <w:rPr>
                <w:noProof/>
                <w:webHidden/>
              </w:rPr>
              <w:fldChar w:fldCharType="separate"/>
            </w:r>
            <w:r w:rsidR="00635F3E">
              <w:rPr>
                <w:noProof/>
                <w:webHidden/>
              </w:rPr>
              <w:t>3</w:t>
            </w:r>
            <w:r w:rsidR="00635F3E">
              <w:rPr>
                <w:noProof/>
                <w:webHidden/>
              </w:rPr>
              <w:fldChar w:fldCharType="end"/>
            </w:r>
          </w:hyperlink>
        </w:p>
        <w:p w14:paraId="269159C2" w14:textId="6F513685" w:rsidR="00635F3E" w:rsidRDefault="00EC767F" w:rsidP="0011235A">
          <w:pPr>
            <w:pStyle w:val="TOC2"/>
            <w:tabs>
              <w:tab w:val="right" w:leader="dot" w:pos="9350"/>
            </w:tabs>
            <w:spacing w:line="240" w:lineRule="auto"/>
            <w:rPr>
              <w:rFonts w:cstheme="minorBidi"/>
              <w:b w:val="0"/>
              <w:bCs w:val="0"/>
              <w:noProof/>
              <w:sz w:val="24"/>
              <w:szCs w:val="24"/>
            </w:rPr>
          </w:pPr>
          <w:hyperlink w:anchor="_Toc113273218" w:history="1">
            <w:r w:rsidR="00635F3E" w:rsidRPr="007B5827">
              <w:rPr>
                <w:rStyle w:val="Hyperlink"/>
                <w:rFonts w:asciiTheme="majorHAnsi" w:hAnsiTheme="majorHAnsi" w:cstheme="majorHAnsi"/>
                <w:noProof/>
              </w:rPr>
              <w:t>Table of Contents</w:t>
            </w:r>
            <w:r w:rsidR="00635F3E">
              <w:rPr>
                <w:noProof/>
                <w:webHidden/>
              </w:rPr>
              <w:tab/>
            </w:r>
            <w:r w:rsidR="00635F3E">
              <w:rPr>
                <w:noProof/>
                <w:webHidden/>
              </w:rPr>
              <w:fldChar w:fldCharType="begin"/>
            </w:r>
            <w:r w:rsidR="00635F3E">
              <w:rPr>
                <w:noProof/>
                <w:webHidden/>
              </w:rPr>
              <w:instrText xml:space="preserve"> PAGEREF _Toc113273218 \h </w:instrText>
            </w:r>
            <w:r w:rsidR="00635F3E">
              <w:rPr>
                <w:noProof/>
                <w:webHidden/>
              </w:rPr>
            </w:r>
            <w:r w:rsidR="00635F3E">
              <w:rPr>
                <w:noProof/>
                <w:webHidden/>
              </w:rPr>
              <w:fldChar w:fldCharType="separate"/>
            </w:r>
            <w:r w:rsidR="00635F3E">
              <w:rPr>
                <w:noProof/>
                <w:webHidden/>
              </w:rPr>
              <w:t>5</w:t>
            </w:r>
            <w:r w:rsidR="00635F3E">
              <w:rPr>
                <w:noProof/>
                <w:webHidden/>
              </w:rPr>
              <w:fldChar w:fldCharType="end"/>
            </w:r>
          </w:hyperlink>
        </w:p>
        <w:p w14:paraId="312D3AF3" w14:textId="2236E6B3" w:rsidR="00635F3E" w:rsidRDefault="00EC767F" w:rsidP="0011235A">
          <w:pPr>
            <w:pStyle w:val="TOC1"/>
            <w:tabs>
              <w:tab w:val="right" w:leader="dot" w:pos="9350"/>
            </w:tabs>
            <w:spacing w:line="240" w:lineRule="auto"/>
            <w:rPr>
              <w:rFonts w:cstheme="minorBidi"/>
              <w:b w:val="0"/>
              <w:bCs w:val="0"/>
              <w:i w:val="0"/>
              <w:iCs w:val="0"/>
              <w:noProof/>
            </w:rPr>
          </w:pPr>
          <w:hyperlink w:anchor="_Toc113273219" w:history="1">
            <w:r w:rsidR="00635F3E" w:rsidRPr="007B5827">
              <w:rPr>
                <w:rStyle w:val="Hyperlink"/>
                <w:noProof/>
              </w:rPr>
              <w:t>Chapter 1 – Introduction</w:t>
            </w:r>
            <w:r w:rsidR="00635F3E">
              <w:rPr>
                <w:noProof/>
                <w:webHidden/>
              </w:rPr>
              <w:tab/>
            </w:r>
            <w:r w:rsidR="00635F3E">
              <w:rPr>
                <w:noProof/>
                <w:webHidden/>
              </w:rPr>
              <w:fldChar w:fldCharType="begin"/>
            </w:r>
            <w:r w:rsidR="00635F3E">
              <w:rPr>
                <w:noProof/>
                <w:webHidden/>
              </w:rPr>
              <w:instrText xml:space="preserve"> PAGEREF _Toc113273219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2F3B3D17" w14:textId="795D9A44" w:rsidR="00635F3E" w:rsidRDefault="00EC767F" w:rsidP="0011235A">
          <w:pPr>
            <w:pStyle w:val="TOC2"/>
            <w:tabs>
              <w:tab w:val="right" w:leader="dot" w:pos="9350"/>
            </w:tabs>
            <w:spacing w:line="240" w:lineRule="auto"/>
            <w:rPr>
              <w:rFonts w:cstheme="minorBidi"/>
              <w:b w:val="0"/>
              <w:bCs w:val="0"/>
              <w:noProof/>
              <w:sz w:val="24"/>
              <w:szCs w:val="24"/>
            </w:rPr>
          </w:pPr>
          <w:hyperlink w:anchor="_Toc113273220" w:history="1">
            <w:r w:rsidR="00635F3E" w:rsidRPr="007B5827">
              <w:rPr>
                <w:rStyle w:val="Hyperlink"/>
                <w:rFonts w:asciiTheme="majorHAnsi" w:hAnsiTheme="majorHAnsi" w:cstheme="majorHAnsi"/>
                <w:noProof/>
              </w:rPr>
              <w:t>Background of delta smelt &amp; the SFE</w:t>
            </w:r>
            <w:r w:rsidR="00635F3E">
              <w:rPr>
                <w:noProof/>
                <w:webHidden/>
              </w:rPr>
              <w:tab/>
            </w:r>
            <w:r w:rsidR="00635F3E">
              <w:rPr>
                <w:noProof/>
                <w:webHidden/>
              </w:rPr>
              <w:fldChar w:fldCharType="begin"/>
            </w:r>
            <w:r w:rsidR="00635F3E">
              <w:rPr>
                <w:noProof/>
                <w:webHidden/>
              </w:rPr>
              <w:instrText xml:space="preserve"> PAGEREF _Toc113273220 \h </w:instrText>
            </w:r>
            <w:r w:rsidR="00635F3E">
              <w:rPr>
                <w:noProof/>
                <w:webHidden/>
              </w:rPr>
            </w:r>
            <w:r w:rsidR="00635F3E">
              <w:rPr>
                <w:noProof/>
                <w:webHidden/>
              </w:rPr>
              <w:fldChar w:fldCharType="separate"/>
            </w:r>
            <w:r w:rsidR="00635F3E">
              <w:rPr>
                <w:noProof/>
                <w:webHidden/>
              </w:rPr>
              <w:t>6</w:t>
            </w:r>
            <w:r w:rsidR="00635F3E">
              <w:rPr>
                <w:noProof/>
                <w:webHidden/>
              </w:rPr>
              <w:fldChar w:fldCharType="end"/>
            </w:r>
          </w:hyperlink>
        </w:p>
        <w:p w14:paraId="0EA379C5" w14:textId="3EEF8695" w:rsidR="00635F3E" w:rsidRDefault="00EC767F" w:rsidP="0011235A">
          <w:pPr>
            <w:pStyle w:val="TOC1"/>
            <w:tabs>
              <w:tab w:val="right" w:leader="dot" w:pos="9350"/>
            </w:tabs>
            <w:spacing w:line="240" w:lineRule="auto"/>
            <w:rPr>
              <w:rFonts w:cstheme="minorBidi"/>
              <w:b w:val="0"/>
              <w:bCs w:val="0"/>
              <w:i w:val="0"/>
              <w:iCs w:val="0"/>
              <w:noProof/>
            </w:rPr>
          </w:pPr>
          <w:hyperlink w:anchor="_Toc113273221" w:history="1">
            <w:r w:rsidR="00635F3E" w:rsidRPr="007B5827">
              <w:rPr>
                <w:rStyle w:val="Hyperlink"/>
                <w:noProof/>
              </w:rPr>
              <w:t>Chapter 2 – Genome assembly of Hypomesus transpacificus (delta smelt)</w:t>
            </w:r>
            <w:r w:rsidR="00635F3E">
              <w:rPr>
                <w:noProof/>
                <w:webHidden/>
              </w:rPr>
              <w:tab/>
            </w:r>
            <w:r w:rsidR="00635F3E">
              <w:rPr>
                <w:noProof/>
                <w:webHidden/>
              </w:rPr>
              <w:fldChar w:fldCharType="begin"/>
            </w:r>
            <w:r w:rsidR="00635F3E">
              <w:rPr>
                <w:noProof/>
                <w:webHidden/>
              </w:rPr>
              <w:instrText xml:space="preserve"> PAGEREF _Toc113273221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08328F3" w14:textId="47C6DD06" w:rsidR="00635F3E" w:rsidRDefault="00EC767F" w:rsidP="0011235A">
          <w:pPr>
            <w:pStyle w:val="TOC2"/>
            <w:tabs>
              <w:tab w:val="right" w:leader="dot" w:pos="9350"/>
            </w:tabs>
            <w:spacing w:line="240" w:lineRule="auto"/>
            <w:rPr>
              <w:rFonts w:cstheme="minorBidi"/>
              <w:b w:val="0"/>
              <w:bCs w:val="0"/>
              <w:noProof/>
              <w:sz w:val="24"/>
              <w:szCs w:val="24"/>
            </w:rPr>
          </w:pPr>
          <w:hyperlink w:anchor="_Toc113273222" w:history="1">
            <w:r w:rsidR="00635F3E" w:rsidRPr="007B5827">
              <w:rPr>
                <w:rStyle w:val="Hyperlink"/>
                <w:rFonts w:asciiTheme="majorHAnsi" w:hAnsiTheme="majorHAnsi" w:cstheme="majorHAnsi"/>
                <w:noProof/>
              </w:rPr>
              <w:t>Introduction</w:t>
            </w:r>
            <w:r w:rsidR="00635F3E">
              <w:rPr>
                <w:noProof/>
                <w:webHidden/>
              </w:rPr>
              <w:tab/>
            </w:r>
            <w:r w:rsidR="00635F3E">
              <w:rPr>
                <w:noProof/>
                <w:webHidden/>
              </w:rPr>
              <w:fldChar w:fldCharType="begin"/>
            </w:r>
            <w:r w:rsidR="00635F3E">
              <w:rPr>
                <w:noProof/>
                <w:webHidden/>
              </w:rPr>
              <w:instrText xml:space="preserve"> PAGEREF _Toc113273222 \h </w:instrText>
            </w:r>
            <w:r w:rsidR="00635F3E">
              <w:rPr>
                <w:noProof/>
                <w:webHidden/>
              </w:rPr>
            </w:r>
            <w:r w:rsidR="00635F3E">
              <w:rPr>
                <w:noProof/>
                <w:webHidden/>
              </w:rPr>
              <w:fldChar w:fldCharType="separate"/>
            </w:r>
            <w:r w:rsidR="00635F3E">
              <w:rPr>
                <w:noProof/>
                <w:webHidden/>
              </w:rPr>
              <w:t>8</w:t>
            </w:r>
            <w:r w:rsidR="00635F3E">
              <w:rPr>
                <w:noProof/>
                <w:webHidden/>
              </w:rPr>
              <w:fldChar w:fldCharType="end"/>
            </w:r>
          </w:hyperlink>
        </w:p>
        <w:p w14:paraId="32C6B677" w14:textId="164A2842" w:rsidR="00635F3E" w:rsidRDefault="00EC767F" w:rsidP="0011235A">
          <w:pPr>
            <w:pStyle w:val="TOC2"/>
            <w:tabs>
              <w:tab w:val="right" w:leader="dot" w:pos="9350"/>
            </w:tabs>
            <w:spacing w:line="240" w:lineRule="auto"/>
            <w:rPr>
              <w:rFonts w:cstheme="minorBidi"/>
              <w:b w:val="0"/>
              <w:bCs w:val="0"/>
              <w:noProof/>
              <w:sz w:val="24"/>
              <w:szCs w:val="24"/>
            </w:rPr>
          </w:pPr>
          <w:hyperlink w:anchor="_Toc113273223" w:history="1">
            <w:r w:rsidR="00635F3E" w:rsidRPr="007B5827">
              <w:rPr>
                <w:rStyle w:val="Hyperlink"/>
                <w:rFonts w:asciiTheme="majorHAnsi" w:hAnsiTheme="majorHAnsi" w:cstheme="majorHAnsi"/>
                <w:noProof/>
              </w:rPr>
              <w:t>Methods</w:t>
            </w:r>
            <w:r w:rsidR="00635F3E">
              <w:rPr>
                <w:noProof/>
                <w:webHidden/>
              </w:rPr>
              <w:tab/>
            </w:r>
            <w:r w:rsidR="00635F3E">
              <w:rPr>
                <w:noProof/>
                <w:webHidden/>
              </w:rPr>
              <w:fldChar w:fldCharType="begin"/>
            </w:r>
            <w:r w:rsidR="00635F3E">
              <w:rPr>
                <w:noProof/>
                <w:webHidden/>
              </w:rPr>
              <w:instrText xml:space="preserve"> PAGEREF _Toc113273223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0C52B1F3" w14:textId="11CAEDB3" w:rsidR="00635F3E" w:rsidRDefault="00EC767F" w:rsidP="0011235A">
          <w:pPr>
            <w:pStyle w:val="TOC3"/>
            <w:tabs>
              <w:tab w:val="right" w:leader="dot" w:pos="9350"/>
            </w:tabs>
            <w:spacing w:line="240" w:lineRule="auto"/>
            <w:rPr>
              <w:rFonts w:cstheme="minorBidi"/>
              <w:noProof/>
              <w:sz w:val="24"/>
              <w:szCs w:val="24"/>
            </w:rPr>
          </w:pPr>
          <w:hyperlink w:anchor="_Toc113273224"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_Toc113273224 \h </w:instrText>
            </w:r>
            <w:r w:rsidR="00635F3E">
              <w:rPr>
                <w:noProof/>
                <w:webHidden/>
              </w:rPr>
            </w:r>
            <w:r w:rsidR="00635F3E">
              <w:rPr>
                <w:noProof/>
                <w:webHidden/>
              </w:rPr>
              <w:fldChar w:fldCharType="separate"/>
            </w:r>
            <w:r w:rsidR="00635F3E">
              <w:rPr>
                <w:noProof/>
                <w:webHidden/>
              </w:rPr>
              <w:t>11</w:t>
            </w:r>
            <w:r w:rsidR="00635F3E">
              <w:rPr>
                <w:noProof/>
                <w:webHidden/>
              </w:rPr>
              <w:fldChar w:fldCharType="end"/>
            </w:r>
          </w:hyperlink>
        </w:p>
        <w:p w14:paraId="5B816C07" w14:textId="3BAD5E69" w:rsidR="00635F3E" w:rsidRDefault="00EC767F" w:rsidP="0011235A">
          <w:pPr>
            <w:pStyle w:val="TOC3"/>
            <w:tabs>
              <w:tab w:val="right" w:leader="dot" w:pos="9350"/>
            </w:tabs>
            <w:spacing w:line="240" w:lineRule="auto"/>
            <w:rPr>
              <w:rFonts w:cstheme="minorBidi"/>
              <w:noProof/>
              <w:sz w:val="24"/>
              <w:szCs w:val="24"/>
            </w:rPr>
          </w:pPr>
          <w:hyperlink w:anchor="_Toc113273225"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_Toc113273225 \h </w:instrText>
            </w:r>
            <w:r w:rsidR="00635F3E">
              <w:rPr>
                <w:noProof/>
                <w:webHidden/>
              </w:rPr>
            </w:r>
            <w:r w:rsidR="00635F3E">
              <w:rPr>
                <w:noProof/>
                <w:webHidden/>
              </w:rPr>
              <w:fldChar w:fldCharType="separate"/>
            </w:r>
            <w:r w:rsidR="00635F3E">
              <w:rPr>
                <w:noProof/>
                <w:webHidden/>
              </w:rPr>
              <w:t>12</w:t>
            </w:r>
            <w:r w:rsidR="00635F3E">
              <w:rPr>
                <w:noProof/>
                <w:webHidden/>
              </w:rPr>
              <w:fldChar w:fldCharType="end"/>
            </w:r>
          </w:hyperlink>
        </w:p>
        <w:p w14:paraId="0F1A1D97" w14:textId="312DC17F" w:rsidR="00635F3E" w:rsidRDefault="00EC767F" w:rsidP="0011235A">
          <w:pPr>
            <w:pStyle w:val="TOC3"/>
            <w:tabs>
              <w:tab w:val="right" w:leader="dot" w:pos="9350"/>
            </w:tabs>
            <w:spacing w:line="240" w:lineRule="auto"/>
            <w:rPr>
              <w:rFonts w:cstheme="minorBidi"/>
              <w:noProof/>
              <w:sz w:val="24"/>
              <w:szCs w:val="24"/>
            </w:rPr>
          </w:pPr>
          <w:hyperlink w:anchor="_Toc113273226"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_Toc113273226 \h </w:instrText>
            </w:r>
            <w:r w:rsidR="00635F3E">
              <w:rPr>
                <w:noProof/>
                <w:webHidden/>
              </w:rPr>
            </w:r>
            <w:r w:rsidR="00635F3E">
              <w:rPr>
                <w:noProof/>
                <w:webHidden/>
              </w:rPr>
              <w:fldChar w:fldCharType="separate"/>
            </w:r>
            <w:r w:rsidR="00635F3E">
              <w:rPr>
                <w:noProof/>
                <w:webHidden/>
              </w:rPr>
              <w:t>14</w:t>
            </w:r>
            <w:r w:rsidR="00635F3E">
              <w:rPr>
                <w:noProof/>
                <w:webHidden/>
              </w:rPr>
              <w:fldChar w:fldCharType="end"/>
            </w:r>
          </w:hyperlink>
        </w:p>
        <w:p w14:paraId="77EDE38C" w14:textId="0F9D7005" w:rsidR="00635F3E" w:rsidRDefault="00EC767F" w:rsidP="0011235A">
          <w:pPr>
            <w:pStyle w:val="TOC3"/>
            <w:tabs>
              <w:tab w:val="right" w:leader="dot" w:pos="9350"/>
            </w:tabs>
            <w:spacing w:line="240" w:lineRule="auto"/>
            <w:rPr>
              <w:rFonts w:cstheme="minorBidi"/>
              <w:noProof/>
              <w:sz w:val="24"/>
              <w:szCs w:val="24"/>
            </w:rPr>
          </w:pPr>
          <w:hyperlink w:anchor="_Toc113273227"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_Toc113273227 \h </w:instrText>
            </w:r>
            <w:r w:rsidR="00635F3E">
              <w:rPr>
                <w:noProof/>
                <w:webHidden/>
              </w:rPr>
            </w:r>
            <w:r w:rsidR="00635F3E">
              <w:rPr>
                <w:noProof/>
                <w:webHidden/>
              </w:rPr>
              <w:fldChar w:fldCharType="separate"/>
            </w:r>
            <w:r w:rsidR="00635F3E">
              <w:rPr>
                <w:noProof/>
                <w:webHidden/>
              </w:rPr>
              <w:t>16</w:t>
            </w:r>
            <w:r w:rsidR="00635F3E">
              <w:rPr>
                <w:noProof/>
                <w:webHidden/>
              </w:rPr>
              <w:fldChar w:fldCharType="end"/>
            </w:r>
          </w:hyperlink>
        </w:p>
        <w:p w14:paraId="7C3F6CD0" w14:textId="01BCAEE8" w:rsidR="00635F3E" w:rsidRDefault="00EC767F" w:rsidP="0011235A">
          <w:pPr>
            <w:pStyle w:val="TOC3"/>
            <w:tabs>
              <w:tab w:val="right" w:leader="dot" w:pos="9350"/>
            </w:tabs>
            <w:spacing w:line="240" w:lineRule="auto"/>
            <w:rPr>
              <w:rFonts w:cstheme="minorBidi"/>
              <w:noProof/>
              <w:sz w:val="24"/>
              <w:szCs w:val="24"/>
            </w:rPr>
          </w:pPr>
          <w:hyperlink w:anchor="_Toc113273228" w:history="1">
            <w:r w:rsidR="00635F3E" w:rsidRPr="007B5827">
              <w:rPr>
                <w:rStyle w:val="Hyperlink"/>
                <w:rFonts w:asciiTheme="majorHAnsi" w:hAnsiTheme="majorHAnsi" w:cstheme="majorHAnsi"/>
                <w:noProof/>
              </w:rPr>
              <w:t>Genome assembly</w:t>
            </w:r>
            <w:r w:rsidR="00635F3E">
              <w:rPr>
                <w:noProof/>
                <w:webHidden/>
              </w:rPr>
              <w:tab/>
            </w:r>
            <w:r w:rsidR="00635F3E">
              <w:rPr>
                <w:noProof/>
                <w:webHidden/>
              </w:rPr>
              <w:fldChar w:fldCharType="begin"/>
            </w:r>
            <w:r w:rsidR="00635F3E">
              <w:rPr>
                <w:noProof/>
                <w:webHidden/>
              </w:rPr>
              <w:instrText xml:space="preserve"> PAGEREF _Toc113273228 \h </w:instrText>
            </w:r>
            <w:r w:rsidR="00635F3E">
              <w:rPr>
                <w:noProof/>
                <w:webHidden/>
              </w:rPr>
            </w:r>
            <w:r w:rsidR="00635F3E">
              <w:rPr>
                <w:noProof/>
                <w:webHidden/>
              </w:rPr>
              <w:fldChar w:fldCharType="separate"/>
            </w:r>
            <w:r w:rsidR="00635F3E">
              <w:rPr>
                <w:noProof/>
                <w:webHidden/>
              </w:rPr>
              <w:t>17</w:t>
            </w:r>
            <w:r w:rsidR="00635F3E">
              <w:rPr>
                <w:noProof/>
                <w:webHidden/>
              </w:rPr>
              <w:fldChar w:fldCharType="end"/>
            </w:r>
          </w:hyperlink>
        </w:p>
        <w:p w14:paraId="283E6A9D" w14:textId="7346AF25" w:rsidR="00635F3E" w:rsidRDefault="00EC767F" w:rsidP="0011235A">
          <w:pPr>
            <w:pStyle w:val="TOC3"/>
            <w:tabs>
              <w:tab w:val="right" w:leader="dot" w:pos="9350"/>
            </w:tabs>
            <w:spacing w:line="240" w:lineRule="auto"/>
            <w:rPr>
              <w:rFonts w:cstheme="minorBidi"/>
              <w:noProof/>
              <w:sz w:val="24"/>
              <w:szCs w:val="24"/>
            </w:rPr>
          </w:pPr>
          <w:hyperlink w:anchor="_Toc113273229"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_Toc113273229 \h </w:instrText>
            </w:r>
            <w:r w:rsidR="00635F3E">
              <w:rPr>
                <w:noProof/>
                <w:webHidden/>
              </w:rPr>
            </w:r>
            <w:r w:rsidR="00635F3E">
              <w:rPr>
                <w:noProof/>
                <w:webHidden/>
              </w:rPr>
              <w:fldChar w:fldCharType="separate"/>
            </w:r>
            <w:r w:rsidR="00635F3E">
              <w:rPr>
                <w:noProof/>
                <w:webHidden/>
              </w:rPr>
              <w:t>18</w:t>
            </w:r>
            <w:r w:rsidR="00635F3E">
              <w:rPr>
                <w:noProof/>
                <w:webHidden/>
              </w:rPr>
              <w:fldChar w:fldCharType="end"/>
            </w:r>
          </w:hyperlink>
        </w:p>
        <w:p w14:paraId="7D8CD708" w14:textId="6EDEE62F" w:rsidR="00635F3E" w:rsidRDefault="00EC767F" w:rsidP="0011235A">
          <w:pPr>
            <w:pStyle w:val="TOC3"/>
            <w:tabs>
              <w:tab w:val="right" w:leader="dot" w:pos="9350"/>
            </w:tabs>
            <w:spacing w:line="240" w:lineRule="auto"/>
            <w:rPr>
              <w:rFonts w:cstheme="minorBidi"/>
              <w:noProof/>
              <w:sz w:val="24"/>
              <w:szCs w:val="24"/>
            </w:rPr>
          </w:pPr>
          <w:hyperlink w:anchor="_Toc113273230"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_Toc113273230 \h </w:instrText>
            </w:r>
            <w:r w:rsidR="00635F3E">
              <w:rPr>
                <w:noProof/>
                <w:webHidden/>
              </w:rPr>
            </w:r>
            <w:r w:rsidR="00635F3E">
              <w:rPr>
                <w:noProof/>
                <w:webHidden/>
              </w:rPr>
              <w:fldChar w:fldCharType="separate"/>
            </w:r>
            <w:r w:rsidR="00635F3E">
              <w:rPr>
                <w:noProof/>
                <w:webHidden/>
              </w:rPr>
              <w:t>19</w:t>
            </w:r>
            <w:r w:rsidR="00635F3E">
              <w:rPr>
                <w:noProof/>
                <w:webHidden/>
              </w:rPr>
              <w:fldChar w:fldCharType="end"/>
            </w:r>
          </w:hyperlink>
        </w:p>
        <w:p w14:paraId="1F22517C" w14:textId="6D57AF8E" w:rsidR="00635F3E" w:rsidRDefault="00EC767F" w:rsidP="0011235A">
          <w:pPr>
            <w:pStyle w:val="TOC2"/>
            <w:tabs>
              <w:tab w:val="right" w:leader="dot" w:pos="9350"/>
            </w:tabs>
            <w:spacing w:line="240" w:lineRule="auto"/>
            <w:rPr>
              <w:rFonts w:cstheme="minorBidi"/>
              <w:b w:val="0"/>
              <w:bCs w:val="0"/>
              <w:noProof/>
              <w:sz w:val="24"/>
              <w:szCs w:val="24"/>
            </w:rPr>
          </w:pPr>
          <w:hyperlink w:anchor="_Toc113273231" w:history="1">
            <w:r w:rsidR="00635F3E" w:rsidRPr="007B5827">
              <w:rPr>
                <w:rStyle w:val="Hyperlink"/>
                <w:rFonts w:asciiTheme="majorHAnsi" w:hAnsiTheme="majorHAnsi" w:cstheme="majorHAnsi"/>
                <w:noProof/>
              </w:rPr>
              <w:t>Results</w:t>
            </w:r>
            <w:r w:rsidR="00635F3E">
              <w:rPr>
                <w:noProof/>
                <w:webHidden/>
              </w:rPr>
              <w:tab/>
            </w:r>
            <w:r w:rsidR="00635F3E">
              <w:rPr>
                <w:noProof/>
                <w:webHidden/>
              </w:rPr>
              <w:fldChar w:fldCharType="begin"/>
            </w:r>
            <w:r w:rsidR="00635F3E">
              <w:rPr>
                <w:noProof/>
                <w:webHidden/>
              </w:rPr>
              <w:instrText xml:space="preserve"> PAGEREF _Toc113273231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29CB407" w14:textId="722674D0" w:rsidR="00635F3E" w:rsidRDefault="00EC767F" w:rsidP="0011235A">
          <w:pPr>
            <w:pStyle w:val="TOC3"/>
            <w:tabs>
              <w:tab w:val="right" w:leader="dot" w:pos="9350"/>
            </w:tabs>
            <w:spacing w:line="240" w:lineRule="auto"/>
            <w:rPr>
              <w:rFonts w:cstheme="minorBidi"/>
              <w:noProof/>
              <w:sz w:val="24"/>
              <w:szCs w:val="24"/>
            </w:rPr>
          </w:pPr>
          <w:hyperlink w:anchor="_Toc113273232" w:history="1">
            <w:r w:rsidR="00635F3E" w:rsidRPr="007B5827">
              <w:rPr>
                <w:rStyle w:val="Hyperlink"/>
                <w:rFonts w:asciiTheme="majorHAnsi" w:hAnsiTheme="majorHAnsi" w:cstheme="majorHAnsi"/>
                <w:noProof/>
              </w:rPr>
              <w:t>Sample collection &amp; DNA extraction</w:t>
            </w:r>
            <w:r w:rsidR="00635F3E">
              <w:rPr>
                <w:noProof/>
                <w:webHidden/>
              </w:rPr>
              <w:tab/>
            </w:r>
            <w:r w:rsidR="00635F3E">
              <w:rPr>
                <w:noProof/>
                <w:webHidden/>
              </w:rPr>
              <w:fldChar w:fldCharType="begin"/>
            </w:r>
            <w:r w:rsidR="00635F3E">
              <w:rPr>
                <w:noProof/>
                <w:webHidden/>
              </w:rPr>
              <w:instrText xml:space="preserve"> PAGEREF _Toc113273232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50B329F0" w14:textId="0AB0C5A1" w:rsidR="00635F3E" w:rsidRDefault="00EC767F" w:rsidP="0011235A">
          <w:pPr>
            <w:pStyle w:val="TOC3"/>
            <w:tabs>
              <w:tab w:val="right" w:leader="dot" w:pos="9350"/>
            </w:tabs>
            <w:spacing w:line="240" w:lineRule="auto"/>
            <w:rPr>
              <w:rFonts w:cstheme="minorBidi"/>
              <w:noProof/>
              <w:sz w:val="24"/>
              <w:szCs w:val="24"/>
            </w:rPr>
          </w:pPr>
          <w:hyperlink w:anchor="_Toc113273233" w:history="1">
            <w:r w:rsidR="00635F3E" w:rsidRPr="007B5827">
              <w:rPr>
                <w:rStyle w:val="Hyperlink"/>
                <w:rFonts w:asciiTheme="majorHAnsi" w:hAnsiTheme="majorHAnsi" w:cstheme="majorHAnsi"/>
                <w:noProof/>
              </w:rPr>
              <w:t>Linked-read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_Toc113273233 \h </w:instrText>
            </w:r>
            <w:r w:rsidR="00635F3E">
              <w:rPr>
                <w:noProof/>
                <w:webHidden/>
              </w:rPr>
            </w:r>
            <w:r w:rsidR="00635F3E">
              <w:rPr>
                <w:noProof/>
                <w:webHidden/>
              </w:rPr>
              <w:fldChar w:fldCharType="separate"/>
            </w:r>
            <w:r w:rsidR="00635F3E">
              <w:rPr>
                <w:noProof/>
                <w:webHidden/>
              </w:rPr>
              <w:t>20</w:t>
            </w:r>
            <w:r w:rsidR="00635F3E">
              <w:rPr>
                <w:noProof/>
                <w:webHidden/>
              </w:rPr>
              <w:fldChar w:fldCharType="end"/>
            </w:r>
          </w:hyperlink>
        </w:p>
        <w:p w14:paraId="045CBB47" w14:textId="7E338EC5" w:rsidR="00635F3E" w:rsidRDefault="00EC767F" w:rsidP="0011235A">
          <w:pPr>
            <w:pStyle w:val="TOC3"/>
            <w:tabs>
              <w:tab w:val="right" w:leader="dot" w:pos="9350"/>
            </w:tabs>
            <w:spacing w:line="240" w:lineRule="auto"/>
            <w:rPr>
              <w:rFonts w:cstheme="minorBidi"/>
              <w:noProof/>
              <w:sz w:val="24"/>
              <w:szCs w:val="24"/>
            </w:rPr>
          </w:pPr>
          <w:hyperlink w:anchor="_Toc113273234" w:history="1">
            <w:r w:rsidR="00635F3E" w:rsidRPr="007B5827">
              <w:rPr>
                <w:rStyle w:val="Hyperlink"/>
                <w:rFonts w:asciiTheme="majorHAnsi" w:hAnsiTheme="majorHAnsi" w:cstheme="majorHAnsi"/>
                <w:noProof/>
              </w:rPr>
              <w:t>Long-read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_Toc113273234 \h </w:instrText>
            </w:r>
            <w:r w:rsidR="00635F3E">
              <w:rPr>
                <w:noProof/>
                <w:webHidden/>
              </w:rPr>
            </w:r>
            <w:r w:rsidR="00635F3E">
              <w:rPr>
                <w:noProof/>
                <w:webHidden/>
              </w:rPr>
              <w:fldChar w:fldCharType="separate"/>
            </w:r>
            <w:r w:rsidR="00635F3E">
              <w:rPr>
                <w:noProof/>
                <w:webHidden/>
              </w:rPr>
              <w:t>21</w:t>
            </w:r>
            <w:r w:rsidR="00635F3E">
              <w:rPr>
                <w:noProof/>
                <w:webHidden/>
              </w:rPr>
              <w:fldChar w:fldCharType="end"/>
            </w:r>
          </w:hyperlink>
        </w:p>
        <w:p w14:paraId="74894A29" w14:textId="4A7BEA39" w:rsidR="00635F3E" w:rsidRDefault="00EC767F" w:rsidP="0011235A">
          <w:pPr>
            <w:pStyle w:val="TOC3"/>
            <w:tabs>
              <w:tab w:val="right" w:leader="dot" w:pos="9350"/>
            </w:tabs>
            <w:spacing w:line="240" w:lineRule="auto"/>
            <w:rPr>
              <w:rFonts w:cstheme="minorBidi"/>
              <w:noProof/>
              <w:sz w:val="24"/>
              <w:szCs w:val="24"/>
            </w:rPr>
          </w:pPr>
          <w:hyperlink w:anchor="_Toc113273235" w:history="1">
            <w:r w:rsidR="00635F3E" w:rsidRPr="007B5827">
              <w:rPr>
                <w:rStyle w:val="Hyperlink"/>
                <w:rFonts w:asciiTheme="majorHAnsi" w:hAnsiTheme="majorHAnsi" w:cstheme="majorHAnsi"/>
                <w:noProof/>
              </w:rPr>
              <w:t>Hi-C chromatin conformation capture library prep, sequencing &amp; quality control</w:t>
            </w:r>
            <w:r w:rsidR="00635F3E">
              <w:rPr>
                <w:noProof/>
                <w:webHidden/>
              </w:rPr>
              <w:tab/>
            </w:r>
            <w:r w:rsidR="00635F3E">
              <w:rPr>
                <w:noProof/>
                <w:webHidden/>
              </w:rPr>
              <w:fldChar w:fldCharType="begin"/>
            </w:r>
            <w:r w:rsidR="00635F3E">
              <w:rPr>
                <w:noProof/>
                <w:webHidden/>
              </w:rPr>
              <w:instrText xml:space="preserve"> PAGEREF _Toc113273235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1EF1003" w14:textId="7FE3ABC2" w:rsidR="00635F3E" w:rsidRDefault="00EC767F" w:rsidP="0011235A">
          <w:pPr>
            <w:pStyle w:val="TOC3"/>
            <w:tabs>
              <w:tab w:val="right" w:leader="dot" w:pos="9350"/>
            </w:tabs>
            <w:spacing w:line="240" w:lineRule="auto"/>
            <w:rPr>
              <w:rFonts w:cstheme="minorBidi"/>
              <w:noProof/>
              <w:sz w:val="24"/>
              <w:szCs w:val="24"/>
            </w:rPr>
          </w:pPr>
          <w:hyperlink w:anchor="_Toc113273236" w:history="1">
            <w:r w:rsidR="00635F3E" w:rsidRPr="007B5827">
              <w:rPr>
                <w:rStyle w:val="Hyperlink"/>
                <w:rFonts w:asciiTheme="majorHAnsi" w:hAnsiTheme="majorHAnsi" w:cstheme="majorHAnsi"/>
                <w:noProof/>
              </w:rPr>
              <w:t>Assembly quality assessment</w:t>
            </w:r>
            <w:r w:rsidR="00635F3E">
              <w:rPr>
                <w:noProof/>
                <w:webHidden/>
              </w:rPr>
              <w:tab/>
            </w:r>
            <w:r w:rsidR="00635F3E">
              <w:rPr>
                <w:noProof/>
                <w:webHidden/>
              </w:rPr>
              <w:fldChar w:fldCharType="begin"/>
            </w:r>
            <w:r w:rsidR="00635F3E">
              <w:rPr>
                <w:noProof/>
                <w:webHidden/>
              </w:rPr>
              <w:instrText xml:space="preserve"> PAGEREF _Toc113273236 \h </w:instrText>
            </w:r>
            <w:r w:rsidR="00635F3E">
              <w:rPr>
                <w:noProof/>
                <w:webHidden/>
              </w:rPr>
            </w:r>
            <w:r w:rsidR="00635F3E">
              <w:rPr>
                <w:noProof/>
                <w:webHidden/>
              </w:rPr>
              <w:fldChar w:fldCharType="separate"/>
            </w:r>
            <w:r w:rsidR="00635F3E">
              <w:rPr>
                <w:noProof/>
                <w:webHidden/>
              </w:rPr>
              <w:t>22</w:t>
            </w:r>
            <w:r w:rsidR="00635F3E">
              <w:rPr>
                <w:noProof/>
                <w:webHidden/>
              </w:rPr>
              <w:fldChar w:fldCharType="end"/>
            </w:r>
          </w:hyperlink>
        </w:p>
        <w:p w14:paraId="5B462C83" w14:textId="36EAEA97" w:rsidR="00635F3E" w:rsidRDefault="00EC767F" w:rsidP="0011235A">
          <w:pPr>
            <w:pStyle w:val="TOC3"/>
            <w:tabs>
              <w:tab w:val="right" w:leader="dot" w:pos="9350"/>
            </w:tabs>
            <w:spacing w:line="240" w:lineRule="auto"/>
            <w:rPr>
              <w:rFonts w:cstheme="minorBidi"/>
              <w:noProof/>
              <w:sz w:val="24"/>
              <w:szCs w:val="24"/>
            </w:rPr>
          </w:pPr>
          <w:hyperlink w:anchor="_Toc113273237" w:history="1">
            <w:r w:rsidR="00635F3E" w:rsidRPr="007B5827">
              <w:rPr>
                <w:rStyle w:val="Hyperlink"/>
                <w:rFonts w:asciiTheme="majorHAnsi" w:hAnsiTheme="majorHAnsi" w:cstheme="majorHAnsi"/>
                <w:noProof/>
              </w:rPr>
              <w:t>Cytogenic chromosome validation</w:t>
            </w:r>
            <w:r w:rsidR="00635F3E">
              <w:rPr>
                <w:noProof/>
                <w:webHidden/>
              </w:rPr>
              <w:tab/>
            </w:r>
            <w:r w:rsidR="00635F3E">
              <w:rPr>
                <w:noProof/>
                <w:webHidden/>
              </w:rPr>
              <w:fldChar w:fldCharType="begin"/>
            </w:r>
            <w:r w:rsidR="00635F3E">
              <w:rPr>
                <w:noProof/>
                <w:webHidden/>
              </w:rPr>
              <w:instrText xml:space="preserve"> PAGEREF _Toc113273237 \h </w:instrText>
            </w:r>
            <w:r w:rsidR="00635F3E">
              <w:rPr>
                <w:noProof/>
                <w:webHidden/>
              </w:rPr>
            </w:r>
            <w:r w:rsidR="00635F3E">
              <w:rPr>
                <w:noProof/>
                <w:webHidden/>
              </w:rPr>
              <w:fldChar w:fldCharType="separate"/>
            </w:r>
            <w:r w:rsidR="00635F3E">
              <w:rPr>
                <w:noProof/>
                <w:webHidden/>
              </w:rPr>
              <w:t>23</w:t>
            </w:r>
            <w:r w:rsidR="00635F3E">
              <w:rPr>
                <w:noProof/>
                <w:webHidden/>
              </w:rPr>
              <w:fldChar w:fldCharType="end"/>
            </w:r>
          </w:hyperlink>
        </w:p>
        <w:p w14:paraId="2E268D3C" w14:textId="7F8F789E" w:rsidR="00635F3E" w:rsidRDefault="00EC767F" w:rsidP="0011235A">
          <w:pPr>
            <w:pStyle w:val="TOC2"/>
            <w:tabs>
              <w:tab w:val="right" w:leader="dot" w:pos="9350"/>
            </w:tabs>
            <w:spacing w:line="240" w:lineRule="auto"/>
            <w:rPr>
              <w:rFonts w:cstheme="minorBidi"/>
              <w:b w:val="0"/>
              <w:bCs w:val="0"/>
              <w:noProof/>
              <w:sz w:val="24"/>
              <w:szCs w:val="24"/>
            </w:rPr>
          </w:pPr>
          <w:hyperlink w:anchor="_Toc113273238" w:history="1">
            <w:r w:rsidR="00635F3E" w:rsidRPr="007B5827">
              <w:rPr>
                <w:rStyle w:val="Hyperlink"/>
                <w:rFonts w:asciiTheme="majorHAnsi" w:hAnsiTheme="majorHAnsi" w:cstheme="majorHAnsi"/>
                <w:noProof/>
              </w:rPr>
              <w:t>Discussion &amp; Conclusion</w:t>
            </w:r>
            <w:r w:rsidR="00635F3E">
              <w:rPr>
                <w:noProof/>
                <w:webHidden/>
              </w:rPr>
              <w:tab/>
            </w:r>
            <w:r w:rsidR="00635F3E">
              <w:rPr>
                <w:noProof/>
                <w:webHidden/>
              </w:rPr>
              <w:fldChar w:fldCharType="begin"/>
            </w:r>
            <w:r w:rsidR="00635F3E">
              <w:rPr>
                <w:noProof/>
                <w:webHidden/>
              </w:rPr>
              <w:instrText xml:space="preserve"> PAGEREF _Toc113273238 \h </w:instrText>
            </w:r>
            <w:r w:rsidR="00635F3E">
              <w:rPr>
                <w:noProof/>
                <w:webHidden/>
              </w:rPr>
            </w:r>
            <w:r w:rsidR="00635F3E">
              <w:rPr>
                <w:noProof/>
                <w:webHidden/>
              </w:rPr>
              <w:fldChar w:fldCharType="separate"/>
            </w:r>
            <w:r w:rsidR="00635F3E">
              <w:rPr>
                <w:noProof/>
                <w:webHidden/>
              </w:rPr>
              <w:t>24</w:t>
            </w:r>
            <w:r w:rsidR="00635F3E">
              <w:rPr>
                <w:noProof/>
                <w:webHidden/>
              </w:rPr>
              <w:fldChar w:fldCharType="end"/>
            </w:r>
          </w:hyperlink>
        </w:p>
        <w:p w14:paraId="18050300" w14:textId="242488D9" w:rsidR="00635F3E" w:rsidRDefault="00EC767F" w:rsidP="0011235A">
          <w:pPr>
            <w:pStyle w:val="TOC1"/>
            <w:tabs>
              <w:tab w:val="right" w:leader="dot" w:pos="9350"/>
            </w:tabs>
            <w:spacing w:line="240" w:lineRule="auto"/>
            <w:rPr>
              <w:rFonts w:cstheme="minorBidi"/>
              <w:b w:val="0"/>
              <w:bCs w:val="0"/>
              <w:i w:val="0"/>
              <w:iCs w:val="0"/>
              <w:noProof/>
            </w:rPr>
          </w:pPr>
          <w:hyperlink w:anchor="_Toc113273239" w:history="1">
            <w:r w:rsidR="00635F3E" w:rsidRPr="007B5827">
              <w:rPr>
                <w:rStyle w:val="Hyperlink"/>
                <w:noProof/>
              </w:rPr>
              <w:t>Works Cited</w:t>
            </w:r>
            <w:r w:rsidR="00635F3E">
              <w:rPr>
                <w:noProof/>
                <w:webHidden/>
              </w:rPr>
              <w:tab/>
            </w:r>
            <w:r w:rsidR="00635F3E">
              <w:rPr>
                <w:noProof/>
                <w:webHidden/>
              </w:rPr>
              <w:fldChar w:fldCharType="begin"/>
            </w:r>
            <w:r w:rsidR="00635F3E">
              <w:rPr>
                <w:noProof/>
                <w:webHidden/>
              </w:rPr>
              <w:instrText xml:space="preserve"> PAGEREF _Toc113273239 \h </w:instrText>
            </w:r>
            <w:r w:rsidR="00635F3E">
              <w:rPr>
                <w:noProof/>
                <w:webHidden/>
              </w:rPr>
            </w:r>
            <w:r w:rsidR="00635F3E">
              <w:rPr>
                <w:noProof/>
                <w:webHidden/>
              </w:rPr>
              <w:fldChar w:fldCharType="separate"/>
            </w:r>
            <w:r w:rsidR="00635F3E">
              <w:rPr>
                <w:noProof/>
                <w:webHidden/>
              </w:rPr>
              <w:t>27</w:t>
            </w:r>
            <w:r w:rsidR="00635F3E">
              <w:rPr>
                <w:noProof/>
                <w:webHidden/>
              </w:rPr>
              <w:fldChar w:fldCharType="end"/>
            </w:r>
          </w:hyperlink>
        </w:p>
        <w:p w14:paraId="1350E66D" w14:textId="2AD7119C" w:rsidR="00635F3E" w:rsidRDefault="00EC767F" w:rsidP="0011235A">
          <w:pPr>
            <w:pStyle w:val="TOC1"/>
            <w:tabs>
              <w:tab w:val="right" w:leader="dot" w:pos="9350"/>
            </w:tabs>
            <w:spacing w:line="240" w:lineRule="auto"/>
            <w:rPr>
              <w:rFonts w:cstheme="minorBidi"/>
              <w:b w:val="0"/>
              <w:bCs w:val="0"/>
              <w:i w:val="0"/>
              <w:iCs w:val="0"/>
              <w:noProof/>
            </w:rPr>
          </w:pPr>
          <w:hyperlink w:anchor="_Toc113273240" w:history="1">
            <w:r w:rsidR="00635F3E" w:rsidRPr="007B5827">
              <w:rPr>
                <w:rStyle w:val="Hyperlink"/>
                <w:noProof/>
              </w:rPr>
              <w:t>Tables and Figures</w:t>
            </w:r>
            <w:r w:rsidR="00635F3E">
              <w:rPr>
                <w:noProof/>
                <w:webHidden/>
              </w:rPr>
              <w:tab/>
            </w:r>
            <w:r w:rsidR="00635F3E">
              <w:rPr>
                <w:noProof/>
                <w:webHidden/>
              </w:rPr>
              <w:fldChar w:fldCharType="begin"/>
            </w:r>
            <w:r w:rsidR="00635F3E">
              <w:rPr>
                <w:noProof/>
                <w:webHidden/>
              </w:rPr>
              <w:instrText xml:space="preserve"> PAGEREF _Toc113273240 \h </w:instrText>
            </w:r>
            <w:r w:rsidR="00635F3E">
              <w:rPr>
                <w:noProof/>
                <w:webHidden/>
              </w:rPr>
            </w:r>
            <w:r w:rsidR="00635F3E">
              <w:rPr>
                <w:noProof/>
                <w:webHidden/>
              </w:rPr>
              <w:fldChar w:fldCharType="separate"/>
            </w:r>
            <w:r w:rsidR="00635F3E">
              <w:rPr>
                <w:noProof/>
                <w:webHidden/>
              </w:rPr>
              <w:t>35</w:t>
            </w:r>
            <w:r w:rsidR="00635F3E">
              <w:rPr>
                <w:noProof/>
                <w:webHidden/>
              </w:rPr>
              <w:fldChar w:fldCharType="end"/>
            </w:r>
          </w:hyperlink>
        </w:p>
        <w:p w14:paraId="54EEFF92" w14:textId="21A4ABC1" w:rsidR="003903DF" w:rsidRDefault="003903DF" w:rsidP="0011235A">
          <w:pPr>
            <w:spacing w:line="240" w:lineRule="auto"/>
            <w:rPr>
              <w:b/>
              <w:bCs/>
              <w:noProof/>
            </w:rPr>
          </w:pPr>
          <w:r w:rsidRPr="003B7B17">
            <w:rPr>
              <w:rFonts w:asciiTheme="majorHAnsi" w:hAnsiTheme="majorHAnsi" w:cstheme="majorHAnsi"/>
              <w:b/>
              <w:bCs/>
              <w:noProof/>
              <w:sz w:val="24"/>
              <w:szCs w:val="24"/>
            </w:rPr>
            <w:fldChar w:fldCharType="end"/>
          </w:r>
        </w:p>
      </w:sdtContent>
    </w:sdt>
    <w:p w14:paraId="6EA464C8" w14:textId="0350FB65" w:rsidR="003903DF" w:rsidRDefault="003903DF" w:rsidP="0011235A">
      <w:pPr>
        <w:spacing w:line="240" w:lineRule="auto"/>
        <w:rPr>
          <w:rFonts w:asciiTheme="majorHAnsi" w:hAnsiTheme="majorHAnsi" w:cstheme="majorHAnsi"/>
          <w:sz w:val="24"/>
          <w:szCs w:val="24"/>
        </w:rPr>
      </w:pPr>
      <w:r>
        <w:rPr>
          <w:rFonts w:asciiTheme="majorHAnsi" w:hAnsiTheme="majorHAnsi" w:cstheme="majorHAnsi"/>
          <w:sz w:val="24"/>
          <w:szCs w:val="24"/>
        </w:rPr>
        <w:br w:type="page"/>
      </w:r>
    </w:p>
    <w:p w14:paraId="418E713D" w14:textId="3928B470" w:rsidR="003F5039" w:rsidRPr="003903DF" w:rsidRDefault="000C33D6" w:rsidP="0011235A">
      <w:pPr>
        <w:pStyle w:val="TOCHeading"/>
        <w:tabs>
          <w:tab w:val="left" w:pos="532"/>
        </w:tabs>
        <w:spacing w:line="240" w:lineRule="auto"/>
        <w:outlineLvl w:val="0"/>
      </w:pPr>
      <w:bookmarkStart w:id="8" w:name="_Toc113273219"/>
      <w:r>
        <w:lastRenderedPageBreak/>
        <w:t>Project Background and</w:t>
      </w:r>
      <w:r w:rsidR="003903DF">
        <w:t xml:space="preserve"> Introduction</w:t>
      </w:r>
      <w:bookmarkEnd w:id="8"/>
    </w:p>
    <w:p w14:paraId="332E5E6F" w14:textId="7C965CE0" w:rsidR="003F5039" w:rsidRPr="00173AE9" w:rsidRDefault="00100511" w:rsidP="0011235A">
      <w:pPr>
        <w:pStyle w:val="Header"/>
        <w:outlineLvl w:val="1"/>
        <w:rPr>
          <w:rFonts w:asciiTheme="majorHAnsi" w:hAnsiTheme="majorHAnsi" w:cstheme="majorHAnsi"/>
        </w:rPr>
      </w:pPr>
      <w:bookmarkStart w:id="9" w:name="_Toc113273220"/>
      <w:r>
        <w:rPr>
          <w:rFonts w:asciiTheme="majorHAnsi" w:hAnsiTheme="majorHAnsi" w:cstheme="majorHAnsi"/>
        </w:rPr>
        <w:t>The</w:t>
      </w:r>
      <w:r w:rsidR="00DE4254" w:rsidRPr="00173AE9">
        <w:rPr>
          <w:rFonts w:asciiTheme="majorHAnsi" w:hAnsiTheme="majorHAnsi" w:cstheme="majorHAnsi"/>
        </w:rPr>
        <w:t xml:space="preserve"> S</w:t>
      </w:r>
      <w:r w:rsidR="002C69E3">
        <w:rPr>
          <w:rFonts w:asciiTheme="majorHAnsi" w:hAnsiTheme="majorHAnsi" w:cstheme="majorHAnsi"/>
        </w:rPr>
        <w:t xml:space="preserve">an </w:t>
      </w:r>
      <w:r w:rsidR="00DE4254" w:rsidRPr="00173AE9">
        <w:rPr>
          <w:rFonts w:asciiTheme="majorHAnsi" w:hAnsiTheme="majorHAnsi" w:cstheme="majorHAnsi"/>
        </w:rPr>
        <w:t>F</w:t>
      </w:r>
      <w:r w:rsidR="002C69E3">
        <w:rPr>
          <w:rFonts w:asciiTheme="majorHAnsi" w:hAnsiTheme="majorHAnsi" w:cstheme="majorHAnsi"/>
        </w:rPr>
        <w:t xml:space="preserve">rancisco </w:t>
      </w:r>
      <w:r w:rsidR="00DE4254" w:rsidRPr="00173AE9">
        <w:rPr>
          <w:rFonts w:asciiTheme="majorHAnsi" w:hAnsiTheme="majorHAnsi" w:cstheme="majorHAnsi"/>
        </w:rPr>
        <w:t>E</w:t>
      </w:r>
      <w:bookmarkEnd w:id="9"/>
      <w:r w:rsidR="002C69E3">
        <w:rPr>
          <w:rFonts w:asciiTheme="majorHAnsi" w:hAnsiTheme="majorHAnsi" w:cstheme="majorHAnsi"/>
        </w:rPr>
        <w:t>stuary</w:t>
      </w:r>
    </w:p>
    <w:p w14:paraId="6F00716F" w14:textId="58F78FAF" w:rsidR="007A1054" w:rsidRDefault="007A1054" w:rsidP="00450C5F">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The </w:t>
      </w:r>
      <w:r w:rsidR="002C69E3">
        <w:rPr>
          <w:rFonts w:asciiTheme="majorHAnsi" w:hAnsiTheme="majorHAnsi" w:cstheme="majorHAnsi"/>
          <w:sz w:val="24"/>
          <w:szCs w:val="24"/>
          <w:lang w:val="en"/>
        </w:rPr>
        <w:t>San Francisco Estuary (</w:t>
      </w:r>
      <w:r w:rsidRPr="00382793">
        <w:rPr>
          <w:rFonts w:asciiTheme="majorHAnsi" w:hAnsiTheme="majorHAnsi" w:cstheme="majorHAnsi"/>
          <w:sz w:val="24"/>
          <w:szCs w:val="24"/>
          <w:lang w:val="en"/>
        </w:rPr>
        <w:t>SFE</w:t>
      </w:r>
      <w:r w:rsidR="002C69E3">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D1105D">
        <w:rPr>
          <w:rFonts w:asciiTheme="majorHAnsi" w:hAnsiTheme="majorHAnsi" w:cstheme="majorHAnsi"/>
          <w:sz w:val="24"/>
          <w:szCs w:val="24"/>
          <w:lang w:val="en"/>
        </w:rPr>
        <w:t xml:space="preserve">drains 40% of California’s surface area and </w:t>
      </w:r>
      <w:r w:rsidRPr="00382793">
        <w:rPr>
          <w:rFonts w:asciiTheme="majorHAnsi" w:hAnsiTheme="majorHAnsi" w:cstheme="majorHAnsi"/>
          <w:sz w:val="24"/>
          <w:szCs w:val="24"/>
          <w:lang w:val="en"/>
        </w:rPr>
        <w:t>is a dynamic</w:t>
      </w:r>
      <w:r w:rsidR="004377C9">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w:t>
      </w:r>
      <w:r w:rsidR="004377C9">
        <w:rPr>
          <w:rFonts w:asciiTheme="majorHAnsi" w:hAnsiTheme="majorHAnsi" w:cstheme="majorHAnsi"/>
          <w:sz w:val="24"/>
          <w:szCs w:val="24"/>
          <w:lang w:val="en"/>
        </w:rPr>
        <w:t>radically anthropogenically altered ecosystem currently</w:t>
      </w:r>
      <w:r w:rsidRPr="00382793">
        <w:rPr>
          <w:rFonts w:asciiTheme="majorHAnsi" w:hAnsiTheme="majorHAnsi" w:cstheme="majorHAnsi"/>
          <w:sz w:val="24"/>
          <w:szCs w:val="24"/>
          <w:lang w:val="en"/>
        </w:rPr>
        <w:t xml:space="preserve"> encompassing 1,</w:t>
      </w:r>
      <w:r w:rsidR="00446DCD">
        <w:rPr>
          <w:rFonts w:asciiTheme="majorHAnsi" w:hAnsiTheme="majorHAnsi" w:cstheme="majorHAnsi"/>
          <w:sz w:val="24"/>
          <w:szCs w:val="24"/>
          <w:lang w:val="en"/>
        </w:rPr>
        <w:t>2</w:t>
      </w:r>
      <w:r w:rsidR="00EF501E">
        <w:rPr>
          <w:rFonts w:asciiTheme="majorHAnsi" w:hAnsiTheme="majorHAnsi" w:cstheme="majorHAnsi"/>
          <w:sz w:val="24"/>
          <w:szCs w:val="24"/>
          <w:lang w:val="en"/>
        </w:rPr>
        <w:t>4</w:t>
      </w:r>
      <w:r w:rsidRPr="00382793">
        <w:rPr>
          <w:rFonts w:asciiTheme="majorHAnsi" w:hAnsiTheme="majorHAnsi" w:cstheme="majorHAnsi"/>
          <w:sz w:val="24"/>
          <w:szCs w:val="24"/>
          <w:lang w:val="en"/>
        </w:rPr>
        <w:t xml:space="preserve">0 square </w:t>
      </w:r>
      <w:r w:rsidR="005D60CF">
        <w:rPr>
          <w:rFonts w:asciiTheme="majorHAnsi" w:hAnsiTheme="majorHAnsi" w:cstheme="majorHAnsi"/>
          <w:sz w:val="24"/>
          <w:szCs w:val="24"/>
          <w:lang w:val="en"/>
        </w:rPr>
        <w:t>kilometers</w:t>
      </w:r>
      <w:r w:rsidRPr="00382793">
        <w:rPr>
          <w:rFonts w:asciiTheme="majorHAnsi" w:hAnsiTheme="majorHAnsi" w:cstheme="majorHAnsi"/>
          <w:sz w:val="24"/>
          <w:szCs w:val="24"/>
          <w:lang w:val="en"/>
        </w:rPr>
        <w:t xml:space="preserve"> of open water and wetlands in Northern California</w:t>
      </w:r>
      <w:r w:rsidR="005D60CF">
        <w:rPr>
          <w:rFonts w:asciiTheme="majorHAnsi" w:hAnsiTheme="majorHAnsi" w:cstheme="majorHAnsi"/>
          <w:sz w:val="24"/>
          <w:szCs w:val="24"/>
          <w:lang w:val="en"/>
        </w:rPr>
        <w:t xml:space="preserve"> </w:t>
      </w:r>
      <w:r w:rsidR="00EF501E">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{"citationID":"4NZ4ds7J","properties":{"formattedCitation":"(Conomos, 1979)","plainCitation":"(Conomos, 1979)","noteIndex":0},"citationItems":[{"id":650,"uris":["http://zotero.org/users/local/3tku6QP0/items/IQ36ZDVT"],"itemData":{"id":650,"type":"book","abstract":"San Francisco Bay, the largest bay on the California coast, is a broad, shallow, turbid estuary comprising two geographically and hydrologically distinct subestuaries: the northern reach lying between the connection to the Pacific Ocean at the Golden Gate and the confluence of the Sacramento-San Joaquin River system, and the southern reach (herein called South Bay) between the Golden Gate and the southern terminus of the bay. The northern reach is a partially mixed estuary dominated by seasonally varying river inflow, and the South Bay is a tidally oscillating lagoon-type estuary. Freshwater inflows, highest during winter, generate strong estuarine circulation and largely determine water residence times. They also bring large volumes of dissolved and particulate materials to the estuary. Tidal currents, generated by mixed semidiurnal and diurnal tides, mix the water column and, together with river inflow and basin geometry, determine circulation patterns. Winds, which are strongest during summer and during winter storms, exert stress on the bay's water surface, thereby creating large waves that resuspend sediment from the shallow bay bottom and, together with the tidal currents, contribute markedly to the transport of water masses throughout the shallow estuary.","ISBN":"0-934394-01-6","language":"en","number-of-pages":"483","publisher":"American Association for the Advancement of Science- Pacific Division","source":"Zotero","title":"San Francisco Bay - the urbanized estuary","author":[{"family":"Conomos","given":"T J"}],"issued":{"date-parts":[["1979"]]}}}],"schema":"https://github.com/citation-style-language/schema/raw/master/csl-citation.json"} </w:instrText>
      </w:r>
      <w:r w:rsidR="00EF501E">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(Conomos, 1979)</w:t>
      </w:r>
      <w:r w:rsidR="00EF501E">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w:t>
      </w:r>
      <w:r w:rsidR="008C50E8">
        <w:rPr>
          <w:rFonts w:asciiTheme="majorHAnsi" w:hAnsiTheme="majorHAnsi" w:cstheme="majorHAnsi"/>
          <w:sz w:val="24"/>
          <w:szCs w:val="24"/>
          <w:lang w:val="en"/>
        </w:rPr>
        <w:t>Large-scale a</w:t>
      </w:r>
      <w:r w:rsidR="000E2152">
        <w:rPr>
          <w:rFonts w:asciiTheme="majorHAnsi" w:hAnsiTheme="majorHAnsi" w:cstheme="majorHAnsi"/>
          <w:sz w:val="24"/>
          <w:szCs w:val="24"/>
          <w:lang w:val="en"/>
        </w:rPr>
        <w:t>biotic and biotic human-induced alteration of the SFE</w:t>
      </w:r>
      <w:r w:rsidR="008C50E8">
        <w:rPr>
          <w:rFonts w:asciiTheme="majorHAnsi" w:hAnsiTheme="majorHAnsi" w:cstheme="majorHAnsi"/>
          <w:sz w:val="24"/>
          <w:szCs w:val="24"/>
          <w:lang w:val="en"/>
        </w:rPr>
        <w:t xml:space="preserve"> has been</w:t>
      </w:r>
      <w:r w:rsidR="00D1105D">
        <w:rPr>
          <w:rFonts w:asciiTheme="majorHAnsi" w:hAnsiTheme="majorHAnsi" w:cstheme="majorHAnsi"/>
          <w:sz w:val="24"/>
          <w:szCs w:val="24"/>
          <w:lang w:val="en"/>
        </w:rPr>
        <w:t xml:space="preserve"> </w:t>
      </w:r>
      <w:r w:rsidR="000E2152">
        <w:rPr>
          <w:rFonts w:asciiTheme="majorHAnsi" w:hAnsiTheme="majorHAnsi" w:cstheme="majorHAnsi"/>
          <w:sz w:val="24"/>
          <w:szCs w:val="24"/>
          <w:lang w:val="en"/>
        </w:rPr>
        <w:t>documented since the mid 1800s</w:t>
      </w:r>
      <w:r w:rsidR="00450C5F">
        <w:rPr>
          <w:rFonts w:asciiTheme="majorHAnsi" w:hAnsiTheme="majorHAnsi" w:cstheme="majorHAnsi"/>
          <w:sz w:val="24"/>
          <w:szCs w:val="24"/>
          <w:lang w:val="en"/>
        </w:rPr>
        <w:t xml:space="preserve"> and </w:t>
      </w:r>
      <w:r w:rsidR="00854A8F">
        <w:rPr>
          <w:rFonts w:asciiTheme="majorHAnsi" w:hAnsiTheme="majorHAnsi" w:cstheme="majorHAnsi"/>
          <w:sz w:val="24"/>
          <w:szCs w:val="24"/>
          <w:lang w:val="en"/>
        </w:rPr>
        <w:t>has transformed</w:t>
      </w:r>
      <w:r w:rsidR="00450C5F">
        <w:rPr>
          <w:rFonts w:asciiTheme="majorHAnsi" w:hAnsiTheme="majorHAnsi" w:cstheme="majorHAnsi"/>
          <w:sz w:val="24"/>
          <w:szCs w:val="24"/>
          <w:lang w:val="en"/>
        </w:rPr>
        <w:t xml:space="preserve"> the way water is </w:t>
      </w:r>
      <w:r w:rsidR="00854A8F">
        <w:rPr>
          <w:rFonts w:asciiTheme="majorHAnsi" w:hAnsiTheme="majorHAnsi" w:cstheme="majorHAnsi"/>
          <w:sz w:val="24"/>
          <w:szCs w:val="24"/>
          <w:lang w:val="en"/>
        </w:rPr>
        <w:t>distributed</w:t>
      </w:r>
      <w:r w:rsidR="00450C5F">
        <w:rPr>
          <w:rFonts w:asciiTheme="majorHAnsi" w:hAnsiTheme="majorHAnsi" w:cstheme="majorHAnsi"/>
          <w:sz w:val="24"/>
          <w:szCs w:val="24"/>
          <w:lang w:val="en"/>
        </w:rPr>
        <w:t xml:space="preserve"> </w:t>
      </w:r>
      <w:r w:rsidR="00854A8F">
        <w:rPr>
          <w:rFonts w:asciiTheme="majorHAnsi" w:hAnsiTheme="majorHAnsi" w:cstheme="majorHAnsi"/>
          <w:sz w:val="24"/>
          <w:szCs w:val="24"/>
          <w:lang w:val="en"/>
        </w:rPr>
        <w:t>throughout</w:t>
      </w:r>
      <w:r w:rsidR="00450C5F">
        <w:rPr>
          <w:rFonts w:asciiTheme="majorHAnsi" w:hAnsiTheme="majorHAnsi" w:cstheme="majorHAnsi"/>
          <w:sz w:val="24"/>
          <w:szCs w:val="24"/>
          <w:lang w:val="en"/>
        </w:rPr>
        <w:t xml:space="preserve"> the estuarine environment</w:t>
      </w:r>
      <w:r w:rsidR="003F1E60">
        <w:rPr>
          <w:rFonts w:asciiTheme="majorHAnsi" w:hAnsiTheme="majorHAnsi" w:cstheme="majorHAnsi"/>
          <w:sz w:val="24"/>
          <w:szCs w:val="24"/>
          <w:lang w:val="en"/>
        </w:rPr>
        <w:t>. Abiotic drivers of change include hydraulic</w:t>
      </w:r>
      <w:r w:rsidR="008C50E8">
        <w:rPr>
          <w:rFonts w:asciiTheme="majorHAnsi" w:hAnsiTheme="majorHAnsi" w:cstheme="majorHAnsi"/>
          <w:sz w:val="24"/>
          <w:szCs w:val="24"/>
          <w:lang w:val="en"/>
        </w:rPr>
        <w:t xml:space="preserve"> mining, watershed modification, </w:t>
      </w:r>
      <w:r w:rsidR="003F1E60">
        <w:rPr>
          <w:rFonts w:asciiTheme="majorHAnsi" w:hAnsiTheme="majorHAnsi" w:cstheme="majorHAnsi"/>
          <w:sz w:val="24"/>
          <w:szCs w:val="24"/>
          <w:lang w:val="en"/>
        </w:rPr>
        <w:t>subsidence, and direct sediment removal</w:t>
      </w:r>
      <w:r w:rsidR="00387DD6">
        <w:rPr>
          <w:rFonts w:asciiTheme="majorHAnsi" w:hAnsiTheme="majorHAnsi" w:cstheme="majorHAnsi"/>
          <w:sz w:val="24"/>
          <w:szCs w:val="24"/>
          <w:lang w:val="en"/>
        </w:rPr>
        <w:t xml:space="preserve"> resulting in increased pollutants such as mercury and alterations in the abundance and timing of freshwater inflow </w:t>
      </w:r>
      <w:r w:rsidR="008F60D9">
        <w:rPr>
          <w:rFonts w:asciiTheme="majorHAnsi" w:hAnsiTheme="majorHAnsi" w:cstheme="majorHAnsi"/>
          <w:sz w:val="24"/>
          <w:szCs w:val="24"/>
          <w:lang w:val="en"/>
        </w:rPr>
        <w:fldChar w:fldCharType="begin"/>
      </w:r>
      <w:r w:rsidR="008F60D9">
        <w:rPr>
          <w:rFonts w:asciiTheme="majorHAnsi" w:hAnsiTheme="majorHAnsi" w:cstheme="majorHAnsi"/>
          <w:sz w:val="24"/>
          <w:szCs w:val="24"/>
          <w:lang w:val="en"/>
        </w:rPr>
        <w:instrText xml:space="preserve"> ADDIN ZOTERO_ITEM CSL_CITATION {"citationID":"EBjw9rBA","properties":{"formattedCitation":"(Barnard et al., 2013)","plainCitation":"(Barnard et al., 2013)","noteIndex":0},"citationItems":[{"id":652,"uris":["http://zotero.org/users/local/3tku6QP0/items/PAI7QG8T"],"itemData":{"id":652,"type":"article-journal","abstract":"The papers in this special issue feature state-of-the-art approaches to understanding the physical processes related to sediment transport and geomorphology of complex coastal–estuarine systems. Here we focus on the San Francisco Bay Coastal System, extending from the lower San Joaquin–Sacramento Delta, through the Bay, and along the adjacent outer Paciﬁc Coast. San Francisco Bay is an urbanized estuary that is impacted by numerous anthropogenic activities common to many large estuaries, including a mining legacy, channel dredging, aggregate mining, reservoirs, freshwater diversion, watershed modiﬁcations, urban run-off, ship trafﬁc, exotic species introductions, land reclamation, and wetland restoration. The Golden Gate strait is the sole inlet connecting the Bay to the Paciﬁc Ocean, and serves as the conduit for a tidal ﬂow of ~8 × 109 m3/day, in addition to the transport of mud, sand, biogenic material, nutrients, and pollutants. Despite this physical, biological and chemical connection, resource management and prior research have often treated the Delta, Bay and adjacent ocean as separate entities, compartmentalized by artiﬁcial geographic or political boundaries. The body of work herein presents a comprehensive analysis of system-wide behavior, extending a rich heritage of sediment transport research that dates back to the groundbreaking hydraulic mining-impact research of G.K. Gilbert in the early 20th century.","container-title":"Marine Geology","DOI":"10.1016/j.margeo.2013.04.005","ISSN":"00253227","journalAbbreviation":"Marine Geology","language":"en","page":"3-17","source":"DOI.org (Crossref)","title":"Sediment transport in the San Francisco Bay Coastal System: An overview","title-short":"Sediment transport in the San Francisco Bay Coastal System","volume":"345","author":[{"family":"Barnard","given":"Patrick L."},{"family":"Schoellhamer","given":"David H."},{"family":"Jaffe","given":"Bruce E."},{"family":"McKee","given":"Lester J."}],"issued":{"date-parts":[["2013",11]]}}}],"schema":"https://github.com/citation-style-language/schema/raw/master/csl-citation.json"} </w:instrText>
      </w:r>
      <w:r w:rsidR="008F60D9">
        <w:rPr>
          <w:rFonts w:asciiTheme="majorHAnsi" w:hAnsiTheme="majorHAnsi" w:cstheme="majorHAnsi"/>
          <w:sz w:val="24"/>
          <w:szCs w:val="24"/>
          <w:lang w:val="en"/>
        </w:rPr>
        <w:fldChar w:fldCharType="separate"/>
      </w:r>
      <w:r w:rsidR="008F60D9">
        <w:rPr>
          <w:rFonts w:asciiTheme="majorHAnsi" w:hAnsiTheme="majorHAnsi" w:cstheme="majorHAnsi"/>
          <w:noProof/>
          <w:sz w:val="24"/>
          <w:szCs w:val="24"/>
          <w:lang w:val="en"/>
        </w:rPr>
        <w:t>(Barnard et al., 2013)</w:t>
      </w:r>
      <w:r w:rsidR="008F60D9">
        <w:rPr>
          <w:rFonts w:asciiTheme="majorHAnsi" w:hAnsiTheme="majorHAnsi" w:cstheme="majorHAnsi"/>
          <w:sz w:val="24"/>
          <w:szCs w:val="24"/>
          <w:lang w:val="en"/>
        </w:rPr>
        <w:fldChar w:fldCharType="end"/>
      </w:r>
      <w:r w:rsidR="00387DD6">
        <w:rPr>
          <w:rFonts w:asciiTheme="majorHAnsi" w:hAnsiTheme="majorHAnsi" w:cstheme="majorHAnsi"/>
          <w:sz w:val="24"/>
          <w:szCs w:val="24"/>
          <w:lang w:val="en"/>
        </w:rPr>
        <w:t>.</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Biotic</w:t>
      </w:r>
      <w:r w:rsidR="003F1E60">
        <w:rPr>
          <w:rFonts w:asciiTheme="majorHAnsi" w:hAnsiTheme="majorHAnsi" w:cstheme="majorHAnsi"/>
          <w:sz w:val="24"/>
          <w:szCs w:val="24"/>
          <w:lang w:val="en"/>
        </w:rPr>
        <w:t xml:space="preserve"> </w:t>
      </w:r>
      <w:r w:rsidR="00387DD6">
        <w:rPr>
          <w:rFonts w:asciiTheme="majorHAnsi" w:hAnsiTheme="majorHAnsi" w:cstheme="majorHAnsi"/>
          <w:sz w:val="24"/>
          <w:szCs w:val="24"/>
          <w:lang w:val="en"/>
        </w:rPr>
        <w:t>drivers of change</w:t>
      </w:r>
      <w:r w:rsidR="003F1E60">
        <w:rPr>
          <w:rFonts w:asciiTheme="majorHAnsi" w:hAnsiTheme="majorHAnsi" w:cstheme="majorHAnsi"/>
          <w:sz w:val="24"/>
          <w:szCs w:val="24"/>
          <w:lang w:val="en"/>
        </w:rPr>
        <w:t xml:space="preserve"> include introduced species</w:t>
      </w:r>
      <w:r w:rsidR="00387DD6">
        <w:rPr>
          <w:rFonts w:asciiTheme="majorHAnsi" w:hAnsiTheme="majorHAnsi" w:cstheme="majorHAnsi"/>
          <w:sz w:val="24"/>
          <w:szCs w:val="24"/>
          <w:lang w:val="en"/>
        </w:rPr>
        <w:t xml:space="preserve"> affecting competition for niche resources such as habitat and food</w:t>
      </w:r>
      <w:r w:rsidR="00854A8F">
        <w:rPr>
          <w:rFonts w:asciiTheme="majorHAnsi" w:hAnsiTheme="majorHAnsi" w:cstheme="majorHAnsi"/>
          <w:sz w:val="24"/>
          <w:szCs w:val="24"/>
          <w:lang w:val="en"/>
        </w:rPr>
        <w:t xml:space="preserve"> availability</w:t>
      </w:r>
      <w:r w:rsidR="00450C5F">
        <w:rPr>
          <w:rFonts w:asciiTheme="majorHAnsi" w:hAnsiTheme="majorHAnsi" w:cstheme="majorHAnsi"/>
          <w:sz w:val="24"/>
          <w:szCs w:val="24"/>
          <w:lang w:val="en"/>
        </w:rPr>
        <w:t xml:space="preserve"> </w:t>
      </w:r>
      <w:r w:rsidR="00450C5F">
        <w:rPr>
          <w:rFonts w:asciiTheme="majorHAnsi" w:hAnsiTheme="majorHAnsi" w:cstheme="majorHAnsi"/>
          <w:sz w:val="24"/>
          <w:szCs w:val="24"/>
          <w:lang w:val="en"/>
        </w:rPr>
        <w:fldChar w:fldCharType="begin"/>
      </w:r>
      <w:r w:rsidR="00450C5F">
        <w:rPr>
          <w:rFonts w:asciiTheme="majorHAnsi" w:hAnsiTheme="majorHAnsi" w:cstheme="majorHAnsi"/>
          <w:sz w:val="24"/>
          <w:szCs w:val="24"/>
          <w:lang w:val="en"/>
        </w:rPr>
        <w:instrText xml:space="preserve"> ADDIN ZOTERO_ITEM CSL_CITATION {"citationID":"xwT05VUU","properties":{"formattedCitation":"(Glibert et al., 2011; Nichols et al., 1986)","plainCitation":"(Glibert et al., 2011; Nichols et al., 1986)","noteIndex":0},"citationItems":[{"id":657,"uris":["http://zotero.org/users/local/3tku6QP0/items/KTXPIQY4"],"itemData":{"id":657,"type":"article-journal","abstract":"Eutrophication has altered food webs across aquatic systems, but effects of nutrient stoichiometry (varying nutrient ratios) on ecosystem structure and function have received less attention. A prevailing assumption has been that nutrients are not ecologically relevant unless concentrations are limiting to phytoplankton. However, changes in nutrient stoichiometry fundamentally affect food quality at all levels of the food web. Here, 30-year records of nitrogen and phosphorus concentrations and ratios, phytoplankton, zooplankton, macroinvertebrates, and ﬁsh in the San Francisco Estuary (Bay Delta) were examined to collectively interpret ecosystem changes within the framework of ecological stoichiometry. Changes in nutrient concentrations and nutrient ratios over time fundamentally affect biogeochemical nutrient dynamics that can lead to conditions conducive to invasions of rooted macrophytes and bivalve molluscs, and the harmful cyanobacterium Microcystis. Several other aquatic ecosystems considered here have exhibited similar changes in food webs linked to stoichiometric changes. Nutrient stoichiometry is thus suggested to be a signiﬁcant driver of food webs in the Bay Delta by altering food quality and biogeochemical dynamics. Since nitrogen-to-phosphorus ratios have increased over time, an overall implication is that remediation of ﬁsh populations in the San Francisco Estuary will require signiﬁcant nitrogen reductions to restore the historic ecological stoichiometric balance and the food web.","container-title":"Reviews in Fisheries Science","DOI":"10.1080/10641262.2011.611916","ISSN":"1064-1262, 1547-6553","issue":"4","journalAbbreviation":"Reviews in Fisheries Science","language":"en","page":"358-417","source":"DOI.org (Crossref)","title":"Ecological Stoichiometry, Biogeochemical Cycling, Invasive Species, and Aquatic Food Webs: San Francisco Estuary and Comparative Systems","title-short":"Ecological Stoichiometry, Biogeochemical Cycling, Invasive Species, and Aquatic Food Webs","volume":"19","author":[{"family":"Glibert","given":"Patricia M."},{"family":"Fullerton","given":"David"},{"family":"Burkholder","given":"Joann M."},{"family":"Cornwell","given":"Jeffrey C."},{"family":"Kana","given":"Todd M."}],"issued":{"date-parts":[["2011",10]]}}},{"id":410,"uris":["http://zotero.org/users/local/3tku6QP0/items/VNUCCEWV"],"itemData":{"id":410,"type":"article-journal","container-title":"Science","DOI":"10.1126/science.231.4738.567","issue":"4738","page":"567-573","title":"The Modification of an Estuary","volume":"231","author":[{"family":"Nichols","given":"Frederic H"},{"family":"Cloern","given":"James E"},{"family":"Luoma","given":"Samuel N"},{"family":"Peterson","given":"David H"}],"issued":{"date-parts":[["1986"]]}}}],"schema":"https://github.com/citation-style-language/schema/raw/master/csl-citation.json"} </w:instrText>
      </w:r>
      <w:r w:rsidR="00450C5F">
        <w:rPr>
          <w:rFonts w:asciiTheme="majorHAnsi" w:hAnsiTheme="majorHAnsi" w:cstheme="majorHAnsi"/>
          <w:sz w:val="24"/>
          <w:szCs w:val="24"/>
          <w:lang w:val="en"/>
        </w:rPr>
        <w:fldChar w:fldCharType="separate"/>
      </w:r>
      <w:r w:rsidR="00450C5F">
        <w:rPr>
          <w:rFonts w:asciiTheme="majorHAnsi" w:hAnsiTheme="majorHAnsi" w:cstheme="majorHAnsi"/>
          <w:noProof/>
          <w:sz w:val="24"/>
          <w:szCs w:val="24"/>
          <w:lang w:val="en"/>
        </w:rPr>
        <w:t>(Glibert et al., 2011; Nichols et al., 1986)</w:t>
      </w:r>
      <w:r w:rsidR="00450C5F">
        <w:rPr>
          <w:rFonts w:asciiTheme="majorHAnsi" w:hAnsiTheme="majorHAnsi" w:cstheme="majorHAnsi"/>
          <w:sz w:val="24"/>
          <w:szCs w:val="24"/>
          <w:lang w:val="en"/>
        </w:rPr>
        <w:fldChar w:fldCharType="end"/>
      </w:r>
      <w:r w:rsidR="003F1E60">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State and federal agencies routinely monitor the relative abundance of fish in the SFE with initiatives like the California Department of Fish and Wildlife (CDFW) Fall Midwater Trawl Survey which began in 1967. Similar to many other estuarine ecosystems throughout the globe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{"citationID":"XjMAUsXJ","properties":{"formattedCitation":"(Belarmino et al., 2021; Cottingham et al., n.d.; James et al., 2018)","plainCitation":"(Belarmino et al., 2021; Cottingham et al., n.d.; James et al., 2018)","noteIndex":0},"citationItems":[{"id":595,"uris":["http://zotero.org/users/local/3tku6QP0/items/XJZETVGQ"],"itemData":{"id":595,"type":"article-journal","abstract":"El Niño events and their climatic effects vary markedly in intensity due to several factors related to oceanographic and atmospheric conditions in the Pacific equatorial ocean. As a result of fluctuations in the climate system, rainfall and temperature deviate from average conditions which causes severe biological, economic and social impacts worldwide. In this study, long-term (23 years) standardized monthly sampling of Brazilian silverside, Atherinella brasiliensis, resident fish that inhabits the shallow waters of a subtropical estuary, was performed to investigate the temporal variability in its abundance and relationship with local and regional environmental factors associated with El Niño events and temporal changes in seagrass meadows biomass. We investigated the following hypotheses: (i) A. brasiliensis abundance has presented a long-term decreasing trend, (ii) El Niño events with higher intensities are related to a higher decrease in the species abundance in the estuary and (iii) the decline in A. brasiliensis abundance is influenced by reduction of seagrass meadows, which serve as attachment sites for developing embryos of this species. Time series analysis revealed a statistically significant decrease in the abundance of A. brasiliensis, which was characterized by marked decline between 1996 and 2004 followed by a relative stability between 2005 and 2019. Generalized linear mixed models (GLMM) showed that its abundance decreased during high rainfall and lower salinity conditions associated with moderate and very strong El Niño events, but not during neutral and weak events. An additional GLMM also revealed significant effects of seagrass biomass on the fish abundance. In fact, years with marked decline in the fish abundance coincided with lower or absence of seagrass biomass in the estuary, especially between 1997 and 2005. Hence, negative climatic impacts on A. brasiliensis abundance may have been intensified by synergistic effects caused by periods of reduction in seagrass meadows. These findings raise concerns for conservation, especially when we consider that the studied species is ubiquitous in southwestern Atlantic estuaries and that climate disturbances such as El Niño are expected to become more frequent in the future due to rising ocean temperatures driven by global warming.","container-title":"Estuarine, Coastal and Shelf Science","DOI":"https://doi.org/10.1016/j.ecss.2021.107565","ISSN":"0272-7714","page":"107565","title":"Long-term trends in the abundance of an estuarine fish and relationships with El Niño climatic impacts and seagrass meadows reduction","volume":"261","author":[{"family":"Belarmino","given":"Erika"},{"family":"Nóbrega","given":"Marcelo Francisco","dropping-particle":"de"},{"family":"Grimm","given":"Alice Marlene"},{"family":"Copertino","given":"Margareth da Silva"},{"family":"Vieira","given":"João Paes"},{"family":"Garcia","given":"Alexandre Miranda"}],"issued":{"date-parts":[["2021"]]}}},{"id":598,"uris":["http://zotero.org/users/local/3tku6QP0/items/88C78XS6"],"itemData":{"id":598,"type":"article-journal","abstract":"Marine fishes in the intermittently open East Kleinemonde Estuary, South Africa, were sampled using seine nets over a twenty year period between 1994 and 2014. This dataset was analysed after 11 years (1994–2005), and represented one of the few medium-term studies of fish communities in an intermittently open estuary. A further nine years of sampling (2006–2014) allowed us to revisit the fish community and to gauge if 20 years of data provides more insight into long-term trends in the fish community. The overall species abundance follows a cyclical pattern with two to three years of low abundance and two to three years of high abundance. This pattern broke down in the last five years of the study, with a decline in species richness and consistently low catches of almost all marine species recorded. This may have been as a result of a reduction in the area of submerged macrophytes in the estuary, as well as an increase in the frequency of mouth opening and subsequent decrease in available water area.","container-title":"Estuarine, Coastal and Shelf Science","DOI":"https://doi.org/10.1016/j.ecss.2018.09.010","ISSN":"0272-7714","page":"64-71","title":"The marine fish assemblage of the East Kleinemonde Estuary over 20 years: Declining abundance and nursery function?","volume":"214","author":[{"family":"James","given":"Nicola C."},{"family":"Cowley","given":"Paul D."},{"family":"Whitfield","given":"Alan K."}],"issued":{"date-parts":[["2018"]]}}},{"id":597,"uris":["http://zotero.org/users/local/3tku6QP0/items/YJTN7AS4"],"itemData":{"id":597,"type":"article-journal","language":"en","page":"20","source":"Zotero","title":"Growth, condition, and maturity schedules of an estuarine fish species change in estuaries following increased hypoxia due to climate change","author":[{"family":"Cottingham","given":"Alan"},{"family":"Huang","given":"Peisheng"},{"family":"Hipsey","given":"Matthew R"},{"family":"Hall","given":"Norman G"},{"family":"Ashworth","given":"Eloise"},{"family":"Williams","given":"Joel"},{"family":"Potter","given":"Ian C"}]}}],"schema":"https://github.com/citation-style-language/schema/raw/master/csl-citation.json"}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(Belarmino et al., 2021; Cottingham et al., n.d.; James et al., 2018)</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within the SFE many once abundant endemic pelagic fishes, such as delta smelt, have undergone broad declines in population size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BA4BFE">
        <w:rPr>
          <w:rFonts w:asciiTheme="majorHAnsi" w:hAnsiTheme="majorHAnsi" w:cstheme="majorHAnsi"/>
          <w:sz w:val="24"/>
          <w:szCs w:val="24"/>
          <w:lang w:val="en"/>
        </w:rPr>
        <w:instrText xml:space="preserve"> ADDIN ZOTERO_ITEM CSL_CITATION {"citationID":"xMAsv0Jx","properties":{"formattedCitation":"(Moyle, 2002; Moyle et al., 2018; Sommer et al., 2007)","plainCitation":"(Moyle, 2002; Moyle et al., 2018; Sommer et al., 2007)","noteIndex":0},"citationItems":[{"id":"Z89L5Dz4/ccoAU0Jy","uris":["http://www.mendeley.com/documents/?uuid=8a207c06-c2f2-478e-9d4c-46bac4bc2a70"],"itemData":{"author":[{"dropping-particle":"","family":"Moyle","given":"Peter B.","non-dropping-particle":"","parse-names":false,"suffix":""}],"edition":"2nd","id":"ITEM-1","issued":{"date-parts":[["2002"]]},"publisher":"University of California Press","publisher-place":"Berkeley, CA","title":"Inland Fishes of California","type":"book"}},{"id":348,"uris":["http://zotero.org/users/local/3tku6QP0/items/ZY2S8J57"],"itemData":{"id":348,"type":"article-journal","container-title":"Fisheries","DOI":"10.1002/fsh.10014","issue":"1","page":"42-50","title":"Delta Smelt and Water Politics in California","volume":"43","author":[{"family":"Moyle","given":"Peter B."},{"family":"Hobbs","given":"James A."},{"family":"Durand","given":"John R."}],"issued":{"date-parts":[["2018"]]}}},{"id":662,"uris":["http://zotero.org/users/local/3tku6QP0/items/BV3XBB9X"],"itemData":{"id":662,"type":"article-journal","container-title":"Fisheries","DOI":"10.1577/1548-8446(2007)32[270:TCOPFI]2.0.CO;2","ISSN":"0363-2415, 1548-8446","issue":"6","journalAbbreviation":"Fisheries","language":"en","page":"270-277","source":"DOI.org (Crossref)","title":"The Collapse of Pelagic Fishes in the Upper San Francisco Estuary: El Colapso de los Peces Pelagicos en La Cabecera Del Estuario San Francisco","title-short":"The Collapse of Pelagic Fishes in the Upper San Francisco Estuary","volume":"32","author":[{"family":"Sommer","given":"Ted"},{"family":"Armor","given":"Chuck"},{"family":"Baxter","given":"Randall"},{"family":"Breuer","given":"Richard"},{"family":"Brown","given":"Larry"},{"family":"Chotkowski","given":"Mike"},{"family":"Culberson","given":"Steve"},{"family":"Feyrer","given":"Fredrick"},{"family":"Gingras","given":"Marty"},{"family":"Herbold","given":"Bruce"},{"family":"Kimmerer","given":"Wim"},{"family":"Mueller-Solger","given":"Anke"},{"family":"Nobriga","given":"Matt"},{"family":"Souza","given":"Kelly"}],"issued":{"date-parts":[["2007",6]]}}}],"schema":"https://github.com/citation-style-language/schema/raw/master/csl-citation.json"} </w:instrText>
      </w:r>
      <w:r w:rsidRPr="00382793">
        <w:rPr>
          <w:rFonts w:asciiTheme="majorHAnsi" w:hAnsiTheme="majorHAnsi" w:cstheme="majorHAnsi"/>
          <w:sz w:val="24"/>
          <w:szCs w:val="24"/>
          <w:lang w:val="en"/>
        </w:rPr>
        <w:fldChar w:fldCharType="separate"/>
      </w:r>
      <w:r w:rsidR="00BA4BFE">
        <w:rPr>
          <w:rFonts w:asciiTheme="majorHAnsi" w:hAnsiTheme="majorHAnsi" w:cstheme="majorHAnsi"/>
          <w:sz w:val="24"/>
          <w:szCs w:val="24"/>
        </w:rPr>
        <w:t>(Moyle, 2002; Moyle et al., 2018; Sommer et al.,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w:t>
      </w:r>
    </w:p>
    <w:p w14:paraId="0B258D46" w14:textId="77777777" w:rsidR="006372E7" w:rsidRDefault="006372E7" w:rsidP="0011235A">
      <w:pPr>
        <w:spacing w:line="240" w:lineRule="auto"/>
        <w:rPr>
          <w:rFonts w:asciiTheme="majorHAnsi" w:hAnsiTheme="majorHAnsi" w:cstheme="majorHAnsi"/>
          <w:sz w:val="24"/>
          <w:szCs w:val="24"/>
          <w:lang w:val="en"/>
        </w:rPr>
      </w:pPr>
    </w:p>
    <w:p w14:paraId="286C2D79" w14:textId="3132D86E" w:rsidR="00173AE9" w:rsidRPr="006372E7" w:rsidRDefault="00100511" w:rsidP="006372E7">
      <w:pPr>
        <w:pStyle w:val="Header"/>
        <w:outlineLvl w:val="1"/>
        <w:rPr>
          <w:rFonts w:asciiTheme="majorHAnsi" w:hAnsiTheme="majorHAnsi" w:cstheme="majorHAnsi"/>
        </w:rPr>
      </w:pPr>
      <w:r>
        <w:rPr>
          <w:rFonts w:asciiTheme="majorHAnsi" w:hAnsiTheme="majorHAnsi" w:cstheme="majorHAnsi"/>
        </w:rPr>
        <w:t>Delta</w:t>
      </w:r>
      <w:r w:rsidR="006372E7">
        <w:rPr>
          <w:rFonts w:asciiTheme="majorHAnsi" w:hAnsiTheme="majorHAnsi" w:cstheme="majorHAnsi"/>
        </w:rPr>
        <w:t xml:space="preserve"> smelt</w:t>
      </w:r>
    </w:p>
    <w:p w14:paraId="14E9A670" w14:textId="049969B6" w:rsidR="003F5039" w:rsidRDefault="007A1054" w:rsidP="0011235A">
      <w:pPr>
        <w:spacing w:line="240" w:lineRule="auto"/>
        <w:rPr>
          <w:rFonts w:asciiTheme="majorHAnsi" w:hAnsiTheme="majorHAnsi" w:cstheme="majorHAnsi"/>
          <w:sz w:val="24"/>
          <w:szCs w:val="24"/>
          <w:lang w:val="en"/>
        </w:rPr>
      </w:pPr>
      <w:r w:rsidRPr="00382793">
        <w:rPr>
          <w:rFonts w:asciiTheme="majorHAnsi" w:hAnsiTheme="majorHAnsi" w:cstheme="majorHAnsi"/>
          <w:sz w:val="24"/>
          <w:szCs w:val="24"/>
          <w:lang w:val="en"/>
        </w:rPr>
        <w:t xml:space="preserve">Delta smelt are a small (6 </w:t>
      </w:r>
      <w:r w:rsidR="00291495">
        <w:rPr>
          <w:rFonts w:asciiTheme="majorHAnsi" w:hAnsiTheme="majorHAnsi" w:cstheme="majorHAnsi"/>
          <w:sz w:val="24"/>
          <w:szCs w:val="24"/>
          <w:lang w:val="en"/>
        </w:rPr>
        <w:t>–</w:t>
      </w:r>
      <w:r w:rsidRPr="00382793">
        <w:rPr>
          <w:rFonts w:asciiTheme="majorHAnsi" w:hAnsiTheme="majorHAnsi" w:cstheme="majorHAnsi"/>
          <w:sz w:val="24"/>
          <w:szCs w:val="24"/>
          <w:lang w:val="en"/>
        </w:rPr>
        <w:t xml:space="preserve"> 9</w:t>
      </w:r>
      <w:r w:rsidR="00291495">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t>cm), translucent, semi-anadromous species that migrates between fresh and saline water and reproduces annually</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{"citationID":"Ge3dmnPV","properties":{"formattedCitation":"(Sommer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(Sommer et al., 2011)</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Delta smelt are part of the </w:t>
      </w:r>
      <w:proofErr w:type="spellStart"/>
      <w:r w:rsidRPr="00382793">
        <w:rPr>
          <w:rFonts w:asciiTheme="majorHAnsi" w:hAnsiTheme="majorHAnsi" w:cstheme="majorHAnsi"/>
          <w:sz w:val="24"/>
          <w:szCs w:val="24"/>
          <w:lang w:val="en"/>
        </w:rPr>
        <w:t>Osmeridae</w:t>
      </w:r>
      <w:proofErr w:type="spellEnd"/>
      <w:r w:rsidRPr="00382793">
        <w:rPr>
          <w:rFonts w:asciiTheme="majorHAnsi" w:hAnsiTheme="majorHAnsi" w:cstheme="majorHAnsi"/>
          <w:sz w:val="24"/>
          <w:szCs w:val="24"/>
          <w:lang w:val="en"/>
        </w:rPr>
        <w:t xml:space="preserve"> family which represent</w:t>
      </w:r>
      <w:r w:rsidR="00291495">
        <w:rPr>
          <w:rFonts w:asciiTheme="majorHAnsi" w:hAnsiTheme="majorHAnsi" w:cstheme="majorHAnsi"/>
          <w:sz w:val="24"/>
          <w:szCs w:val="24"/>
          <w:lang w:val="en"/>
        </w:rPr>
        <w:t>s</w:t>
      </w:r>
      <w:r w:rsidRPr="00382793">
        <w:rPr>
          <w:rFonts w:asciiTheme="majorHAnsi" w:hAnsiTheme="majorHAnsi" w:cstheme="majorHAnsi"/>
          <w:sz w:val="24"/>
          <w:szCs w:val="24"/>
          <w:lang w:val="en"/>
        </w:rPr>
        <w:t xml:space="preserve"> a</w:t>
      </w:r>
      <w:r w:rsidR="009C0C92">
        <w:rPr>
          <w:rFonts w:asciiTheme="majorHAnsi" w:hAnsiTheme="majorHAnsi" w:cstheme="majorHAnsi"/>
          <w:sz w:val="24"/>
          <w:szCs w:val="24"/>
          <w:lang w:val="en"/>
        </w:rPr>
        <w:t>n</w:t>
      </w:r>
      <w:r w:rsidRPr="00382793">
        <w:rPr>
          <w:rFonts w:asciiTheme="majorHAnsi" w:hAnsiTheme="majorHAnsi" w:cstheme="majorHAnsi"/>
          <w:sz w:val="24"/>
          <w:szCs w:val="24"/>
          <w:lang w:val="en"/>
        </w:rPr>
        <w:t xml:space="preserve"> </w:t>
      </w:r>
      <w:r w:rsidR="009C0C92">
        <w:rPr>
          <w:rFonts w:asciiTheme="majorHAnsi" w:hAnsiTheme="majorHAnsi" w:cstheme="majorHAnsi"/>
          <w:sz w:val="24"/>
          <w:szCs w:val="24"/>
          <w:lang w:val="en"/>
        </w:rPr>
        <w:t>abundant</w:t>
      </w:r>
      <w:r w:rsidRPr="00382793">
        <w:rPr>
          <w:rFonts w:asciiTheme="majorHAnsi" w:hAnsiTheme="majorHAnsi" w:cstheme="majorHAnsi"/>
          <w:sz w:val="24"/>
          <w:szCs w:val="24"/>
          <w:lang w:val="en"/>
        </w:rPr>
        <w:t xml:space="preserve"> food source for human consumption in Japan, Europe, and North America, and have experienced declining populations worldwide</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{"citationID":"41pphoJk","properties":{"formattedCitation":"(McAllister,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(McAllister, 1963; Moyle, Peter B., Brown, Larry R., Durand, John R., Hobbs, 2016; Rosenfield &amp; Baxter, 2007)</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Because of their annual life cycle and relatively rapid response to the conditions of their habitat, delta smelt are considered an indicator of the overall health of the SFE ecosystem. Once one of the most abundant and widely distributed fish species in the SFE, delta smelt numbers have been declining since the 1980s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{"citationID":"s3WVATrN","properties":{"formattedCitation":"(Moyle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(Moyle et al., 1992)</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 xml:space="preserve"> (Figure 1.1).</w:t>
      </w:r>
      <w:r w:rsidRPr="00382793">
        <w:rPr>
          <w:rFonts w:asciiTheme="majorHAnsi" w:hAnsiTheme="majorHAnsi" w:cstheme="majorHAnsi"/>
          <w:sz w:val="24"/>
          <w:szCs w:val="24"/>
          <w:lang w:val="en"/>
        </w:rPr>
        <w:t xml:space="preserve"> The species was listed as threatened under the </w:t>
      </w:r>
      <w:r w:rsidR="00577B48">
        <w:rPr>
          <w:rFonts w:asciiTheme="majorHAnsi" w:hAnsiTheme="majorHAnsi" w:cstheme="majorHAnsi"/>
          <w:sz w:val="24"/>
          <w:szCs w:val="24"/>
          <w:lang w:val="en"/>
        </w:rPr>
        <w:t>f</w:t>
      </w:r>
      <w:r w:rsidRPr="00382793">
        <w:rPr>
          <w:rFonts w:asciiTheme="majorHAnsi" w:hAnsiTheme="majorHAnsi" w:cstheme="majorHAnsi"/>
          <w:sz w:val="24"/>
          <w:szCs w:val="24"/>
          <w:lang w:val="en"/>
        </w:rPr>
        <w:t>ederal Endangered Species Act (ESA) in 1993 and endangered under the California ESA in 2009. Pelagic productivity and water temperature have been shown to be primary drivers of condition indices ultimately affecting the delta smelt’s fitness</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r>
      <w:r w:rsidR="00D86949">
        <w:rPr>
          <w:rFonts w:asciiTheme="majorHAnsi" w:hAnsiTheme="majorHAnsi" w:cstheme="majorHAnsi"/>
          <w:sz w:val="24"/>
          <w:szCs w:val="24"/>
          <w:lang w:val="en"/>
        </w:rPr>
        <w:instrText xml:space="preserve"> ADDIN ZOTERO_ITEM CSL_CITATION {"citationID":"Guf3NyMk","properties":{"formattedCitation":"(Hammock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Calibri Light" w:hAnsiTheme="majorHAnsi" w:cs="Calibri Light"/>
          <w:sz w:val="24"/>
        </w:rPr>
        <w:t>(Hammock et al., 2022)</w:t>
      </w:r>
      <w:r w:rsidRPr="00382793">
        <w:rPr>
          <w:rFonts w:asciiTheme="majorHAnsi" w:hAnsiTheme="majorHAnsi" w:cstheme="majorHAnsi"/>
          <w:sz w:val="24"/>
          <w:szCs w:val="24"/>
          <w:lang w:val="en"/>
        </w:rPr>
        <w:fldChar w:fldCharType="end"/>
      </w:r>
      <w:r w:rsidRPr="00382793">
        <w:rPr>
          <w:rFonts w:asciiTheme="majorHAnsi" w:hAnsiTheme="majorHAnsi" w:cstheme="majorHAnsi"/>
          <w:sz w:val="24"/>
          <w:szCs w:val="24"/>
          <w:lang w:val="en"/>
        </w:rPr>
        <w:t xml:space="preserve"> and it is now believed stochastic processes may push the species to extinction</w:t>
      </w:r>
      <w:r w:rsidR="00430654">
        <w:rPr>
          <w:rFonts w:asciiTheme="majorHAnsi" w:hAnsiTheme="majorHAnsi" w:cstheme="majorHAnsi"/>
          <w:sz w:val="24"/>
          <w:szCs w:val="24"/>
          <w:lang w:val="en"/>
        </w:rPr>
        <w:t xml:space="preserve"> </w:t>
      </w:r>
      <w:r w:rsidRPr="00382793">
        <w:rPr>
          <w:rFonts w:asciiTheme="majorHAnsi" w:hAnsiTheme="majorHAnsi" w:cstheme="majorHAnsi"/>
          <w:sz w:val="24"/>
          <w:szCs w:val="24"/>
          <w:lang w:val="en"/>
        </w:rPr>
        <w:fldChar w:fldCharType="begin" w:fldLock="1"/>
      </w:r>
      <w:r w:rsidR="005B2580">
        <w:rPr>
          <w:rFonts w:asciiTheme="majorHAnsi" w:hAnsiTheme="majorHAnsi" w:cstheme="majorHAnsi"/>
          <w:sz w:val="24"/>
          <w:szCs w:val="24"/>
          <w:lang w:val="en"/>
        </w:rPr>
        <w:instrText xml:space="preserve"> ADDIN ZOTERO_ITEM CSL_CITATION {"citationID":"3qGJj1wT","properties":{"formattedCitation":"(Fisch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382793">
        <w:rPr>
          <w:rFonts w:asciiTheme="majorHAnsi" w:hAnsiTheme="majorHAnsi" w:cstheme="majorHAnsi"/>
          <w:sz w:val="24"/>
          <w:szCs w:val="24"/>
          <w:lang w:val="en"/>
        </w:rPr>
        <w:fldChar w:fldCharType="separate"/>
      </w:r>
      <w:r w:rsidR="00D86949">
        <w:rPr>
          <w:rFonts w:asciiTheme="majorHAnsi" w:hAnsiTheme="majorHAnsi" w:cstheme="majorHAnsi"/>
          <w:sz w:val="24"/>
          <w:szCs w:val="24"/>
        </w:rPr>
        <w:t>(Fisch et al., 2011; Moyle, Peter B., Brown, Larry R., Durand, John R., Hobbs, 2016)</w:t>
      </w:r>
      <w:r w:rsidRPr="00382793">
        <w:rPr>
          <w:rFonts w:asciiTheme="majorHAnsi" w:hAnsiTheme="majorHAnsi" w:cstheme="majorHAnsi"/>
          <w:sz w:val="24"/>
          <w:szCs w:val="24"/>
        </w:rPr>
        <w:fldChar w:fldCharType="end"/>
      </w:r>
      <w:r w:rsidRPr="00382793">
        <w:rPr>
          <w:rFonts w:asciiTheme="majorHAnsi" w:hAnsiTheme="majorHAnsi" w:cstheme="majorHAnsi"/>
          <w:sz w:val="24"/>
          <w:szCs w:val="24"/>
        </w:rPr>
        <w:t>.</w:t>
      </w:r>
      <w:r w:rsidRPr="00382793">
        <w:rPr>
          <w:rFonts w:asciiTheme="majorHAnsi" w:hAnsiTheme="majorHAnsi" w:cstheme="majorHAnsi"/>
          <w:sz w:val="24"/>
          <w:szCs w:val="24"/>
          <w:lang w:val="en"/>
        </w:rPr>
        <w:t xml:space="preserve"> As a result of their continued decline, resource management agencies, such as CDFW, continue to actively monitor the distribution and abundance of the wild population, and the Genomic Variation Laboratory genetically manages a </w:t>
      </w:r>
      <w:r w:rsidR="00577B48">
        <w:rPr>
          <w:rFonts w:asciiTheme="majorHAnsi" w:hAnsiTheme="majorHAnsi" w:cstheme="majorHAnsi"/>
          <w:sz w:val="24"/>
          <w:szCs w:val="24"/>
          <w:lang w:val="en"/>
        </w:rPr>
        <w:t>captive</w:t>
      </w:r>
      <w:r w:rsidRPr="00382793">
        <w:rPr>
          <w:rFonts w:asciiTheme="majorHAnsi" w:hAnsiTheme="majorHAnsi" w:cstheme="majorHAnsi"/>
          <w:sz w:val="24"/>
          <w:szCs w:val="24"/>
          <w:lang w:val="en"/>
        </w:rPr>
        <w:t xml:space="preserve"> breeding program </w:t>
      </w:r>
      <w:r w:rsidR="00577B48">
        <w:rPr>
          <w:rFonts w:asciiTheme="majorHAnsi" w:hAnsiTheme="majorHAnsi" w:cstheme="majorHAnsi"/>
          <w:sz w:val="24"/>
          <w:szCs w:val="24"/>
          <w:lang w:val="en"/>
        </w:rPr>
        <w:t>to maintain</w:t>
      </w:r>
      <w:r w:rsidRPr="00382793">
        <w:rPr>
          <w:rFonts w:asciiTheme="majorHAnsi" w:hAnsiTheme="majorHAnsi" w:cstheme="majorHAnsi"/>
          <w:sz w:val="24"/>
          <w:szCs w:val="24"/>
          <w:lang w:val="en"/>
        </w:rPr>
        <w:t xml:space="preserve"> a refuge population at the UC Davis Fish Conservation and Culture Laboratory (FCCL).</w:t>
      </w:r>
    </w:p>
    <w:p w14:paraId="0C791F58" w14:textId="77777777" w:rsidR="002518FE" w:rsidRDefault="002518FE" w:rsidP="0011235A">
      <w:pPr>
        <w:spacing w:line="240" w:lineRule="auto"/>
        <w:rPr>
          <w:rFonts w:asciiTheme="majorHAnsi" w:hAnsiTheme="majorHAnsi" w:cstheme="majorHAnsi"/>
          <w:sz w:val="24"/>
          <w:szCs w:val="24"/>
          <w:lang w:val="en"/>
        </w:rPr>
      </w:pPr>
    </w:p>
    <w:p w14:paraId="6671D48D" w14:textId="1921CD44" w:rsidR="002518FE" w:rsidRPr="00173AE9" w:rsidRDefault="002518FE" w:rsidP="002518FE">
      <w:pPr>
        <w:pStyle w:val="Header"/>
        <w:outlineLvl w:val="1"/>
        <w:rPr>
          <w:rFonts w:asciiTheme="majorHAnsi" w:hAnsiTheme="majorHAnsi" w:cstheme="majorHAnsi"/>
        </w:rPr>
      </w:pPr>
      <w:r>
        <w:rPr>
          <w:rFonts w:asciiTheme="majorHAnsi" w:hAnsiTheme="majorHAnsi" w:cstheme="majorHAnsi"/>
        </w:rPr>
        <w:t>Genomics and Conservation</w:t>
      </w:r>
    </w:p>
    <w:p w14:paraId="2E4CF259" w14:textId="5107E5D7" w:rsidR="00100511" w:rsidRDefault="002518FE" w:rsidP="0011235A">
      <w:pPr>
        <w:spacing w:line="240" w:lineRule="auto"/>
        <w:rPr>
          <w:rFonts w:asciiTheme="majorHAnsi" w:hAnsiTheme="majorHAnsi" w:cstheme="majorHAnsi"/>
          <w:sz w:val="24"/>
          <w:szCs w:val="24"/>
          <w:lang w:val="en"/>
        </w:rPr>
      </w:pPr>
      <w:proofErr w:type="spellStart"/>
      <w:r>
        <w:rPr>
          <w:rFonts w:asciiTheme="majorHAnsi" w:hAnsiTheme="majorHAnsi" w:cstheme="majorHAnsi"/>
          <w:sz w:val="24"/>
          <w:szCs w:val="24"/>
          <w:lang w:val="en"/>
        </w:rPr>
        <w:t>tktktk</w:t>
      </w:r>
      <w:proofErr w:type="spellEnd"/>
    </w:p>
    <w:p w14:paraId="37095C6C" w14:textId="1DB43D9A" w:rsidR="002518FE" w:rsidRDefault="002518FE" w:rsidP="0011235A">
      <w:pPr>
        <w:spacing w:line="240" w:lineRule="auto"/>
        <w:rPr>
          <w:rFonts w:asciiTheme="majorHAnsi" w:hAnsiTheme="majorHAnsi" w:cstheme="majorHAnsi"/>
          <w:sz w:val="24"/>
          <w:szCs w:val="24"/>
          <w:lang w:val="en"/>
        </w:rPr>
      </w:pPr>
      <w:ins w:id="10" w:author="Andrea Schreier" w:date="2022-09-07T14:00:00Z">
        <w:r>
          <w:rPr>
            <w:rFonts w:asciiTheme="majorHAnsi" w:hAnsiTheme="majorHAnsi" w:cstheme="majorHAnsi"/>
            <w:sz w:val="24"/>
            <w:szCs w:val="24"/>
            <w:lang w:val="en"/>
          </w:rPr>
          <w:lastRenderedPageBreak/>
          <w:t>This would be the place for</w:t>
        </w:r>
      </w:ins>
      <w:ins w:id="11" w:author="Andrea Schreier" w:date="2022-09-06T16:25:00Z">
        <w:r>
          <w:rPr>
            <w:rFonts w:asciiTheme="majorHAnsi" w:hAnsiTheme="majorHAnsi" w:cstheme="majorHAnsi"/>
            <w:sz w:val="24"/>
            <w:szCs w:val="24"/>
            <w:lang w:val="en"/>
          </w:rPr>
          <w:t xml:space="preserve"> a </w:t>
        </w:r>
      </w:ins>
      <w:ins w:id="12" w:author="Andrea Schreier" w:date="2022-09-06T16:24:00Z">
        <w:r>
          <w:rPr>
            <w:rFonts w:asciiTheme="majorHAnsi" w:hAnsiTheme="majorHAnsi" w:cstheme="majorHAnsi"/>
            <w:sz w:val="24"/>
            <w:szCs w:val="24"/>
            <w:lang w:val="en"/>
          </w:rPr>
          <w:t xml:space="preserve">paragraph </w:t>
        </w:r>
      </w:ins>
      <w:ins w:id="13" w:author="Andrea Schreier" w:date="2022-09-06T16:25:00Z">
        <w:r>
          <w:rPr>
            <w:rFonts w:asciiTheme="majorHAnsi" w:hAnsiTheme="majorHAnsi" w:cstheme="majorHAnsi"/>
            <w:sz w:val="24"/>
            <w:szCs w:val="24"/>
            <w:lang w:val="en"/>
          </w:rPr>
          <w:t>introducing</w:t>
        </w:r>
      </w:ins>
      <w:ins w:id="14" w:author="Andrea Schreier" w:date="2022-09-06T16:24:00Z">
        <w:r>
          <w:rPr>
            <w:rFonts w:asciiTheme="majorHAnsi" w:hAnsiTheme="majorHAnsi" w:cstheme="majorHAnsi"/>
            <w:sz w:val="24"/>
            <w:szCs w:val="24"/>
            <w:lang w:val="en"/>
          </w:rPr>
          <w:t xml:space="preserve"> </w:t>
        </w:r>
      </w:ins>
      <w:ins w:id="15" w:author="Andrea Schreier" w:date="2022-09-06T16:25:00Z">
        <w:r>
          <w:rPr>
            <w:rFonts w:asciiTheme="majorHAnsi" w:hAnsiTheme="majorHAnsi" w:cstheme="majorHAnsi"/>
            <w:sz w:val="24"/>
            <w:szCs w:val="24"/>
            <w:lang w:val="en"/>
          </w:rPr>
          <w:t xml:space="preserve">your </w:t>
        </w:r>
      </w:ins>
      <w:ins w:id="16" w:author="Andrea Schreier" w:date="2022-09-07T14:00:00Z">
        <w:r>
          <w:rPr>
            <w:rFonts w:asciiTheme="majorHAnsi" w:hAnsiTheme="majorHAnsi" w:cstheme="majorHAnsi"/>
            <w:sz w:val="24"/>
            <w:szCs w:val="24"/>
            <w:lang w:val="en"/>
          </w:rPr>
          <w:t xml:space="preserve">genomics </w:t>
        </w:r>
      </w:ins>
      <w:ins w:id="17" w:author="Andrea Schreier" w:date="2022-09-06T16:25:00Z">
        <w:r>
          <w:rPr>
            <w:rFonts w:asciiTheme="majorHAnsi" w:hAnsiTheme="majorHAnsi" w:cstheme="majorHAnsi"/>
            <w:sz w:val="24"/>
            <w:szCs w:val="24"/>
            <w:lang w:val="en"/>
          </w:rPr>
          <w:t>work</w:t>
        </w:r>
      </w:ins>
      <w:ins w:id="18" w:author="Andrea Schreier" w:date="2022-09-06T16:24:00Z">
        <w:r>
          <w:rPr>
            <w:rFonts w:asciiTheme="majorHAnsi" w:hAnsiTheme="majorHAnsi" w:cstheme="majorHAnsi"/>
            <w:sz w:val="24"/>
            <w:szCs w:val="24"/>
            <w:lang w:val="en"/>
          </w:rPr>
          <w:t xml:space="preserve"> and how it fits into conservation of delta smelt.</w:t>
        </w:r>
      </w:ins>
    </w:p>
    <w:p w14:paraId="26ABED20" w14:textId="77777777" w:rsidR="002518FE" w:rsidRDefault="002518FE" w:rsidP="0011235A">
      <w:pPr>
        <w:spacing w:line="240" w:lineRule="auto"/>
        <w:rPr>
          <w:rFonts w:asciiTheme="majorHAnsi" w:hAnsiTheme="majorHAnsi" w:cstheme="majorHAnsi"/>
          <w:sz w:val="24"/>
          <w:szCs w:val="24"/>
          <w:lang w:val="en"/>
        </w:rPr>
      </w:pPr>
    </w:p>
    <w:p w14:paraId="07D36112" w14:textId="49BBD44D" w:rsidR="00100511" w:rsidRPr="00173AE9" w:rsidRDefault="00100511" w:rsidP="00100511">
      <w:pPr>
        <w:pStyle w:val="Header"/>
        <w:outlineLvl w:val="1"/>
        <w:rPr>
          <w:rFonts w:asciiTheme="majorHAnsi" w:hAnsiTheme="majorHAnsi" w:cstheme="majorHAnsi"/>
        </w:rPr>
      </w:pPr>
      <w:r>
        <w:rPr>
          <w:rFonts w:asciiTheme="majorHAnsi" w:hAnsiTheme="majorHAnsi" w:cstheme="majorHAnsi"/>
        </w:rPr>
        <w:t>Objective and Aims of Dissertation</w:t>
      </w:r>
    </w:p>
    <w:p w14:paraId="21E9223E" w14:textId="6E54E50D" w:rsidR="00100511" w:rsidRDefault="00100511" w:rsidP="0011235A">
      <w:pPr>
        <w:spacing w:line="240" w:lineRule="auto"/>
        <w:rPr>
          <w:rFonts w:asciiTheme="majorHAnsi" w:hAnsiTheme="majorHAnsi" w:cstheme="majorHAnsi"/>
          <w:sz w:val="24"/>
          <w:szCs w:val="24"/>
          <w:lang w:val="en"/>
        </w:rPr>
      </w:pPr>
      <w:proofErr w:type="spellStart"/>
      <w:r>
        <w:rPr>
          <w:rFonts w:asciiTheme="majorHAnsi" w:hAnsiTheme="majorHAnsi" w:cstheme="majorHAnsi"/>
          <w:sz w:val="24"/>
          <w:szCs w:val="24"/>
          <w:lang w:val="en"/>
        </w:rPr>
        <w:t>tktkt</w:t>
      </w:r>
      <w:proofErr w:type="spellEnd"/>
    </w:p>
    <w:p w14:paraId="0CA99728" w14:textId="78041E36" w:rsidR="00EC36DE" w:rsidRDefault="00EC36DE" w:rsidP="0011235A">
      <w:pPr>
        <w:spacing w:after="0" w:line="240" w:lineRule="auto"/>
        <w:jc w:val="left"/>
        <w:rPr>
          <w:rFonts w:asciiTheme="majorHAnsi" w:hAnsiTheme="majorHAnsi" w:cstheme="majorHAnsi"/>
          <w:sz w:val="24"/>
          <w:szCs w:val="24"/>
          <w:lang w:val="en"/>
        </w:rPr>
      </w:pPr>
      <w:r>
        <w:rPr>
          <w:rFonts w:asciiTheme="majorHAnsi" w:hAnsiTheme="majorHAnsi" w:cstheme="majorHAnsi"/>
          <w:sz w:val="24"/>
          <w:szCs w:val="24"/>
          <w:lang w:val="en"/>
        </w:rPr>
        <w:br w:type="page"/>
      </w:r>
    </w:p>
    <w:p w14:paraId="0254D28F" w14:textId="144BC068" w:rsidR="003F5039" w:rsidRPr="00011FA5" w:rsidRDefault="003F5039" w:rsidP="0011235A">
      <w:pPr>
        <w:pStyle w:val="TOCHeading"/>
        <w:spacing w:line="240" w:lineRule="auto"/>
        <w:outlineLvl w:val="0"/>
      </w:pPr>
      <w:bookmarkStart w:id="19" w:name="_Toc113123182"/>
      <w:bookmarkStart w:id="20" w:name="_Toc113273221"/>
      <w:r w:rsidRPr="00011FA5">
        <w:lastRenderedPageBreak/>
        <w:t xml:space="preserve">Chapter </w:t>
      </w:r>
      <w:r w:rsidR="000C33D6">
        <w:t>1</w:t>
      </w:r>
      <w:r w:rsidRPr="00011FA5">
        <w:t xml:space="preserve"> – Genome assembly of </w:t>
      </w:r>
      <w:r w:rsidRPr="00011FA5">
        <w:rPr>
          <w:i/>
          <w:iCs/>
        </w:rPr>
        <w:t>Hypomesus transpacificus</w:t>
      </w:r>
      <w:r w:rsidRPr="00011FA5">
        <w:t xml:space="preserve"> (delta smelt)</w:t>
      </w:r>
      <w:bookmarkEnd w:id="19"/>
      <w:bookmarkEnd w:id="20"/>
    </w:p>
    <w:p w14:paraId="2DEB3B79" w14:textId="48C44A40" w:rsidR="007858F9" w:rsidRPr="007858F9" w:rsidRDefault="007858F9" w:rsidP="007858F9">
      <w:pPr>
        <w:tabs>
          <w:tab w:val="left" w:pos="6448"/>
        </w:tabs>
        <w:spacing w:line="240" w:lineRule="auto"/>
        <w:ind w:right="270"/>
        <w:rPr>
          <w:rFonts w:asciiTheme="majorHAnsi" w:hAnsiTheme="majorHAnsi" w:cstheme="majorHAnsi"/>
          <w:i/>
          <w:iCs/>
          <w:color w:val="00000A"/>
          <w:sz w:val="24"/>
          <w:szCs w:val="24"/>
        </w:rPr>
      </w:pPr>
      <w:bookmarkStart w:id="21" w:name="_Toc113123183"/>
      <w:bookmarkStart w:id="22" w:name="_Toc113273222"/>
      <w:r>
        <w:rPr>
          <w:rFonts w:asciiTheme="majorHAnsi" w:hAnsiTheme="majorHAnsi" w:cstheme="majorHAnsi"/>
          <w:i/>
          <w:iCs/>
          <w:color w:val="00000A"/>
          <w:sz w:val="24"/>
          <w:szCs w:val="24"/>
        </w:rPr>
        <w:t>Formatted for submission to Journal of Heredity</w:t>
      </w:r>
    </w:p>
    <w:p w14:paraId="0B1E5CAB" w14:textId="77FC879B" w:rsidR="003F5039" w:rsidRPr="00FD21E9" w:rsidRDefault="003F5039" w:rsidP="0011235A">
      <w:pPr>
        <w:pStyle w:val="Header"/>
        <w:outlineLvl w:val="1"/>
        <w:rPr>
          <w:rFonts w:asciiTheme="majorHAnsi" w:hAnsiTheme="majorHAnsi" w:cstheme="majorHAnsi"/>
          <w:szCs w:val="24"/>
        </w:rPr>
      </w:pPr>
      <w:r w:rsidRPr="00FD21E9">
        <w:rPr>
          <w:rFonts w:asciiTheme="majorHAnsi" w:hAnsiTheme="majorHAnsi" w:cstheme="majorHAnsi"/>
          <w:szCs w:val="24"/>
        </w:rPr>
        <w:t>Introduction</w:t>
      </w:r>
      <w:bookmarkEnd w:id="21"/>
      <w:bookmarkEnd w:id="22"/>
    </w:p>
    <w:p w14:paraId="0EE34836" w14:textId="6AE828EC" w:rsidR="007858F9"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Delta smelt</w:t>
      </w:r>
      <w:r>
        <w:rPr>
          <w:rFonts w:asciiTheme="majorHAnsi" w:hAnsiTheme="majorHAnsi" w:cstheme="majorHAnsi"/>
          <w:color w:val="00000A"/>
          <w:sz w:val="24"/>
          <w:szCs w:val="24"/>
          <w:lang w:val="en"/>
        </w:rPr>
        <w:t xml:space="preserve"> (</w:t>
      </w:r>
      <w:r>
        <w:rPr>
          <w:rFonts w:asciiTheme="majorHAnsi" w:hAnsiTheme="majorHAnsi" w:cstheme="majorHAnsi"/>
          <w:i/>
          <w:iCs/>
          <w:color w:val="00000A"/>
          <w:sz w:val="24"/>
          <w:szCs w:val="24"/>
          <w:lang w:val="en"/>
        </w:rPr>
        <w:t xml:space="preserve">Hypomesus </w:t>
      </w:r>
      <w:r w:rsidRPr="005F2B7B">
        <w:rPr>
          <w:rFonts w:asciiTheme="majorHAnsi" w:hAnsiTheme="majorHAnsi" w:cstheme="majorHAnsi"/>
          <w:color w:val="00000A"/>
          <w:sz w:val="24"/>
          <w:szCs w:val="24"/>
          <w:lang w:val="en"/>
        </w:rPr>
        <w:t>transpacificus</w:t>
      </w:r>
      <w:r>
        <w:rPr>
          <w:rFonts w:asciiTheme="majorHAnsi" w:hAnsiTheme="majorHAnsi" w:cstheme="majorHAnsi"/>
          <w:color w:val="00000A"/>
          <w:sz w:val="24"/>
          <w:szCs w:val="24"/>
          <w:lang w:val="en"/>
        </w:rPr>
        <w:t xml:space="preserve">) (phylum: Chordata, class: Actinopterygii, order: </w:t>
      </w:r>
      <w:proofErr w:type="spellStart"/>
      <w:r>
        <w:rPr>
          <w:rFonts w:asciiTheme="majorHAnsi" w:hAnsiTheme="majorHAnsi" w:cstheme="majorHAnsi"/>
          <w:color w:val="00000A"/>
          <w:sz w:val="24"/>
          <w:szCs w:val="24"/>
          <w:lang w:val="en"/>
        </w:rPr>
        <w:t>Osmeriforme</w:t>
      </w:r>
      <w:proofErr w:type="spellEnd"/>
      <w:r>
        <w:rPr>
          <w:rFonts w:asciiTheme="majorHAnsi" w:hAnsiTheme="majorHAnsi" w:cstheme="majorHAnsi"/>
          <w:color w:val="00000A"/>
          <w:sz w:val="24"/>
          <w:szCs w:val="24"/>
          <w:lang w:val="en"/>
        </w:rPr>
        <w:t xml:space="preserve">, family: </w:t>
      </w:r>
      <w:proofErr w:type="spellStart"/>
      <w:r>
        <w:rPr>
          <w:rFonts w:asciiTheme="majorHAnsi" w:hAnsiTheme="majorHAnsi" w:cstheme="majorHAnsi"/>
          <w:color w:val="00000A"/>
          <w:sz w:val="24"/>
          <w:szCs w:val="24"/>
          <w:lang w:val="en"/>
        </w:rPr>
        <w:t>Osmeridae</w:t>
      </w:r>
      <w:proofErr w:type="spellEnd"/>
      <w:r>
        <w:rPr>
          <w:rFonts w:asciiTheme="majorHAnsi" w:hAnsiTheme="majorHAnsi" w:cstheme="majorHAnsi"/>
          <w:color w:val="00000A"/>
          <w:sz w:val="24"/>
          <w:szCs w:val="24"/>
          <w:lang w:val="en"/>
        </w:rPr>
        <w:t>) is</w:t>
      </w:r>
      <w:r w:rsidRPr="00F42C03">
        <w:rPr>
          <w:rFonts w:asciiTheme="majorHAnsi" w:hAnsiTheme="majorHAnsi" w:cstheme="majorHAnsi"/>
          <w:color w:val="00000A"/>
          <w:sz w:val="24"/>
          <w:szCs w:val="24"/>
          <w:lang w:val="en"/>
        </w:rPr>
        <w:t xml:space="preserve"> a small (6 – 9 cm), translucent, </w:t>
      </w:r>
      <w:r>
        <w:rPr>
          <w:rFonts w:asciiTheme="majorHAnsi" w:hAnsiTheme="majorHAnsi" w:cstheme="majorHAnsi"/>
          <w:color w:val="00000A"/>
          <w:sz w:val="24"/>
          <w:szCs w:val="24"/>
          <w:lang w:val="en"/>
        </w:rPr>
        <w:t>annually reproductive</w:t>
      </w:r>
      <w:r w:rsidRPr="00F42C03">
        <w:rPr>
          <w:rFonts w:asciiTheme="majorHAnsi" w:hAnsiTheme="majorHAnsi" w:cstheme="majorHAnsi"/>
          <w:color w:val="00000A"/>
          <w:sz w:val="24"/>
          <w:szCs w:val="24"/>
          <w:lang w:val="en"/>
        </w:rPr>
        <w:t xml:space="preserve"> species</w:t>
      </w:r>
      <w:r>
        <w:rPr>
          <w:rFonts w:asciiTheme="majorHAnsi" w:hAnsiTheme="majorHAnsi" w:cstheme="majorHAnsi"/>
          <w:color w:val="00000A"/>
          <w:sz w:val="24"/>
          <w:szCs w:val="24"/>
          <w:lang w:val="en"/>
        </w:rPr>
        <w:t xml:space="preserve"> endemic to the Sacramento-San Joaquin River Delta of the San Francisco Estuary in California (SFE). Historically thought to be solely semi-anadromous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{"citationID":"VqJ9umYZ","properties":{"formattedCitation":"(Sommer et al., 2011)","plainCitation":"(Sommer et al., 2011)","noteIndex":0},"citationItems":[{"id":"Z89L5Dz4/Lt31Vu8m","uris":["http://www.mendeley.com/documents/?uuid=7cfa2080-1e46-41fc-a267-2405108047c2"],"itemData":{"author":[{"dropping-particle":"","family":"Sommer","given":"Ted","non-dropping-particle":"","parse-names":false,"suffix":""},{"dropping-particle":"","family":"Mejia","given":"Francine","non-dropping-particle":"","parse-names":false,"suffix":""},{"dropping-particle":"","family":"Nobriga","given":"Matt","non-dropping-particle":"","parse-names":false,"suffix":""},{"dropping-particle":"","family":"Feyrer","given":"Fred","non-dropping-particle":"","parse-names":false,"suffix":""},{"dropping-particle":"","family":"Grimaldo","given":"Lenny","non-dropping-particle":"","parse-names":false,"suffix":""}],"container-title":"San Francisco Estuary and Watershed Science","id":"ITEM-1","issue":"2","issued":{"date-parts":[["2011"]]},"page":"1-44","title":"The Spawning Migration of Delta Smelt in the Upper San Francisco Estuary","type":"article-journal","volume":"9"}}],"schema":"https://github.com/citation-style-language/schema/raw/master/csl-citation.json"}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(Sommer et al., 2011)</w:t>
      </w:r>
      <w:r w:rsidRPr="00F42C03">
        <w:rPr>
          <w:rFonts w:asciiTheme="majorHAnsi" w:hAnsiTheme="majorHAnsi" w:cstheme="majorHAnsi"/>
          <w:color w:val="00000A"/>
          <w:sz w:val="24"/>
          <w:szCs w:val="24"/>
        </w:rPr>
        <w:fldChar w:fldCharType="end"/>
      </w:r>
      <w:r>
        <w:rPr>
          <w:rFonts w:asciiTheme="majorHAnsi" w:hAnsiTheme="majorHAnsi" w:cstheme="majorHAnsi"/>
          <w:color w:val="00000A"/>
          <w:sz w:val="24"/>
          <w:szCs w:val="24"/>
          <w:lang w:val="en"/>
        </w:rPr>
        <w:t xml:space="preserve">, recent otolith analyses have shown the species exhibits complex migratory phenotypes of three primary life-history strategies: semi-anadromous, freshwater resident, and low-salinity brackish-water </w:t>
      </w:r>
      <w:r>
        <w:rPr>
          <w:rFonts w:asciiTheme="majorHAnsi" w:hAnsiTheme="majorHAnsi" w:cstheme="majorHAnsi"/>
          <w:color w:val="00000A"/>
          <w:sz w:val="24"/>
          <w:szCs w:val="24"/>
        </w:rPr>
        <w:t xml:space="preserve">(TKTK Hobbs 2019 [NOTE: link back to this in how genome was used in recent </w:t>
      </w:r>
      <w:proofErr w:type="spellStart"/>
      <w:r>
        <w:rPr>
          <w:rFonts w:asciiTheme="majorHAnsi" w:hAnsiTheme="majorHAnsi" w:cstheme="majorHAnsi"/>
          <w:color w:val="00000A"/>
          <w:sz w:val="24"/>
          <w:szCs w:val="24"/>
        </w:rPr>
        <w:t>polyg</w:t>
      </w:r>
      <w:proofErr w:type="spellEnd"/>
      <w:r>
        <w:rPr>
          <w:rFonts w:asciiTheme="majorHAnsi" w:hAnsiTheme="majorHAnsi" w:cstheme="majorHAnsi"/>
          <w:color w:val="00000A"/>
          <w:sz w:val="24"/>
          <w:szCs w:val="24"/>
        </w:rPr>
        <w:t xml:space="preserve"> paper)</w:t>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Delta smelt are part of the </w:t>
      </w:r>
      <w:proofErr w:type="spellStart"/>
      <w:r w:rsidRPr="00F42C03">
        <w:rPr>
          <w:rFonts w:asciiTheme="majorHAnsi" w:hAnsiTheme="majorHAnsi" w:cstheme="majorHAnsi"/>
          <w:color w:val="00000A"/>
          <w:sz w:val="24"/>
          <w:szCs w:val="24"/>
          <w:lang w:val="en"/>
        </w:rPr>
        <w:t>Osmeridae</w:t>
      </w:r>
      <w:proofErr w:type="spellEnd"/>
      <w:r w:rsidRPr="00F42C03">
        <w:rPr>
          <w:rFonts w:asciiTheme="majorHAnsi" w:hAnsiTheme="majorHAnsi" w:cstheme="majorHAnsi"/>
          <w:color w:val="00000A"/>
          <w:sz w:val="24"/>
          <w:szCs w:val="24"/>
          <w:lang w:val="en"/>
        </w:rPr>
        <w:t xml:space="preserve"> family which represents an abundant food source for human consumption in Japan, Europe, and North America, and </w:t>
      </w:r>
      <w:r>
        <w:rPr>
          <w:rFonts w:asciiTheme="majorHAnsi" w:hAnsiTheme="majorHAnsi" w:cstheme="majorHAnsi"/>
          <w:color w:val="00000A"/>
          <w:sz w:val="24"/>
          <w:szCs w:val="24"/>
          <w:lang w:val="en"/>
        </w:rPr>
        <w:t>has</w:t>
      </w:r>
      <w:r w:rsidRPr="00F42C03">
        <w:rPr>
          <w:rFonts w:asciiTheme="majorHAnsi" w:hAnsiTheme="majorHAnsi" w:cstheme="majorHAnsi"/>
          <w:color w:val="00000A"/>
          <w:sz w:val="24"/>
          <w:szCs w:val="24"/>
          <w:lang w:val="en"/>
        </w:rPr>
        <w:t xml:space="preserve"> experienced declining populations worldwide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{"citationID":"vOO0jpXE","properties":{"formattedCitation":"(McAllister, 1963; Moyle, Peter B., Brown, Larry R., Durand, John R., Hobbs, 2016; Rosenfield &amp; Baxter, 2007)","plainCitation":"(McAllister, 1963; Moyle, Peter B., Brown, Larry R., Durand, John R., Hobbs, 2016; Rosenfield &amp; Baxter, 2007)","noteIndex":0},"citationItems":[{"id":"Z89L5Dz4/Y6sGhb1L","uris":["http://www.mendeley.com/documents/?uuid=154a621a-a2e3-443b-849e-2593b42c5c2d"],"itemData":{"author":[{"dropping-particle":"","family":"McAllister","given":"D. E.","non-dropping-particle":"","parse-names":false,"suffix":""}],"id":"ITEM-1","issued":{"date-parts":[["1963"]]},"number-of-pages":"53","publisher":"National Museum of Canada, Biological Series 191","title":"Revision of the smelt family, Osmeridae.","type":"book"}},{"id":"Z89L5Dz4/tH6FoOfT","uris":["http://www.mendeley.com/documents/?uuid=ff1406d1-77ea-4ab5-a57b-d2db2ba74817"],"itemData":{"abstract":"This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Estuary","type":"article-journal","volume":"14"}},{"id":"Z89L5Dz4/hhKn3eoV","uris":["http://www.mendeley.com/documents/?uuid=757f5833-fa11-466a-b871-160ad1fface1"],"itemData":{"DOI":"10.1577/T06-148.1","ISSN":"0002-8487","abstract":"The San Francisco Estuary supports several endemic species of fish and the southernmost populations of other species. Many of these native species and populations are imperiled or have experienced recent population declines that indicate a general decline in the estuary’s capacity to support pelagic fish species. We studied the distribution and abundance of one of the estuary’s native species, longfin smelt Spirinchus thaleichthys, using data from three long-term aquatic sampling programs. Each of the sampling programs we studied revealed a substantial reduction in the abundance of longfin smelt. These trends support the idea that the estuary’s capacity to support pelagic fish species has been significantly reduced over the past three decades. Longfin smelt in the estuary displayed consistent patterns in relative abundance and distribution during their life cycle. We also found significant, but weak, spatial autocorrelation among sampling stations. These patterns in distribution reveal differential habitat use and migratory behavior. Managers can use these insights into longfin smelt distribution patterns to improve interpretation of sampling program results.","author":[{"dropping-particle":"","family":"Rosenfield","given":"Jonathan A.","non-dropping-particle":"","parse-names":false,"suffix":""},{"dropping-particle":"","family":"Baxter","given":"Randall D.","non-dropping-particle":"","parse-names":false,"suffix":""}],"container-title":"Transactions of the American Fisheries Society","id":"ITEM-3","issue":"6","issued":{"date-parts":[["2007"]]},"page":"1577-1592","title":"Population Dynamics and Distribution Patterns of Longfin Smelt in the San Francisco Estuary","type":"article-journal","volume":"136"}}],"schema":"https://github.com/citation-style-language/schema/raw/master/csl-citation.json"}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(McAllister, 1963; Moyle, Peter B., Brown, Larry R., Durand, John R., Hobbs, 2016; Rosenfield &amp; Baxter, 2007)</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Because of their annual life cycle and relatively rapid response to the conditions of their habitat, delta smelt are considered an indicator of the overall health of the SFE ecosystem. </w:t>
      </w:r>
    </w:p>
    <w:p w14:paraId="3DA362A6" w14:textId="0EB5AE30" w:rsidR="007858F9" w:rsidRPr="002C5280" w:rsidRDefault="007858F9" w:rsidP="007858F9">
      <w:pPr>
        <w:spacing w:line="240" w:lineRule="auto"/>
        <w:ind w:right="270"/>
        <w:rPr>
          <w:rFonts w:asciiTheme="majorHAnsi" w:hAnsiTheme="majorHAnsi" w:cstheme="majorHAnsi"/>
          <w:color w:val="00000A"/>
          <w:sz w:val="24"/>
          <w:szCs w:val="24"/>
          <w:lang w:val="en"/>
        </w:rPr>
      </w:pPr>
      <w:r w:rsidRPr="00F42C03">
        <w:rPr>
          <w:rFonts w:asciiTheme="majorHAnsi" w:hAnsiTheme="majorHAnsi" w:cstheme="majorHAnsi"/>
          <w:color w:val="00000A"/>
          <w:sz w:val="24"/>
          <w:szCs w:val="24"/>
          <w:lang w:val="en"/>
        </w:rPr>
        <w:t xml:space="preserve">Once one of the most abundant and widely distributed fish species in the SFE, delta smelt numbers have been declining since the 1980s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{"citationID":"dyp9KCAh","properties":{"formattedCitation":"(Moyle et al., 1992)","plainCitation":"(Moyle et al., 1992)","noteIndex":0},"citationItems":[{"id":"Z89L5Dz4/7nniPJq0","uris":["http://www.mendeley.com/documents/?uuid=b174141a-6f6e-47bf-9926-35120a427171"],"itemData":{"DOI":"10.1016/j.fertnstert.2012.04.042","ISSN":"1556-5653","PMID":"22656306","abstract":"To review and summarize data from the scientific literature on ovarian tissue and follicle transplantation as an option for fertility preservation.","author":[{"dropping-particle":"","family":"Moyle","given":"Peter B","non-dropping-particle":"","parse-names":false,"suffix":""},{"dropping-particle":"","family":"Herbold","given":"Bruce","non-dropping-particle":"","parse-names":false,"suffix":""},{"dropping-particle":"","family":"Stevens","given":"Donald E","non-dropping-particle":"","parse-names":false,"suffix":""},{"dropping-particle":"","family":"Miller","given":"Lee W","non-dropping-particle":"","parse-names":false,"suffix":""}],"container-title":"Transactions of the American Fisheries Society","id":"ITEM-1","issue":"1","issued":{"date-parts":[["1992"]]},"page":"67-77","title":"Transactions of the American Fisheries Society Life History and Status of Delta Smelt in the Sacramento-San Joaquin Estuary , California","type":"article-journal","volume":"121"}}],"schema":"https://github.com/citation-style-language/schema/raw/master/csl-citation.json"}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(Moyle et al., 1992)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 xml:space="preserve"> (Figure 1.1).</w:t>
      </w:r>
      <w:r w:rsidRPr="00F42C03">
        <w:rPr>
          <w:rFonts w:asciiTheme="majorHAnsi" w:hAnsiTheme="majorHAnsi" w:cstheme="majorHAnsi"/>
          <w:color w:val="00000A"/>
          <w:sz w:val="24"/>
          <w:szCs w:val="24"/>
          <w:lang w:val="en"/>
        </w:rPr>
        <w:t xml:space="preserve"> The species was listed as threatened under the federal Endangered Species Act (ESA) in 1993 and endangered under the California ESA</w:t>
      </w:r>
      <w:r>
        <w:rPr>
          <w:rFonts w:asciiTheme="majorHAnsi" w:hAnsiTheme="majorHAnsi" w:cstheme="majorHAnsi"/>
          <w:color w:val="00000A"/>
          <w:sz w:val="24"/>
          <w:szCs w:val="24"/>
          <w:lang w:val="en"/>
        </w:rPr>
        <w:t xml:space="preserve"> (CESA)</w:t>
      </w:r>
      <w:r w:rsidRPr="00F42C03">
        <w:rPr>
          <w:rFonts w:asciiTheme="majorHAnsi" w:hAnsiTheme="majorHAnsi" w:cstheme="majorHAnsi"/>
          <w:color w:val="00000A"/>
          <w:sz w:val="24"/>
          <w:szCs w:val="24"/>
          <w:lang w:val="en"/>
        </w:rPr>
        <w:t xml:space="preserve"> in 2009. </w:t>
      </w:r>
      <w:r>
        <w:rPr>
          <w:rFonts w:asciiTheme="majorHAnsi" w:hAnsiTheme="majorHAnsi" w:cstheme="majorHAnsi"/>
          <w:color w:val="00000A"/>
          <w:sz w:val="24"/>
          <w:szCs w:val="24"/>
          <w:lang w:val="en"/>
        </w:rPr>
        <w:t xml:space="preserve">Despite protections under the ESA and CESA the species population numbers have continued to decline throughout the SFE (insert SMT and FMWT). </w:t>
      </w:r>
      <w:r w:rsidRPr="00F42C03">
        <w:rPr>
          <w:rFonts w:asciiTheme="majorHAnsi" w:hAnsiTheme="majorHAnsi" w:cstheme="majorHAnsi"/>
          <w:color w:val="00000A"/>
          <w:sz w:val="24"/>
          <w:szCs w:val="24"/>
          <w:lang w:val="en"/>
        </w:rPr>
        <w:t xml:space="preserve">Pelagic productivity and water temperature have been shown to be primary drivers of condition indices ultimately affecting the delta smelt’s fitness </w:t>
      </w:r>
      <w:r w:rsidRPr="00F42C03">
        <w:rPr>
          <w:rFonts w:asciiTheme="majorHAnsi" w:hAnsiTheme="majorHAnsi" w:cstheme="majorHAnsi"/>
          <w:color w:val="00000A"/>
          <w:sz w:val="24"/>
          <w:szCs w:val="24"/>
          <w:lang w:val="en"/>
        </w:rPr>
        <w:fldChar w:fldCharType="begin"/>
      </w:r>
      <w:r w:rsidR="002335A7">
        <w:rPr>
          <w:rFonts w:asciiTheme="majorHAnsi" w:hAnsiTheme="majorHAnsi" w:cstheme="majorHAnsi"/>
          <w:color w:val="00000A"/>
          <w:sz w:val="24"/>
          <w:szCs w:val="24"/>
          <w:lang w:val="en"/>
        </w:rPr>
        <w:instrText xml:space="preserve"> ADDIN ZOTERO_ITEM CSL_CITATION {"citationID":"ZuKfDBV0","properties":{"formattedCitation":"(Hammock et al., 2022)","plainCitation":"(Hammock et al., 2022)","noteIndex":0},"citationItems":[{"id":581,"uris":["http://zotero.org/users/local/3tku6QP0/items/LZE3TXGS"],"itemData":{"id":581,"type":"article-journal","container-title":"Hydrobiologia","DOI":"10.1007/s10750-021-04738-z","ISSN":"0018-8158, 1573-5117","issue":"3","journalAbbreviation":"Hydrobiologia","language":"en","page":"675-695","source":"DOI.org (Crossref)","title":"Patterns and predictors of condition indices in a critically endangered fish","volume":"849","author":[{"family":"Hammock","given":"Bruce G."},{"family":"Hartman","given":"Rosemary"},{"family":"Dahlgren","given":"Randy A."},{"family":"Johnston","given":"Catherine"},{"family":"Kurobe","given":"Tomofumi"},{"family":"Lehman","given":"Peggy W."},{"family":"Lewis","given":"Levi S."},{"family":"Van Nieuwenhuyse","given":"Erwin"},{"family":"Ramírez-Duarte","given":"Wilson F."},{"family":"Schultz","given":"Andrew A."},{"family":"Teh","given":"Swee J."}],"issued":{"date-parts":[["2022",2]]}}}],"schema":"https://github.com/citation-style-language/schema/raw/master/csl-citation.json"}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(Hammock et al., 2022)</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lang w:val="en"/>
        </w:rPr>
        <w:t xml:space="preserve"> and it is now believed stochastic processes may push the species to extinction </w:t>
      </w:r>
      <w:r w:rsidRPr="00F42C03">
        <w:rPr>
          <w:rFonts w:asciiTheme="majorHAnsi" w:hAnsiTheme="majorHAnsi" w:cstheme="majorHAnsi"/>
          <w:color w:val="00000A"/>
          <w:sz w:val="24"/>
          <w:szCs w:val="24"/>
          <w:lang w:val="en"/>
        </w:rPr>
        <w:fldChar w:fldCharType="begin" w:fldLock="1"/>
      </w:r>
      <w:r w:rsidR="005B2580">
        <w:rPr>
          <w:rFonts w:asciiTheme="majorHAnsi" w:hAnsiTheme="majorHAnsi" w:cstheme="majorHAnsi"/>
          <w:color w:val="00000A"/>
          <w:sz w:val="24"/>
          <w:szCs w:val="24"/>
          <w:lang w:val="en"/>
        </w:rPr>
        <w:instrText xml:space="preserve"> ADDIN ZOTERO_ITEM CSL_CITATION {"citationID":"RjKxILK0","properties":{"formattedCitation":"(Fisch et al., 2011; Moyle, Peter B., Brown, Larry R., Durand, John R., Hobbs, 2016)","plainCitation":"(Fisch et al., 2011; Moyle, Peter B., Brown, Larry R., Durand, John R., Hobbs, 2016)","noteIndex":0},"citationItems":[{"id":"Z89L5Dz4/2kT1DDwC","uris":["http://www.mendeley.com/documents/?uuid=23e53af3-288d-48bc-b9a7-174ca5e00a87"],"itemData":{"DOI":"10.1007/s10592-011-0240-y","ISBN":"1566-0621 1572-9737","ISSN":"15660621","abstract":"Over the last two decades, the collapse of the endangered delta smelt (Hypomesus transpacificus) in the San Francisco Bay-Delta has resulted in politically charged conservation decisions, including the rationing of valuable Delta water for use in California agriculture and urban centers. A fundamental question remaining in delta smelt conservation is whether current management strategies have been appropriately designed to protect the remaining genetic variation in delta smelt populations, rather than merely mitigating the decline of the species. We used 15 microsatellite markers to characterize genetic variation within and among sampling regions on geographic and temporal scales, to estimate changes in effective population size over time, to determine if a genetic bottleneck exists and to define conservation management units for this species. A genetic bottleneck was detected in each of the four sampling years, and a significant decline in effective population size was observed between sampling years 2003 and 2007. We also detected a weak geographic signal in any given sampling year that was unsupported by temporal consistency of this signal. We assessed two strategies for defining conservation units, and concluded that continuing to manage the species as a single, panmictic population throughout its range is the most feasible management strategy. The results of this study will inform conservation decisions and provide an effective means for genetically monitoring this imperiled species.","author":[{"dropping-particle":"","family":"Fisch","given":"Kathleen M.","non-dropping-particle":"","parse-names":false,"suffix":""},{"dropping-particle":"","family":"Henderson","given":"Jordana M.","non-dropping-particle":"","parse-names":false,"suffix":""},{"dropping-particle":"","family":"Burton","given":"Ronald S.","non-dropping-particle":"","parse-names":false,"suffix":""},{"dropping-particle":"","family":"May","given":"Bernie","non-dropping-particle":"","parse-names":false,"suffix":""}],"container-title":"Conservation Genetics","id":"ITEM-1","issue":"6","issued":{"date-parts":[["2011"]]},"page":"1421-1434","title":"Population genetics and conservation implications for the endangered delta smelt in the San Francisco Bay-Delta","type":"article-journal","volume":"12"}},{"id":"Z89L5Dz4/tH6FoOfT","uris":["http://www.mendeley.com/documents/?uuid=ff1406d1-77ea-4ab5-a57b-d2db2ba74817"],"itemData":{"abstract":"This paper reviews what has been learned about Delta Smelt and its status since the publication of The State of Bay-Delta Science, 2008 (Healey et al. 2008). The Delta Smelt is endemic to the upper San Francisco Estuary. Much of its historic habitat is no longer available and remaining habitat is increasingly unable to sustain the population. As a listed species living in the central node of California’s water supply system, Delta Smelt has been the focus of a large research effort to understand causes of decline and identify ways to recover the species. Since 2008, a remarkable record of innovative research on Delta Smelt has been achieved, which is summarized here. Unfortunately, research has not prevented the smelt’s continued decline, which is the result of multiple, interacting factors. A major driver of decline is change to the Delta ecosystem from water exports, resulting in reduced outflows and high levels of entrainment in the large pumps of the South Delta. Invasions of alien species, encouraged by environmental change, have also played a contributing role in the decline. Severe drought effects have pushed Delta Smelt to record low levels in 2014–2015. The rapid decline of the species and failure of recovery efforts demonstrate an inability to manage the Delta for the “co-equal goals” of maintaining a healthy ecosystem and providing a reliable water supply for Californians. Diverse and substantial management actions are needed to preserve Delta Smelt. KEY","author":[{"dropping-particle":"","family":"Moyle, Peter B., Brown, Larry R., Durand, John R., Hobbs","given":"James A.","non-dropping-particle":"","parse-names":false,"suffix":""}],"container-title":"San Francisco Estuary and Watershed Science","id":"ITEM-2","issue":"2","issued":{"date-parts":[["2016"]]},"page":"1-40","title":"Delta Smelt: LIfe History and Decline of a Once-Adundant Species in the San Francisco Estuary","type":"article-journal","volume":"14"}}],"schema":"https://github.com/citation-style-language/schema/raw/master/csl-citation.json"} </w:instrText>
      </w:r>
      <w:r w:rsidRPr="00F42C03">
        <w:rPr>
          <w:rFonts w:asciiTheme="majorHAnsi" w:hAnsiTheme="majorHAnsi" w:cstheme="majorHAnsi"/>
          <w:color w:val="00000A"/>
          <w:sz w:val="24"/>
          <w:szCs w:val="24"/>
          <w:lang w:val="en"/>
        </w:rPr>
        <w:fldChar w:fldCharType="separate"/>
      </w:r>
      <w:r w:rsidRPr="00F42C03">
        <w:rPr>
          <w:rFonts w:asciiTheme="majorHAnsi" w:hAnsiTheme="majorHAnsi" w:cstheme="majorHAnsi"/>
          <w:color w:val="00000A"/>
          <w:sz w:val="24"/>
          <w:szCs w:val="24"/>
        </w:rPr>
        <w:t>(Fisch et al., 2011; Moyle, Peter B., Brown, Larry R., Durand, John R., Hobbs, 2016)</w:t>
      </w:r>
      <w:r w:rsidRPr="00F42C03">
        <w:rPr>
          <w:rFonts w:asciiTheme="majorHAnsi" w:hAnsiTheme="majorHAnsi" w:cstheme="majorHAnsi"/>
          <w:color w:val="00000A"/>
          <w:sz w:val="24"/>
          <w:szCs w:val="24"/>
        </w:rPr>
        <w:fldChar w:fldCharType="end"/>
      </w:r>
      <w:r w:rsidRPr="00F42C03">
        <w:rPr>
          <w:rFonts w:asciiTheme="majorHAnsi" w:hAnsiTheme="majorHAnsi" w:cstheme="majorHAnsi"/>
          <w:color w:val="00000A"/>
          <w:sz w:val="24"/>
          <w:szCs w:val="24"/>
        </w:rPr>
        <w:t>.</w:t>
      </w:r>
      <w:r w:rsidRPr="00F42C03">
        <w:rPr>
          <w:rFonts w:asciiTheme="majorHAnsi" w:hAnsiTheme="majorHAnsi" w:cstheme="majorHAnsi"/>
          <w:color w:val="00000A"/>
          <w:sz w:val="24"/>
          <w:szCs w:val="24"/>
          <w:lang w:val="en"/>
        </w:rPr>
        <w:t xml:space="preserve"> As a result of their decline, resource management agencies, such as CDFW, continue to actively monitor the distribution and abundance of the wild population, and the Genomic Variation Laboratory genetically manages a captive breeding program to maintain a refuge population at the UC Davis Fish Conservation and Culture Laboratory (FCCL). </w:t>
      </w:r>
    </w:p>
    <w:p w14:paraId="400C4A41" w14:textId="694D8BC7" w:rsidR="007858F9" w:rsidRDefault="007858F9" w:rsidP="007858F9">
      <w:pPr>
        <w:spacing w:line="240" w:lineRule="auto"/>
        <w:ind w:right="270"/>
        <w:rPr>
          <w:rFonts w:asciiTheme="majorHAnsi" w:hAnsiTheme="majorHAnsi" w:cstheme="majorHAnsi"/>
          <w:sz w:val="24"/>
          <w:szCs w:val="24"/>
        </w:rPr>
      </w:pPr>
      <w:r w:rsidRPr="004B6F68">
        <w:rPr>
          <w:rFonts w:asciiTheme="majorHAnsi" w:hAnsiTheme="majorHAnsi" w:cstheme="majorHAnsi"/>
          <w:sz w:val="24"/>
          <w:szCs w:val="24"/>
        </w:rPr>
        <w:t xml:space="preserve">Prior to </w:t>
      </w:r>
      <w:r>
        <w:rPr>
          <w:rFonts w:asciiTheme="majorHAnsi" w:hAnsiTheme="majorHAnsi" w:cstheme="majorHAnsi"/>
          <w:sz w:val="24"/>
          <w:szCs w:val="24"/>
        </w:rPr>
        <w:t>our</w:t>
      </w:r>
      <w:r w:rsidRPr="004B6F68">
        <w:rPr>
          <w:rFonts w:asciiTheme="majorHAnsi" w:hAnsiTheme="majorHAnsi" w:cstheme="majorHAnsi"/>
          <w:sz w:val="24"/>
          <w:szCs w:val="24"/>
        </w:rPr>
        <w:t xml:space="preserve"> work</w:t>
      </w:r>
      <w:r>
        <w:rPr>
          <w:rFonts w:asciiTheme="majorHAnsi" w:hAnsiTheme="majorHAnsi" w:cstheme="majorHAnsi"/>
          <w:sz w:val="24"/>
          <w:szCs w:val="24"/>
        </w:rPr>
        <w:t xml:space="preserve">, GenBank contained three highly fragmented draft genomes: 1) </w:t>
      </w:r>
      <w:r w:rsidRPr="004B6F68">
        <w:rPr>
          <w:rFonts w:asciiTheme="majorHAnsi" w:hAnsiTheme="majorHAnsi" w:cstheme="majorHAnsi"/>
          <w:i/>
          <w:iCs/>
          <w:sz w:val="24"/>
          <w:szCs w:val="24"/>
        </w:rPr>
        <w:t>Hypomesus nipponensis</w:t>
      </w:r>
      <w:r w:rsidRPr="004B6F68">
        <w:rPr>
          <w:rFonts w:asciiTheme="majorHAnsi" w:hAnsiTheme="majorHAnsi" w:cstheme="majorHAnsi"/>
          <w:sz w:val="24"/>
          <w:szCs w:val="24"/>
        </w:rPr>
        <w:t xml:space="preserve"> (wakasagi</w:t>
      </w:r>
      <w:r>
        <w:rPr>
          <w:rFonts w:asciiTheme="majorHAnsi" w:hAnsiTheme="majorHAnsi" w:cstheme="majorHAnsi"/>
          <w:sz w:val="24"/>
          <w:szCs w:val="24"/>
        </w:rPr>
        <w:t>, N50 = 0.46Mb</w:t>
      </w:r>
      <w:r w:rsidRPr="004B6F68">
        <w:rPr>
          <w:rFonts w:asciiTheme="majorHAnsi" w:hAnsiTheme="majorHAnsi" w:cstheme="majorHAnsi"/>
          <w:sz w:val="24"/>
          <w:szCs w:val="24"/>
        </w:rPr>
        <w:t>)</w:t>
      </w:r>
      <w:r>
        <w:rPr>
          <w:rFonts w:asciiTheme="majorHAnsi" w:hAnsiTheme="majorHAnsi" w:cstheme="majorHAnsi"/>
          <w:sz w:val="24"/>
          <w:szCs w:val="24"/>
        </w:rPr>
        <w:t xml:space="preserve">; 2) </w:t>
      </w:r>
      <w:r>
        <w:rPr>
          <w:rFonts w:asciiTheme="majorHAnsi" w:hAnsiTheme="majorHAnsi" w:cstheme="majorHAnsi"/>
          <w:i/>
          <w:iCs/>
          <w:sz w:val="24"/>
          <w:szCs w:val="24"/>
        </w:rPr>
        <w:t>Osmerus eperlanus</w:t>
      </w:r>
      <w:r>
        <w:rPr>
          <w:rFonts w:asciiTheme="majorHAnsi" w:hAnsiTheme="majorHAnsi" w:cstheme="majorHAnsi"/>
          <w:sz w:val="24"/>
          <w:szCs w:val="24"/>
        </w:rPr>
        <w:t xml:space="preserve"> (European smelt, N50 = 6.8Kb); and 3) </w:t>
      </w:r>
      <w:proofErr w:type="spellStart"/>
      <w:r w:rsidRPr="006851CF">
        <w:rPr>
          <w:rFonts w:asciiTheme="majorHAnsi" w:hAnsiTheme="majorHAnsi" w:cstheme="majorHAnsi"/>
          <w:i/>
          <w:iCs/>
          <w:sz w:val="24"/>
          <w:szCs w:val="24"/>
        </w:rPr>
        <w:t>Thaleichthys</w:t>
      </w:r>
      <w:proofErr w:type="spellEnd"/>
      <w:r w:rsidRPr="006851CF">
        <w:rPr>
          <w:rFonts w:asciiTheme="majorHAnsi" w:hAnsiTheme="majorHAnsi" w:cstheme="majorHAnsi"/>
          <w:i/>
          <w:iCs/>
          <w:sz w:val="24"/>
          <w:szCs w:val="24"/>
        </w:rPr>
        <w:t xml:space="preserve"> </w:t>
      </w:r>
      <w:proofErr w:type="spellStart"/>
      <w:r w:rsidRPr="006851CF">
        <w:rPr>
          <w:rFonts w:asciiTheme="majorHAnsi" w:hAnsiTheme="majorHAnsi" w:cstheme="majorHAnsi"/>
          <w:i/>
          <w:iCs/>
          <w:sz w:val="24"/>
          <w:szCs w:val="24"/>
        </w:rPr>
        <w:t>pacificus</w:t>
      </w:r>
      <w:proofErr w:type="spellEnd"/>
      <w:r>
        <w:rPr>
          <w:rFonts w:asciiTheme="majorHAnsi" w:hAnsiTheme="majorHAnsi" w:cstheme="majorHAnsi"/>
          <w:sz w:val="24"/>
          <w:szCs w:val="24"/>
        </w:rPr>
        <w:t xml:space="preserve"> (</w:t>
      </w:r>
      <w:proofErr w:type="spellStart"/>
      <w:r>
        <w:rPr>
          <w:rFonts w:asciiTheme="majorHAnsi" w:hAnsiTheme="majorHAnsi" w:cstheme="majorHAnsi"/>
          <w:sz w:val="24"/>
          <w:szCs w:val="24"/>
        </w:rPr>
        <w:t>euchlon</w:t>
      </w:r>
      <w:proofErr w:type="spellEnd"/>
      <w:r>
        <w:rPr>
          <w:rFonts w:asciiTheme="majorHAnsi" w:hAnsiTheme="majorHAnsi" w:cstheme="majorHAnsi"/>
          <w:sz w:val="24"/>
          <w:szCs w:val="24"/>
        </w:rPr>
        <w:t xml:space="preserve">, N50 = 3.1Kb) (Table 2). [TK INSERT BIT ABOUT PHYLOGENETIC DIST/TIME of Osmerus and </w:t>
      </w:r>
      <w:proofErr w:type="spellStart"/>
      <w:r>
        <w:rPr>
          <w:rFonts w:asciiTheme="majorHAnsi" w:hAnsiTheme="majorHAnsi" w:cstheme="majorHAnsi"/>
          <w:sz w:val="24"/>
          <w:szCs w:val="24"/>
        </w:rPr>
        <w:t>Thaleichthys</w:t>
      </w:r>
      <w:proofErr w:type="spellEnd"/>
      <w:r>
        <w:rPr>
          <w:rFonts w:asciiTheme="majorHAnsi" w:hAnsiTheme="majorHAnsi" w:cstheme="majorHAnsi"/>
          <w:sz w:val="24"/>
          <w:szCs w:val="24"/>
        </w:rPr>
        <w:t>]. Understanding the differences between the delta smelt genome and wakasagi genome, estimated to be 474 Mb in size and 2n=</w:t>
      </w:r>
      <w:r w:rsidR="00685FD6">
        <w:rPr>
          <w:rFonts w:asciiTheme="majorHAnsi" w:hAnsiTheme="majorHAnsi" w:cstheme="majorHAnsi"/>
          <w:sz w:val="24"/>
          <w:szCs w:val="24"/>
        </w:rPr>
        <w:t>5</w:t>
      </w:r>
      <w:r>
        <w:rPr>
          <w:rFonts w:asciiTheme="majorHAnsi" w:hAnsiTheme="majorHAnsi" w:cstheme="majorHAnsi"/>
          <w:sz w:val="24"/>
          <w:szCs w:val="24"/>
        </w:rPr>
        <w:t xml:space="preserve">6 chromosomes, may be an important factor in conservation efforts as wakasagi were introduced into the SFE in 1959 and are known to hybridize with delta smelt in the wild </w:t>
      </w:r>
      <w:r w:rsidRPr="004B6F68">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{"citationID":"GDk7Ay9q","properties":{"formattedCitation":"(Dill &amp; Cordone, 1997; Kitada et al., 1980; Xuan et al., 2021)","plainCitation":"(Dill &amp; Cordone, 1997; Kitada et al., 1980; Xuan et al., 2021)","noteIndex":0},"citationItems":[{"id":557,"uris":["http://zotero.org/users/local/3tku6QP0/items/HT5KIB2E"],"itemData":{"id":557,"type":"article-journal","abstract":"Unlike previous histories on the subject (the last being in 1976), this one is fully documented by primary references to the original publication or other sources. There are also explanations as to why some of the previous errors occurred. The detailed history of each introduction, including the primary references, is given. The subsequent history and status of each species in California is given. The attitude of administrators, ichthyologists, fish culturists, fishery biologists, fishermen, and the public toward each introduction is given, and there is a discussion of their value. There is, with respect to California, a review of the present regulations concerning introduced fishes, and a prognostication of the future concerning them. Approximately 111 full species of freshwater and euryhaline fishes occur in California. (Salton Sea fishes are excluded.) of these, 53 have been introduced from without the state and have been established successfully. Another five subspecies or races have become established. Twelve introduced fishes have uncertain status. Thirty-nine, including one marine fish which was deliberately introduced, have achieved no lasting success. Eight introduced fishes are listed as \"hypothetical.\" Five were scheduled for introduction, but the introductions were never completed. Three species have been listed erroneously in scientific papers as having been introduced. About 26 other species have been formally suggested as introductions. Three species are likely candidates for introduction.","language":"en","page":"415","source":"Zotero","title":"STATE OF CALIFORNIA THE RESOURCES AGENCY DEPARTMENT OF FISH AND GAME FISH BULLETIN 178 History And Status of Introduced Fishes In California, 1871 – 1996","author":[{"family":"Dill","given":"William A"},{"family":"Cordone","given":"Almo J"}],"issued":{"date-parts":[["1997",12,1]]}}},{"id":493,"uris":["http://zotero.org/users/local/3tku6QP0/items/NSNAJYQZ"],"itemData":{"id":493,"type":"article-journal","container-title":"Chrom.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4B6F68">
        <w:rPr>
          <w:rFonts w:asciiTheme="majorHAnsi" w:hAnsiTheme="majorHAnsi" w:cstheme="majorHAnsi"/>
          <w:sz w:val="24"/>
          <w:szCs w:val="24"/>
        </w:rPr>
        <w:fldChar w:fldCharType="separate"/>
      </w:r>
      <w:r>
        <w:rPr>
          <w:rFonts w:ascii="Calibri Light" w:hAnsiTheme="majorHAnsi" w:cs="Calibri Light"/>
          <w:sz w:val="24"/>
        </w:rPr>
        <w:t>(Dill &amp; Cordone, 1997; Kitada et al., 1980; Xuan et al., 2021)</w:t>
      </w:r>
      <w:r w:rsidRPr="004B6F68">
        <w:rPr>
          <w:rFonts w:asciiTheme="majorHAnsi" w:hAnsiTheme="majorHAnsi" w:cstheme="majorHAnsi"/>
          <w:sz w:val="24"/>
          <w:szCs w:val="24"/>
        </w:rPr>
        <w:fldChar w:fldCharType="end"/>
      </w:r>
      <w:r w:rsidRPr="004B6F68">
        <w:rPr>
          <w:rFonts w:asciiTheme="majorHAnsi" w:hAnsiTheme="majorHAnsi" w:cstheme="majorHAnsi"/>
          <w:sz w:val="24"/>
          <w:szCs w:val="24"/>
        </w:rPr>
        <w:t xml:space="preserve">. </w:t>
      </w:r>
      <w:r>
        <w:rPr>
          <w:rFonts w:asciiTheme="majorHAnsi" w:hAnsiTheme="majorHAnsi" w:cstheme="majorHAnsi"/>
          <w:sz w:val="24"/>
          <w:szCs w:val="24"/>
        </w:rPr>
        <w:t xml:space="preserve">Despite more contiguous metrics listed in the </w:t>
      </w:r>
      <w:r w:rsidRPr="004B6F68">
        <w:rPr>
          <w:rFonts w:ascii="Calibri Light" w:hAnsiTheme="majorHAnsi" w:cs="Calibri Light"/>
          <w:sz w:val="24"/>
        </w:rPr>
        <w:t>Xuan et al.</w:t>
      </w:r>
      <w:r>
        <w:rPr>
          <w:rFonts w:ascii="Calibri Light" w:hAnsiTheme="majorHAnsi" w:cs="Calibri Light"/>
          <w:sz w:val="24"/>
        </w:rPr>
        <w:t xml:space="preserve"> (</w:t>
      </w:r>
      <w:r w:rsidRPr="004B6F68">
        <w:rPr>
          <w:rFonts w:ascii="Calibri Light" w:hAnsiTheme="majorHAnsi" w:cs="Calibri Light"/>
          <w:sz w:val="24"/>
        </w:rPr>
        <w:t>2021</w:t>
      </w:r>
      <w:r>
        <w:rPr>
          <w:rFonts w:ascii="Calibri Light" w:hAnsiTheme="majorHAnsi" w:cs="Calibri Light"/>
          <w:sz w:val="24"/>
        </w:rPr>
        <w:t xml:space="preserve">) </w:t>
      </w:r>
      <w:r>
        <w:rPr>
          <w:rFonts w:asciiTheme="majorHAnsi" w:hAnsiTheme="majorHAnsi" w:cstheme="majorHAnsi"/>
          <w:sz w:val="24"/>
          <w:szCs w:val="24"/>
        </w:rPr>
        <w:t xml:space="preserve">publication, the associated reference genome hosted on GenBank presents a highly fragmented contig assembly (L50 = 477) and is less than 7.5% (34.4Mb) of the total sequence length for an estimated genome size of 464 Mb (Table 2.1). This discrepancy </w:t>
      </w:r>
      <w:r>
        <w:rPr>
          <w:rFonts w:asciiTheme="majorHAnsi" w:hAnsiTheme="majorHAnsi" w:cstheme="majorHAnsi"/>
          <w:sz w:val="24"/>
          <w:szCs w:val="24"/>
        </w:rPr>
        <w:lastRenderedPageBreak/>
        <w:t>poses limitations when using the wakasagi assembly as a reference genome in analyses, as it only a partial assembly.</w:t>
      </w:r>
    </w:p>
    <w:p w14:paraId="3289722F" w14:textId="1E820748" w:rsidR="007858F9" w:rsidRDefault="007858F9" w:rsidP="007858F9">
      <w:pPr>
        <w:spacing w:line="240" w:lineRule="auto"/>
        <w:ind w:right="270"/>
        <w:rPr>
          <w:rFonts w:asciiTheme="majorHAnsi" w:hAnsiTheme="majorHAnsi" w:cstheme="majorHAnsi"/>
          <w:sz w:val="24"/>
          <w:szCs w:val="24"/>
        </w:rPr>
      </w:pPr>
      <w:r>
        <w:rPr>
          <w:rFonts w:asciiTheme="majorHAnsi" w:hAnsiTheme="majorHAnsi" w:cstheme="majorHAnsi"/>
          <w:sz w:val="24"/>
          <w:szCs w:val="24"/>
        </w:rPr>
        <w:t>This chromosome level delta smelt reference genome is a valuable tool for active genetic research aiding in the conservation and management of delta smelt and in global efforts to preserve biodiversity and understand genomic commonalities and differences in the branches on the tree of life. It has been immediately useable for identifying polygenic adaptive genetic variants such as the species’ complex migratory phenotypes</w:t>
      </w:r>
      <w:r w:rsidR="002335A7">
        <w:rPr>
          <w:rFonts w:asciiTheme="majorHAnsi" w:hAnsiTheme="majorHAnsi" w:cstheme="majorHAnsi"/>
          <w:sz w:val="24"/>
          <w:szCs w:val="24"/>
        </w:rPr>
        <w:t xml:space="preserve">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{"citationID":"rjxiCHiM","properties":{"formattedCitation":"(Campbell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(Campbell et al., 2022)</w:t>
      </w:r>
      <w:r w:rsidR="002335A7">
        <w:rPr>
          <w:rFonts w:asciiTheme="majorHAnsi" w:hAnsiTheme="majorHAnsi" w:cstheme="majorHAnsi"/>
          <w:sz w:val="24"/>
          <w:szCs w:val="24"/>
        </w:rPr>
        <w:fldChar w:fldCharType="end"/>
      </w:r>
      <w:r>
        <w:rPr>
          <w:rFonts w:asciiTheme="majorHAnsi" w:hAnsiTheme="majorHAnsi" w:cstheme="majorHAnsi"/>
          <w:sz w:val="24"/>
          <w:szCs w:val="24"/>
        </w:rPr>
        <w:t xml:space="preserve"> to inform hatchery management strategies. Further this genomic resource will be useful for investigating hybridization with wakasagi, the genetic basis for sex determination, and domestication effects of the refuge population. On a broad level, this genomic resource allows for future evolutionary theory development by preserving a record of an imperiled species’ genome and </w:t>
      </w:r>
      <w:r w:rsidR="00D072F5">
        <w:rPr>
          <w:rFonts w:asciiTheme="majorHAnsi" w:hAnsiTheme="majorHAnsi" w:cstheme="majorHAnsi"/>
          <w:sz w:val="24"/>
          <w:szCs w:val="24"/>
        </w:rPr>
        <w:t xml:space="preserve">current </w:t>
      </w:r>
      <w:r>
        <w:rPr>
          <w:rFonts w:asciiTheme="majorHAnsi" w:hAnsiTheme="majorHAnsi" w:cstheme="majorHAnsi"/>
          <w:sz w:val="24"/>
          <w:szCs w:val="24"/>
        </w:rPr>
        <w:t xml:space="preserve">diversity in light of </w:t>
      </w:r>
      <w:r w:rsidR="003B10C0">
        <w:rPr>
          <w:rFonts w:asciiTheme="majorHAnsi" w:hAnsiTheme="majorHAnsi" w:cstheme="majorHAnsi"/>
          <w:sz w:val="24"/>
          <w:szCs w:val="24"/>
        </w:rPr>
        <w:t>all time high</w:t>
      </w:r>
      <w:r w:rsidR="00BD07C1">
        <w:rPr>
          <w:rFonts w:asciiTheme="majorHAnsi" w:hAnsiTheme="majorHAnsi" w:cstheme="majorHAnsi"/>
          <w:sz w:val="24"/>
          <w:szCs w:val="24"/>
        </w:rPr>
        <w:t xml:space="preserve"> rates of</w:t>
      </w:r>
      <w:r w:rsidR="003B10C0">
        <w:rPr>
          <w:rFonts w:asciiTheme="majorHAnsi" w:hAnsiTheme="majorHAnsi" w:cstheme="majorHAnsi"/>
          <w:sz w:val="24"/>
          <w:szCs w:val="24"/>
        </w:rPr>
        <w:t xml:space="preserve"> species loss and </w:t>
      </w:r>
      <w:r w:rsidR="00D072F5">
        <w:rPr>
          <w:rFonts w:asciiTheme="majorHAnsi" w:hAnsiTheme="majorHAnsi" w:cstheme="majorHAnsi"/>
          <w:sz w:val="24"/>
          <w:szCs w:val="24"/>
        </w:rPr>
        <w:t xml:space="preserve">the </w:t>
      </w:r>
      <w:r w:rsidR="00BD07C1">
        <w:rPr>
          <w:rFonts w:asciiTheme="majorHAnsi" w:hAnsiTheme="majorHAnsi" w:cstheme="majorHAnsi"/>
          <w:sz w:val="24"/>
          <w:szCs w:val="24"/>
        </w:rPr>
        <w:t>persistence</w:t>
      </w:r>
      <w:r w:rsidR="00D072F5">
        <w:rPr>
          <w:rFonts w:asciiTheme="majorHAnsi" w:hAnsiTheme="majorHAnsi" w:cstheme="majorHAnsi"/>
          <w:sz w:val="24"/>
          <w:szCs w:val="24"/>
        </w:rPr>
        <w:t xml:space="preserve"> of</w:t>
      </w:r>
      <w:r w:rsidR="00BD07C1">
        <w:rPr>
          <w:rFonts w:asciiTheme="majorHAnsi" w:hAnsiTheme="majorHAnsi" w:cstheme="majorHAnsi"/>
          <w:sz w:val="24"/>
          <w:szCs w:val="24"/>
        </w:rPr>
        <w:t xml:space="preserve"> the</w:t>
      </w:r>
      <w:r w:rsidR="00D072F5">
        <w:rPr>
          <w:rFonts w:asciiTheme="majorHAnsi" w:hAnsiTheme="majorHAnsi" w:cstheme="majorHAnsi"/>
          <w:sz w:val="24"/>
          <w:szCs w:val="24"/>
        </w:rPr>
        <w:t xml:space="preserve"> </w:t>
      </w:r>
      <w:r w:rsidR="009804EB">
        <w:rPr>
          <w:rFonts w:asciiTheme="majorHAnsi" w:hAnsiTheme="majorHAnsi" w:cstheme="majorHAnsi"/>
          <w:sz w:val="24"/>
          <w:szCs w:val="24"/>
        </w:rPr>
        <w:t>principal</w:t>
      </w:r>
      <w:r w:rsidR="00D072F5">
        <w:rPr>
          <w:rFonts w:asciiTheme="majorHAnsi" w:hAnsiTheme="majorHAnsi" w:cstheme="majorHAnsi"/>
          <w:sz w:val="24"/>
          <w:szCs w:val="24"/>
        </w:rPr>
        <w:t xml:space="preserve"> drivers of </w:t>
      </w:r>
      <w:r w:rsidR="00BD07C1">
        <w:rPr>
          <w:rFonts w:asciiTheme="majorHAnsi" w:hAnsiTheme="majorHAnsi" w:cstheme="majorHAnsi"/>
          <w:sz w:val="24"/>
          <w:szCs w:val="24"/>
        </w:rPr>
        <w:t xml:space="preserve">current and </w:t>
      </w:r>
      <w:r w:rsidR="002335A7">
        <w:rPr>
          <w:rFonts w:asciiTheme="majorHAnsi" w:hAnsiTheme="majorHAnsi" w:cstheme="majorHAnsi"/>
          <w:sz w:val="24"/>
          <w:szCs w:val="24"/>
        </w:rPr>
        <w:t>future</w:t>
      </w:r>
      <w:r w:rsidR="00BD07C1">
        <w:rPr>
          <w:rFonts w:asciiTheme="majorHAnsi" w:hAnsiTheme="majorHAnsi" w:cstheme="majorHAnsi"/>
          <w:sz w:val="24"/>
          <w:szCs w:val="24"/>
        </w:rPr>
        <w:t xml:space="preserve"> </w:t>
      </w:r>
      <w:r w:rsidR="00D072F5">
        <w:rPr>
          <w:rFonts w:asciiTheme="majorHAnsi" w:hAnsiTheme="majorHAnsi" w:cstheme="majorHAnsi"/>
          <w:sz w:val="24"/>
          <w:szCs w:val="24"/>
        </w:rPr>
        <w:t>biodiversity</w:t>
      </w:r>
      <w:r w:rsidR="00BD07C1">
        <w:rPr>
          <w:rFonts w:asciiTheme="majorHAnsi" w:hAnsiTheme="majorHAnsi" w:cstheme="majorHAnsi"/>
          <w:sz w:val="24"/>
          <w:szCs w:val="24"/>
        </w:rPr>
        <w:t xml:space="preserve"> loss</w:t>
      </w:r>
      <w:r w:rsidR="00D072F5">
        <w:rPr>
          <w:rFonts w:asciiTheme="majorHAnsi" w:hAnsiTheme="majorHAnsi" w:cstheme="majorHAnsi"/>
          <w:sz w:val="24"/>
          <w:szCs w:val="24"/>
        </w:rPr>
        <w:t>:</w:t>
      </w:r>
      <w:r>
        <w:rPr>
          <w:rFonts w:asciiTheme="majorHAnsi" w:hAnsiTheme="majorHAnsi" w:cstheme="majorHAnsi"/>
          <w:sz w:val="24"/>
          <w:szCs w:val="24"/>
        </w:rPr>
        <w:t xml:space="preserve"> increasingly severe drought, temperatures, and habitat loss </w:t>
      </w:r>
      <w:r w:rsidR="002335A7">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{"citationID":"QeUYEkKr","properties":{"formattedCitation":"(Caro et al., 2022; East &amp; Sankey, 2020; Strona &amp; Bradshaw, 2022; Ullrich et al., 2018)","plainCitation":"(Caro et al., 2022; East &amp; Sankey, 2020; Strona &amp; Bradshaw, 2022; Ullrich et al., 2018)","noteIndex":0},"citationItems":[{"id":644,"uris":["http://zotero.org/users/local/3tku6QP0/items/8PMCIINT"],"itemData":{"id":644,"type":"article-journal","abstract":"The current perception that climate change is the principal threat to biodiversity is at best premature. Although highly relevant, it detracts focus and effort from the primary threats: habitat destruction and overexploitation. We collated causes of vertebrate extinctions since 1900, threat information for amphibia, birds, and mammals from the IUCN Red List, and scrutinized others’ attempts to compare climate change with commensurate anthropogenic threats. In each analysis, none of the arguments founded on climate change’s wide-ranging effects are as urgent for biodiversity as those for habitat loss and overexploitation. Present conservation efforts must refocus on these issues. Conserving ecosystems by focusing on these major threats not only protects biodiversity but is the only available, economically viable, global strategy to reverse climate change.","container-title":"Conservation Letters","DOI":"10.1111/conl.12868","ISSN":"1755-263X, 1755-263X","issue":"3","journalAbbreviation":"CONSERVATION LETTERS","language":"en","page":"e12868","source":"DOI.org (Crossref)","title":"An inconvenient misconception: Climate change is not the principal driver of biodiversity loss","title-short":"An inconvenient misconception","volume":"15","author":[{"family":"Caro","given":"Tim"},{"family":"Rowe","given":"Zeke"},{"family":"Berger","given":"Joel"},{"family":"Wholey","given":"Philippa"},{"family":"Dobson","given":"Andrew"}],"issued":{"date-parts":[["2022",5]]}}},{"id":646,"uris":["http://zotero.org/users/local/3tku6QP0/items/6YKP8BMT"],"itemData":{"id":646,"type":"article-journal","abstract":"Hydroclimatic changes associated with global warming over the past 50 years have been documented widely, but physical landscape responses are poorly understood thus far. Detecting sedimentary and geomorphic signals of modern climate change presents challenges owing to short record lengths, difﬁculty resolving signals in stochastic natural systems, inﬂuences of land use and tectonic activity, long‐lasting effects of individual extreme events, and variable connectivity in sediment‐routing systems. We review existing literature to investigate the nature and extent of sedimentary and geomorphic responses to modern climate change, focusing on the western United States, a region with generally high relief and high sediment yield likely to be sensitive to climatic forcing. Based on fundamental geomorphic theory and empirical evidence from other regions, we anticipate climate‐driven changes to slope stability, watershed sediment yields, ﬂuvial morphology, and aeolian sediment mobilization in the western United States. We ﬁnd evidence for recent climate‐driven changes to slope stability and increased aeolian dune and dust activity, whereas changes in sediment yields and ﬂuvial morphology have been linked more commonly to nonclimatic drivers thus far. Detecting effects of climate change will require better understanding how landscape response scales with disturbance, how lag times and hysteresis operate within sedimentary systems, and how to distinguish the relative inﬂuence and feedbacks of superimposed disturbances. The ability to constrain geomorphic and sedimentary response to rapidly progressing climate change has widespread implications for human health and safety, infrastructure, water security, economics, and ecosystem resilience.","container-title":"Reviews of Geophysics","DOI":"10.1029/2019RG000692","ISSN":"8755-1209, 1944-9208","issue":"4","journalAbbreviation":"Reviews of Geophysics","language":"en","page":"e2019RG000692","source":"DOI.org (Crossref)","title":"Geomorphic and Sedimentary Effects of Modern Climate Change: Current and Anticipated Future Conditions in the Western United States","title-short":"Geomorphic and Sedimentary Effects of Modern Climate Change","volume":"58","author":[{"family":"East","given":"Amy E."},{"family":"Sankey","given":"Joel B."}],"issued":{"date-parts":[["2020",12]]}}},{"id":648,"uris":["http://zotero.org/users/local/3tku6QP0/items/292P5ZXG"],"itemData":{"id":648,"type":"article-journal","abstract":"Although theory identifies coextinctions as a main driver of biodiversity loss, their role at the planetary scale has yet to be estimated. We subjected a global model of interconnected terrestrial vertebrate food webs to future (2020–2100) climate and land-use changes. We predict a 17.6% (± 0.16% SE) average reduction of local vertebrate diversity globally by 2100, with coextinctions increasing the effect of primary extinctions by 184.2% (± 10.9% SE) on average under an intermediate emissions scenario. Communities will lose up to a half of ecological interactions, thus reducing trophic complexity, network connectance, and community resilience. The model reveals that the extreme toll of global change for vertebrate diversity might be of secondary importance compared to the damages to ecological network structure.\n          , \n            Ecological dependencies amplify the effects of environmental degradation and promote vertebrate community collapse.","container-title":"Science Advances","DOI":"10.1126/sciadv.abn4345","ISSN":"2375-2548","issue":"50","journalAbbreviation":"Sci. Adv.","language":"en","page":"eabn4345","source":"DOI.org (Crossref)","title":"Coextinctions dominate future vertebrate losses from climate and land use change","volume":"8","author":[{"family":"Strona","given":"Giovanni"},{"family":"Bradshaw","given":"Corey J. A."}],"issued":{"date-parts":[["2022",12,16]]}}},{"id":639,"uris":["http://zotero.org/users/local/3tku6QP0/items/DSV9ABES"],"itemData":{"id":639,"type":"article-journal","abstract":"The California drought of 2012–2016 was a record-breaking event with extensive social, political, and economic repercussions. The impacts were widespread and exposed the diﬃculty in preparing for the eﬀects of prolonged dry conditions. Although the lessons from this drought drove important changes to state law and policy, there is little doubt that climate change will only exacerbate future droughts. To understand the character of future drought, this paper examines this recent drought period retrospectively and prospectively, that is, as it occurred historically and if similar dynamical conditions to the historical period were to arise 30 years later (2042–2046) subject to the eﬀects of climate change. Simulations were conducted using the Weather Research and Forecasting model using the pseudo global warming method. The simulated historical and future droughts are contrasted in terms of temperature, precipitation, snowpack, soil moisture, evapotranspiration, and forest health. Overall, the midcentury drought is observed to be signiﬁcantly worse, with many more extreme heat days, record-low snowpack, increased soil drying, and record-high forest mortality. With these ﬁndings in mind, the data sets developed in this study provide a means to structure future drought planning around a drought scenario that is realistic and modeled after a memorable historical analog.","container-title":"Earth's Future","DOI":"10.1029/2018EF001007","ISSN":"2328-4277, 2328-4277","issue":"11","journalAbbreviation":"Earth's Future","language":"en","page":"1568-1587","source":"DOI.org (Crossref)","title":"California's Drought of the Future: A Midcentury Recreation of the Exceptional Conditions of 2012–2017","title-short":"California's Drought of the Future","volume":"6","author":[{"family":"Ullrich","given":"P. A."},{"family":"Xu","given":"Z."},{"family":"Rhoades","given":"A.M."},{"family":"Dettinger","given":"M.D."},{"family":"Mount","given":"J.F."},{"family":"Jones","given":"A.D."},{"family":"Vahmani","given":"P."}],"issued":{"date-parts":[["2018",11]]}}}],"schema":"https://github.com/citation-style-language/schema/raw/master/csl-citation.json"} </w:instrText>
      </w:r>
      <w:r w:rsidR="002335A7">
        <w:rPr>
          <w:rFonts w:asciiTheme="majorHAnsi" w:hAnsiTheme="majorHAnsi" w:cstheme="majorHAnsi"/>
          <w:sz w:val="24"/>
          <w:szCs w:val="24"/>
        </w:rPr>
        <w:fldChar w:fldCharType="separate"/>
      </w:r>
      <w:r w:rsidR="002335A7">
        <w:rPr>
          <w:rFonts w:asciiTheme="majorHAnsi" w:hAnsiTheme="majorHAnsi" w:cstheme="majorHAnsi"/>
          <w:noProof/>
          <w:sz w:val="24"/>
          <w:szCs w:val="24"/>
        </w:rPr>
        <w:t>(Caro et al., 2022; East &amp; Sankey, 2020; Strona &amp; Bradshaw, 2022; Ullrich et al., 2018)</w:t>
      </w:r>
      <w:r w:rsidR="002335A7">
        <w:rPr>
          <w:rFonts w:asciiTheme="majorHAnsi" w:hAnsiTheme="majorHAnsi" w:cstheme="majorHAnsi"/>
          <w:sz w:val="24"/>
          <w:szCs w:val="24"/>
        </w:rPr>
        <w:fldChar w:fldCharType="end"/>
      </w:r>
      <w:r>
        <w:rPr>
          <w:rFonts w:asciiTheme="majorHAnsi" w:hAnsiTheme="majorHAnsi" w:cstheme="majorHAnsi"/>
          <w:sz w:val="24"/>
          <w:szCs w:val="24"/>
        </w:rPr>
        <w:t>.</w:t>
      </w:r>
    </w:p>
    <w:p w14:paraId="3F8AC4A8" w14:textId="77777777" w:rsidR="007463BC" w:rsidRPr="00FD21E9" w:rsidRDefault="007463BC" w:rsidP="0011235A">
      <w:pPr>
        <w:spacing w:line="240" w:lineRule="auto"/>
        <w:ind w:right="270"/>
        <w:rPr>
          <w:rFonts w:asciiTheme="majorHAnsi" w:hAnsiTheme="majorHAnsi" w:cstheme="majorHAnsi"/>
          <w:color w:val="00000A"/>
          <w:sz w:val="24"/>
          <w:szCs w:val="24"/>
        </w:rPr>
      </w:pPr>
    </w:p>
    <w:p w14:paraId="427BC8FD" w14:textId="18FDC040" w:rsidR="003F5039" w:rsidRPr="00FD21E9" w:rsidRDefault="000C33D6" w:rsidP="0011235A">
      <w:pPr>
        <w:pStyle w:val="Header"/>
        <w:outlineLvl w:val="1"/>
        <w:rPr>
          <w:rFonts w:asciiTheme="majorHAnsi" w:hAnsiTheme="majorHAnsi" w:cstheme="majorHAnsi"/>
          <w:szCs w:val="24"/>
        </w:rPr>
      </w:pPr>
      <w:bookmarkStart w:id="23" w:name="_Toc113123184"/>
      <w:bookmarkStart w:id="24" w:name="_Toc113273223"/>
      <w:r>
        <w:rPr>
          <w:rFonts w:asciiTheme="majorHAnsi" w:hAnsiTheme="majorHAnsi" w:cstheme="majorHAnsi"/>
          <w:szCs w:val="24"/>
        </w:rPr>
        <w:t xml:space="preserve">Materials and </w:t>
      </w:r>
      <w:r w:rsidR="003F5039" w:rsidRPr="00FD21E9">
        <w:rPr>
          <w:rFonts w:asciiTheme="majorHAnsi" w:hAnsiTheme="majorHAnsi" w:cstheme="majorHAnsi"/>
          <w:szCs w:val="24"/>
        </w:rPr>
        <w:t>Methods</w:t>
      </w:r>
      <w:bookmarkEnd w:id="23"/>
      <w:bookmarkEnd w:id="24"/>
    </w:p>
    <w:p w14:paraId="21DA6502"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5" w:name="_Toc113123185"/>
      <w:bookmarkStart w:id="26" w:name="_Toc113273224"/>
      <w:r w:rsidRPr="00FD21E9">
        <w:rPr>
          <w:rFonts w:asciiTheme="majorHAnsi" w:hAnsiTheme="majorHAnsi" w:cstheme="majorHAnsi"/>
          <w:sz w:val="24"/>
          <w:szCs w:val="24"/>
        </w:rPr>
        <w:t>Sample collection &amp; DNA extraction</w:t>
      </w:r>
      <w:bookmarkEnd w:id="25"/>
      <w:bookmarkEnd w:id="26"/>
      <w:r w:rsidRPr="00FD21E9">
        <w:rPr>
          <w:rFonts w:asciiTheme="majorHAnsi" w:hAnsiTheme="majorHAnsi" w:cstheme="majorHAnsi"/>
          <w:sz w:val="24"/>
          <w:szCs w:val="24"/>
        </w:rPr>
        <w:t xml:space="preserve"> </w:t>
      </w:r>
    </w:p>
    <w:p w14:paraId="5261C20F" w14:textId="334DEDE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To obtain high molecular weight (HMW) genomic DNA (gDNA), we collected tissue samples from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 xml:space="preserve">male and </w:t>
      </w:r>
      <w:r w:rsidR="006E58E9">
        <w:rPr>
          <w:rFonts w:asciiTheme="majorHAnsi" w:hAnsiTheme="majorHAnsi" w:cstheme="majorHAnsi"/>
          <w:sz w:val="24"/>
          <w:szCs w:val="24"/>
        </w:rPr>
        <w:t xml:space="preserve">2 </w:t>
      </w:r>
      <w:r w:rsidRPr="00FD21E9">
        <w:rPr>
          <w:rFonts w:asciiTheme="majorHAnsi" w:hAnsiTheme="majorHAnsi" w:cstheme="majorHAnsi"/>
          <w:sz w:val="24"/>
          <w:szCs w:val="24"/>
        </w:rPr>
        <w:t>female delta smelt</w:t>
      </w:r>
      <w:r w:rsidR="005D14A7">
        <w:rPr>
          <w:rFonts w:asciiTheme="majorHAnsi" w:hAnsiTheme="majorHAnsi" w:cstheme="majorHAnsi"/>
          <w:sz w:val="24"/>
          <w:szCs w:val="24"/>
        </w:rPr>
        <w:t xml:space="preserve"> 600 days post hatch</w:t>
      </w:r>
      <w:r w:rsidRPr="00FD21E9">
        <w:rPr>
          <w:rFonts w:asciiTheme="majorHAnsi" w:hAnsiTheme="majorHAnsi" w:cstheme="majorHAnsi"/>
          <w:sz w:val="24"/>
          <w:szCs w:val="24"/>
        </w:rPr>
        <w:t xml:space="preserve"> reared within the refuge population at the</w:t>
      </w:r>
      <w:r w:rsidR="006E58E9">
        <w:rPr>
          <w:rFonts w:asciiTheme="majorHAnsi" w:hAnsiTheme="majorHAnsi" w:cstheme="majorHAnsi"/>
          <w:sz w:val="24"/>
          <w:szCs w:val="24"/>
        </w:rPr>
        <w:t xml:space="preserve"> </w:t>
      </w:r>
      <w:r w:rsidRPr="00FD21E9">
        <w:rPr>
          <w:rFonts w:asciiTheme="majorHAnsi" w:hAnsiTheme="majorHAnsi" w:cstheme="majorHAnsi"/>
          <w:sz w:val="24"/>
          <w:szCs w:val="24"/>
        </w:rPr>
        <w:t xml:space="preserve">FCCL. Fish were euthanized according to </w:t>
      </w:r>
      <w:r w:rsidR="00DF51FF">
        <w:rPr>
          <w:rFonts w:asciiTheme="majorHAnsi" w:hAnsiTheme="majorHAnsi" w:cstheme="majorHAnsi"/>
          <w:sz w:val="24"/>
          <w:szCs w:val="24"/>
        </w:rPr>
        <w:t xml:space="preserve">UC Davis </w:t>
      </w:r>
      <w:r w:rsidRPr="00FD21E9">
        <w:rPr>
          <w:rFonts w:asciiTheme="majorHAnsi" w:hAnsiTheme="majorHAnsi" w:cstheme="majorHAnsi"/>
          <w:sz w:val="24"/>
          <w:szCs w:val="24"/>
        </w:rPr>
        <w:t>IACUC protocol #21533. After euthanasia, we dissected the fish, sampled tissue including muscle, internal organs (heart, liver and spleen) and gills, immediately flash froze all tissue samples, and stored samples isolated or suspended in propylene glycol – two storage methods known to be conducive to HMW gDNA sequencing in different organisms</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{"citationID":"glSVRpD2","properties":{"formattedCitation":"(Patrick et al., 2016; Wasko et al., 2003)","plainCitation":"(Patrick et al., 2016; Wasko et al., 2003)","noteIndex":0},"citationItems":[{"id":482,"uris":["http://zotero.org/users/local/3tku6QP0/items/R2YZE26Y"],"itemData":{"id":482,"type":"article-journal","abstract":"Next-generation sequencing (NGS)-based methods can now be applied to large population-scale studies, but this demands very high-quality DNA. For specimens collected from remote ﬁeld locations, DNA degradation can be a problem, requiring logistically challenging preservation techniques. Simpler preservation techniques are therefore required. Prior to collection of exotic fruit ﬂy (Tephritidae) species, a number of readily available preservatives with storage at either 4\u0014C or room temperature were trialed here to determine the DNA quality for three locally available Diptera species, Fannia canicularis (L.), Musca domestica L., and Lucilia sericata Meigen. Considerable variation was observed between the different preservatives, species, and temperatures, but several preservatives at 4\u0014C were favored. Chilled propylene glycol was subsequently used for the storage and carriage of Australian ﬁeld-collected Bactrocera fruit ﬂy specimens to New Zealand. When processed up to 20 d later, DNA fragments of $10–20 kb were obtained for successful genotyping by sequencing analysis. This protocol is therefore recommended as a logistically simple and safe approach for distant collection of dipteran samples for NGS population genomic studies.","container-title":"Journal of Economic Entomology","DOI":"10.1093/jee/tow047","ISSN":"0022-0493, 1938-291X","issue":"3","journalAbbreviation":"J Econ Entomol","language":"en","page":"1469-1473","source":"DOI.org (Crossref)","title":"Cooled Propylene Glycol as a Pragmatic Choice for Preservation of DNA From Remote Field-Collected Diptera for Next-Generation Sequence Analysis","volume":"109","author":[{"family":"Patrick","given":"H. J. H."},{"family":"Chomič","given":"A."},{"family":"Armstrong","given":"K. F."}],"issued":{"date-parts":[["2016",6]]}}},{"id":415,"uris":["http://zotero.org/users/local/3tku6QP0/items/T2QWZR2A"],"itemData":{"id":415,"type":"article-journal","abstract":"DNA-based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(Patrick et al., 2016; Wasko et al., 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0B5EAC78" w14:textId="13B5EA6A" w:rsidR="003F503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HMW gDNA was isolated by the UC Davis DNA Technologies &amp; Expression Analysis Core Laboratory following the protocol as described by </w:t>
      </w:r>
      <w:proofErr w:type="spellStart"/>
      <w:r w:rsidRPr="004B6F68">
        <w:rPr>
          <w:rFonts w:asciiTheme="majorHAnsi" w:hAnsiTheme="majorHAnsi" w:cstheme="majorHAnsi"/>
          <w:sz w:val="24"/>
          <w:szCs w:val="24"/>
        </w:rPr>
        <w:t>Wasko</w:t>
      </w:r>
      <w:proofErr w:type="spellEnd"/>
      <w:r w:rsidRPr="004B6F68">
        <w:rPr>
          <w:rFonts w:asciiTheme="majorHAnsi" w:hAnsiTheme="majorHAnsi" w:cstheme="majorHAnsi"/>
          <w:sz w:val="24"/>
          <w:szCs w:val="24"/>
        </w:rPr>
        <w:t xml:space="preserve"> et al.</w:t>
      </w:r>
      <w:r w:rsidR="004B6F68">
        <w:rPr>
          <w:rFonts w:asciiTheme="majorHAnsi" w:hAnsiTheme="majorHAnsi" w:cstheme="majorHAnsi"/>
          <w:i/>
          <w:iCs/>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{"citationID":"WgOrGXT5","properties":{"formattedCitation":"(Wasko et al., 2003)","plainCitation":"(Wasko et al., 2003)","dontUpdate":true,"noteIndex":0},"citationItems":[{"id":415,"uris":["http://zotero.org/users/local/3tku6QP0/items/T2QWZR2A"],"itemData":{"id":415,"type":"article-journal","abstract":"DNA-based studies have been one of the major interests in conservation biology of endangered species and in population genetics. As species and population genetic assessment requires a source of biological material, the sampling strategy can be overcome by non-destructive procedures for DNA isolation. An improved method for obtaining DNA from fish fins and scales with the use of an extraction buffer containing urea and further DNA purification with phenol-chloroform is described. The methodology combines the benefits of a non-destructive DNA sampling and its high efficiency. In addition, comparisons with other methodologies for isolating DNA from fish demonstrated that the present procedure also becomes a very attractive alternative to obtain large amounts of high-quality DNA for use in different molecular analyses. The DNA samples, isolated from different fish species, have been successfully used on random amplified polymorphic DNA (RAPD) experiments, as well as on amplification of specific ribosomal and mitochondrial DNA sequences. The present DNA extraction procedure represents an alternative for population approaches and genetic studies on rare or endangered taxa.","container-title":"Hereditas","DOI":"10.1034/j.1601-5223.2003.01503.x","issue":"3","page":"161-165","title":"Non-destructive genetic sampling in fish. An improved method for DNA extraction from fish fins and scales","volume":"138","author":[{"family":"Wasko","given":"Adriane P."},{"family":"Martins","given":"Cesar"},{"family":"Oliveira","given":"Claudio"},{"family":"Foresti","given":"Fausto"}],"issued":{"date-parts":[["2003"]]}}}],"schema":"https://github.com/citation-style-language/schema/raw/master/csl-citation.json"}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(2003)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Briefly, ~25-50mg of flash frozen back muscle tissue and scales from a male and female individual were homogenized using liquid nitrogen grinding. Tissue was lysed in a buffer containing 10 mM Tris-HCl pH 8.0, 125 mM NaCl, 10 mM EDTA pH 8.0, 0.5 %SDS, 4M urea and 10mg/ml Proteinase K. The lysate was cleaned with equal volumes of phenol/chloroform using phase lock gels (</w:t>
      </w:r>
      <w:proofErr w:type="spellStart"/>
      <w:r w:rsidRPr="00FD21E9">
        <w:rPr>
          <w:rFonts w:asciiTheme="majorHAnsi" w:hAnsiTheme="majorHAnsi" w:cstheme="majorHAnsi"/>
          <w:sz w:val="24"/>
          <w:szCs w:val="24"/>
        </w:rPr>
        <w:t>Quantabio</w:t>
      </w:r>
      <w:proofErr w:type="spellEnd"/>
      <w:r w:rsidRPr="00FD21E9">
        <w:rPr>
          <w:rFonts w:asciiTheme="majorHAnsi" w:hAnsiTheme="majorHAnsi" w:cstheme="majorHAnsi"/>
          <w:sz w:val="24"/>
          <w:szCs w:val="24"/>
        </w:rPr>
        <w:t xml:space="preserve"> Cat # 2302830). The DNA was precipitated by adding NaCl to the final concentration of 0.3M and 2X volume of ice-cold ethanol. The DNA pellet was twice washed with 70% ethanol and resuspended in an elution buffer (10mM Tris, pH 8.0). The integrity of the high-molecular-weight DNA was verified on a Pippin Pulse gel electrophoresis system (Sage Sciences, Beverly, MA). Purity of the DNA was accessed by measuring 260/280 and 260/230 absorbance ratios on </w:t>
      </w:r>
      <w:proofErr w:type="spellStart"/>
      <w:r w:rsidRPr="00FD21E9">
        <w:rPr>
          <w:rFonts w:asciiTheme="majorHAnsi" w:hAnsiTheme="majorHAnsi" w:cstheme="majorHAnsi"/>
          <w:sz w:val="24"/>
          <w:szCs w:val="24"/>
        </w:rPr>
        <w:t>NanoDrop</w:t>
      </w:r>
      <w:proofErr w:type="spellEnd"/>
      <w:r w:rsidRPr="00FD21E9">
        <w:rPr>
          <w:rFonts w:asciiTheme="majorHAnsi" w:hAnsiTheme="majorHAnsi" w:cstheme="majorHAnsi"/>
          <w:sz w:val="24"/>
          <w:szCs w:val="24"/>
        </w:rPr>
        <w:t>. Libraries of relevant sequencing technologies were created from extractions with an average read fragment length of 50kb.</w:t>
      </w:r>
      <w:r w:rsidR="00CD0ACF">
        <w:rPr>
          <w:rFonts w:asciiTheme="majorHAnsi" w:hAnsiTheme="majorHAnsi" w:cstheme="majorHAnsi"/>
          <w:sz w:val="24"/>
          <w:szCs w:val="24"/>
        </w:rPr>
        <w:t xml:space="preserve"> </w:t>
      </w:r>
    </w:p>
    <w:p w14:paraId="39DFEADB" w14:textId="1C9051A3" w:rsidR="005D14A7" w:rsidRPr="00CD0ACF" w:rsidRDefault="005D14A7" w:rsidP="00CD0ACF">
      <w:pPr>
        <w:spacing w:line="240" w:lineRule="auto"/>
        <w:rPr>
          <w:rFonts w:asciiTheme="majorHAnsi" w:hAnsiTheme="majorHAnsi" w:cstheme="majorHAnsi"/>
          <w:iCs/>
          <w:sz w:val="24"/>
          <w:szCs w:val="24"/>
        </w:rPr>
      </w:pPr>
      <w:r w:rsidRPr="00FD21E9">
        <w:rPr>
          <w:rFonts w:asciiTheme="majorHAnsi" w:hAnsiTheme="majorHAnsi" w:cstheme="majorHAnsi"/>
          <w:iCs/>
          <w:sz w:val="24"/>
          <w:szCs w:val="24"/>
        </w:rPr>
        <w:t>Back muscle tissue from one female</w:t>
      </w:r>
      <w:r>
        <w:rPr>
          <w:rFonts w:asciiTheme="majorHAnsi" w:hAnsiTheme="majorHAnsi" w:cstheme="majorHAnsi"/>
          <w:iCs/>
          <w:sz w:val="24"/>
          <w:szCs w:val="24"/>
        </w:rPr>
        <w:t xml:space="preserve"> individual</w:t>
      </w:r>
      <w:r w:rsidRPr="00FD21E9">
        <w:rPr>
          <w:rFonts w:asciiTheme="majorHAnsi" w:hAnsiTheme="majorHAnsi" w:cstheme="majorHAnsi"/>
          <w:iCs/>
          <w:sz w:val="24"/>
          <w:szCs w:val="24"/>
        </w:rPr>
        <w:t xml:space="preserve"> (T1F02_BM_FF) was used for </w:t>
      </w:r>
      <w:proofErr w:type="gramStart"/>
      <w:r w:rsidRPr="00FD21E9">
        <w:rPr>
          <w:rFonts w:asciiTheme="majorHAnsi" w:hAnsiTheme="majorHAnsi" w:cstheme="majorHAnsi"/>
          <w:iCs/>
          <w:sz w:val="24"/>
          <w:szCs w:val="24"/>
        </w:rPr>
        <w:t>linked-read</w:t>
      </w:r>
      <w:proofErr w:type="gramEnd"/>
      <w:r w:rsidRPr="00FD21E9">
        <w:rPr>
          <w:rFonts w:asciiTheme="majorHAnsi" w:hAnsiTheme="majorHAnsi" w:cstheme="majorHAnsi"/>
          <w:iCs/>
          <w:sz w:val="24"/>
          <w:szCs w:val="24"/>
        </w:rPr>
        <w:t xml:space="preserve">, long-read, and </w:t>
      </w:r>
      <w:r>
        <w:rPr>
          <w:rFonts w:asciiTheme="majorHAnsi" w:hAnsiTheme="majorHAnsi" w:cstheme="majorHAnsi"/>
          <w:iCs/>
          <w:sz w:val="24"/>
          <w:szCs w:val="24"/>
        </w:rPr>
        <w:t>H</w:t>
      </w:r>
      <w:r w:rsidRPr="00FD21E9">
        <w:rPr>
          <w:rFonts w:asciiTheme="majorHAnsi" w:hAnsiTheme="majorHAnsi" w:cstheme="majorHAnsi"/>
          <w:iCs/>
          <w:sz w:val="24"/>
          <w:szCs w:val="24"/>
        </w:rPr>
        <w:t>i-</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and gill tissue from </w:t>
      </w:r>
      <w:r>
        <w:rPr>
          <w:rFonts w:asciiTheme="majorHAnsi" w:hAnsiTheme="majorHAnsi" w:cstheme="majorHAnsi"/>
          <w:iCs/>
          <w:sz w:val="24"/>
          <w:szCs w:val="24"/>
        </w:rPr>
        <w:t>a second</w:t>
      </w:r>
      <w:r w:rsidRPr="00FD21E9">
        <w:rPr>
          <w:rFonts w:asciiTheme="majorHAnsi" w:hAnsiTheme="majorHAnsi" w:cstheme="majorHAnsi"/>
          <w:iCs/>
          <w:sz w:val="24"/>
          <w:szCs w:val="24"/>
        </w:rPr>
        <w:t xml:space="preserve"> female (T3F02_SC_FF) was used for </w:t>
      </w:r>
      <w:r>
        <w:rPr>
          <w:rFonts w:asciiTheme="majorHAnsi" w:hAnsiTheme="majorHAnsi" w:cstheme="majorHAnsi"/>
          <w:iCs/>
          <w:sz w:val="24"/>
          <w:szCs w:val="24"/>
        </w:rPr>
        <w:t xml:space="preserve">generating </w:t>
      </w:r>
      <w:r w:rsidR="00CD0ACF">
        <w:rPr>
          <w:rFonts w:asciiTheme="majorHAnsi" w:hAnsiTheme="majorHAnsi" w:cstheme="majorHAnsi"/>
          <w:iCs/>
          <w:sz w:val="24"/>
          <w:szCs w:val="24"/>
        </w:rPr>
        <w:t xml:space="preserve">additional </w:t>
      </w:r>
      <w:r>
        <w:rPr>
          <w:rFonts w:asciiTheme="majorHAnsi" w:hAnsiTheme="majorHAnsi" w:cstheme="majorHAnsi"/>
          <w:iCs/>
          <w:sz w:val="24"/>
          <w:szCs w:val="24"/>
        </w:rPr>
        <w:t>long-read</w:t>
      </w:r>
      <w:r w:rsidRPr="00FD21E9">
        <w:rPr>
          <w:rFonts w:asciiTheme="majorHAnsi" w:hAnsiTheme="majorHAnsi" w:cstheme="majorHAnsi"/>
          <w:iCs/>
          <w:sz w:val="24"/>
          <w:szCs w:val="24"/>
        </w:rPr>
        <w:t xml:space="preserve"> sequencing</w:t>
      </w:r>
      <w:r w:rsidR="00CD0ACF">
        <w:rPr>
          <w:rFonts w:asciiTheme="majorHAnsi" w:hAnsiTheme="majorHAnsi" w:cstheme="majorHAnsi"/>
          <w:iCs/>
          <w:sz w:val="24"/>
          <w:szCs w:val="24"/>
        </w:rPr>
        <w:t xml:space="preserve"> data to increase the total depth of</w:t>
      </w:r>
      <w:r>
        <w:rPr>
          <w:rFonts w:asciiTheme="majorHAnsi" w:hAnsiTheme="majorHAnsi" w:cstheme="majorHAnsi"/>
          <w:iCs/>
          <w:sz w:val="24"/>
          <w:szCs w:val="24"/>
        </w:rPr>
        <w:t xml:space="preserve"> coverage</w:t>
      </w:r>
      <w:r w:rsidRPr="00FD21E9">
        <w:rPr>
          <w:rFonts w:asciiTheme="majorHAnsi" w:hAnsiTheme="majorHAnsi" w:cstheme="majorHAnsi"/>
          <w:iCs/>
          <w:sz w:val="24"/>
          <w:szCs w:val="24"/>
        </w:rPr>
        <w:t xml:space="preserve">. One male </w:t>
      </w:r>
      <w:r w:rsidRPr="00FD21E9">
        <w:rPr>
          <w:rFonts w:asciiTheme="majorHAnsi" w:hAnsiTheme="majorHAnsi" w:cstheme="majorHAnsi"/>
          <w:iCs/>
          <w:sz w:val="24"/>
          <w:szCs w:val="24"/>
        </w:rPr>
        <w:lastRenderedPageBreak/>
        <w:t xml:space="preserve">individual (T3M02_BM_FF) was used for linked and long read sequencing, and internal organ tissue from </w:t>
      </w:r>
      <w:r>
        <w:rPr>
          <w:rFonts w:asciiTheme="majorHAnsi" w:hAnsiTheme="majorHAnsi" w:cstheme="majorHAnsi"/>
          <w:iCs/>
          <w:sz w:val="24"/>
          <w:szCs w:val="24"/>
        </w:rPr>
        <w:t>a</w:t>
      </w:r>
      <w:r w:rsidRPr="00FD21E9">
        <w:rPr>
          <w:rFonts w:asciiTheme="majorHAnsi" w:hAnsiTheme="majorHAnsi" w:cstheme="majorHAnsi"/>
          <w:iCs/>
          <w:sz w:val="24"/>
          <w:szCs w:val="24"/>
        </w:rPr>
        <w:t xml:space="preserve"> second male (T4M01_IO_FF) was used for generating </w:t>
      </w:r>
      <w:r>
        <w:rPr>
          <w:rFonts w:asciiTheme="majorHAnsi" w:hAnsiTheme="majorHAnsi" w:cstheme="majorHAnsi"/>
          <w:iCs/>
          <w:sz w:val="24"/>
          <w:szCs w:val="24"/>
        </w:rPr>
        <w:t>Hi</w:t>
      </w:r>
      <w:r w:rsidRPr="00FD21E9">
        <w:rPr>
          <w:rFonts w:asciiTheme="majorHAnsi" w:hAnsiTheme="majorHAnsi" w:cstheme="majorHAnsi"/>
          <w:iCs/>
          <w:sz w:val="24"/>
          <w:szCs w:val="24"/>
        </w:rPr>
        <w:t>-</w:t>
      </w:r>
      <w:r>
        <w:rPr>
          <w:rFonts w:asciiTheme="majorHAnsi" w:hAnsiTheme="majorHAnsi" w:cstheme="majorHAnsi"/>
          <w:iCs/>
          <w:sz w:val="24"/>
          <w:szCs w:val="24"/>
        </w:rPr>
        <w:t>C</w:t>
      </w:r>
      <w:r w:rsidRPr="00FD21E9">
        <w:rPr>
          <w:rFonts w:asciiTheme="majorHAnsi" w:hAnsiTheme="majorHAnsi" w:cstheme="majorHAnsi"/>
          <w:iCs/>
          <w:sz w:val="24"/>
          <w:szCs w:val="24"/>
        </w:rPr>
        <w:t xml:space="preserve"> sequencing data (Table 2.2). </w:t>
      </w:r>
    </w:p>
    <w:p w14:paraId="4A0B241A" w14:textId="77777777" w:rsidR="003F5039" w:rsidRPr="00FD21E9" w:rsidRDefault="003F5039" w:rsidP="0011235A">
      <w:pPr>
        <w:spacing w:line="240" w:lineRule="auto"/>
        <w:ind w:right="270"/>
        <w:rPr>
          <w:rFonts w:asciiTheme="majorHAnsi" w:hAnsiTheme="majorHAnsi" w:cstheme="majorHAnsi"/>
          <w:sz w:val="24"/>
          <w:szCs w:val="24"/>
        </w:rPr>
      </w:pPr>
    </w:p>
    <w:p w14:paraId="2874CF3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7" w:name="_Toc113123186"/>
      <w:bookmarkStart w:id="28" w:name="_Toc113273225"/>
      <w:r w:rsidRPr="00FD21E9">
        <w:rPr>
          <w:rFonts w:asciiTheme="majorHAnsi" w:hAnsiTheme="majorHAnsi" w:cstheme="majorHAnsi"/>
          <w:sz w:val="24"/>
          <w:szCs w:val="24"/>
        </w:rPr>
        <w:t>Linked-read library prep, sequencing &amp; quality control</w:t>
      </w:r>
      <w:bookmarkEnd w:id="27"/>
      <w:bookmarkEnd w:id="28"/>
    </w:p>
    <w:p w14:paraId="243F302D" w14:textId="39C55CFB" w:rsidR="003F5039" w:rsidRPr="00FD21E9" w:rsidRDefault="009D6B98" w:rsidP="008739C3">
      <w:pPr>
        <w:spacing w:line="240" w:lineRule="auto"/>
        <w:ind w:right="270"/>
        <w:rPr>
          <w:rFonts w:asciiTheme="majorHAnsi" w:hAnsiTheme="majorHAnsi" w:cstheme="majorHAnsi"/>
          <w:sz w:val="24"/>
          <w:szCs w:val="24"/>
        </w:rPr>
      </w:pPr>
      <w:r>
        <w:rPr>
          <w:rFonts w:asciiTheme="majorHAnsi" w:hAnsiTheme="majorHAnsi" w:cstheme="majorHAnsi"/>
          <w:sz w:val="24"/>
          <w:szCs w:val="24"/>
        </w:rPr>
        <w:t xml:space="preserve">The linked-read sequencing technology provided by 10X Genomics </w:t>
      </w:r>
      <w:r w:rsidR="00025764">
        <w:rPr>
          <w:rFonts w:asciiTheme="majorHAnsi" w:hAnsiTheme="majorHAnsi" w:cstheme="majorHAnsi"/>
          <w:sz w:val="24"/>
          <w:szCs w:val="24"/>
        </w:rPr>
        <w:t>wa</w:t>
      </w:r>
      <w:r>
        <w:rPr>
          <w:rFonts w:asciiTheme="majorHAnsi" w:hAnsiTheme="majorHAnsi" w:cstheme="majorHAnsi"/>
          <w:sz w:val="24"/>
          <w:szCs w:val="24"/>
        </w:rPr>
        <w:t>s a useful technology to incorporate into hybrid genome assembl</w:t>
      </w:r>
      <w:r w:rsidR="005C1F2A">
        <w:rPr>
          <w:rFonts w:asciiTheme="majorHAnsi" w:hAnsiTheme="majorHAnsi" w:cstheme="majorHAnsi"/>
          <w:sz w:val="24"/>
          <w:szCs w:val="24"/>
        </w:rPr>
        <w:t>ies</w:t>
      </w:r>
      <w:r>
        <w:rPr>
          <w:rFonts w:asciiTheme="majorHAnsi" w:hAnsiTheme="majorHAnsi" w:cstheme="majorHAnsi"/>
          <w:sz w:val="24"/>
          <w:szCs w:val="24"/>
        </w:rPr>
        <w:t xml:space="preserve">, as it </w:t>
      </w:r>
      <w:r w:rsidR="00D57765">
        <w:rPr>
          <w:rFonts w:asciiTheme="majorHAnsi" w:hAnsiTheme="majorHAnsi" w:cstheme="majorHAnsi"/>
          <w:sz w:val="24"/>
          <w:szCs w:val="24"/>
        </w:rPr>
        <w:t>requires small amounts (n</w:t>
      </w:r>
      <w:r w:rsidR="005C1F2A">
        <w:rPr>
          <w:rFonts w:asciiTheme="majorHAnsi" w:hAnsiTheme="majorHAnsi" w:cstheme="majorHAnsi"/>
          <w:sz w:val="24"/>
          <w:szCs w:val="24"/>
        </w:rPr>
        <w:t>anogram</w:t>
      </w:r>
      <w:r w:rsidR="00D57765">
        <w:rPr>
          <w:rFonts w:asciiTheme="majorHAnsi" w:hAnsiTheme="majorHAnsi" w:cstheme="majorHAnsi"/>
          <w:sz w:val="24"/>
          <w:szCs w:val="24"/>
        </w:rPr>
        <w:t xml:space="preserve">s) of DNA and </w:t>
      </w:r>
      <w:r>
        <w:rPr>
          <w:rFonts w:asciiTheme="majorHAnsi" w:hAnsiTheme="majorHAnsi" w:cstheme="majorHAnsi"/>
          <w:sz w:val="24"/>
          <w:szCs w:val="24"/>
        </w:rPr>
        <w:t>creates highly accurate pseudo-long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To do this linked-read</w:t>
      </w:r>
      <w:r w:rsidR="005C1F2A">
        <w:rPr>
          <w:rFonts w:asciiTheme="majorHAnsi" w:hAnsiTheme="majorHAnsi" w:cstheme="majorHAnsi"/>
          <w:sz w:val="24"/>
          <w:szCs w:val="24"/>
        </w:rPr>
        <w:t xml:space="preserve"> technology</w:t>
      </w:r>
      <w:r w:rsidR="00D57765">
        <w:rPr>
          <w:rFonts w:asciiTheme="majorHAnsi" w:hAnsiTheme="majorHAnsi" w:cstheme="majorHAnsi"/>
          <w:sz w:val="24"/>
          <w:szCs w:val="24"/>
        </w:rPr>
        <w:t xml:space="preserve"> combine</w:t>
      </w:r>
      <w:r w:rsidR="005C1F2A">
        <w:rPr>
          <w:rFonts w:asciiTheme="majorHAnsi" w:hAnsiTheme="majorHAnsi" w:cstheme="majorHAnsi"/>
          <w:sz w:val="24"/>
          <w:szCs w:val="24"/>
        </w:rPr>
        <w:t>s</w:t>
      </w:r>
      <w:r w:rsidR="00D57765">
        <w:rPr>
          <w:rFonts w:asciiTheme="majorHAnsi" w:hAnsiTheme="majorHAnsi" w:cstheme="majorHAnsi"/>
          <w:sz w:val="24"/>
          <w:szCs w:val="24"/>
        </w:rPr>
        <w:t xml:space="preserve"> the benefits of long and short reads</w:t>
      </w:r>
      <w:r>
        <w:rPr>
          <w:rFonts w:asciiTheme="majorHAnsi" w:hAnsiTheme="majorHAnsi" w:cstheme="majorHAnsi"/>
          <w:sz w:val="24"/>
          <w:szCs w:val="24"/>
        </w:rPr>
        <w:t xml:space="preserve"> through</w:t>
      </w:r>
      <w:r w:rsidR="00D57765">
        <w:rPr>
          <w:rFonts w:asciiTheme="majorHAnsi" w:hAnsiTheme="majorHAnsi" w:cstheme="majorHAnsi"/>
          <w:sz w:val="24"/>
          <w:szCs w:val="24"/>
        </w:rPr>
        <w:t xml:space="preserve"> encapsulating individual long reads</w:t>
      </w:r>
      <w:r w:rsidR="00025764">
        <w:rPr>
          <w:rFonts w:asciiTheme="majorHAnsi" w:hAnsiTheme="majorHAnsi" w:cstheme="majorHAnsi"/>
          <w:sz w:val="24"/>
          <w:szCs w:val="24"/>
        </w:rPr>
        <w:t xml:space="preserve"> (50-200kb)</w:t>
      </w:r>
      <w:r w:rsidR="00D57765">
        <w:rPr>
          <w:rFonts w:asciiTheme="majorHAnsi" w:hAnsiTheme="majorHAnsi" w:cstheme="majorHAnsi"/>
          <w:sz w:val="24"/>
          <w:szCs w:val="24"/>
        </w:rPr>
        <w:t xml:space="preserve"> into </w:t>
      </w:r>
      <w:r w:rsidR="00025764">
        <w:rPr>
          <w:rFonts w:asciiTheme="majorHAnsi" w:hAnsiTheme="majorHAnsi" w:cstheme="majorHAnsi"/>
          <w:sz w:val="24"/>
          <w:szCs w:val="24"/>
        </w:rPr>
        <w:t>droplets of water-in-oil emulsion (GEMs)</w:t>
      </w:r>
      <w:r w:rsidR="00D57765">
        <w:rPr>
          <w:rFonts w:asciiTheme="majorHAnsi" w:hAnsiTheme="majorHAnsi" w:cstheme="majorHAnsi"/>
          <w:sz w:val="24"/>
          <w:szCs w:val="24"/>
        </w:rPr>
        <w:t>, shearing</w:t>
      </w:r>
      <w:r w:rsidR="00025764">
        <w:rPr>
          <w:rFonts w:asciiTheme="majorHAnsi" w:hAnsiTheme="majorHAnsi" w:cstheme="majorHAnsi"/>
          <w:sz w:val="24"/>
          <w:szCs w:val="24"/>
        </w:rPr>
        <w:t xml:space="preserve"> long</w:t>
      </w:r>
      <w:r w:rsidR="005C1F2A">
        <w:rPr>
          <w:rFonts w:asciiTheme="majorHAnsi" w:hAnsiTheme="majorHAnsi" w:cstheme="majorHAnsi"/>
          <w:sz w:val="24"/>
          <w:szCs w:val="24"/>
        </w:rPr>
        <w:t xml:space="preserve"> reads</w:t>
      </w:r>
      <w:r w:rsidR="00D57765">
        <w:rPr>
          <w:rFonts w:asciiTheme="majorHAnsi" w:hAnsiTheme="majorHAnsi" w:cstheme="majorHAnsi"/>
          <w:sz w:val="24"/>
          <w:szCs w:val="24"/>
        </w:rPr>
        <w:t xml:space="preserve"> </w:t>
      </w:r>
      <w:r w:rsidR="00025764">
        <w:rPr>
          <w:rFonts w:asciiTheme="majorHAnsi" w:hAnsiTheme="majorHAnsi" w:cstheme="majorHAnsi"/>
          <w:sz w:val="24"/>
          <w:szCs w:val="24"/>
        </w:rPr>
        <w:t xml:space="preserve">into </w:t>
      </w:r>
      <w:r w:rsidR="00D57765">
        <w:rPr>
          <w:rFonts w:asciiTheme="majorHAnsi" w:hAnsiTheme="majorHAnsi" w:cstheme="majorHAnsi"/>
          <w:sz w:val="24"/>
          <w:szCs w:val="24"/>
        </w:rPr>
        <w:t>short reads</w:t>
      </w:r>
      <w:r w:rsidR="00025764">
        <w:rPr>
          <w:rFonts w:asciiTheme="majorHAnsi" w:hAnsiTheme="majorHAnsi" w:cstheme="majorHAnsi"/>
          <w:sz w:val="24"/>
          <w:szCs w:val="24"/>
        </w:rPr>
        <w:t xml:space="preserve"> (</w:t>
      </w:r>
      <w:r w:rsidR="005C1F2A">
        <w:rPr>
          <w:rFonts w:asciiTheme="majorHAnsi" w:hAnsiTheme="majorHAnsi" w:cstheme="majorHAnsi"/>
          <w:sz w:val="24"/>
          <w:szCs w:val="24"/>
        </w:rPr>
        <w:t>400-600 bp)</w:t>
      </w:r>
      <w:r w:rsidR="00D57765">
        <w:rPr>
          <w:rFonts w:asciiTheme="majorHAnsi" w:hAnsiTheme="majorHAnsi" w:cstheme="majorHAnsi"/>
          <w:sz w:val="24"/>
          <w:szCs w:val="24"/>
        </w:rPr>
        <w:t xml:space="preserve">, </w:t>
      </w:r>
      <w:r w:rsidR="005C1F2A">
        <w:rPr>
          <w:rFonts w:asciiTheme="majorHAnsi" w:hAnsiTheme="majorHAnsi" w:cstheme="majorHAnsi"/>
          <w:sz w:val="24"/>
          <w:szCs w:val="24"/>
        </w:rPr>
        <w:t>attaching a unique barcode to all</w:t>
      </w:r>
      <w:r w:rsidR="00D57765">
        <w:rPr>
          <w:rFonts w:asciiTheme="majorHAnsi" w:hAnsiTheme="majorHAnsi" w:cstheme="majorHAnsi"/>
          <w:sz w:val="24"/>
          <w:szCs w:val="24"/>
        </w:rPr>
        <w:t xml:space="preserve"> fragments of DNA in one </w:t>
      </w:r>
      <w:r w:rsidR="00025764">
        <w:rPr>
          <w:rFonts w:asciiTheme="majorHAnsi" w:hAnsiTheme="majorHAnsi" w:cstheme="majorHAnsi"/>
          <w:sz w:val="24"/>
          <w:szCs w:val="24"/>
        </w:rPr>
        <w:t>GEM</w:t>
      </w:r>
      <w:r w:rsidR="005C1F2A">
        <w:rPr>
          <w:rFonts w:asciiTheme="majorHAnsi" w:hAnsiTheme="majorHAnsi" w:cstheme="majorHAnsi"/>
          <w:sz w:val="24"/>
          <w:szCs w:val="24"/>
        </w:rPr>
        <w:t>, sequencing</w:t>
      </w:r>
      <w:r w:rsidR="008739C3">
        <w:rPr>
          <w:rFonts w:asciiTheme="majorHAnsi" w:hAnsiTheme="majorHAnsi" w:cstheme="majorHAnsi"/>
          <w:sz w:val="24"/>
          <w:szCs w:val="24"/>
        </w:rPr>
        <w:t xml:space="preserve"> paired end (PE) reads</w:t>
      </w:r>
      <w:r w:rsidR="005C1F2A">
        <w:rPr>
          <w:rFonts w:asciiTheme="majorHAnsi" w:hAnsiTheme="majorHAnsi" w:cstheme="majorHAnsi"/>
          <w:sz w:val="24"/>
          <w:szCs w:val="24"/>
        </w:rPr>
        <w:t xml:space="preserve"> on an Illumina sequencer, and using bioinformatics to</w:t>
      </w:r>
      <w:r w:rsidR="008739C3">
        <w:rPr>
          <w:rFonts w:asciiTheme="majorHAnsi" w:hAnsiTheme="majorHAnsi" w:cstheme="majorHAnsi"/>
          <w:sz w:val="24"/>
          <w:szCs w:val="24"/>
        </w:rPr>
        <w:t xml:space="preserve"> create pseudo-long reads through</w:t>
      </w:r>
      <w:r w:rsidR="005C1F2A">
        <w:rPr>
          <w:rFonts w:asciiTheme="majorHAnsi" w:hAnsiTheme="majorHAnsi" w:cstheme="majorHAnsi"/>
          <w:sz w:val="24"/>
          <w:szCs w:val="24"/>
        </w:rPr>
        <w:t xml:space="preserve"> reassociat</w:t>
      </w:r>
      <w:r w:rsidR="008739C3">
        <w:rPr>
          <w:rFonts w:asciiTheme="majorHAnsi" w:hAnsiTheme="majorHAnsi" w:cstheme="majorHAnsi"/>
          <w:sz w:val="24"/>
          <w:szCs w:val="24"/>
        </w:rPr>
        <w:t>ing</w:t>
      </w:r>
      <w:r w:rsidR="005C1F2A">
        <w:rPr>
          <w:rFonts w:asciiTheme="majorHAnsi" w:hAnsiTheme="majorHAnsi" w:cstheme="majorHAnsi"/>
          <w:sz w:val="24"/>
          <w:szCs w:val="24"/>
        </w:rPr>
        <w:t xml:space="preserve"> short reads previously contained in one GEM.</w:t>
      </w:r>
      <w:r>
        <w:rPr>
          <w:rFonts w:asciiTheme="majorHAnsi" w:hAnsiTheme="majorHAnsi" w:cstheme="majorHAnsi"/>
          <w:sz w:val="24"/>
          <w:szCs w:val="24"/>
        </w:rPr>
        <w:t xml:space="preserve"> </w:t>
      </w:r>
      <w:r w:rsidR="006E58E9">
        <w:rPr>
          <w:rFonts w:asciiTheme="majorHAnsi" w:hAnsiTheme="majorHAnsi" w:cstheme="majorHAnsi"/>
          <w:sz w:val="24"/>
          <w:szCs w:val="24"/>
        </w:rPr>
        <w:t>L</w:t>
      </w:r>
      <w:r w:rsidR="008142CF">
        <w:rPr>
          <w:rFonts w:asciiTheme="majorHAnsi" w:hAnsiTheme="majorHAnsi" w:cstheme="majorHAnsi"/>
          <w:sz w:val="24"/>
          <w:szCs w:val="24"/>
        </w:rPr>
        <w:t>inked-read l</w:t>
      </w:r>
      <w:r w:rsidR="006E58E9">
        <w:rPr>
          <w:rFonts w:asciiTheme="majorHAnsi" w:hAnsiTheme="majorHAnsi" w:cstheme="majorHAnsi"/>
          <w:sz w:val="24"/>
          <w:szCs w:val="24"/>
        </w:rPr>
        <w:t>ibrary prep was carried out</w:t>
      </w:r>
      <w:r w:rsidR="006E58E9" w:rsidRPr="00FD21E9">
        <w:rPr>
          <w:rFonts w:asciiTheme="majorHAnsi" w:hAnsiTheme="majorHAnsi" w:cstheme="majorHAnsi"/>
          <w:sz w:val="24"/>
          <w:szCs w:val="24"/>
        </w:rPr>
        <w:t xml:space="preserve"> by the UC Davis DNA Technologies &amp; Expression Analysis Core Laboratory</w:t>
      </w:r>
      <w:r w:rsidR="006E58E9">
        <w:rPr>
          <w:rFonts w:asciiTheme="majorHAnsi" w:hAnsiTheme="majorHAnsi" w:cstheme="majorHAnsi"/>
          <w:sz w:val="24"/>
          <w:szCs w:val="24"/>
        </w:rPr>
        <w:t>.</w:t>
      </w:r>
      <w:r w:rsidR="006E58E9"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w:t>
      </w:r>
      <w:proofErr w:type="gramStart"/>
      <w:r w:rsidR="003F5039" w:rsidRPr="00FD21E9">
        <w:rPr>
          <w:rFonts w:asciiTheme="majorHAnsi" w:hAnsiTheme="majorHAnsi" w:cstheme="majorHAnsi"/>
          <w:sz w:val="24"/>
          <w:szCs w:val="24"/>
        </w:rPr>
        <w:t xml:space="preserve">DNA </w:t>
      </w:r>
      <w:r w:rsidR="00CA16C1">
        <w:rPr>
          <w:rFonts w:asciiTheme="majorHAnsi" w:hAnsiTheme="majorHAnsi" w:cstheme="majorHAnsi"/>
          <w:sz w:val="24"/>
          <w:szCs w:val="24"/>
        </w:rPr>
        <w:t xml:space="preserve"> for</w:t>
      </w:r>
      <w:proofErr w:type="gramEnd"/>
      <w:r w:rsidR="00CA16C1">
        <w:rPr>
          <w:rFonts w:asciiTheme="majorHAnsi" w:hAnsiTheme="majorHAnsi" w:cstheme="majorHAnsi"/>
          <w:sz w:val="24"/>
          <w:szCs w:val="24"/>
        </w:rPr>
        <w:t xml:space="preserve"> the male and female extractions </w:t>
      </w:r>
      <w:r w:rsidR="00CC49C4">
        <w:rPr>
          <w:rFonts w:asciiTheme="majorHAnsi" w:hAnsiTheme="majorHAnsi" w:cstheme="majorHAnsi"/>
          <w:sz w:val="24"/>
          <w:szCs w:val="24"/>
        </w:rPr>
        <w:t>were</w:t>
      </w:r>
      <w:r w:rsidR="003F5039" w:rsidRPr="00FD21E9">
        <w:rPr>
          <w:rFonts w:asciiTheme="majorHAnsi" w:hAnsiTheme="majorHAnsi" w:cstheme="majorHAnsi"/>
          <w:sz w:val="24"/>
          <w:szCs w:val="24"/>
        </w:rPr>
        <w:t xml:space="preserve"> adjusted to a concentration of 0.91 ng/µl and 1.14 ng of template gDNA was loaded on a Chromium Genome Chip. Whole genome sequencing libraries were prepared using Chromium Genome Library &amp; Gel Bead Kit v.2 (10X Genomics, cat. 120258), Chromium Genome Chip Kit v.2 (10X Genomics, cat. 120257), Chromium i7 Multiplex Kit (10X Genomics, cat. 120262) and Chromium controller according to manufacturer’s instructions with one modification. Briefly, gDNA was combined with Master Mix, a library of Genome Gel Beads, and partitioning oil to create Gel Bead-in-Emulsions (GEMs) on a Chromium Genome Chip. The GEMs were isothermally amplified with primers containing an Illumina Read 1 sequencing primer, a unique 16-bp 10X barcode and a 6-bp random primer sequence, and barcoded DNA fragments were recovered for Illumina library construction. The amount and fragment size of post-GEM DNA was quantified by running 1</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µl of sample on a Bioanalyzer 2100 with an Agilent High sensitivity DNA kit (Agilent, cat. 5067-4626). Prior to Illumina library construction, the GEM amplification product was sheared on an E220 Focused </w:t>
      </w:r>
      <w:proofErr w:type="spellStart"/>
      <w:r w:rsidR="003F5039" w:rsidRPr="00FD21E9">
        <w:rPr>
          <w:rFonts w:asciiTheme="majorHAnsi" w:hAnsiTheme="majorHAnsi" w:cstheme="majorHAnsi"/>
          <w:sz w:val="24"/>
          <w:szCs w:val="24"/>
        </w:rPr>
        <w:t>Ultrasonicator</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Covaris</w:t>
      </w:r>
      <w:proofErr w:type="spellEnd"/>
      <w:r w:rsidR="003F5039" w:rsidRPr="00FD21E9">
        <w:rPr>
          <w:rFonts w:asciiTheme="majorHAnsi" w:hAnsiTheme="majorHAnsi" w:cstheme="majorHAnsi"/>
          <w:sz w:val="24"/>
          <w:szCs w:val="24"/>
        </w:rPr>
        <w:t>, Woburn, MA) to approximately 350</w:t>
      </w:r>
      <w:r w:rsidR="00480C67">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bp (50 seconds at peak power = 175, duty factor = 10, and cycle/burst = 200). Then, the sheared GEMs were converted to a sequencing library following the 10X standard operating procedure. </w:t>
      </w:r>
    </w:p>
    <w:p w14:paraId="27280019" w14:textId="78D2F0D6"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The sequencing library was quantified by qPCR with a Kapa Library Quant kit (Kapa Biosystems-Roche) and sequenced on NovaSeq6000 sequencer (Illumina, San Diego, CA) with paired-end 150 bp reads. We used a previous inhouse RAD-sequencing-based estimate of a haploid delta smelt genome size of 0.6 Gb to sequence the first sample to an estimated 80x coverage. Because we successfully extracted HMW gDNA from a female first, we used the female linked-read sequencing data to improve our estimate of delta smelt genome size through a more accurate k-mer based approach using Genomescope2</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{"citationID":"XkxSPH6A","properties":{"formattedCitation":"(Vurture et al., 2017)","plainCitation":"(Vurture et al., 2017)","noteIndex":0},"citationItems":[{"id":490,"uris":["http://zotero.org/users/local/3tku6QP0/items/CYG9FJR8"],"itemData":{"id":490,"type":"article-journal","abstract":"Summary: GenomeScope is an open-source web tool to rapidly estimate the overall characteristics of a genome, including genome size, heterozygosity rate and repeat content from unprocessed short reads. These features are essential for studying genome evolution, and help to choose parameters for downstream analysis. We demonstrate its accuracy on 324 simulated and 16 real datasets with a wide range in genome sizes, heterozygosity levels and error rates.","container-title":"Bioinformatics","DOI":"10.1093/bioinformatics/btx153","ISSN":"1367-4803, 1460-2059","issue":"14","language":"en","page":"2202-2204","source":"DOI.org (Crossref)","title":"GenomeScope: fast reference-free genome profiling from short reads","title-short":"GenomeScope","volume":"33","author":[{"family":"Vurture","given":"Gregory W"},{"family":"Sedlazeck","given":"Fritz J"},{"family":"Nattestad","given":"Maria"},{"family":"Underwood","given":"Charles J"},{"family":"Fang","given":"Han"},{"family":"Gurtowski","given":"James"},{"family":"Schatz","given":"Michael C"}],"editor":[{"family":"Berger","given":"Bonnie"}],"issued":{"date-parts":[["2017",7,15]]}}}],"schema":"https://github.com/citation-style-language/schema/raw/master/csl-citation.json"}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(Vurture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After, we used the updated genome size estimate to adjust the amount of all subsequent sequencing data generated for assembly.</w:t>
      </w:r>
    </w:p>
    <w:p w14:paraId="44987914" w14:textId="2BD87918"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linked-read sequencing data by looking at base quality metrics, and for signs of contamination and sequencing bias. For basic metric quality assessment, we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w:t>
      </w:r>
      <w:r w:rsidRPr="00FD21E9">
        <w:rPr>
          <w:rFonts w:asciiTheme="majorHAnsi" w:hAnsiTheme="majorHAnsi" w:cstheme="majorHAnsi"/>
          <w:sz w:val="24"/>
          <w:szCs w:val="24"/>
        </w:rPr>
        <w:lastRenderedPageBreak/>
        <w:t>v0.11.9</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{"citationID":"2s2M40cJ","properties":{"formattedCitation":"(Andrews,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To quality control linked-read files for contamination and sequencing bias errors, we conducted three computational quality control steps (</w:t>
      </w:r>
      <w:r w:rsidRPr="005549A1">
        <w:rPr>
          <w:rFonts w:ascii="Courier" w:hAnsi="Courier" w:cstheme="majorHAnsi"/>
          <w:sz w:val="24"/>
          <w:szCs w:val="24"/>
        </w:rPr>
        <w:t>kat hist</w:t>
      </w:r>
      <w:r w:rsidRPr="00FD21E9">
        <w:rPr>
          <w:rFonts w:asciiTheme="majorHAnsi" w:hAnsiTheme="majorHAnsi" w:cstheme="majorHAnsi"/>
          <w:sz w:val="24"/>
          <w:szCs w:val="24"/>
        </w:rPr>
        <w:t xml:space="preserve">, </w:t>
      </w:r>
      <w:r w:rsidRPr="005549A1">
        <w:rPr>
          <w:rFonts w:ascii="Courier" w:hAnsi="Courier" w:cstheme="majorHAnsi"/>
          <w:sz w:val="24"/>
          <w:szCs w:val="24"/>
        </w:rPr>
        <w:t xml:space="preserve">kat </w:t>
      </w:r>
      <w:proofErr w:type="spellStart"/>
      <w:r w:rsidRPr="005549A1">
        <w:rPr>
          <w:rFonts w:ascii="Courier" w:hAnsi="Courier" w:cstheme="majorHAnsi"/>
          <w:sz w:val="24"/>
          <w:szCs w:val="24"/>
        </w:rPr>
        <w:t>gcp</w:t>
      </w:r>
      <w:proofErr w:type="spellEnd"/>
      <w:r w:rsidRPr="00FD21E9">
        <w:rPr>
          <w:rFonts w:asciiTheme="majorHAnsi" w:hAnsiTheme="majorHAnsi" w:cstheme="majorHAnsi"/>
          <w:sz w:val="24"/>
          <w:szCs w:val="24"/>
        </w:rPr>
        <w:t xml:space="preserve">, and </w:t>
      </w:r>
      <w:r w:rsidRPr="005549A1">
        <w:rPr>
          <w:rFonts w:ascii="Courier" w:hAnsi="Courier" w:cstheme="majorHAnsi"/>
          <w:sz w:val="24"/>
          <w:szCs w:val="24"/>
        </w:rPr>
        <w:t>kat comp</w:t>
      </w:r>
      <w:r w:rsidRPr="00FD21E9">
        <w:rPr>
          <w:rFonts w:asciiTheme="majorHAnsi" w:hAnsiTheme="majorHAnsi" w:cstheme="majorHAnsi"/>
          <w:sz w:val="24"/>
          <w:szCs w:val="24"/>
        </w:rPr>
        <w:t>) using the software program KAT</w:t>
      </w:r>
      <w:r w:rsidR="004B6F68">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{"citationID":"rTYXloYS","properties":{"formattedCitation":"(Mapleson et al., 2017)","plainCitation":"(Mapleson et al., 2017)","noteIndex":0},"citationItems":[{"id":"Z89L5Dz4/EQpvLgDr","uris":["http://www.mendeley.com/documents/?uuid=43a8ae2e-f1ec-43c6-bfda-7c0d5b6f55ee"],"itemData":{"DOI":"10.1093/bioinformatics/btw663","author":[{"dropping-particle":"","family":"Mapleson","given":"Daniel","non-dropping-particle":"","parse-names":false,"suffix":""},{"dropping-particle":"","family":"Accinelli","given":"Gonzalo Garcia","non-dropping-particle":"","parse-names":false,"suffix":""},{"dropping-particle":"","family":"Kettleborough","given":"George","non-dropping-particle":"","parse-names":false,"suffix":""},{"dropping-particle":"","family":"Wright","given":"Jonathan","non-dropping-particle":"","parse-names":false,"suffix":""},{"dropping-particle":"","family":"Clavijo","given":"Bernardo J","non-dropping-particle":"","parse-names":false,"suffix":""}],"id":"ITEM-1","issue":"November 2016","issued":{"date-parts":[["2017"]]},"page":"574-576","title":"Sequence analysis KAT : a K-mer analysis toolkit to quality control NGS datasets and genome assemblies","type":"article-journal","volume":"33"}}],"schema":"https://github.com/citation-style-language/schema/raw/master/csl-citation.json"}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(Mapleson et al., 2017)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Each step splits sequencing data into sub-sequences of a given length (k-mers) to plot out frequencies or comparisons to visually inspect the data for quality issues. We looked for signs of bacterial and organell</w:t>
      </w:r>
      <w:r w:rsidR="006161D8">
        <w:rPr>
          <w:rFonts w:asciiTheme="majorHAnsi" w:hAnsiTheme="majorHAnsi" w:cstheme="majorHAnsi"/>
          <w:sz w:val="24"/>
          <w:szCs w:val="24"/>
        </w:rPr>
        <w:t>ar DNA</w:t>
      </w:r>
      <w:r w:rsidRPr="00FD21E9">
        <w:rPr>
          <w:rFonts w:asciiTheme="majorHAnsi" w:hAnsiTheme="majorHAnsi" w:cstheme="majorHAnsi"/>
          <w:sz w:val="24"/>
          <w:szCs w:val="24"/>
        </w:rPr>
        <w:t xml:space="preserve"> contamination using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and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within the male and female sequencing data. First, we used </w:t>
      </w:r>
      <w:r w:rsidR="005549A1" w:rsidRPr="005549A1">
        <w:rPr>
          <w:rFonts w:ascii="Courier" w:hAnsi="Courier" w:cstheme="majorHAnsi"/>
          <w:sz w:val="24"/>
          <w:szCs w:val="24"/>
        </w:rPr>
        <w:t>kat hist</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a histogram of the observed number of distinct k-mers at different frequencies for lengths k=21 and 31. Second, we used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to plot the proportion of the k-mers comprised of the G and C nucleotides against the frequency of that k-mer in the sequencing data and the number of distinct k-mers for a given GC count vs. frequency. We plotted GC counts against the frequency of k-mers of length k=21 and 31. </w:t>
      </w:r>
      <w:r w:rsidRPr="00FD21E9">
        <w:rPr>
          <w:rFonts w:asciiTheme="majorHAnsi" w:hAnsiTheme="majorHAnsi" w:cstheme="majorHAnsi"/>
          <w:iCs/>
          <w:sz w:val="24"/>
          <w:szCs w:val="24"/>
        </w:rPr>
        <w:t>Lastly, we evaluated the data for sequencing bias between the forward (R1) and reverse (R2) sequencing data.</w:t>
      </w:r>
      <w:r w:rsidRPr="00FD21E9">
        <w:rPr>
          <w:rFonts w:asciiTheme="majorHAnsi" w:hAnsiTheme="majorHAnsi" w:cstheme="majorHAnsi"/>
          <w:sz w:val="24"/>
          <w:szCs w:val="24"/>
        </w:rPr>
        <w:t xml:space="preserve"> We used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FD21E9">
        <w:rPr>
          <w:rFonts w:asciiTheme="majorHAnsi" w:hAnsiTheme="majorHAnsi" w:cstheme="majorHAnsi"/>
          <w:sz w:val="24"/>
          <w:szCs w:val="24"/>
        </w:rPr>
        <w:t xml:space="preserve"> </w:t>
      </w:r>
      <w:r w:rsidRPr="00FD21E9">
        <w:rPr>
          <w:rFonts w:asciiTheme="majorHAnsi" w:hAnsiTheme="majorHAnsi" w:cstheme="majorHAnsi"/>
          <w:sz w:val="24"/>
          <w:szCs w:val="24"/>
        </w:rPr>
        <w:t>to plot the frequency of a given k-mer in each of the paired-end sequence data files (R1 and R2) for k-mers of length k=21 and 31.</w:t>
      </w:r>
    </w:p>
    <w:p w14:paraId="2869BE5F" w14:textId="77777777" w:rsidR="003F5039" w:rsidRPr="00FD21E9" w:rsidRDefault="003F5039" w:rsidP="0011235A">
      <w:pPr>
        <w:spacing w:line="240" w:lineRule="auto"/>
        <w:ind w:right="270"/>
        <w:rPr>
          <w:rFonts w:asciiTheme="majorHAnsi" w:hAnsiTheme="majorHAnsi" w:cstheme="majorHAnsi"/>
          <w:sz w:val="24"/>
          <w:szCs w:val="24"/>
        </w:rPr>
      </w:pPr>
    </w:p>
    <w:p w14:paraId="7BB90EA3"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29" w:name="_Toc113123187"/>
      <w:bookmarkStart w:id="30" w:name="_Toc113273226"/>
      <w:r w:rsidRPr="00FD21E9">
        <w:rPr>
          <w:rFonts w:asciiTheme="majorHAnsi" w:hAnsiTheme="majorHAnsi" w:cstheme="majorHAnsi"/>
          <w:sz w:val="24"/>
          <w:szCs w:val="24"/>
        </w:rPr>
        <w:t>Long-read library prep, sequencing &amp; quality control</w:t>
      </w:r>
      <w:bookmarkEnd w:id="29"/>
      <w:bookmarkEnd w:id="30"/>
    </w:p>
    <w:p w14:paraId="0573720A" w14:textId="4AD4EB64" w:rsidR="003F5039" w:rsidRPr="00FD21E9" w:rsidRDefault="008142CF"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Long-read library prep was carried out</w:t>
      </w:r>
      <w:r w:rsidRPr="00FD21E9">
        <w:rPr>
          <w:rFonts w:asciiTheme="majorHAnsi" w:hAnsiTheme="majorHAnsi" w:cstheme="majorHAnsi"/>
          <w:sz w:val="24"/>
          <w:szCs w:val="24"/>
        </w:rPr>
        <w:t xml:space="preserve"> by the UC Davis DNA Technologies &amp; Expression Analysis Core Laboratory</w:t>
      </w:r>
      <w:r>
        <w:rPr>
          <w:rFonts w:asciiTheme="majorHAnsi" w:hAnsiTheme="majorHAnsi" w:cstheme="majorHAnsi"/>
          <w:sz w:val="24"/>
          <w:szCs w:val="24"/>
        </w:rPr>
        <w:t>.</w:t>
      </w:r>
      <w:r w:rsidRPr="00FD21E9">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Genomic DNA </w:t>
      </w:r>
      <w:r w:rsidR="00CC49C4">
        <w:rPr>
          <w:rFonts w:asciiTheme="majorHAnsi" w:hAnsiTheme="majorHAnsi" w:cstheme="majorHAnsi"/>
          <w:sz w:val="24"/>
          <w:szCs w:val="24"/>
        </w:rPr>
        <w:t xml:space="preserve">from the same male and female linked-read extractions </w:t>
      </w:r>
      <w:r w:rsidR="003F5039" w:rsidRPr="00FD21E9">
        <w:rPr>
          <w:rFonts w:asciiTheme="majorHAnsi" w:hAnsiTheme="majorHAnsi" w:cstheme="majorHAnsi"/>
          <w:sz w:val="24"/>
          <w:szCs w:val="24"/>
        </w:rPr>
        <w:t>was sheared to roughly 17</w:t>
      </w:r>
      <w:r w:rsidR="006161D8">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using </w:t>
      </w:r>
      <w:proofErr w:type="spellStart"/>
      <w:r w:rsidR="003F5039" w:rsidRPr="00FD21E9">
        <w:rPr>
          <w:rFonts w:asciiTheme="majorHAnsi" w:hAnsiTheme="majorHAnsi" w:cstheme="majorHAnsi"/>
          <w:sz w:val="24"/>
          <w:szCs w:val="24"/>
        </w:rPr>
        <w:t>Diagenode's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Megaruptor's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cat B06010001) long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Diagenode</w:t>
      </w:r>
      <w:proofErr w:type="spellEnd"/>
      <w:r w:rsidR="003F5039" w:rsidRPr="00FD21E9">
        <w:rPr>
          <w:rFonts w:asciiTheme="majorHAnsi" w:hAnsiTheme="majorHAnsi" w:cstheme="majorHAnsi"/>
          <w:sz w:val="24"/>
          <w:szCs w:val="24"/>
        </w:rPr>
        <w:t xml:space="preserve"> </w:t>
      </w:r>
      <w:proofErr w:type="spellStart"/>
      <w:r w:rsidR="003F5039" w:rsidRPr="00FD21E9">
        <w:rPr>
          <w:rFonts w:asciiTheme="majorHAnsi" w:hAnsiTheme="majorHAnsi" w:cstheme="majorHAnsi"/>
          <w:sz w:val="24"/>
          <w:szCs w:val="24"/>
        </w:rPr>
        <w:t>hydropores</w:t>
      </w:r>
      <w:proofErr w:type="spellEnd"/>
      <w:r w:rsidR="003F5039" w:rsidRPr="00FD21E9">
        <w:rPr>
          <w:rFonts w:asciiTheme="majorHAnsi" w:hAnsiTheme="majorHAnsi" w:cstheme="majorHAnsi"/>
          <w:sz w:val="24"/>
          <w:szCs w:val="24"/>
        </w:rPr>
        <w:t xml:space="preserve">, cat E07010002). Sheared 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and size distribution was checked by Agilent </w:t>
      </w:r>
      <w:proofErr w:type="spellStart"/>
      <w:r w:rsidR="003F5039" w:rsidRPr="00FD21E9">
        <w:rPr>
          <w:rFonts w:asciiTheme="majorHAnsi" w:hAnsiTheme="majorHAnsi" w:cstheme="majorHAnsi"/>
          <w:sz w:val="24"/>
          <w:szCs w:val="24"/>
        </w:rPr>
        <w:t>Femto</w:t>
      </w:r>
      <w:proofErr w:type="spellEnd"/>
      <w:r w:rsidR="003F5039" w:rsidRPr="00FD21E9">
        <w:rPr>
          <w:rFonts w:asciiTheme="majorHAnsi" w:hAnsiTheme="majorHAnsi" w:cstheme="majorHAnsi"/>
          <w:sz w:val="24"/>
          <w:szCs w:val="24"/>
        </w:rPr>
        <w:t xml:space="preserve"> Pulse (Agilent Technologies, cat P-0003-0817). Sheared gDNA was then concentrated using AMPure PB beads (Pacific Biosciences, cat 100-265-900). Concentrated, sheared gDNA was quantified by </w:t>
      </w:r>
      <w:proofErr w:type="spellStart"/>
      <w:r w:rsidR="003F5039" w:rsidRPr="00FD21E9">
        <w:rPr>
          <w:rFonts w:asciiTheme="majorHAnsi" w:hAnsiTheme="majorHAnsi" w:cstheme="majorHAnsi"/>
          <w:sz w:val="24"/>
          <w:szCs w:val="24"/>
        </w:rPr>
        <w:t>Quantus</w:t>
      </w:r>
      <w:proofErr w:type="spellEnd"/>
      <w:r w:rsidR="003F5039" w:rsidRPr="00FD21E9">
        <w:rPr>
          <w:rFonts w:asciiTheme="majorHAnsi" w:hAnsiTheme="majorHAnsi" w:cstheme="majorHAnsi"/>
          <w:sz w:val="24"/>
          <w:szCs w:val="24"/>
        </w:rPr>
        <w:t xml:space="preserve"> Fluorometer (Promega, cat #E6150) using a </w:t>
      </w:r>
      <w:proofErr w:type="spellStart"/>
      <w:r w:rsidR="003F5039" w:rsidRPr="00FD21E9">
        <w:rPr>
          <w:rFonts w:asciiTheme="majorHAnsi" w:hAnsiTheme="majorHAnsi" w:cstheme="majorHAnsi"/>
          <w:sz w:val="24"/>
          <w:szCs w:val="24"/>
        </w:rPr>
        <w:t>QuantiFluor</w:t>
      </w:r>
      <w:proofErr w:type="spellEnd"/>
      <w:r w:rsidR="003F5039" w:rsidRPr="00FD21E9">
        <w:rPr>
          <w:rFonts w:asciiTheme="majorHAnsi" w:hAnsiTheme="majorHAnsi" w:cstheme="majorHAnsi"/>
          <w:sz w:val="24"/>
          <w:szCs w:val="24"/>
        </w:rPr>
        <w:t xml:space="preserve">® ONE dsDNA Dye assay (Promega, cat #E4871). Low- or high-input PacBio HiFi library construction was carried out based on the amount of available concentrated sheared gDNA present for each sample. </w:t>
      </w:r>
    </w:p>
    <w:p w14:paraId="38EA8F9F" w14:textId="77777777"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High-input HiFi libraries were constructed using the SMRTbell® Express Template Prep Kit v2.0 (Pacific Biosciences, cat #100-938-900) with protocol “Procedure &amp; Checklist - Preparing HiFi SMRTbell® libraries using SMRTbell® Express Template Prep Kit 2.0 v3, January 2020”. We used sheared DNA as input for removal of single-strand overhangs at 37°C for 15 minutes, followed by further enzymatic steps of DNA damage repair at 37°C for 30 minutes, End Repair and A-tailing at 20°C for 10 minutes and 65°C for 30 minutes, ligation of overhang adapter v3 at 20°C for 1 hour and 65°C for 10 minutes, and nuclease treatment of SMRTbell® library at 37°C for 1 hour to remove damaged or non-intact SMRTbell® templates (SMRTbell® Enzyme Cleanup Kit, Pacific Biosciences, cat #107-746-400). The resulting SMRTbell® libraries were purified and concentrated by 0.45X AMPure PB beads (Pacific Biosciences, cat #100-265-900) then pooled for size selection using the SageELF system (Sage Science, cat #ELF0001). Input of the purified SMRTbell® library was used to load into the SageELF 0.75% Agarose Cassette (Sage Science, cat </w:t>
      </w:r>
      <w:r w:rsidRPr="00FD21E9">
        <w:rPr>
          <w:rFonts w:asciiTheme="majorHAnsi" w:hAnsiTheme="majorHAnsi" w:cstheme="majorHAnsi"/>
          <w:sz w:val="24"/>
          <w:szCs w:val="24"/>
        </w:rPr>
        <w:lastRenderedPageBreak/>
        <w:t xml:space="preserve">ELD7510) using cassette definition 0.75% 1-18 kb v2 for the run protocol. Fragments roughly 16 kb to 18 kb were collected from elution wells and the </w:t>
      </w:r>
      <w:proofErr w:type="gramStart"/>
      <w:r w:rsidRPr="00FD21E9">
        <w:rPr>
          <w:rFonts w:asciiTheme="majorHAnsi" w:hAnsiTheme="majorHAnsi" w:cstheme="majorHAnsi"/>
          <w:sz w:val="24"/>
          <w:szCs w:val="24"/>
        </w:rPr>
        <w:t>size-selected</w:t>
      </w:r>
      <w:proofErr w:type="gramEnd"/>
      <w:r w:rsidRPr="00FD21E9">
        <w:rPr>
          <w:rFonts w:asciiTheme="majorHAnsi" w:hAnsiTheme="majorHAnsi" w:cstheme="majorHAnsi"/>
          <w:sz w:val="24"/>
          <w:szCs w:val="24"/>
        </w:rPr>
        <w:t xml:space="preserve"> SMRTbell® library was purified and concentrated with 0.5X AMPure beads (Pacific Biosciences, cat 100-265-900). </w:t>
      </w:r>
    </w:p>
    <w:p w14:paraId="1994A420" w14:textId="66D86EBC"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Low-input HiFi libraries were constructed using the SMRTbell® Express Template Prep Kit v2.0 (Pacific Biosciences, cat #100-938-900) with protocol “Procedure &amp; Checklist - Preparing HiFi SMRTbell® libraries from Low DNA Input using SMRTbell® Express Template Prep Kit 2.0 v6, June 2020”. We used sheared DNA as input for removal of single-strand overhangs at 37°C for 15 minutes, followed by further enzymatic steps of DNA damage repair at 37°C for 30 minutes, End Repair and A-tailing at 20°C for 10 minutes and 65°C for 30 minutes, ligation of overhang adapters v3 at 20°C for 1 hour. Low Input HiFi SMRTbell® library was purified and concentrated twice first by 1.8X AMPure PB beads (Pacific Biosciences, cat #100-265-900) and 40% diluted AMPure beads to remove &lt; 3 kb SMRTbell® templates. </w:t>
      </w:r>
      <w:r w:rsidR="003A09CC">
        <w:rPr>
          <w:rFonts w:asciiTheme="majorHAnsi" w:hAnsiTheme="majorHAnsi" w:cstheme="majorHAnsi"/>
          <w:sz w:val="24"/>
          <w:szCs w:val="24"/>
        </w:rPr>
        <w:t xml:space="preserve">Each </w:t>
      </w:r>
      <w:r w:rsidRPr="00FD21E9">
        <w:rPr>
          <w:rFonts w:asciiTheme="majorHAnsi" w:hAnsiTheme="majorHAnsi" w:cstheme="majorHAnsi"/>
          <w:sz w:val="24"/>
          <w:szCs w:val="24"/>
        </w:rPr>
        <w:t>high and low-input librar</w:t>
      </w:r>
      <w:r w:rsidR="003A09CC">
        <w:rPr>
          <w:rFonts w:asciiTheme="majorHAnsi" w:hAnsiTheme="majorHAnsi" w:cstheme="majorHAnsi"/>
          <w:sz w:val="24"/>
          <w:szCs w:val="24"/>
        </w:rPr>
        <w:t>y</w:t>
      </w:r>
      <w:r w:rsidRPr="00FD21E9">
        <w:rPr>
          <w:rFonts w:asciiTheme="majorHAnsi" w:hAnsiTheme="majorHAnsi" w:cstheme="majorHAnsi"/>
          <w:sz w:val="24"/>
          <w:szCs w:val="24"/>
        </w:rPr>
        <w:t xml:space="preserve"> </w:t>
      </w:r>
      <w:r w:rsidR="003A09CC">
        <w:rPr>
          <w:rFonts w:asciiTheme="majorHAnsi" w:hAnsiTheme="majorHAnsi" w:cstheme="majorHAnsi"/>
          <w:sz w:val="24"/>
          <w:szCs w:val="24"/>
        </w:rPr>
        <w:t>was</w:t>
      </w:r>
      <w:r w:rsidRPr="00FD21E9">
        <w:rPr>
          <w:rFonts w:asciiTheme="majorHAnsi" w:hAnsiTheme="majorHAnsi" w:cstheme="majorHAnsi"/>
          <w:sz w:val="24"/>
          <w:szCs w:val="24"/>
        </w:rPr>
        <w:t xml:space="preserve"> subsequently loaded onto </w:t>
      </w:r>
      <w:r w:rsidR="003A09CC">
        <w:rPr>
          <w:rFonts w:asciiTheme="majorHAnsi" w:hAnsiTheme="majorHAnsi" w:cstheme="majorHAnsi"/>
          <w:sz w:val="24"/>
          <w:szCs w:val="24"/>
        </w:rPr>
        <w:t xml:space="preserve">a single </w:t>
      </w:r>
      <w:r w:rsidRPr="00FD21E9">
        <w:rPr>
          <w:rFonts w:asciiTheme="majorHAnsi" w:hAnsiTheme="majorHAnsi" w:cstheme="majorHAnsi"/>
          <w:sz w:val="24"/>
          <w:szCs w:val="24"/>
        </w:rPr>
        <w:t>8M SMRT Cells and sequenced using a Sequel II sequencing plate 2.0 on Pacific Biosciences Sequel II sequencer.</w:t>
      </w:r>
    </w:p>
    <w:p w14:paraId="76691F89" w14:textId="6EE18728"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used PacBio’s CCS v3.3.0 </w:t>
      </w:r>
      <w:r w:rsidR="00AB2E55" w:rsidRPr="00FD21E9">
        <w:rPr>
          <w:rFonts w:asciiTheme="majorHAnsi" w:hAnsiTheme="majorHAnsi" w:cstheme="majorHAnsi"/>
          <w:sz w:val="24"/>
          <w:szCs w:val="24"/>
        </w:rPr>
        <w:t>(</w:t>
      </w:r>
      <w:hyperlink r:id="rId7">
        <w:r w:rsidR="00AB2E55" w:rsidRPr="00FD21E9">
          <w:rPr>
            <w:rStyle w:val="Hyperlink"/>
            <w:rFonts w:asciiTheme="majorHAnsi" w:hAnsiTheme="majorHAnsi" w:cstheme="majorHAnsi"/>
            <w:sz w:val="24"/>
            <w:szCs w:val="24"/>
          </w:rPr>
          <w:t>https://github.com/PacificBiosciences/ccs</w:t>
        </w:r>
      </w:hyperlink>
      <w:r w:rsidR="00AB2E55" w:rsidRPr="00FD21E9">
        <w:rPr>
          <w:rFonts w:asciiTheme="majorHAnsi" w:hAnsiTheme="majorHAnsi" w:cstheme="majorHAnsi"/>
          <w:sz w:val="24"/>
          <w:szCs w:val="24"/>
        </w:rPr>
        <w:t xml:space="preserve">) </w:t>
      </w:r>
      <w:r w:rsidRPr="00FD21E9">
        <w:rPr>
          <w:rFonts w:asciiTheme="majorHAnsi" w:hAnsiTheme="majorHAnsi" w:cstheme="majorHAnsi"/>
          <w:sz w:val="24"/>
          <w:szCs w:val="24"/>
        </w:rPr>
        <w:t xml:space="preserve">statistical model on raw reads to generate base quality called circular consensus (ccs) reads and convert binary data to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format for downstream analysis. Reads with quality scores over Q20, denoting an error probability of 0.01% or less, were accepted and used for subsequent assembly.</w:t>
      </w:r>
      <w:r w:rsidR="00F60237">
        <w:rPr>
          <w:rFonts w:asciiTheme="majorHAnsi" w:hAnsiTheme="majorHAnsi" w:cstheme="majorHAnsi"/>
          <w:sz w:val="24"/>
          <w:szCs w:val="24"/>
        </w:rPr>
        <w:t xml:space="preserve"> If </w:t>
      </w:r>
      <w:r w:rsidR="00AB2E55">
        <w:rPr>
          <w:rFonts w:asciiTheme="majorHAnsi" w:hAnsiTheme="majorHAnsi" w:cstheme="majorHAnsi"/>
          <w:sz w:val="24"/>
          <w:szCs w:val="24"/>
        </w:rPr>
        <w:t xml:space="preserve">the first </w:t>
      </w:r>
      <w:r w:rsidR="00224AC0">
        <w:rPr>
          <w:rFonts w:asciiTheme="majorHAnsi" w:hAnsiTheme="majorHAnsi" w:cstheme="majorHAnsi"/>
          <w:sz w:val="24"/>
          <w:szCs w:val="24"/>
        </w:rPr>
        <w:t xml:space="preserve">library prep and </w:t>
      </w:r>
      <w:r w:rsidR="00AB2E55">
        <w:rPr>
          <w:rFonts w:asciiTheme="majorHAnsi" w:hAnsiTheme="majorHAnsi" w:cstheme="majorHAnsi"/>
          <w:sz w:val="24"/>
          <w:szCs w:val="24"/>
        </w:rPr>
        <w:t>sequencing run of an individual did not obtain sufficient coverage</w:t>
      </w:r>
      <w:r w:rsidR="00224AC0">
        <w:rPr>
          <w:rFonts w:asciiTheme="majorHAnsi" w:hAnsiTheme="majorHAnsi" w:cstheme="majorHAnsi"/>
          <w:sz w:val="24"/>
          <w:szCs w:val="24"/>
        </w:rPr>
        <w:t xml:space="preserve"> for each sex</w:t>
      </w:r>
      <w:r w:rsidR="00AB2E55">
        <w:rPr>
          <w:rFonts w:asciiTheme="majorHAnsi" w:hAnsiTheme="majorHAnsi" w:cstheme="majorHAnsi"/>
          <w:sz w:val="24"/>
          <w:szCs w:val="24"/>
        </w:rPr>
        <w:t>, we</w:t>
      </w:r>
      <w:r w:rsidR="00224AC0">
        <w:rPr>
          <w:rFonts w:asciiTheme="majorHAnsi" w:hAnsiTheme="majorHAnsi" w:cstheme="majorHAnsi"/>
          <w:sz w:val="24"/>
          <w:szCs w:val="24"/>
        </w:rPr>
        <w:t xml:space="preserve"> selected a second high or low-input library prep based on the amount of HMW gDNA remaining for </w:t>
      </w:r>
      <w:proofErr w:type="gramStart"/>
      <w:r w:rsidR="00224AC0">
        <w:rPr>
          <w:rFonts w:asciiTheme="majorHAnsi" w:hAnsiTheme="majorHAnsi" w:cstheme="majorHAnsi"/>
          <w:sz w:val="24"/>
          <w:szCs w:val="24"/>
        </w:rPr>
        <w:t>each individual</w:t>
      </w:r>
      <w:proofErr w:type="gramEnd"/>
      <w:r w:rsidR="00224AC0">
        <w:rPr>
          <w:rFonts w:asciiTheme="majorHAnsi" w:hAnsiTheme="majorHAnsi" w:cstheme="majorHAnsi"/>
          <w:sz w:val="24"/>
          <w:szCs w:val="24"/>
        </w:rPr>
        <w:t>. If no further HMW gDNA was available, we resampled tissue, extracted HMW gDNA, library-prepped and sequenced a new individual of the same sex.</w:t>
      </w:r>
      <w:r w:rsidR="00AB2E55">
        <w:rPr>
          <w:rFonts w:asciiTheme="majorHAnsi" w:hAnsiTheme="majorHAnsi" w:cstheme="majorHAnsi"/>
          <w:sz w:val="24"/>
          <w:szCs w:val="24"/>
        </w:rPr>
        <w:t xml:space="preserve"> </w:t>
      </w:r>
    </w:p>
    <w:p w14:paraId="6BB5B919" w14:textId="77777777" w:rsidR="00AB2E55" w:rsidRPr="00AB2E55" w:rsidRDefault="00AB2E55" w:rsidP="0011235A">
      <w:pPr>
        <w:spacing w:line="240" w:lineRule="auto"/>
        <w:rPr>
          <w:rFonts w:asciiTheme="majorHAnsi" w:hAnsiTheme="majorHAnsi" w:cstheme="majorHAnsi"/>
          <w:iCs/>
          <w:sz w:val="24"/>
          <w:szCs w:val="24"/>
        </w:rPr>
      </w:pPr>
    </w:p>
    <w:p w14:paraId="39EBC8A6"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1" w:name="_Toc113123188"/>
      <w:bookmarkStart w:id="32" w:name="_Toc113273227"/>
      <w:r w:rsidRPr="00FD21E9">
        <w:rPr>
          <w:rFonts w:asciiTheme="majorHAnsi" w:hAnsiTheme="majorHAnsi" w:cstheme="majorHAnsi"/>
          <w:sz w:val="24"/>
          <w:szCs w:val="24"/>
        </w:rPr>
        <w:t>Hi-C chromatin conformation capture library prep, sequencing &amp; quality control</w:t>
      </w:r>
      <w:bookmarkEnd w:id="31"/>
      <w:bookmarkEnd w:id="32"/>
    </w:p>
    <w:p w14:paraId="257D6824" w14:textId="7EF62DB4"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Female c</w:t>
      </w:r>
      <w:r w:rsidRPr="00EC0C3A">
        <w:rPr>
          <w:rFonts w:asciiTheme="majorHAnsi" w:hAnsiTheme="majorHAnsi" w:cstheme="majorHAnsi"/>
          <w:sz w:val="24"/>
          <w:szCs w:val="24"/>
        </w:rPr>
        <w:t>hromatin conformation capture</w:t>
      </w:r>
      <w:r w:rsidRPr="00FD21E9">
        <w:rPr>
          <w:rFonts w:asciiTheme="majorHAnsi" w:hAnsiTheme="majorHAnsi" w:cstheme="majorHAnsi"/>
          <w:sz w:val="24"/>
          <w:szCs w:val="24"/>
        </w:rPr>
        <w:t xml:space="preserve"> sequencing</w:t>
      </w:r>
      <w:r w:rsidRPr="00EC0C3A">
        <w:rPr>
          <w:rFonts w:asciiTheme="majorHAnsi" w:hAnsiTheme="majorHAnsi" w:cstheme="majorHAnsi"/>
          <w:sz w:val="24"/>
          <w:szCs w:val="24"/>
        </w:rPr>
        <w:t xml:space="preserve"> data was generated </w:t>
      </w:r>
      <w:r w:rsidRPr="00FD21E9">
        <w:rPr>
          <w:rFonts w:asciiTheme="majorHAnsi" w:hAnsiTheme="majorHAnsi" w:cstheme="majorHAnsi"/>
          <w:sz w:val="24"/>
          <w:szCs w:val="24"/>
        </w:rPr>
        <w:t xml:space="preserve">by </w:t>
      </w:r>
      <w:r w:rsidRPr="00EC0C3A">
        <w:rPr>
          <w:rFonts w:asciiTheme="majorHAnsi" w:hAnsiTheme="majorHAnsi" w:cstheme="majorHAnsi"/>
          <w:sz w:val="24"/>
          <w:szCs w:val="24"/>
        </w:rPr>
        <w:t xml:space="preserve">Phase Genomics (Seattle, WA) </w:t>
      </w:r>
      <w:r w:rsidRPr="00FD21E9">
        <w:rPr>
          <w:rFonts w:asciiTheme="majorHAnsi" w:hAnsiTheme="majorHAnsi" w:cstheme="majorHAnsi"/>
          <w:sz w:val="24"/>
          <w:szCs w:val="24"/>
        </w:rPr>
        <w:t xml:space="preserve">using </w:t>
      </w:r>
      <w:r w:rsidRPr="00EC0C3A">
        <w:rPr>
          <w:rFonts w:asciiTheme="majorHAnsi" w:hAnsiTheme="majorHAnsi" w:cstheme="majorHAnsi"/>
          <w:sz w:val="24"/>
          <w:szCs w:val="24"/>
        </w:rPr>
        <w:t>Proximo Hi-C 2.0 Kit, a commercially available version of the Hi-C protocol</w:t>
      </w:r>
      <w:r w:rsidRPr="00FD21E9">
        <w:rPr>
          <w:rFonts w:asciiTheme="majorHAnsi" w:hAnsiTheme="majorHAnsi" w:cstheme="majorHAnsi"/>
          <w:sz w:val="24"/>
          <w:szCs w:val="24"/>
        </w:rPr>
        <w:t>, in 2019</w:t>
      </w:r>
      <w:r w:rsidRPr="00EC0C3A">
        <w:rPr>
          <w:rFonts w:asciiTheme="majorHAnsi" w:hAnsiTheme="majorHAnsi" w:cstheme="majorHAnsi"/>
          <w:sz w:val="24"/>
          <w:szCs w:val="24"/>
        </w:rPr>
        <w:t xml:space="preserve">. Following the manufacturer's instructions for the kit, intact cells </w:t>
      </w:r>
      <w:proofErr w:type="gramStart"/>
      <w:r w:rsidRPr="00EC0C3A">
        <w:rPr>
          <w:rFonts w:asciiTheme="majorHAnsi" w:hAnsiTheme="majorHAnsi" w:cstheme="majorHAnsi"/>
          <w:sz w:val="24"/>
          <w:szCs w:val="24"/>
        </w:rPr>
        <w:t>from  samples</w:t>
      </w:r>
      <w:proofErr w:type="gramEnd"/>
      <w:r w:rsidRPr="00EC0C3A">
        <w:rPr>
          <w:rFonts w:asciiTheme="majorHAnsi" w:hAnsiTheme="majorHAnsi" w:cstheme="majorHAnsi"/>
          <w:sz w:val="24"/>
          <w:szCs w:val="24"/>
        </w:rPr>
        <w:t xml:space="preserve"> were crosslinked using a formaldehyde solution, digested using the SAUIII restriction enzyme (cut site GATC), end repaired with biotinylated nucleotides, and proximity ligated to create chimeric molecules composed of fragments from different regions of the genome that were physically proximal in vivo, but not necessarily proximal</w:t>
      </w:r>
      <w:r w:rsidR="009C7280">
        <w:rPr>
          <w:rFonts w:asciiTheme="majorHAnsi" w:hAnsiTheme="majorHAnsi" w:cstheme="majorHAnsi"/>
          <w:sz w:val="24"/>
          <w:szCs w:val="24"/>
        </w:rPr>
        <w:t xml:space="preserve"> in DNA sequence</w:t>
      </w:r>
      <w:r w:rsidRPr="00EC0C3A">
        <w:rPr>
          <w:rFonts w:asciiTheme="majorHAnsi" w:hAnsiTheme="majorHAnsi" w:cstheme="majorHAnsi"/>
          <w:sz w:val="24"/>
          <w:szCs w:val="24"/>
        </w:rPr>
        <w:t>. Continuing with the manufacturer's protocol, molecules were pulled down with streptavidin beads and processed into an Illumina-compatible sequencing library. Finally, 150</w:t>
      </w:r>
      <w:r w:rsidR="009C7280">
        <w:rPr>
          <w:rFonts w:asciiTheme="majorHAnsi" w:hAnsiTheme="majorHAnsi" w:cstheme="majorHAnsi"/>
          <w:sz w:val="24"/>
          <w:szCs w:val="24"/>
        </w:rPr>
        <w:t xml:space="preserve"> </w:t>
      </w:r>
      <w:r w:rsidRPr="00EC0C3A">
        <w:rPr>
          <w:rFonts w:asciiTheme="majorHAnsi" w:hAnsiTheme="majorHAnsi" w:cstheme="majorHAnsi"/>
          <w:sz w:val="24"/>
          <w:szCs w:val="24"/>
        </w:rPr>
        <w:t xml:space="preserve">bp paired-end reads were generated on an Illumina </w:t>
      </w:r>
      <w:proofErr w:type="spellStart"/>
      <w:r w:rsidRPr="00EC0C3A">
        <w:rPr>
          <w:rFonts w:asciiTheme="majorHAnsi" w:hAnsiTheme="majorHAnsi" w:cstheme="majorHAnsi"/>
          <w:sz w:val="24"/>
          <w:szCs w:val="24"/>
        </w:rPr>
        <w:t>HiSeq</w:t>
      </w:r>
      <w:proofErr w:type="spellEnd"/>
      <w:r w:rsidRPr="00FD21E9">
        <w:rPr>
          <w:rFonts w:asciiTheme="majorHAnsi" w:hAnsiTheme="majorHAnsi" w:cstheme="majorHAnsi"/>
          <w:sz w:val="24"/>
          <w:szCs w:val="24"/>
        </w:rPr>
        <w:t xml:space="preserve"> sequencer</w:t>
      </w:r>
      <w:r w:rsidRPr="00EC0C3A">
        <w:rPr>
          <w:rFonts w:asciiTheme="majorHAnsi" w:hAnsiTheme="majorHAnsi" w:cstheme="majorHAnsi"/>
          <w:sz w:val="24"/>
          <w:szCs w:val="24"/>
        </w:rPr>
        <w:t>.</w:t>
      </w:r>
      <w:r w:rsidRPr="00FD21E9">
        <w:rPr>
          <w:rFonts w:asciiTheme="majorHAnsi" w:hAnsiTheme="majorHAnsi" w:cstheme="majorHAnsi"/>
          <w:sz w:val="24"/>
          <w:szCs w:val="24"/>
        </w:rPr>
        <w:t xml:space="preserve"> Raw sequencing data and an initial scaffolding report were received for the female sample. </w:t>
      </w:r>
      <w:r w:rsidR="00202A99">
        <w:rPr>
          <w:rFonts w:asciiTheme="majorHAnsi" w:hAnsiTheme="majorHAnsi" w:cstheme="majorHAnsi"/>
          <w:sz w:val="24"/>
          <w:szCs w:val="24"/>
        </w:rPr>
        <w:t>Due to the COVID-19 pandemic, we were unable to acquire male Hi-C sequencing reads, so</w:t>
      </w:r>
      <w:r w:rsidRPr="00FD21E9">
        <w:rPr>
          <w:rFonts w:asciiTheme="majorHAnsi" w:hAnsiTheme="majorHAnsi" w:cstheme="majorHAnsi"/>
          <w:sz w:val="24"/>
          <w:szCs w:val="24"/>
        </w:rPr>
        <w:t xml:space="preserve"> </w:t>
      </w:r>
      <w:r w:rsidR="00202A99">
        <w:rPr>
          <w:rFonts w:asciiTheme="majorHAnsi" w:hAnsiTheme="majorHAnsi" w:cstheme="majorHAnsi"/>
          <w:sz w:val="24"/>
          <w:szCs w:val="24"/>
        </w:rPr>
        <w:t xml:space="preserve">we used </w:t>
      </w:r>
      <w:r w:rsidRPr="00FD21E9">
        <w:rPr>
          <w:rFonts w:asciiTheme="majorHAnsi" w:hAnsiTheme="majorHAnsi" w:cstheme="majorHAnsi"/>
          <w:sz w:val="24"/>
          <w:szCs w:val="24"/>
        </w:rPr>
        <w:t xml:space="preserve">the female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for both male and female scaffolding.</w:t>
      </w:r>
    </w:p>
    <w:p w14:paraId="5710ECC4" w14:textId="5AF9422F" w:rsidR="003F5039" w:rsidRPr="00FD21E9" w:rsidRDefault="003F5039" w:rsidP="0011235A">
      <w:pPr>
        <w:spacing w:line="240" w:lineRule="auto"/>
        <w:ind w:right="270"/>
        <w:rPr>
          <w:rFonts w:asciiTheme="majorHAnsi" w:hAnsiTheme="majorHAnsi" w:cstheme="majorHAnsi"/>
          <w:b/>
          <w:bCs/>
          <w:sz w:val="24"/>
          <w:szCs w:val="24"/>
          <w:u w:val="single"/>
        </w:rPr>
      </w:pPr>
      <w:r w:rsidRPr="00FD21E9">
        <w:rPr>
          <w:rFonts w:asciiTheme="majorHAnsi" w:hAnsiTheme="majorHAnsi" w:cstheme="majorHAnsi"/>
          <w:sz w:val="24"/>
          <w:szCs w:val="24"/>
        </w:rPr>
        <w:t xml:space="preserve">We evaluated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by looking at base quality and mapping metrics. </w:t>
      </w:r>
      <w:r w:rsidR="00C8509D">
        <w:rPr>
          <w:rFonts w:asciiTheme="majorHAnsi" w:hAnsiTheme="majorHAnsi" w:cstheme="majorHAnsi"/>
          <w:sz w:val="24"/>
          <w:szCs w:val="24"/>
        </w:rPr>
        <w:t>We</w:t>
      </w:r>
      <w:r w:rsidRPr="00FD21E9">
        <w:rPr>
          <w:rFonts w:asciiTheme="majorHAnsi" w:hAnsiTheme="majorHAnsi" w:cstheme="majorHAnsi"/>
          <w:sz w:val="24"/>
          <w:szCs w:val="24"/>
        </w:rPr>
        <w:t xml:space="preserve"> used </w:t>
      </w:r>
      <w:proofErr w:type="spellStart"/>
      <w:r w:rsidRPr="00FD21E9">
        <w:rPr>
          <w:rFonts w:asciiTheme="majorHAnsi" w:hAnsiTheme="majorHAnsi" w:cstheme="majorHAnsi"/>
          <w:sz w:val="24"/>
          <w:szCs w:val="24"/>
        </w:rPr>
        <w:t>FastQC</w:t>
      </w:r>
      <w:proofErr w:type="spellEnd"/>
      <w:r w:rsidRPr="00FD21E9">
        <w:rPr>
          <w:rFonts w:asciiTheme="majorHAnsi" w:hAnsiTheme="majorHAnsi" w:cstheme="majorHAnsi"/>
          <w:sz w:val="24"/>
          <w:szCs w:val="24"/>
        </w:rPr>
        <w:t xml:space="preserve"> v0.11.9</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2335A7">
        <w:rPr>
          <w:rFonts w:asciiTheme="majorHAnsi" w:hAnsiTheme="majorHAnsi" w:cstheme="majorHAnsi"/>
          <w:sz w:val="24"/>
          <w:szCs w:val="24"/>
        </w:rPr>
        <w:instrText xml:space="preserve"> ADDIN ZOTERO_ITEM CSL_CITATION {"citationID":"i6l6KGxI","properties":{"formattedCitation":"(Andrews, 2010)","plainCitation":"(Andrews, 2010)","noteIndex":0},"citationItems":[{"id":594,"uris":["http://zotero.org/users/local/3tku6QP0/items/6F4G7GJS"],"itemData":{"id":594,"type":"software","title":"FastQC: a quality control tool for high throughput sequence data.","URL":"https://www.bioinformatics.babraham.ac.uk/projects/fastqc/","version":"0.11.9","author":[{"family":"Andrews","given":"Simon"}],"issued":{"date-parts":[["2010"]]}}}],"schema":"https://github.com/citation-style-language/schema/raw/master/csl-citation.json"} </w:instrText>
      </w:r>
      <w:r w:rsidRPr="00FD21E9">
        <w:rPr>
          <w:rFonts w:asciiTheme="majorHAnsi" w:hAnsiTheme="majorHAnsi" w:cstheme="majorHAnsi"/>
          <w:sz w:val="24"/>
          <w:szCs w:val="24"/>
        </w:rPr>
        <w:fldChar w:fldCharType="separate"/>
      </w:r>
      <w:r w:rsidR="002335A7">
        <w:rPr>
          <w:rFonts w:ascii="Calibri Light" w:hAnsiTheme="majorHAnsi" w:cs="Calibri Light"/>
          <w:sz w:val="24"/>
        </w:rPr>
        <w:t>(Andrews,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to obtain raw sequencing data metrics such as per sequence quality scores, GC content, total number of reads, average read length and number of bases. </w:t>
      </w:r>
      <w:r w:rsidRPr="00FD21E9">
        <w:rPr>
          <w:rFonts w:asciiTheme="majorHAnsi" w:hAnsiTheme="majorHAnsi" w:cstheme="majorHAnsi"/>
          <w:sz w:val="24"/>
          <w:szCs w:val="24"/>
        </w:rPr>
        <w:lastRenderedPageBreak/>
        <w:t xml:space="preserve">To assess if the </w:t>
      </w:r>
      <w:r w:rsidR="00C8509D">
        <w:rPr>
          <w:rFonts w:asciiTheme="majorHAnsi" w:hAnsiTheme="majorHAnsi" w:cstheme="majorHAnsi"/>
          <w:sz w:val="24"/>
          <w:szCs w:val="24"/>
        </w:rPr>
        <w:t>H</w:t>
      </w:r>
      <w:r w:rsidRPr="00FD21E9">
        <w:rPr>
          <w:rFonts w:asciiTheme="majorHAnsi" w:hAnsiTheme="majorHAnsi" w:cstheme="majorHAnsi"/>
          <w:sz w:val="24"/>
          <w:szCs w:val="24"/>
        </w:rPr>
        <w:t>i-</w:t>
      </w:r>
      <w:r w:rsidR="00C8509D">
        <w:rPr>
          <w:rFonts w:asciiTheme="majorHAnsi" w:hAnsiTheme="majorHAnsi" w:cstheme="majorHAnsi"/>
          <w:sz w:val="24"/>
          <w:szCs w:val="24"/>
        </w:rPr>
        <w:t>C</w:t>
      </w:r>
      <w:r w:rsidRPr="00FD21E9">
        <w:rPr>
          <w:rFonts w:asciiTheme="majorHAnsi" w:hAnsiTheme="majorHAnsi" w:cstheme="majorHAnsi"/>
          <w:sz w:val="24"/>
          <w:szCs w:val="24"/>
        </w:rPr>
        <w:t xml:space="preserve"> sequencing data would be useful in linking scaffolds, we </w:t>
      </w:r>
      <w:r w:rsidR="00202A99">
        <w:rPr>
          <w:rFonts w:asciiTheme="majorHAnsi" w:hAnsiTheme="majorHAnsi" w:cstheme="majorHAnsi"/>
          <w:sz w:val="24"/>
          <w:szCs w:val="24"/>
        </w:rPr>
        <w:t xml:space="preserve">1) </w:t>
      </w:r>
      <w:r w:rsidRPr="00FD21E9">
        <w:rPr>
          <w:rFonts w:asciiTheme="majorHAnsi" w:hAnsiTheme="majorHAnsi" w:cstheme="majorHAnsi"/>
          <w:sz w:val="24"/>
          <w:szCs w:val="24"/>
        </w:rPr>
        <w:t xml:space="preserve">looked at a percentage of high-quality reads (minimum mapping quality of greater than or equal to 20, a maximum edit distance of less than or equal to 5, and no duplications) that mapped to our draft assembly created from </w:t>
      </w:r>
      <w:r w:rsidR="00202A99">
        <w:rPr>
          <w:rFonts w:asciiTheme="majorHAnsi" w:hAnsiTheme="majorHAnsi" w:cstheme="majorHAnsi"/>
          <w:sz w:val="24"/>
          <w:szCs w:val="24"/>
        </w:rPr>
        <w:t>the long-read draft assembly using only PacBio reads; and 2)</w:t>
      </w:r>
      <w:r w:rsidRPr="00FD21E9">
        <w:rPr>
          <w:rFonts w:asciiTheme="majorHAnsi" w:hAnsiTheme="majorHAnsi" w:cstheme="majorHAnsi"/>
          <w:sz w:val="24"/>
          <w:szCs w:val="24"/>
        </w:rPr>
        <w:t xml:space="preserve"> observed the number of reads which aligned to each contig (&gt;</w:t>
      </w:r>
      <w:r w:rsidR="00C8509D">
        <w:rPr>
          <w:rFonts w:asciiTheme="majorHAnsi" w:hAnsiTheme="majorHAnsi" w:cstheme="majorHAnsi"/>
          <w:sz w:val="24"/>
          <w:szCs w:val="24"/>
        </w:rPr>
        <w:t xml:space="preserve"> </w:t>
      </w:r>
      <w:r w:rsidRPr="00FD21E9">
        <w:rPr>
          <w:rFonts w:asciiTheme="majorHAnsi" w:hAnsiTheme="majorHAnsi" w:cstheme="majorHAnsi"/>
          <w:sz w:val="24"/>
          <w:szCs w:val="24"/>
        </w:rPr>
        <w:t>600 desired) and the number of high-quality reads greater than 10</w:t>
      </w:r>
      <w:r w:rsidR="00C8509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(1-15% expected).</w:t>
      </w:r>
    </w:p>
    <w:p w14:paraId="3F58042E" w14:textId="77777777" w:rsidR="003F5039" w:rsidRPr="0087338E" w:rsidRDefault="003F5039" w:rsidP="0011235A">
      <w:pPr>
        <w:spacing w:line="240" w:lineRule="auto"/>
        <w:ind w:right="270"/>
        <w:rPr>
          <w:rFonts w:asciiTheme="majorHAnsi" w:hAnsiTheme="majorHAnsi" w:cstheme="majorHAnsi"/>
          <w:sz w:val="24"/>
          <w:szCs w:val="24"/>
        </w:rPr>
      </w:pPr>
    </w:p>
    <w:p w14:paraId="2EA51E8C" w14:textId="77777777" w:rsidR="003F5039" w:rsidRPr="0087338E" w:rsidRDefault="003F5039" w:rsidP="0011235A">
      <w:pPr>
        <w:pStyle w:val="HTMLAddress"/>
        <w:spacing w:line="240" w:lineRule="auto"/>
        <w:outlineLvl w:val="2"/>
        <w:rPr>
          <w:rFonts w:asciiTheme="majorHAnsi" w:hAnsiTheme="majorHAnsi" w:cstheme="majorHAnsi"/>
          <w:sz w:val="24"/>
          <w:szCs w:val="24"/>
        </w:rPr>
      </w:pPr>
      <w:bookmarkStart w:id="33" w:name="_Toc113123189"/>
      <w:bookmarkStart w:id="34" w:name="_Toc113273228"/>
      <w:r w:rsidRPr="0087338E">
        <w:rPr>
          <w:rFonts w:asciiTheme="majorHAnsi" w:hAnsiTheme="majorHAnsi" w:cstheme="majorHAnsi"/>
          <w:sz w:val="24"/>
          <w:szCs w:val="24"/>
        </w:rPr>
        <w:t>Genome assembly</w:t>
      </w:r>
      <w:bookmarkEnd w:id="33"/>
      <w:bookmarkEnd w:id="34"/>
    </w:p>
    <w:p w14:paraId="0F919F6E" w14:textId="6381AAC5" w:rsidR="003F5039" w:rsidRPr="0087338E" w:rsidRDefault="003F5039" w:rsidP="0011235A">
      <w:pPr>
        <w:spacing w:line="240" w:lineRule="auto"/>
        <w:rPr>
          <w:rFonts w:asciiTheme="majorHAnsi" w:hAnsiTheme="majorHAnsi" w:cstheme="majorHAnsi"/>
          <w:sz w:val="24"/>
          <w:szCs w:val="24"/>
        </w:rPr>
      </w:pPr>
      <w:r w:rsidRPr="0087338E">
        <w:rPr>
          <w:rFonts w:asciiTheme="majorHAnsi" w:hAnsiTheme="majorHAnsi" w:cstheme="majorHAnsi"/>
          <w:sz w:val="24"/>
          <w:szCs w:val="24"/>
        </w:rPr>
        <w:t>We generated an initial draft assembly (A</w:t>
      </w:r>
      <w:r w:rsidRPr="0087338E">
        <w:rPr>
          <w:rFonts w:asciiTheme="majorHAnsi" w:hAnsiTheme="majorHAnsi" w:cstheme="majorHAnsi"/>
          <w:sz w:val="24"/>
          <w:szCs w:val="24"/>
          <w:vertAlign w:val="subscript"/>
        </w:rPr>
        <w:t>1</w:t>
      </w:r>
      <w:r w:rsidRPr="0087338E">
        <w:rPr>
          <w:rFonts w:asciiTheme="majorHAnsi" w:hAnsiTheme="majorHAnsi" w:cstheme="majorHAnsi"/>
          <w:sz w:val="24"/>
          <w:szCs w:val="24"/>
        </w:rPr>
        <w:t xml:space="preserve">) purged of duplicate </w:t>
      </w:r>
      <w:proofErr w:type="spellStart"/>
      <w:r w:rsidRPr="0087338E">
        <w:rPr>
          <w:rFonts w:asciiTheme="majorHAnsi" w:hAnsiTheme="majorHAnsi" w:cstheme="majorHAnsi"/>
          <w:sz w:val="24"/>
          <w:szCs w:val="24"/>
        </w:rPr>
        <w:t>haplotigs</w:t>
      </w:r>
      <w:proofErr w:type="spellEnd"/>
      <w:r w:rsidRPr="0087338E">
        <w:rPr>
          <w:rFonts w:asciiTheme="majorHAnsi" w:hAnsiTheme="majorHAnsi" w:cstheme="majorHAnsi"/>
          <w:sz w:val="24"/>
          <w:szCs w:val="24"/>
        </w:rPr>
        <w:t xml:space="preserve"> using the IPA HiFi Genome Assembler (</w:t>
      </w:r>
      <w:proofErr w:type="spellStart"/>
      <w:r w:rsidRPr="0087338E">
        <w:rPr>
          <w:rFonts w:asciiTheme="majorHAnsi" w:hAnsiTheme="majorHAnsi" w:cstheme="majorHAnsi"/>
          <w:sz w:val="24"/>
          <w:szCs w:val="24"/>
        </w:rPr>
        <w:t>ipa</w:t>
      </w:r>
      <w:proofErr w:type="spellEnd"/>
      <w:r w:rsidRPr="0087338E">
        <w:rPr>
          <w:rFonts w:asciiTheme="majorHAnsi" w:hAnsiTheme="majorHAnsi" w:cstheme="majorHAnsi"/>
          <w:sz w:val="24"/>
          <w:szCs w:val="24"/>
        </w:rPr>
        <w:t xml:space="preserve">) v1.3.1 (https://github.com/PacificBiosciences/pbipa), with </w:t>
      </w:r>
      <w:proofErr w:type="spellStart"/>
      <w:r w:rsidRPr="0087338E">
        <w:rPr>
          <w:rFonts w:asciiTheme="majorHAnsi" w:hAnsiTheme="majorHAnsi" w:cstheme="majorHAnsi"/>
          <w:sz w:val="24"/>
          <w:szCs w:val="24"/>
        </w:rPr>
        <w:t>purge_dups</w:t>
      </w:r>
      <w:proofErr w:type="spellEnd"/>
      <w:r w:rsidRPr="0087338E">
        <w:rPr>
          <w:rFonts w:asciiTheme="majorHAnsi" w:hAnsiTheme="majorHAnsi" w:cstheme="majorHAnsi"/>
          <w:sz w:val="24"/>
          <w:szCs w:val="24"/>
        </w:rPr>
        <w:t xml:space="preserve"> v1.2.3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{"citationID":"kapu5sGW","properties":{"formattedCitation":"(Guan et al., 2020)","plainCitation":"(Guan et al., 2020)","noteIndex":0},"citationItems":[{"id":570,"uris":["http://zotero.org/users/local/3tku6QP0/items/LMKQY3YD"],"itemData":{"id":570,"type":"article-journal","abstract":"Motivation: Rapid development in long-read sequencing and scaffolding technologies is accelerating the production of reference-quality assemblies for large eukaryotic genomes. However, haplotype divergence in regions of high heterozygosity often results in assemblers creating two copies rather than one copy of a region, leading to breaks in contiguity and compromising downstream steps such as gene annotation. Several tools have been developed to resolve this problem. However, they either focus only on removing contained duplicate regions, also known as haplotigs, or fail to use all the relevant information and hence make errors.","container-title":"Bioinformatics","DOI":"10.1093/bioinformatics/btaa025","ISSN":"1367-4803, 1460-2059","issue":"9","language":"en","page":"2896-2898","source":"DOI.org (Crossref)","title":"Identifying and removing haplotypic duplication in primary genome assemblies","volume":"36","author":[{"family":"Guan","given":"Dengfeng"},{"family":"McCarthy","given":"Shane A"},{"family":"Wood","given":"Jonathan"},{"family":"Howe","given":"Kerstin"},{"family":"Wang","given":"Yadong"},{"family":"Durbin","given":"Richard"}],"editor":[{"family":"Valencia","given":"Alfonso"}],"issued":{"date-parts":[["2020",5,1]]}}}],"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(Guan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and Racon v1.4.13</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{"citationID":"lV8zYykI","properties":{"formattedCitation":"(Vaser et al., 2017)","plainCitation":"(Vaser et al., 2017)","noteIndex":0},"citationItems":[{"id":572,"uris":["http://zotero.org/users/local/3tku6QP0/items/DBEV5WUV"],"itemData":{"id":572,"type":"article-journal","abstract":"The assembly of long reads from Pacific Biosciences and Oxford Nanopore Technologies typically requires resource-intensive error-correction and consensus-generation steps to obtain high-quality assemblies. We show that the error-correction step can be omitted and that high-quality consensus sequences can be generated efficiently with a SIMD-accelerated, partial-order alignment–based, stand-alone consensus module called Racon. Based on tests with PacBio and Oxford Nanopore data sets, we show that Racon coupled with miniasm enables consensus genomes with similar or better quality than state-of-the-art methods while being an order of magnitude faster.","container-title":"Genome Research","DOI":"10.1101/gr.214270.116","ISSN":"1088-9051, 1549-5469","issue":"5","journalAbbreviation":"Genome Res.","language":"en","page":"737-746","source":"DOI.org (Crossref)","title":"Fast and accurate de novo genome assembly from long uncorrected reads","volume":"27","author":[{"family":"Vaser","given":"Robert"},{"family":"Sović","given":"Ivan"},{"family":"Nagarajan","given":"Niranjan"},{"family":"Šikić","given":"Mile"}],"issued":{"date-parts":[["2017",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(Vaser et al., 2017)</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wrappers enabled to generate phased primary and alternative assembly files polished of errors. </w:t>
      </w:r>
      <w:r w:rsidR="00C8509D">
        <w:rPr>
          <w:rFonts w:asciiTheme="majorHAnsi" w:hAnsiTheme="majorHAnsi" w:cstheme="majorHAnsi"/>
          <w:sz w:val="24"/>
          <w:szCs w:val="24"/>
        </w:rPr>
        <w:t>A linked- and long read- (A</w:t>
      </w:r>
      <w:r w:rsidR="00C8509D" w:rsidRPr="008142CF">
        <w:rPr>
          <w:rFonts w:asciiTheme="majorHAnsi" w:hAnsiTheme="majorHAnsi" w:cstheme="majorHAnsi"/>
          <w:sz w:val="24"/>
          <w:szCs w:val="24"/>
          <w:vertAlign w:val="subscript"/>
        </w:rPr>
        <w:t>2</w:t>
      </w:r>
      <w:r w:rsidR="00C8509D">
        <w:rPr>
          <w:rFonts w:asciiTheme="majorHAnsi" w:hAnsiTheme="majorHAnsi" w:cstheme="majorHAnsi"/>
          <w:sz w:val="24"/>
          <w:szCs w:val="24"/>
        </w:rPr>
        <w:t>) draft assembly was created using</w:t>
      </w:r>
      <w:r w:rsidRPr="0087338E">
        <w:rPr>
          <w:rFonts w:asciiTheme="majorHAnsi" w:hAnsiTheme="majorHAnsi" w:cstheme="majorHAnsi"/>
          <w:sz w:val="24"/>
          <w:szCs w:val="24"/>
        </w:rPr>
        <w:t xml:space="preserve"> scaff10x</w:t>
      </w:r>
      <w:r w:rsidR="00D86949"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{"citationID":"poKgUz6v","properties":{"formattedCitation":"(Ning, n.d.)","plainCitation":"(Ning, n.d.)","noteIndex":0},"citationItems":[{"id":573,"uris":["http://zotero.org/users/local/3tku6QP0/items/LL5LG448"],"itemData":{"id":573,"type":"software","title":"Scaff10X: Pipeline for scaffolding and breaking a genome assembly using 10x genomics linked-reads","author":[{"family":"Ning","given":"Zemin"}]}}],"schema":"https://github.com/citation-style-language/schema/raw/master/csl-citation.json"}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(Ning, n.d.)</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with </w:t>
      </w:r>
      <w:r w:rsidRPr="00FD21E9">
        <w:rPr>
          <w:rFonts w:asciiTheme="majorHAnsi" w:hAnsiTheme="majorHAnsi" w:cstheme="majorHAnsi"/>
          <w:color w:val="00000A"/>
          <w:sz w:val="24"/>
          <w:szCs w:val="24"/>
        </w:rPr>
        <w:t xml:space="preserve">the following parameters: </w:t>
      </w:r>
      <w:r w:rsidRPr="005549A1">
        <w:rPr>
          <w:rFonts w:ascii="Courier" w:hAnsi="Courier" w:cstheme="majorHAnsi"/>
          <w:color w:val="00000A"/>
          <w:sz w:val="24"/>
          <w:szCs w:val="24"/>
        </w:rPr>
        <w:t>-</w:t>
      </w:r>
      <w:proofErr w:type="spellStart"/>
      <w:r w:rsidRPr="005549A1">
        <w:rPr>
          <w:rFonts w:ascii="Courier" w:hAnsi="Courier" w:cstheme="majorHAnsi"/>
          <w:color w:val="00000A"/>
          <w:sz w:val="24"/>
          <w:szCs w:val="24"/>
        </w:rPr>
        <w:t>longread</w:t>
      </w:r>
      <w:proofErr w:type="spellEnd"/>
      <w:r w:rsidRPr="005549A1">
        <w:rPr>
          <w:rFonts w:ascii="Courier" w:hAnsi="Courier" w:cstheme="majorHAnsi"/>
          <w:color w:val="00000A"/>
          <w:sz w:val="24"/>
          <w:szCs w:val="24"/>
        </w:rPr>
        <w:t xml:space="preserve"> 1 -gap 100 -matrix 2000 -reads 10 -link 8 -score 20 -edge 50000 -block 50000</w:t>
      </w:r>
      <w:r w:rsidRPr="00FD21E9">
        <w:rPr>
          <w:rFonts w:asciiTheme="majorHAnsi" w:hAnsiTheme="majorHAnsi" w:cstheme="majorHAnsi"/>
          <w:color w:val="00000A"/>
          <w:sz w:val="24"/>
          <w:szCs w:val="24"/>
        </w:rPr>
        <w:t xml:space="preserve"> </w:t>
      </w:r>
      <w:r w:rsidR="00C8509D">
        <w:rPr>
          <w:rFonts w:asciiTheme="majorHAnsi" w:hAnsiTheme="majorHAnsi" w:cstheme="majorHAnsi"/>
          <w:sz w:val="24"/>
          <w:szCs w:val="24"/>
        </w:rPr>
        <w:t>to</w:t>
      </w:r>
      <w:r w:rsidRPr="00FD21E9">
        <w:rPr>
          <w:rFonts w:asciiTheme="majorHAnsi" w:hAnsiTheme="majorHAnsi" w:cstheme="majorHAnsi"/>
          <w:sz w:val="24"/>
          <w:szCs w:val="24"/>
        </w:rPr>
        <w:t xml:space="preserve"> first break the assembly at locations that were incorrectly joined</w:t>
      </w:r>
      <w:r w:rsidR="00C8509D">
        <w:rPr>
          <w:rFonts w:asciiTheme="majorHAnsi" w:hAnsiTheme="majorHAnsi" w:cstheme="majorHAnsi"/>
          <w:sz w:val="24"/>
          <w:szCs w:val="24"/>
        </w:rPr>
        <w:t xml:space="preserve"> and</w:t>
      </w:r>
      <w:r w:rsidRPr="00FD21E9">
        <w:rPr>
          <w:rFonts w:asciiTheme="majorHAnsi" w:hAnsiTheme="majorHAnsi" w:cstheme="majorHAnsi"/>
          <w:sz w:val="24"/>
          <w:szCs w:val="24"/>
        </w:rPr>
        <w:t xml:space="preserve"> scaffold the assembly into larger, more contiguous</w:t>
      </w:r>
      <w:r w:rsidRPr="00FD21E9">
        <w:rPr>
          <w:rFonts w:asciiTheme="majorHAnsi" w:hAnsiTheme="majorHAnsi" w:cstheme="majorHAnsi"/>
          <w:color w:val="00000A"/>
          <w:sz w:val="24"/>
          <w:szCs w:val="24"/>
        </w:rPr>
        <w:t xml:space="preserve"> sequencing segments. After linked-read scaffolding, we </w:t>
      </w:r>
      <w:r w:rsidR="006514C3">
        <w:rPr>
          <w:rFonts w:asciiTheme="majorHAnsi" w:hAnsiTheme="majorHAnsi" w:cstheme="majorHAnsi"/>
          <w:color w:val="00000A"/>
          <w:sz w:val="24"/>
          <w:szCs w:val="24"/>
        </w:rPr>
        <w:t xml:space="preserve">prepared the Hi-C data </w:t>
      </w:r>
      <w:r w:rsidRPr="00FD21E9">
        <w:rPr>
          <w:rFonts w:asciiTheme="majorHAnsi" w:hAnsiTheme="majorHAnsi" w:cstheme="majorHAnsi"/>
          <w:color w:val="00000A"/>
          <w:sz w:val="24"/>
          <w:szCs w:val="24"/>
        </w:rPr>
        <w:t>follow</w:t>
      </w:r>
      <w:r w:rsidR="006514C3">
        <w:rPr>
          <w:rFonts w:asciiTheme="majorHAnsi" w:hAnsiTheme="majorHAnsi" w:cstheme="majorHAnsi"/>
          <w:color w:val="00000A"/>
          <w:sz w:val="24"/>
          <w:szCs w:val="24"/>
        </w:rPr>
        <w:t>ing</w:t>
      </w:r>
      <w:r w:rsidRPr="00FD21E9">
        <w:rPr>
          <w:rFonts w:asciiTheme="majorHAnsi" w:hAnsiTheme="majorHAnsi" w:cstheme="majorHAnsi"/>
          <w:color w:val="00000A"/>
          <w:sz w:val="24"/>
          <w:szCs w:val="24"/>
        </w:rPr>
        <w:t xml:space="preserve"> the Arima mapping protocol (https://github.com/ArimaGenomics/mapping_pipeline) </w:t>
      </w:r>
      <w:r w:rsidR="006514C3">
        <w:rPr>
          <w:rFonts w:asciiTheme="majorHAnsi" w:hAnsiTheme="majorHAnsi" w:cstheme="majorHAnsi"/>
          <w:color w:val="00000A"/>
          <w:sz w:val="24"/>
          <w:szCs w:val="24"/>
        </w:rPr>
        <w:t xml:space="preserve">so </w:t>
      </w:r>
      <w:r w:rsidRPr="00FD21E9">
        <w:rPr>
          <w:rFonts w:asciiTheme="majorHAnsi" w:hAnsiTheme="majorHAnsi" w:cstheme="majorHAnsi"/>
          <w:color w:val="00000A"/>
          <w:sz w:val="24"/>
          <w:szCs w:val="24"/>
        </w:rPr>
        <w:t xml:space="preserve">interaction mapping information </w:t>
      </w:r>
      <w:r w:rsidR="006514C3">
        <w:rPr>
          <w:rFonts w:asciiTheme="majorHAnsi" w:hAnsiTheme="majorHAnsi" w:cstheme="majorHAnsi"/>
          <w:color w:val="00000A"/>
          <w:sz w:val="24"/>
          <w:szCs w:val="24"/>
        </w:rPr>
        <w:t xml:space="preserve">could be used </w:t>
      </w:r>
      <w:r w:rsidRPr="00FD21E9">
        <w:rPr>
          <w:rFonts w:asciiTheme="majorHAnsi" w:hAnsiTheme="majorHAnsi" w:cstheme="majorHAnsi"/>
          <w:color w:val="00000A"/>
          <w:sz w:val="24"/>
          <w:szCs w:val="24"/>
        </w:rPr>
        <w:t>to further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To prep the sequencing data, we independently aligned paired-end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as single-ended reads to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using BWA v0.7.17-r1188</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{"citationID":"RnfBiDgd","properties":{"formattedCitation":"(Li &amp; Durbin, 2009)","plainCitation":"(Li &amp; Durbin, 2009)","noteIndex":0},"citationItems":[{"id":306,"uris":["http://zotero.org/users/local/3tku6QP0/items/HK34MEIV"],"itemData":{"id":306,"type":"article-journal","abstract":"MOTIVATION: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http://maq.sourceforge.net.","container-title":"Bioinformatics","DOI":"10.1093/bioinformatics/btp324","ISSN":"1367-4811 (Electronic)\\r1367-4803 (Linking)","issue":"14","page":"1754-1760","title":"Fast and accurate short read alignment with Burrows-Wheeler transform","volume":"25","author":[{"family":"Li","given":"Heng"},{"family":"Durbin","given":"Richard"}],"issued":{"date-parts":[["2009"]]}}}],"schema":"https://github.com/citation-style-language/schema/raw/master/csl-citation.json"}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&amp; Durbin, 2009)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and </w:t>
      </w:r>
      <w:proofErr w:type="spellStart"/>
      <w:r w:rsidRPr="00FD21E9">
        <w:rPr>
          <w:rFonts w:asciiTheme="majorHAnsi" w:hAnsiTheme="majorHAnsi" w:cstheme="majorHAnsi"/>
          <w:color w:val="00000A"/>
          <w:sz w:val="24"/>
          <w:szCs w:val="24"/>
        </w:rPr>
        <w:t>samtools</w:t>
      </w:r>
      <w:proofErr w:type="spellEnd"/>
      <w:r w:rsidRPr="00FD21E9">
        <w:rPr>
          <w:rFonts w:asciiTheme="majorHAnsi" w:hAnsiTheme="majorHAnsi" w:cstheme="majorHAnsi"/>
          <w:color w:val="00000A"/>
          <w:sz w:val="24"/>
          <w:szCs w:val="24"/>
        </w:rPr>
        <w:t xml:space="preserve"> v1.7</w:t>
      </w:r>
      <w:r w:rsidRPr="00FD21E9">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{"citationID":"1kuPBh4c","properties":{"formattedCitation":"(Li et al., 2009)","plainCitation":"(Li et al., 2009)","noteIndex":0},"citationItems":[{"id":307,"uris":["http://zotero.org/users/local/3tku6QP0/items/3AY6NC6Y"],"itemData":{"id":307,"type":"article-journal","abstract":"SUMMARY: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SAMtools implements various utilities for post-processing alignments in the SAM format, such as indexing, variant caller and alignment viewer, and thus provides universal tools for processing read alignments. AVAILABILITY: http://samtools.sourceforge.net.","container-title":"Bioinformatics","DOI":"10.1093/bioinformatics/btp352","ISSN":"1367-4803\\r1460-2059","issue":"16","page":"2078-2079","title":"The Sequence Alignment/Map format and SAMtools","volume":"25","author":[{"family":"Li","given":"Heng"},{"family":"Handsaker","given":"Bob"},{"family":"Wysoker","given":"Alec"},{"family":"Fennell","given":"Tim"},{"family":"Ruan","given":"Jue"},{"family":"Homer","given":"Nils"},{"family":"Marth","given":"Gabor"},{"family":"Abecasis","given":"Goncalo"},{"family":"Durbin","given":"Richard"}],"issued":{"date-parts":[["2009"]]}}}],"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(Li et al., 2009)</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Next, we retained the 5’ end of the read to eliminate chimeric reads using a custom Arima </w:t>
      </w:r>
      <w:proofErr w:type="spellStart"/>
      <w:r w:rsidRPr="00FD21E9">
        <w:rPr>
          <w:rFonts w:asciiTheme="majorHAnsi" w:hAnsiTheme="majorHAnsi" w:cstheme="majorHAnsi"/>
          <w:color w:val="00000A"/>
          <w:sz w:val="24"/>
          <w:szCs w:val="24"/>
        </w:rPr>
        <w:t>perl</w:t>
      </w:r>
      <w:proofErr w:type="spellEnd"/>
      <w:r w:rsidRPr="00FD21E9">
        <w:rPr>
          <w:rFonts w:asciiTheme="majorHAnsi" w:hAnsiTheme="majorHAnsi" w:cstheme="majorHAnsi"/>
          <w:color w:val="00000A"/>
          <w:sz w:val="24"/>
          <w:szCs w:val="24"/>
        </w:rPr>
        <w:t xml:space="preserve"> script. Then, we paired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reads to produce paired-end BAM files and used </w:t>
      </w:r>
      <w:proofErr w:type="spellStart"/>
      <w:r w:rsidRPr="00FD21E9">
        <w:rPr>
          <w:rFonts w:asciiTheme="majorHAnsi" w:hAnsiTheme="majorHAnsi" w:cstheme="majorHAnsi"/>
          <w:color w:val="00000A"/>
          <w:sz w:val="24"/>
          <w:szCs w:val="24"/>
        </w:rPr>
        <w:t>PicardCommandTools</w:t>
      </w:r>
      <w:proofErr w:type="spellEnd"/>
      <w:r w:rsidRPr="00FD21E9">
        <w:rPr>
          <w:rFonts w:asciiTheme="majorHAnsi" w:hAnsiTheme="majorHAnsi" w:cstheme="majorHAnsi"/>
          <w:color w:val="00000A"/>
          <w:sz w:val="24"/>
          <w:szCs w:val="24"/>
        </w:rPr>
        <w:t xml:space="preserve"> (https://github.com/broadinstitute/picard) to add read groups and remove PCR duplicates. After filtering the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sequencing data</w:t>
      </w:r>
      <w:r w:rsidR="00107B19">
        <w:rPr>
          <w:rFonts w:asciiTheme="majorHAnsi" w:hAnsiTheme="majorHAnsi" w:cstheme="majorHAnsi"/>
          <w:color w:val="00000A"/>
          <w:sz w:val="24"/>
          <w:szCs w:val="24"/>
        </w:rPr>
        <w:t xml:space="preserve"> following parameters described in the sequencing and quality control sections</w:t>
      </w:r>
      <w:r w:rsidRPr="00FD21E9">
        <w:rPr>
          <w:rFonts w:asciiTheme="majorHAnsi" w:hAnsiTheme="majorHAnsi" w:cstheme="majorHAnsi"/>
          <w:color w:val="00000A"/>
          <w:sz w:val="24"/>
          <w:szCs w:val="24"/>
        </w:rPr>
        <w:t xml:space="preserve">, we converted BAM files to sorted BED files with </w:t>
      </w:r>
      <w:proofErr w:type="spellStart"/>
      <w:r w:rsidR="00D32D4D">
        <w:rPr>
          <w:rFonts w:asciiTheme="majorHAnsi" w:hAnsiTheme="majorHAnsi" w:cstheme="majorHAnsi"/>
          <w:color w:val="00000A"/>
          <w:sz w:val="24"/>
          <w:szCs w:val="24"/>
        </w:rPr>
        <w:t>BED</w:t>
      </w:r>
      <w:r w:rsidRPr="00FD21E9">
        <w:rPr>
          <w:rFonts w:asciiTheme="majorHAnsi" w:hAnsiTheme="majorHAnsi" w:cstheme="majorHAnsi"/>
          <w:color w:val="00000A"/>
          <w:sz w:val="24"/>
          <w:szCs w:val="24"/>
        </w:rPr>
        <w:t>tools</w:t>
      </w:r>
      <w:proofErr w:type="spellEnd"/>
      <w:r w:rsidRPr="00FD21E9">
        <w:rPr>
          <w:rFonts w:asciiTheme="majorHAnsi" w:hAnsiTheme="majorHAnsi" w:cstheme="majorHAnsi"/>
          <w:color w:val="00000A"/>
          <w:sz w:val="24"/>
          <w:szCs w:val="24"/>
        </w:rPr>
        <w:t xml:space="preserve"> v2.29.2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{"citationID":"QXFJPeQ4","properties":{"formattedCitation":"(Quinlan &amp; Hall, 2010)","plainCitation":"(Quinlan &amp; Hall, 2010)","noteIndex":0},"citationItems":[{"id":486,"uris":["http://zotero.org/users/local/3tku6QP0/items/YEZPTZCZ"],"itemData":{"id":486,"type":"article-journal","abstract":"Motivation: Testing for correlations between different sets of genomic features is a fundamental task in genomics research. However, searching for overlaps between features with existing webbased methods is complicated by the massive datasets that are routinely produced with current sequencing technologies. Fast and ﬂexible tools are therefore required to ask complex questions of these data in an efﬁcient manner.","container-title":"Bioinformatics","DOI":"10.1093/bioinformatics/btq033","ISSN":"1460-2059, 1367-4803","issue":"6","language":"en","page":"841-842","source":"DOI.org (Crossref)","title":"BEDTools: a flexible suite of utilities for comparing genomic features","title-short":"BEDTools","volume":"26","author":[{"family":"Quinlan","given":"Aaron R."},{"family":"Hall","given":"Ira M."}],"issued":{"date-parts":[["2010",3,15]]}}}],"schema":"https://github.com/citation-style-language/schema/raw/master/csl-citation.json"}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(Quinlan &amp; Hall, 2010)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The</w:t>
      </w:r>
      <w:r w:rsidRPr="00FD21E9">
        <w:rPr>
          <w:rFonts w:asciiTheme="majorHAnsi" w:hAnsiTheme="majorHAnsi" w:cstheme="majorHAnsi"/>
          <w:color w:val="00000A"/>
          <w:sz w:val="24"/>
          <w:szCs w:val="24"/>
        </w:rPr>
        <w:t xml:space="preserv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draft assembly and BED files were input into SALSA2</w:t>
      </w:r>
      <w:r w:rsidR="0087338E">
        <w:rPr>
          <w:rFonts w:asciiTheme="majorHAnsi" w:hAnsiTheme="majorHAnsi" w:cstheme="majorHAnsi"/>
          <w:color w:val="00000A"/>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{"citationID":"gcPTjvKZ","properties":{"formattedCitation":"(Ghurye et al., 2019)","plainCitation":"(Ghurye et al., 2019)","noteIndex":0},"citationItems":[{"id":488,"uris":["http://zotero.org/users/local/3tku6QP0/items/26F9RGWT"],"itemData":{"id":488,"type":"article-journal","abstract":"Long-read sequencing and novel long-range assays have revolutionized de novo genome assembly by automating the reconstruction of reference-quality genomes. In particular, Hi-C sequencing is becoming an economical method for generating chromosome-scale scaffolds. Despite its increasing popularity, there are limited open-source tools available. Errors, particularly inversions and fusions across chromosomes, remain higher than alternate scaffolding technologies. We present a novel open-source Hi-C scaffolder that does not require an a priori estimate of chromosome number and minimizes errors by scaffolding with the assistance of an assembly graph. We demonstrate higher accuracy than the state-of-the-art methods across a variety of Hi-C library preparations and input assembly sizes. The Python and C++ code for our method is openly available at https://github.com/machinegun/SALSA.","container-title":"PLOS Computational Biology","DOI":"10.1371/journal.pcbi.1007273","ISSN":"1553-7358","issue":"8","journalAbbreviation":"PLoS Comput Biol","language":"en","page":"e1007273","source":"DOI.org (Crossref)","title":"Integrating Hi-C links with assembly graphs for chromosome-scale assembly","volume":"15","author":[{"family":"Ghurye","given":"Jay"},{"family":"Rhie","given":"Arang"},{"family":"Walenz","given":"Brian P."},{"family":"Schmitt","given":"Anthony"},{"family":"Selvaraj","given":"Siddarth"},{"family":"Pop","given":"Mihai"},{"family":"Phillippy","given":"Adam M."},{"family":"Koren","given":"Sergey"}],"editor":[{"family":"Ioshikhes","given":"Ilya"}],"issued":{"date-parts":[["2019",8,21]]}}}],"schema":"https://github.com/citation-style-language/schema/raw/master/csl-citation.json"}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(Ghurye et al., 2019)</w:t>
      </w:r>
      <w:r w:rsidRPr="00FD21E9">
        <w:rPr>
          <w:rFonts w:asciiTheme="majorHAnsi" w:hAnsiTheme="majorHAnsi" w:cstheme="majorHAnsi"/>
          <w:sz w:val="24"/>
          <w:szCs w:val="24"/>
        </w:rPr>
        <w:fldChar w:fldCharType="end"/>
      </w:r>
      <w:r w:rsidRPr="00FD21E9">
        <w:rPr>
          <w:rFonts w:asciiTheme="majorHAnsi" w:hAnsiTheme="majorHAnsi" w:cstheme="majorHAnsi"/>
          <w:color w:val="00000A"/>
          <w:sz w:val="24"/>
          <w:szCs w:val="24"/>
        </w:rPr>
        <w:t xml:space="preserve"> with non-default parameters </w:t>
      </w:r>
      <w:r w:rsidRPr="005549A1">
        <w:rPr>
          <w:rFonts w:ascii="Courier" w:hAnsi="Courier" w:cstheme="majorHAnsi"/>
          <w:color w:val="00000A"/>
          <w:sz w:val="24"/>
          <w:szCs w:val="24"/>
        </w:rPr>
        <w:t>(</w:t>
      </w:r>
      <w:r w:rsidRPr="005549A1">
        <w:rPr>
          <w:rFonts w:ascii="Courier" w:hAnsi="Courier" w:cstheme="majorHAnsi"/>
          <w:sz w:val="24"/>
          <w:szCs w:val="24"/>
        </w:rPr>
        <w:t>-</w:t>
      </w:r>
      <w:proofErr w:type="spellStart"/>
      <w:r w:rsidRPr="005549A1">
        <w:rPr>
          <w:rFonts w:ascii="Courier" w:hAnsi="Courier" w:cstheme="majorHAnsi"/>
          <w:sz w:val="24"/>
          <w:szCs w:val="24"/>
        </w:rPr>
        <w:t>i</w:t>
      </w:r>
      <w:proofErr w:type="spellEnd"/>
      <w:r w:rsidRPr="005549A1">
        <w:rPr>
          <w:rFonts w:ascii="Courier" w:hAnsi="Courier" w:cstheme="majorHAnsi"/>
          <w:sz w:val="24"/>
          <w:szCs w:val="24"/>
        </w:rPr>
        <w:t xml:space="preserve"> 5 -x GATC -m yes</w:t>
      </w:r>
      <w:r w:rsidRPr="00FD21E9">
        <w:rPr>
          <w:rFonts w:asciiTheme="majorHAnsi" w:hAnsiTheme="majorHAnsi" w:cstheme="majorHAnsi"/>
          <w:sz w:val="24"/>
          <w:szCs w:val="24"/>
        </w:rPr>
        <w:t>)</w:t>
      </w:r>
      <w:r w:rsidRPr="00FD21E9">
        <w:rPr>
          <w:rFonts w:asciiTheme="majorHAnsi" w:hAnsiTheme="majorHAnsi" w:cstheme="majorHAnsi"/>
          <w:color w:val="00000A"/>
          <w:sz w:val="24"/>
          <w:szCs w:val="24"/>
        </w:rPr>
        <w:t xml:space="preserve"> to scaffold the A</w:t>
      </w:r>
      <w:r w:rsidRPr="00FD21E9">
        <w:rPr>
          <w:rFonts w:asciiTheme="majorHAnsi" w:hAnsiTheme="majorHAnsi" w:cstheme="majorHAnsi"/>
          <w:color w:val="00000A"/>
          <w:sz w:val="24"/>
          <w:szCs w:val="24"/>
          <w:vertAlign w:val="subscript"/>
        </w:rPr>
        <w:t>2</w:t>
      </w:r>
      <w:r w:rsidRPr="00FD21E9">
        <w:rPr>
          <w:rFonts w:asciiTheme="majorHAnsi" w:hAnsiTheme="majorHAnsi" w:cstheme="majorHAnsi"/>
          <w:color w:val="00000A"/>
          <w:sz w:val="24"/>
          <w:szCs w:val="24"/>
        </w:rPr>
        <w:t xml:space="preserve"> assembly with the filtered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data to produce a linked, long, and </w:t>
      </w:r>
      <w:r w:rsidR="006514C3">
        <w:rPr>
          <w:rFonts w:asciiTheme="majorHAnsi" w:hAnsiTheme="majorHAnsi" w:cstheme="majorHAnsi"/>
          <w:color w:val="00000A"/>
          <w:sz w:val="24"/>
          <w:szCs w:val="24"/>
        </w:rPr>
        <w:t>H</w:t>
      </w:r>
      <w:r w:rsidRPr="00FD21E9">
        <w:rPr>
          <w:rFonts w:asciiTheme="majorHAnsi" w:hAnsiTheme="majorHAnsi" w:cstheme="majorHAnsi"/>
          <w:color w:val="00000A"/>
          <w:sz w:val="24"/>
          <w:szCs w:val="24"/>
        </w:rPr>
        <w:t>i-</w:t>
      </w:r>
      <w:r w:rsidR="006514C3">
        <w:rPr>
          <w:rFonts w:asciiTheme="majorHAnsi" w:hAnsiTheme="majorHAnsi" w:cstheme="majorHAnsi"/>
          <w:color w:val="00000A"/>
          <w:sz w:val="24"/>
          <w:szCs w:val="24"/>
        </w:rPr>
        <w:t>C</w:t>
      </w:r>
      <w:r w:rsidRPr="00FD21E9">
        <w:rPr>
          <w:rFonts w:asciiTheme="majorHAnsi" w:hAnsiTheme="majorHAnsi" w:cstheme="majorHAnsi"/>
          <w:color w:val="00000A"/>
          <w:sz w:val="24"/>
          <w:szCs w:val="24"/>
        </w:rPr>
        <w:t xml:space="preserve"> read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assembly. Finally, to anchor the A</w:t>
      </w:r>
      <w:r w:rsidRPr="00FD21E9">
        <w:rPr>
          <w:rFonts w:asciiTheme="majorHAnsi" w:hAnsiTheme="majorHAnsi" w:cstheme="majorHAnsi"/>
          <w:color w:val="00000A"/>
          <w:sz w:val="24"/>
          <w:szCs w:val="24"/>
          <w:vertAlign w:val="subscript"/>
        </w:rPr>
        <w:t>3</w:t>
      </w:r>
      <w:r w:rsidRPr="00FD21E9">
        <w:rPr>
          <w:rFonts w:asciiTheme="majorHAnsi" w:hAnsiTheme="majorHAnsi" w:cstheme="majorHAnsi"/>
          <w:color w:val="00000A"/>
          <w:sz w:val="24"/>
          <w:szCs w:val="24"/>
        </w:rPr>
        <w:t xml:space="preserve"> assembly into chromosome-scale scaffolds we used </w:t>
      </w:r>
      <w:proofErr w:type="spellStart"/>
      <w:r w:rsidRPr="0087338E">
        <w:rPr>
          <w:rFonts w:asciiTheme="majorHAnsi" w:hAnsiTheme="majorHAnsi" w:cstheme="majorHAnsi"/>
          <w:sz w:val="24"/>
          <w:szCs w:val="24"/>
        </w:rPr>
        <w:t>chromonomer</w:t>
      </w:r>
      <w:proofErr w:type="spellEnd"/>
      <w:r w:rsidRPr="0087338E">
        <w:rPr>
          <w:rFonts w:asciiTheme="majorHAnsi" w:hAnsiTheme="majorHAnsi" w:cstheme="majorHAnsi"/>
          <w:sz w:val="24"/>
          <w:szCs w:val="24"/>
        </w:rPr>
        <w:t xml:space="preserve"> v1.13</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{"citationID":"DNN9k1h0","properties":{"formattedCitation":"(Catchen et al., 2020)","plainCitation":"(Catchen et al., 2020)","noteIndex":0},"citationItems":[{"id":492,"uris":["http://zotero.org/users/local/3tku6QP0/items/FDEMU4N3"],"itemData":{"id":492,"type":"article-journal","abstract":"The pace of the sequencing and computational assembly of novel reference genomes is accelerating. Though DNA sequencing technologies and assembly software tools continue to improve, biological features of genomes such as repetitive sequence as well as molecular artifacts that often accompany sequencing library preparation can lead to fragmented or chimeric assemblies. If left uncorrected, defects like these trammel progress on understanding genome structure and function, or worse, positively mislead this research. Fortunately, integration of additional, independent streams of information, such as a marker-dense genetic map and conserved orthologous gene order from related taxa, can be used to scaffold together unlinked, disordered fragments and to restructure a reference genome where it is incorrectly joined. We present a tool set for automating these processes, one that additionally tracks any changes to the assembly and to the genetic map, and which allows the user to scrutinize these changes with the help of web-based, graphical visualizations. Chromonomer takes a user-deﬁned reference genome, a map of genetic markers, and, optionally, conserved synteny information to construct an improved reference genome of chromosome models: a “chromonome”. We demonstrate Chromonomer’s performance on genome assemblies and genetic maps that have disparate characteristics and levels of quality.","container-title":"G3: Genes|Genomes|Genetics","DOI":"10.1534/g3.120.401485","issue":"11","language":"en","page":"4115-4128","source":"Zotero","title":"Chromonomer: A Tool Set for Repairing and Enhancing Assembled Genomes Through Integration of Genetic Maps and Conserved Synteny","volume":"10","author":[{"family":"Catchen","given":"Julian"},{"family":"Amores","given":"Angel"},{"family":"Bassham","given":"Susan"}],"issued":{"date-parts":[["2020"]]}}}],"schema":"https://github.com/citation-style-language/schema/raw/master/csl-citation.json"}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w:t>
      </w:r>
      <w:proofErr w:type="spellStart"/>
      <w:r w:rsidR="00D86949" w:rsidRPr="0087338E">
        <w:rPr>
          <w:rFonts w:ascii="Calibri Light" w:hAnsiTheme="majorHAnsi" w:cs="Calibri Light"/>
          <w:sz w:val="24"/>
        </w:rPr>
        <w:t>Catchen</w:t>
      </w:r>
      <w:proofErr w:type="spellEnd"/>
      <w:r w:rsidR="00D86949" w:rsidRPr="0087338E">
        <w:rPr>
          <w:rFonts w:ascii="Calibri Light" w:hAnsiTheme="majorHAnsi" w:cs="Calibri Light"/>
          <w:sz w:val="24"/>
        </w:rPr>
        <w:t xml:space="preserve"> et al., 2020)</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in combination with a previously published delta smelt linkage map</w:t>
      </w:r>
      <w:r w:rsidR="0087338E" w:rsidRPr="0087338E">
        <w:rPr>
          <w:rFonts w:asciiTheme="majorHAnsi" w:hAnsiTheme="majorHAnsi" w:cstheme="majorHAnsi"/>
          <w:sz w:val="24"/>
          <w:szCs w:val="24"/>
        </w:rPr>
        <w:t xml:space="preserve"> </w:t>
      </w:r>
      <w:r w:rsidRPr="0087338E">
        <w:rPr>
          <w:rFonts w:asciiTheme="majorHAnsi" w:hAnsiTheme="majorHAnsi" w:cstheme="majorHAnsi"/>
          <w:sz w:val="24"/>
          <w:szCs w:val="24"/>
        </w:rPr>
        <w:fldChar w:fldCharType="begin"/>
      </w:r>
      <w:r w:rsidR="00D86949" w:rsidRPr="0087338E">
        <w:rPr>
          <w:rFonts w:asciiTheme="majorHAnsi" w:hAnsiTheme="majorHAnsi" w:cstheme="majorHAnsi"/>
          <w:sz w:val="24"/>
          <w:szCs w:val="24"/>
        </w:rPr>
        <w:instrText xml:space="preserve"> ADDIN ZOTERO_ITEM CSL_CITATION {"citationID":"Jo3upBbf","properties":{"formattedCitation":"(Lew et al., 2015)","plainCitation":"(Lew et al., 2015)","noteIndex":0},"citationItems":[{"id":224,"uris":["http://zotero.org/users/local/3tku6QP0/items/NMRF5PW2"],"itemData":{"id":224,"type":"article-journal","abstract":"AbstractThe Delta Smelt Hypomesus transpacificus, listed as threatened under the California Endangered Species Act, has been cultured at a conservation hatchery since 2008 in response to significant declines in the wild. The conservation hatchery relies on accurate, efficacious, and reproducible molecular techniques to help maintain the captive population's overall genetic diversity and to minimize inbreeding. We created a panel of single-nucleotide polymorphisms (SNPs) to support broodstock pedigree reconstruction and improve upon current genetic management. For the SNP discovery, we sequenced 27 broodstock samples from the 2012 spawn by using restriction site-associated DNA sequencing (RAD-seq). We then created a linkage map by genotyping three single-pair crosses at 2,317 newly discovered loci with RAD-seq. We successfully mapped 1,123 loci and identified 26 linkage groups. Fluidigm SNP Type genotyping assays were developed for 104 mapped loci that were selected for minor allele frequencies (MAFs) grea...","container-title":"Transactions of the American Fisheries Society","DOI":"10.1080/00028487.2015.1037016","ISSN":"0002-8487","issue":"4","page":"767-779","title":"Using Next-Generation Sequencing to Assist a Conservation Hatchery: a Single-Nucleotide Polymorphism Panel for the Genetic Management of Endangered Delta Smelt","volume":"144","author":[{"family":"Lew","given":"Ryan M."},{"family":"Finger","given":"Amanda J."},{"family":"Baerwald","given":"Melinda R."},{"family":"Goodbla","given":"Alisha"},{"family":"May","given":"Bernie"},{"family":"Meek","given":"Mariah H."}],"issued":{"date-parts":[["2015"]]}}}],"schema":"https://github.com/citation-style-language/schema/raw/master/csl-citation.json"} </w:instrText>
      </w:r>
      <w:r w:rsidRPr="0087338E">
        <w:rPr>
          <w:rFonts w:asciiTheme="majorHAnsi" w:hAnsiTheme="majorHAnsi" w:cstheme="majorHAnsi"/>
          <w:sz w:val="24"/>
          <w:szCs w:val="24"/>
        </w:rPr>
        <w:fldChar w:fldCharType="separate"/>
      </w:r>
      <w:r w:rsidR="00D86949" w:rsidRPr="0087338E">
        <w:rPr>
          <w:rFonts w:ascii="Calibri Light" w:hAnsiTheme="majorHAnsi" w:cs="Calibri Light"/>
          <w:sz w:val="24"/>
        </w:rPr>
        <w:t>(Lew et al., 2015)</w:t>
      </w:r>
      <w:r w:rsidRPr="0087338E">
        <w:rPr>
          <w:rFonts w:asciiTheme="majorHAnsi" w:hAnsiTheme="majorHAnsi" w:cstheme="majorHAnsi"/>
          <w:sz w:val="24"/>
          <w:szCs w:val="24"/>
        </w:rPr>
        <w:fldChar w:fldCharType="end"/>
      </w:r>
      <w:r w:rsidRPr="0087338E">
        <w:rPr>
          <w:rFonts w:asciiTheme="majorHAnsi" w:hAnsiTheme="majorHAnsi" w:cstheme="majorHAnsi"/>
          <w:sz w:val="24"/>
          <w:szCs w:val="24"/>
        </w:rPr>
        <w:t xml:space="preserve"> to produce a chromosome-level reference genome (A</w:t>
      </w:r>
      <w:r w:rsidRPr="0087338E">
        <w:rPr>
          <w:rFonts w:asciiTheme="majorHAnsi" w:hAnsiTheme="majorHAnsi" w:cstheme="majorHAnsi"/>
          <w:sz w:val="24"/>
          <w:szCs w:val="24"/>
          <w:vertAlign w:val="subscript"/>
        </w:rPr>
        <w:t>4</w:t>
      </w:r>
      <w:r w:rsidRPr="0087338E">
        <w:rPr>
          <w:rFonts w:asciiTheme="majorHAnsi" w:hAnsiTheme="majorHAnsi" w:cstheme="majorHAnsi"/>
          <w:sz w:val="24"/>
          <w:szCs w:val="24"/>
        </w:rPr>
        <w:t>) assembly.</w:t>
      </w:r>
    </w:p>
    <w:p w14:paraId="609DE5C6" w14:textId="77777777" w:rsidR="003F5039" w:rsidRPr="00FD21E9" w:rsidRDefault="003F5039" w:rsidP="0011235A">
      <w:pPr>
        <w:spacing w:line="240" w:lineRule="auto"/>
        <w:ind w:right="270"/>
        <w:rPr>
          <w:rFonts w:asciiTheme="majorHAnsi" w:hAnsiTheme="majorHAnsi" w:cstheme="majorHAnsi"/>
          <w:sz w:val="24"/>
          <w:szCs w:val="24"/>
        </w:rPr>
      </w:pPr>
    </w:p>
    <w:p w14:paraId="2484BA38"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35" w:name="_Toc113123190"/>
      <w:bookmarkStart w:id="36" w:name="_Toc113273229"/>
      <w:r w:rsidRPr="00FD21E9">
        <w:rPr>
          <w:rFonts w:asciiTheme="majorHAnsi" w:hAnsiTheme="majorHAnsi" w:cstheme="majorHAnsi"/>
          <w:sz w:val="24"/>
          <w:szCs w:val="24"/>
        </w:rPr>
        <w:t>Assembly quality assessment</w:t>
      </w:r>
      <w:bookmarkEnd w:id="35"/>
      <w:bookmarkEnd w:id="36"/>
    </w:p>
    <w:p w14:paraId="12E8AF4B" w14:textId="38B86592"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After each step generated a draft assembly (A</w:t>
      </w:r>
      <w:r w:rsidRPr="00FD21E9">
        <w:rPr>
          <w:rFonts w:asciiTheme="majorHAnsi" w:hAnsiTheme="majorHAnsi" w:cstheme="majorHAnsi"/>
          <w:sz w:val="24"/>
          <w:szCs w:val="24"/>
          <w:vertAlign w:val="subscript"/>
        </w:rPr>
        <w:t xml:space="preserve">1 </w:t>
      </w:r>
      <w:r w:rsidRPr="00FD21E9">
        <w:rPr>
          <w:rFonts w:asciiTheme="majorHAnsi" w:hAnsiTheme="majorHAnsi" w:cstheme="majorHAnsi"/>
          <w:sz w:val="24"/>
          <w:szCs w:val="24"/>
        </w:rPr>
        <w:t>- A</w:t>
      </w:r>
      <w:r w:rsidRPr="00FD21E9">
        <w:rPr>
          <w:rFonts w:asciiTheme="majorHAnsi" w:hAnsiTheme="majorHAnsi" w:cstheme="majorHAnsi"/>
          <w:sz w:val="24"/>
          <w:szCs w:val="24"/>
          <w:vertAlign w:val="subscript"/>
        </w:rPr>
        <w:t>4</w:t>
      </w:r>
      <w:r w:rsidR="006514C3">
        <w:rPr>
          <w:rFonts w:asciiTheme="majorHAnsi" w:hAnsiTheme="majorHAnsi" w:cstheme="majorHAnsi"/>
          <w:sz w:val="24"/>
          <w:szCs w:val="24"/>
        </w:rPr>
        <w:t>)</w:t>
      </w:r>
      <w:r w:rsidRPr="00FD21E9">
        <w:rPr>
          <w:rFonts w:asciiTheme="majorHAnsi" w:hAnsiTheme="majorHAnsi" w:cstheme="majorHAnsi"/>
          <w:sz w:val="24"/>
          <w:szCs w:val="24"/>
        </w:rPr>
        <w:t xml:space="preserve">, we evaluated the contiguity, content, and composition of the resulting </w:t>
      </w:r>
      <w:proofErr w:type="spellStart"/>
      <w:r w:rsidRPr="00FD21E9">
        <w:rPr>
          <w:rFonts w:asciiTheme="majorHAnsi" w:hAnsiTheme="majorHAnsi" w:cstheme="majorHAnsi"/>
          <w:sz w:val="24"/>
          <w:szCs w:val="24"/>
        </w:rPr>
        <w:t>fasta</w:t>
      </w:r>
      <w:proofErr w:type="spellEnd"/>
      <w:r w:rsidRPr="00FD21E9">
        <w:rPr>
          <w:rFonts w:asciiTheme="majorHAnsi" w:hAnsiTheme="majorHAnsi" w:cstheme="majorHAnsi"/>
          <w:sz w:val="24"/>
          <w:szCs w:val="24"/>
        </w:rPr>
        <w:t xml:space="preserve"> file. To assess each assembly’s completeness, we used the evolutionarily informed Benchmarking Universal Single-Copy Orthologs (BUSCO) v4.0.6</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{"citationID":"jkkkCtoG","properties":{"formattedCitation":"(Sim\\uc0\\u227{}o et al., 2015)","plainCitation":"(Simão et al., 2015)","noteIndex":0},"citationItems":[{"id":393,"uris":["http://zotero.org/users/local/3tku6QP0/items/RLQY2IMS"],"itemData":{"id":393,"type":"article-journal","abstract":"ABSTRACT Motivation: Genomics has revolutionised biological research, but quality assessment of the resulting assembled sequences is compli- cated and remains mostly limited to technical measures like N50. Results: We propose a measure for quantitative assessment of genome assembly and annotation completeness based on evolu- tionarily informed expectations of gene content. We implemented the assessment procedure in open-source software, with sets of Benchmarking Universal Single-Copy Orthologs, named BUSCO. Availability and Implementation: Software implemented in Python and datasets available for download from http://busco.ezlab.org. Contact: Evgeny.Zdobnov@unige.ch Genomics","container-title":"Bioinformatics","DOI":"10.1093/bioinformatics/btv351","issue":"19","page":"3210-3212","title":"BUSCO: Assessing genome assembly and annotation completeness with single-copy orthologs","volume":"31","author":[{"family":"Simão","given":"Felipe A."},{"family":"Waterhouse","given":"Robert M."},{"family":"Ioannidis","given":"Panagiotis"},{"family":"Kriventseva","given":"Evgenia V."},{"family":"Zdobnov","given":"Evgeny M."}],"issued":{"date-parts":[["2015"]]}}}],"schema":"https://github.com/citation-style-language/schema/raw/master/csl-citation.json"}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(Simão et al., 2015)</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Actinopterygii lineage (actinopterygii_odb10) dataset in genome mode. </w:t>
      </w:r>
    </w:p>
    <w:p w14:paraId="03998586" w14:textId="3D6F97DB"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lastRenderedPageBreak/>
        <w:t xml:space="preserve">To acquire assembly metrics, such as N50, L50, number of contigs, and assembly length, we used </w:t>
      </w:r>
      <w:proofErr w:type="spellStart"/>
      <w:r w:rsidRPr="00FD21E9">
        <w:rPr>
          <w:rFonts w:asciiTheme="majorHAnsi" w:hAnsiTheme="majorHAnsi" w:cstheme="majorHAnsi"/>
          <w:sz w:val="24"/>
          <w:szCs w:val="24"/>
        </w:rPr>
        <w:t>GenomeTools</w:t>
      </w:r>
      <w:proofErr w:type="spellEnd"/>
      <w:r w:rsidRPr="00FD21E9">
        <w:rPr>
          <w:rFonts w:asciiTheme="majorHAnsi" w:hAnsiTheme="majorHAnsi" w:cstheme="majorHAnsi"/>
          <w:sz w:val="24"/>
          <w:szCs w:val="24"/>
        </w:rPr>
        <w:t xml:space="preserve"> v1.5.10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{"citationID":"KMXj7ivB","properties":{"formattedCitation":"(Gremme et al., 2013)","plainCitation":"(Gremme et al., 2013)","noteIndex":0},"citationItems":[{"id":577,"uris":["http://zotero.org/users/local/3tku6QP0/items/7NDVMJC3"],"itemData":{"id":577,"type":"article-journal","container-title":"IEEE/ACM transactions on computational biology and bioinformatics / IEEE, ACM","DOI":"10.1109/TCBB.2013.68","page":"645-656","title":"GenomeTools: A Comprehensive Software Library for Efficient Processing of Structured Genome Annotations","volume":"10","author":[{"family":"Gremme","given":"Gordon"},{"family":"Steinbiss","given":"Sascha"},{"family":"Kurtz","given":"Stefan"}],"issued":{"date-parts":[["2013",5]]}}}],"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w:t>
      </w:r>
      <w:proofErr w:type="spellStart"/>
      <w:r w:rsidR="00D86949">
        <w:rPr>
          <w:rFonts w:ascii="Calibri Light" w:hAnsiTheme="majorHAnsi" w:cs="Calibri Light"/>
          <w:sz w:val="24"/>
        </w:rPr>
        <w:t>Gremme</w:t>
      </w:r>
      <w:proofErr w:type="spellEnd"/>
      <w:r w:rsidR="00D86949">
        <w:rPr>
          <w:rFonts w:ascii="Calibri Light" w:hAnsiTheme="majorHAnsi" w:cs="Calibri Light"/>
          <w:sz w:val="24"/>
        </w:rPr>
        <w:t xml:space="preserve">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Read length histograms were generated using jellyfish</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{"citationID":"E2k5g54N","properties":{"formattedCitation":"(Mar\\uc0\\u231{}ais &amp; Kingsford, 2011)","plainCitation":"(Marçais &amp; Kingsford, 2011)","noteIndex":0},"citationItems":[{"id":575,"uris":["http://zotero.org/users/local/3tku6QP0/items/JQCIF2XT"],"itemData":{"id":575,"type":"article-journal","abstract":"Motivation: Counting the number of occurrences of every k-mer (substring of length k) in a long string is a central subproblem in many applications, including genome assembly, error correction of sequencing reads, fast multiple sequence alignment and repeat detection. Recently, the deep sequence coverage generated by next-generation sequencing technologies has caused the amount of sequence to be processed during a genome project to grow rapidly, and has rendered current k-mer counting tools too slow and memory intensive. At the same time, large multicore computers have become commonplace in research facilities allowing for a new parallel computational paradigm.","container-title":"Bioinformatics","DOI":"10.1093/bioinformatics/btr011","ISSN":"1460-2059, 1367-4803","issue":"6","language":"en","page":"764-770","source":"DOI.org (Crossref)","title":"A fast, lock-free approach for efficient parallel counting of occurrences of k-mers","volume":"27","author":[{"family":"Marçais","given":"Guillaume"},{"family":"Kingsford","given":"Carl"}],"issued":{"date-parts":[["2011",3,15]]}}}],"schema":"https://github.com/citation-style-language/schema/raw/master/csl-citation.json"} </w:instrText>
      </w:r>
      <w:r w:rsidRPr="00FD21E9">
        <w:rPr>
          <w:rFonts w:asciiTheme="majorHAnsi" w:hAnsiTheme="majorHAnsi" w:cstheme="majorHAnsi"/>
          <w:sz w:val="24"/>
          <w:szCs w:val="24"/>
        </w:rPr>
        <w:fldChar w:fldCharType="separate"/>
      </w:r>
      <w:r w:rsidR="00D86949" w:rsidRPr="00D86949">
        <w:rPr>
          <w:rFonts w:ascii="Calibri Light" w:hAnsiTheme="majorHAnsi" w:cs="Calibri Light"/>
          <w:sz w:val="24"/>
        </w:rPr>
        <w:t>(Marçais &amp; Kingsford, 2011)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All assemblies within each sex and between sexes were compared using QUAST v5.2.0</w:t>
      </w:r>
      <w:r w:rsidR="0087338E">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{"citationID":"bsR3rfEB","properties":{"formattedCitation":"(Gurevich et al., 2013)","plainCitation":"(Gurevich et al., 2013)","noteIndex":0},"citationItems":[{"id":420,"uris":["http://zotero.org/users/local/3tku6QP0/items/NXN7B9RN"],"itemData":{"id":420,"type":"article-journal","abstract":"SUMMARY: Limitations of genome sequencing techniques have led to dozens of assembly algorithms, none of which is perfect. A number of methods for comparing assemblers have been developed, but none is yet a recognized benchmark. Further, most existing methods for comparing assemblies are only applicable to new assemblies of finished genomes; the problem of evaluating assemblies of previously unsequenced species has not been adequately considered. Here, we present QUAST-a quality assessment tool for evaluating and comparing genome assemblies. This tool improves on leading assembly comparison software with new ideas and quality metrics. QUAST can evaluate assemblies both with a reference genome, as well as without a reference. QUAST produces many reports, summary tables and plots to help scientists in their research and in their publications. In this study, we used QUAST to compare several genome assemblers on three datasets. QUAST tables and plots for all of them are available in the Supplementary Material, and interactive versions of these reports are on the QUAST website.\\n\\nAVAILABILITY: http://bioinf.spbau.ru/quast .\\n\\nSUPPLEMENTARY INFORMATION: Supplementary data are available at Bioinformatics online.","container-title":"Bioinformatics","DOI":"10.1093/bioinformatics/btt086","issue":"8","page":"1072-1075","title":"QUAST: Quality assessment tool for genome assemblies","volume":"29","author":[{"family":"Gurevich","given":"Alexey"},{"family":"Saveliev","given":"Vladislav"},{"family":"Vyahhi","given":"Nikolay"},{"family":"Tesler","given":"Glenn"}],"issued":{"date-parts":[["2013"]]}}}],"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(Gurevich et al., 2013)</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w:t>
      </w:r>
    </w:p>
    <w:p w14:paraId="33A41EC7"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A3D7B81"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37" w:name="_Toc113123191"/>
      <w:bookmarkStart w:id="38" w:name="_Toc113273230"/>
      <w:r w:rsidRPr="00FD21E9">
        <w:rPr>
          <w:rFonts w:asciiTheme="majorHAnsi" w:hAnsiTheme="majorHAnsi" w:cstheme="majorHAnsi"/>
          <w:sz w:val="24"/>
          <w:szCs w:val="24"/>
        </w:rPr>
        <w:t>Cytogenic chromosome validation</w:t>
      </w:r>
      <w:bookmarkEnd w:id="37"/>
      <w:bookmarkEnd w:id="38"/>
    </w:p>
    <w:p w14:paraId="49CD6C97" w14:textId="650BE758" w:rsidR="00735E92" w:rsidRDefault="00E43F86" w:rsidP="007A3A71">
      <w:pPr>
        <w:spacing w:line="240" w:lineRule="auto"/>
        <w:rPr>
          <w:rFonts w:asciiTheme="majorHAnsi" w:hAnsiTheme="majorHAnsi" w:cstheme="majorHAnsi"/>
          <w:sz w:val="24"/>
          <w:szCs w:val="24"/>
        </w:rPr>
      </w:pPr>
      <w:r>
        <w:rPr>
          <w:rFonts w:asciiTheme="majorHAnsi" w:hAnsiTheme="majorHAnsi" w:cstheme="majorHAnsi"/>
          <w:sz w:val="24"/>
          <w:szCs w:val="24"/>
        </w:rPr>
        <w:t xml:space="preserve">We carried out two rounds of </w:t>
      </w:r>
      <w:r w:rsidR="004E2817">
        <w:rPr>
          <w:rFonts w:asciiTheme="majorHAnsi" w:hAnsiTheme="majorHAnsi" w:cstheme="majorHAnsi"/>
          <w:sz w:val="24"/>
          <w:szCs w:val="24"/>
        </w:rPr>
        <w:t>organ harvesting</w:t>
      </w:r>
      <w:r>
        <w:rPr>
          <w:rFonts w:asciiTheme="majorHAnsi" w:hAnsiTheme="majorHAnsi" w:cstheme="majorHAnsi"/>
          <w:sz w:val="24"/>
          <w:szCs w:val="24"/>
        </w:rPr>
        <w:t xml:space="preserve"> for cytogenic chromosome evaluation. All fish were obtained from the </w:t>
      </w:r>
      <w:r w:rsidR="00A066C0">
        <w:rPr>
          <w:rFonts w:asciiTheme="majorHAnsi" w:hAnsiTheme="majorHAnsi" w:cstheme="majorHAnsi"/>
          <w:sz w:val="24"/>
          <w:szCs w:val="24"/>
        </w:rPr>
        <w:t>FCCL and</w:t>
      </w:r>
      <w:r>
        <w:rPr>
          <w:rFonts w:asciiTheme="majorHAnsi" w:hAnsiTheme="majorHAnsi" w:cstheme="majorHAnsi"/>
          <w:sz w:val="24"/>
          <w:szCs w:val="24"/>
        </w:rPr>
        <w:t xml:space="preserve"> were transported and handled according to </w:t>
      </w:r>
      <w:r w:rsidR="00C23BA8" w:rsidRPr="00C23BA8">
        <w:rPr>
          <w:rFonts w:asciiTheme="majorHAnsi" w:hAnsiTheme="majorHAnsi" w:cstheme="majorHAnsi"/>
          <w:sz w:val="24"/>
          <w:szCs w:val="24"/>
        </w:rPr>
        <w:t>a UC Davis IACUC-approved animal care protocol (#21533) and standard operating</w:t>
      </w:r>
      <w:r w:rsidR="008F288C">
        <w:rPr>
          <w:rFonts w:asciiTheme="majorHAnsi" w:hAnsiTheme="majorHAnsi" w:cstheme="majorHAnsi"/>
          <w:sz w:val="24"/>
          <w:szCs w:val="24"/>
        </w:rPr>
        <w:t xml:space="preserve"> </w:t>
      </w:r>
      <w:r w:rsidR="00C23BA8" w:rsidRPr="00C23BA8">
        <w:rPr>
          <w:rFonts w:asciiTheme="majorHAnsi" w:hAnsiTheme="majorHAnsi" w:cstheme="majorHAnsi"/>
          <w:sz w:val="24"/>
          <w:szCs w:val="24"/>
        </w:rPr>
        <w:t>procedures at the UC Davis Center for Aquatic Biology and Aquaculture (CABA).</w:t>
      </w:r>
      <w:r w:rsidR="008F288C">
        <w:rPr>
          <w:rFonts w:asciiTheme="majorHAnsi" w:hAnsiTheme="majorHAnsi" w:cstheme="majorHAnsi"/>
          <w:sz w:val="24"/>
          <w:szCs w:val="24"/>
        </w:rPr>
        <w:t xml:space="preserve"> Prior to </w:t>
      </w:r>
      <w:r w:rsidR="00167DDB">
        <w:rPr>
          <w:rFonts w:asciiTheme="majorHAnsi" w:hAnsiTheme="majorHAnsi" w:cstheme="majorHAnsi"/>
          <w:sz w:val="24"/>
          <w:szCs w:val="24"/>
        </w:rPr>
        <w:t xml:space="preserve">injections, fish were held in </w:t>
      </w:r>
      <w:r w:rsidR="005D23B9">
        <w:rPr>
          <w:rFonts w:asciiTheme="majorHAnsi" w:hAnsiTheme="majorHAnsi" w:cstheme="majorHAnsi"/>
          <w:sz w:val="24"/>
          <w:szCs w:val="24"/>
        </w:rPr>
        <w:t>140L</w:t>
      </w:r>
      <w:r w:rsidR="00167DDB">
        <w:rPr>
          <w:rFonts w:asciiTheme="majorHAnsi" w:hAnsiTheme="majorHAnsi" w:cstheme="majorHAnsi"/>
          <w:sz w:val="24"/>
          <w:szCs w:val="24"/>
        </w:rPr>
        <w:t xml:space="preserve"> </w:t>
      </w:r>
      <w:r w:rsidR="007A3A71">
        <w:rPr>
          <w:rFonts w:asciiTheme="majorHAnsi" w:hAnsiTheme="majorHAnsi" w:cstheme="majorHAnsi"/>
          <w:sz w:val="24"/>
          <w:szCs w:val="24"/>
        </w:rPr>
        <w:t xml:space="preserve">aerated </w:t>
      </w:r>
      <w:r w:rsidR="00167DDB">
        <w:rPr>
          <w:rFonts w:asciiTheme="majorHAnsi" w:hAnsiTheme="majorHAnsi" w:cstheme="majorHAnsi"/>
          <w:sz w:val="24"/>
          <w:szCs w:val="24"/>
        </w:rPr>
        <w:t>tanks at 12</w:t>
      </w:r>
      <w:r w:rsidR="00167DDB" w:rsidRPr="00757362">
        <w:rPr>
          <w:rFonts w:asciiTheme="majorHAnsi" w:hAnsiTheme="majorHAnsi" w:cstheme="majorHAnsi"/>
          <w:sz w:val="24"/>
          <w:szCs w:val="24"/>
        </w:rPr>
        <w:t>°</w:t>
      </w:r>
      <w:r w:rsidR="00735E92">
        <w:rPr>
          <w:rFonts w:asciiTheme="majorHAnsi" w:hAnsiTheme="majorHAnsi" w:cstheme="majorHAnsi"/>
          <w:sz w:val="24"/>
          <w:szCs w:val="24"/>
        </w:rPr>
        <w:t>C.</w:t>
      </w:r>
      <w:r w:rsidR="007A3A71">
        <w:rPr>
          <w:rFonts w:asciiTheme="majorHAnsi" w:hAnsiTheme="majorHAnsi" w:cstheme="majorHAnsi"/>
          <w:sz w:val="24"/>
          <w:szCs w:val="24"/>
        </w:rPr>
        <w:t xml:space="preserve"> Fish were removed from aerated tanks at CABA,</w:t>
      </w:r>
      <w:r w:rsidR="003F5039" w:rsidRPr="00FD21E9">
        <w:rPr>
          <w:rFonts w:asciiTheme="majorHAnsi" w:hAnsiTheme="majorHAnsi" w:cstheme="majorHAnsi"/>
          <w:sz w:val="24"/>
          <w:szCs w:val="24"/>
        </w:rPr>
        <w:t xml:space="preserve"> anesthetized</w:t>
      </w:r>
      <w:r w:rsidR="002C4466">
        <w:rPr>
          <w:rFonts w:asciiTheme="majorHAnsi" w:hAnsiTheme="majorHAnsi" w:cstheme="majorHAnsi"/>
          <w:sz w:val="24"/>
          <w:szCs w:val="24"/>
        </w:rPr>
        <w:t xml:space="preserve">, </w:t>
      </w:r>
      <w:r w:rsidR="00AA0A58">
        <w:rPr>
          <w:rFonts w:asciiTheme="majorHAnsi" w:hAnsiTheme="majorHAnsi" w:cstheme="majorHAnsi"/>
          <w:sz w:val="24"/>
          <w:szCs w:val="24"/>
        </w:rPr>
        <w:t xml:space="preserve">measured in length, </w:t>
      </w:r>
      <w:r w:rsidR="00735E92">
        <w:rPr>
          <w:rFonts w:asciiTheme="majorHAnsi" w:hAnsiTheme="majorHAnsi" w:cstheme="majorHAnsi"/>
          <w:sz w:val="24"/>
          <w:szCs w:val="24"/>
        </w:rPr>
        <w:t>injected (</w:t>
      </w:r>
      <w:proofErr w:type="spellStart"/>
      <w:r w:rsidR="00735E92">
        <w:rPr>
          <w:rFonts w:asciiTheme="majorHAnsi" w:hAnsiTheme="majorHAnsi" w:cstheme="majorHAnsi"/>
          <w:sz w:val="24"/>
          <w:szCs w:val="24"/>
        </w:rPr>
        <w:t>i.p.</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with </w:t>
      </w:r>
      <w:r w:rsidR="002B588C">
        <w:rPr>
          <w:rFonts w:asciiTheme="majorHAnsi" w:hAnsiTheme="majorHAnsi" w:cstheme="majorHAnsi"/>
          <w:sz w:val="24"/>
          <w:szCs w:val="24"/>
        </w:rPr>
        <w:t>c</w:t>
      </w:r>
      <w:r w:rsidR="003F5039" w:rsidRPr="00FD21E9">
        <w:rPr>
          <w:rFonts w:asciiTheme="majorHAnsi" w:hAnsiTheme="majorHAnsi" w:cstheme="majorHAnsi"/>
          <w:sz w:val="24"/>
          <w:szCs w:val="24"/>
        </w:rPr>
        <w:t xml:space="preserve">olchicine (10 </w:t>
      </w:r>
      <w:proofErr w:type="spellStart"/>
      <w:r w:rsidR="00735E92" w:rsidRPr="00735E92">
        <w:rPr>
          <w:rFonts w:asciiTheme="majorHAnsi" w:hAnsiTheme="majorHAnsi" w:cstheme="majorHAnsi"/>
          <w:sz w:val="24"/>
          <w:szCs w:val="24"/>
        </w:rPr>
        <w:t>u</w:t>
      </w:r>
      <w:r w:rsidR="00735E92">
        <w:rPr>
          <w:rFonts w:asciiTheme="majorHAnsi" w:hAnsiTheme="majorHAnsi" w:cstheme="majorHAnsi"/>
          <w:sz w:val="24"/>
          <w:szCs w:val="24"/>
        </w:rPr>
        <w:t>L</w:t>
      </w:r>
      <w:proofErr w:type="spellEnd"/>
      <w:r w:rsidR="00735E92">
        <w:rPr>
          <w:rFonts w:asciiTheme="majorHAnsi" w:hAnsiTheme="majorHAnsi" w:cstheme="majorHAnsi"/>
          <w:sz w:val="24"/>
          <w:szCs w:val="24"/>
        </w:rPr>
        <w:t xml:space="preserve"> </w:t>
      </w:r>
      <w:r w:rsidR="003F5039" w:rsidRPr="00FD21E9">
        <w:rPr>
          <w:rFonts w:asciiTheme="majorHAnsi" w:hAnsiTheme="majorHAnsi" w:cstheme="majorHAnsi"/>
          <w:sz w:val="24"/>
          <w:szCs w:val="24"/>
        </w:rPr>
        <w:t>of 1 mg/ml stock)</w:t>
      </w:r>
      <w:r w:rsidR="00B53598">
        <w:rPr>
          <w:rFonts w:asciiTheme="majorHAnsi" w:hAnsiTheme="majorHAnsi" w:cstheme="majorHAnsi"/>
          <w:sz w:val="24"/>
          <w:szCs w:val="24"/>
        </w:rPr>
        <w:t xml:space="preserve"> to arrest cells in metaphase</w:t>
      </w:r>
      <w:r w:rsidR="007A3A71">
        <w:rPr>
          <w:rFonts w:asciiTheme="majorHAnsi" w:hAnsiTheme="majorHAnsi" w:cstheme="majorHAnsi"/>
          <w:sz w:val="24"/>
          <w:szCs w:val="24"/>
        </w:rPr>
        <w:t>,</w:t>
      </w:r>
      <w:r w:rsidR="003F5039" w:rsidRPr="00FD21E9">
        <w:rPr>
          <w:rFonts w:asciiTheme="majorHAnsi" w:hAnsiTheme="majorHAnsi" w:cstheme="majorHAnsi"/>
          <w:sz w:val="24"/>
          <w:szCs w:val="24"/>
        </w:rPr>
        <w:t xml:space="preserve"> and</w:t>
      </w:r>
      <w:r w:rsidR="00685FD6">
        <w:rPr>
          <w:rFonts w:asciiTheme="majorHAnsi" w:hAnsiTheme="majorHAnsi" w:cstheme="majorHAnsi"/>
          <w:sz w:val="24"/>
          <w:szCs w:val="24"/>
        </w:rPr>
        <w:t xml:space="preserve"> </w:t>
      </w:r>
      <w:r w:rsidR="00735E92">
        <w:rPr>
          <w:rFonts w:asciiTheme="majorHAnsi" w:hAnsiTheme="majorHAnsi" w:cstheme="majorHAnsi"/>
          <w:sz w:val="24"/>
          <w:szCs w:val="24"/>
        </w:rPr>
        <w:t>immediately</w:t>
      </w:r>
      <w:r w:rsidR="003F5039" w:rsidRPr="00FD21E9">
        <w:rPr>
          <w:rFonts w:asciiTheme="majorHAnsi" w:hAnsiTheme="majorHAnsi" w:cstheme="majorHAnsi"/>
          <w:sz w:val="24"/>
          <w:szCs w:val="24"/>
        </w:rPr>
        <w:t xml:space="preserve"> returned to </w:t>
      </w:r>
      <w:r w:rsidR="00F63C12">
        <w:rPr>
          <w:rFonts w:asciiTheme="majorHAnsi" w:hAnsiTheme="majorHAnsi" w:cstheme="majorHAnsi"/>
          <w:sz w:val="24"/>
          <w:szCs w:val="24"/>
        </w:rPr>
        <w:t xml:space="preserve">saline </w:t>
      </w:r>
      <w:r w:rsidR="003F5039" w:rsidRPr="00FD21E9">
        <w:rPr>
          <w:rFonts w:asciiTheme="majorHAnsi" w:hAnsiTheme="majorHAnsi" w:cstheme="majorHAnsi"/>
          <w:sz w:val="24"/>
          <w:szCs w:val="24"/>
        </w:rPr>
        <w:t>water</w:t>
      </w:r>
      <w:r w:rsidR="00EA074B">
        <w:rPr>
          <w:rFonts w:asciiTheme="majorHAnsi" w:hAnsiTheme="majorHAnsi" w:cstheme="majorHAnsi"/>
          <w:sz w:val="24"/>
          <w:szCs w:val="24"/>
        </w:rPr>
        <w:t xml:space="preserve"> </w:t>
      </w:r>
      <w:r w:rsidR="004E2817">
        <w:rPr>
          <w:rFonts w:asciiTheme="majorHAnsi" w:hAnsiTheme="majorHAnsi" w:cstheme="majorHAnsi"/>
          <w:sz w:val="24"/>
          <w:szCs w:val="24"/>
        </w:rPr>
        <w:t xml:space="preserve">in </w:t>
      </w:r>
      <w:r w:rsidR="00685FD6">
        <w:rPr>
          <w:rFonts w:asciiTheme="majorHAnsi" w:hAnsiTheme="majorHAnsi" w:cstheme="majorHAnsi"/>
          <w:sz w:val="24"/>
          <w:szCs w:val="24"/>
        </w:rPr>
        <w:t>5-gallon</w:t>
      </w:r>
      <w:r w:rsidR="00EA074B">
        <w:rPr>
          <w:rFonts w:asciiTheme="majorHAnsi" w:hAnsiTheme="majorHAnsi" w:cstheme="majorHAnsi"/>
          <w:sz w:val="24"/>
          <w:szCs w:val="24"/>
        </w:rPr>
        <w:t xml:space="preserve"> temperature</w:t>
      </w:r>
      <w:r w:rsidR="00F63C12">
        <w:rPr>
          <w:rFonts w:asciiTheme="majorHAnsi" w:hAnsiTheme="majorHAnsi" w:cstheme="majorHAnsi"/>
          <w:sz w:val="24"/>
          <w:szCs w:val="24"/>
        </w:rPr>
        <w:t>-</w:t>
      </w:r>
      <w:r w:rsidR="00EA074B">
        <w:rPr>
          <w:rFonts w:asciiTheme="majorHAnsi" w:hAnsiTheme="majorHAnsi" w:cstheme="majorHAnsi"/>
          <w:sz w:val="24"/>
          <w:szCs w:val="24"/>
        </w:rPr>
        <w:t>controlled buckets</w:t>
      </w:r>
      <w:r w:rsidR="003F5039" w:rsidRPr="00FD21E9">
        <w:rPr>
          <w:rFonts w:asciiTheme="majorHAnsi" w:hAnsiTheme="majorHAnsi" w:cstheme="majorHAnsi"/>
          <w:sz w:val="24"/>
          <w:szCs w:val="24"/>
        </w:rPr>
        <w:t xml:space="preserve"> </w:t>
      </w:r>
      <w:r w:rsidR="002B3395">
        <w:rPr>
          <w:rFonts w:asciiTheme="majorHAnsi" w:hAnsiTheme="majorHAnsi" w:cstheme="majorHAnsi"/>
          <w:sz w:val="24"/>
          <w:szCs w:val="24"/>
        </w:rPr>
        <w:t>held a 12</w:t>
      </w:r>
      <w:r w:rsidR="002B3395">
        <w:rPr>
          <w:rFonts w:ascii="degree" w:hAnsi="degree" w:cstheme="majorHAnsi"/>
          <w:sz w:val="24"/>
          <w:szCs w:val="24"/>
        </w:rPr>
        <w:t>°</w:t>
      </w:r>
      <w:r w:rsidR="002B3395">
        <w:rPr>
          <w:rFonts w:asciiTheme="majorHAnsi" w:hAnsiTheme="majorHAnsi" w:cstheme="majorHAnsi"/>
          <w:sz w:val="24"/>
          <w:szCs w:val="24"/>
        </w:rPr>
        <w:t>C</w:t>
      </w:r>
      <w:r w:rsidR="003F5039" w:rsidRPr="00FD21E9">
        <w:rPr>
          <w:rFonts w:asciiTheme="majorHAnsi" w:hAnsiTheme="majorHAnsi" w:cstheme="majorHAnsi"/>
          <w:sz w:val="24"/>
          <w:szCs w:val="24"/>
        </w:rPr>
        <w:t>.</w:t>
      </w:r>
      <w:r w:rsidR="004E2817">
        <w:rPr>
          <w:rFonts w:asciiTheme="majorHAnsi" w:hAnsiTheme="majorHAnsi" w:cstheme="majorHAnsi"/>
          <w:sz w:val="24"/>
          <w:szCs w:val="24"/>
        </w:rPr>
        <w:t xml:space="preserve"> If sex could be visually determined fish were separated according to sex.</w:t>
      </w:r>
      <w:r>
        <w:rPr>
          <w:rFonts w:asciiTheme="majorHAnsi" w:hAnsiTheme="majorHAnsi" w:cstheme="majorHAnsi"/>
          <w:sz w:val="24"/>
          <w:szCs w:val="24"/>
        </w:rPr>
        <w:t xml:space="preserve"> Fish were euthanized and a pool of organs (spleen, </w:t>
      </w:r>
      <w:r w:rsidR="003B2429">
        <w:rPr>
          <w:rFonts w:asciiTheme="majorHAnsi" w:hAnsiTheme="majorHAnsi" w:cstheme="majorHAnsi"/>
          <w:sz w:val="24"/>
          <w:szCs w:val="24"/>
        </w:rPr>
        <w:t xml:space="preserve">head </w:t>
      </w:r>
      <w:r>
        <w:rPr>
          <w:rFonts w:asciiTheme="majorHAnsi" w:hAnsiTheme="majorHAnsi" w:cstheme="majorHAnsi"/>
          <w:sz w:val="24"/>
          <w:szCs w:val="24"/>
        </w:rPr>
        <w:t>kidney</w:t>
      </w:r>
      <w:r w:rsidR="003B2429">
        <w:rPr>
          <w:rFonts w:asciiTheme="majorHAnsi" w:hAnsiTheme="majorHAnsi" w:cstheme="majorHAnsi"/>
          <w:sz w:val="24"/>
          <w:szCs w:val="24"/>
        </w:rPr>
        <w:t>, heart</w:t>
      </w:r>
      <w:r w:rsidR="00A9501C">
        <w:rPr>
          <w:rFonts w:asciiTheme="majorHAnsi" w:hAnsiTheme="majorHAnsi" w:cstheme="majorHAnsi"/>
          <w:sz w:val="24"/>
          <w:szCs w:val="24"/>
        </w:rPr>
        <w:t xml:space="preserve"> and</w:t>
      </w:r>
      <w:r w:rsidR="00A066C0">
        <w:rPr>
          <w:rFonts w:asciiTheme="majorHAnsi" w:hAnsiTheme="majorHAnsi" w:cstheme="majorHAnsi"/>
          <w:sz w:val="24"/>
          <w:szCs w:val="24"/>
        </w:rPr>
        <w:t>/or</w:t>
      </w:r>
      <w:r w:rsidR="00A9501C">
        <w:rPr>
          <w:rFonts w:asciiTheme="majorHAnsi" w:hAnsiTheme="majorHAnsi" w:cstheme="majorHAnsi"/>
          <w:sz w:val="24"/>
          <w:szCs w:val="24"/>
        </w:rPr>
        <w:t xml:space="preserve"> gonads</w:t>
      </w:r>
      <w:r>
        <w:rPr>
          <w:rFonts w:asciiTheme="majorHAnsi" w:hAnsiTheme="majorHAnsi" w:cstheme="majorHAnsi"/>
          <w:sz w:val="24"/>
          <w:szCs w:val="24"/>
        </w:rPr>
        <w:t xml:space="preserve">) were collected post </w:t>
      </w:r>
      <w:r w:rsidR="002B588C">
        <w:rPr>
          <w:rFonts w:asciiTheme="majorHAnsi" w:hAnsiTheme="majorHAnsi" w:cstheme="majorHAnsi"/>
          <w:sz w:val="24"/>
          <w:szCs w:val="24"/>
        </w:rPr>
        <w:t>c</w:t>
      </w:r>
      <w:r>
        <w:rPr>
          <w:rFonts w:asciiTheme="majorHAnsi" w:hAnsiTheme="majorHAnsi" w:cstheme="majorHAnsi"/>
          <w:sz w:val="24"/>
          <w:szCs w:val="24"/>
        </w:rPr>
        <w:t>olchicine injection.</w:t>
      </w:r>
      <w:r w:rsidR="00AA0A58">
        <w:rPr>
          <w:rFonts w:asciiTheme="majorHAnsi" w:hAnsiTheme="majorHAnsi" w:cstheme="majorHAnsi"/>
          <w:sz w:val="24"/>
          <w:szCs w:val="24"/>
        </w:rPr>
        <w:t xml:space="preserve"> </w:t>
      </w:r>
      <w:r w:rsidR="003579EF">
        <w:rPr>
          <w:rFonts w:asciiTheme="majorHAnsi" w:hAnsiTheme="majorHAnsi" w:cstheme="majorHAnsi"/>
          <w:sz w:val="24"/>
          <w:szCs w:val="24"/>
        </w:rPr>
        <w:t xml:space="preserve">For the first </w:t>
      </w:r>
      <w:r w:rsidR="004E2817">
        <w:rPr>
          <w:rFonts w:asciiTheme="majorHAnsi" w:hAnsiTheme="majorHAnsi" w:cstheme="majorHAnsi"/>
          <w:sz w:val="24"/>
          <w:szCs w:val="24"/>
        </w:rPr>
        <w:t>harvest</w:t>
      </w:r>
      <w:r w:rsidR="00AA0A58">
        <w:rPr>
          <w:rFonts w:asciiTheme="majorHAnsi" w:hAnsiTheme="majorHAnsi" w:cstheme="majorHAnsi"/>
          <w:sz w:val="24"/>
          <w:szCs w:val="24"/>
        </w:rPr>
        <w:t>, fifteen 240</w:t>
      </w:r>
      <w:r w:rsidR="00A066C0">
        <w:rPr>
          <w:rFonts w:asciiTheme="majorHAnsi" w:hAnsiTheme="majorHAnsi" w:cstheme="majorHAnsi"/>
          <w:sz w:val="24"/>
          <w:szCs w:val="24"/>
        </w:rPr>
        <w:t>-</w:t>
      </w:r>
      <w:r w:rsidR="00AA0A58">
        <w:rPr>
          <w:rFonts w:asciiTheme="majorHAnsi" w:hAnsiTheme="majorHAnsi" w:cstheme="majorHAnsi"/>
          <w:sz w:val="24"/>
          <w:szCs w:val="24"/>
        </w:rPr>
        <w:t>day post-hatch subadult fish, where sex could not be visually determined, were sampled</w:t>
      </w:r>
      <w:r w:rsidR="003579EF">
        <w:rPr>
          <w:rFonts w:asciiTheme="majorHAnsi" w:hAnsiTheme="majorHAnsi" w:cstheme="majorHAnsi"/>
          <w:sz w:val="24"/>
          <w:szCs w:val="24"/>
        </w:rPr>
        <w:t xml:space="preserve"> and organs were collected 4 hours post </w:t>
      </w:r>
      <w:r w:rsidR="002B588C">
        <w:rPr>
          <w:rFonts w:asciiTheme="majorHAnsi" w:hAnsiTheme="majorHAnsi" w:cstheme="majorHAnsi"/>
          <w:sz w:val="24"/>
          <w:szCs w:val="24"/>
        </w:rPr>
        <w:t>c</w:t>
      </w:r>
      <w:r w:rsidR="003579EF">
        <w:rPr>
          <w:rFonts w:asciiTheme="majorHAnsi" w:hAnsiTheme="majorHAnsi" w:cstheme="majorHAnsi"/>
          <w:sz w:val="24"/>
          <w:szCs w:val="24"/>
        </w:rPr>
        <w:t xml:space="preserve">olchicine injection. </w:t>
      </w:r>
      <w:r w:rsidR="00A9501C">
        <w:rPr>
          <w:rFonts w:asciiTheme="majorHAnsi" w:hAnsiTheme="majorHAnsi" w:cstheme="majorHAnsi"/>
          <w:sz w:val="24"/>
          <w:szCs w:val="24"/>
        </w:rPr>
        <w:t xml:space="preserve">For the second </w:t>
      </w:r>
      <w:r w:rsidR="004E2817">
        <w:rPr>
          <w:rFonts w:asciiTheme="majorHAnsi" w:hAnsiTheme="majorHAnsi" w:cstheme="majorHAnsi"/>
          <w:sz w:val="24"/>
          <w:szCs w:val="24"/>
        </w:rPr>
        <w:t>harvest</w:t>
      </w:r>
      <w:r w:rsidR="00A9501C">
        <w:rPr>
          <w:rFonts w:asciiTheme="majorHAnsi" w:hAnsiTheme="majorHAnsi" w:cstheme="majorHAnsi"/>
          <w:sz w:val="24"/>
          <w:szCs w:val="24"/>
        </w:rPr>
        <w:t xml:space="preserve">, phenotypically sexed female (n=13) and male (n=15) </w:t>
      </w:r>
      <w:r w:rsidR="003579EF">
        <w:rPr>
          <w:rFonts w:asciiTheme="majorHAnsi" w:hAnsiTheme="majorHAnsi" w:cstheme="majorHAnsi"/>
          <w:sz w:val="24"/>
          <w:szCs w:val="24"/>
        </w:rPr>
        <w:t>adult fish 360</w:t>
      </w:r>
      <w:r w:rsidR="00A066C0">
        <w:rPr>
          <w:rFonts w:asciiTheme="majorHAnsi" w:hAnsiTheme="majorHAnsi" w:cstheme="majorHAnsi"/>
          <w:sz w:val="24"/>
          <w:szCs w:val="24"/>
        </w:rPr>
        <w:t xml:space="preserve">-day </w:t>
      </w:r>
      <w:r w:rsidR="003579EF">
        <w:rPr>
          <w:rFonts w:asciiTheme="majorHAnsi" w:hAnsiTheme="majorHAnsi" w:cstheme="majorHAnsi"/>
          <w:sz w:val="24"/>
          <w:szCs w:val="24"/>
        </w:rPr>
        <w:t xml:space="preserve">post-hatch were </w:t>
      </w:r>
      <w:r w:rsidR="00A9501C">
        <w:rPr>
          <w:rFonts w:asciiTheme="majorHAnsi" w:hAnsiTheme="majorHAnsi" w:cstheme="majorHAnsi"/>
          <w:sz w:val="24"/>
          <w:szCs w:val="24"/>
        </w:rPr>
        <w:t>used,</w:t>
      </w:r>
      <w:r w:rsidR="003579EF">
        <w:rPr>
          <w:rFonts w:asciiTheme="majorHAnsi" w:hAnsiTheme="majorHAnsi" w:cstheme="majorHAnsi"/>
          <w:sz w:val="24"/>
          <w:szCs w:val="24"/>
        </w:rPr>
        <w:t xml:space="preserve"> and </w:t>
      </w:r>
      <w:r w:rsidR="003B2429">
        <w:rPr>
          <w:rFonts w:asciiTheme="majorHAnsi" w:hAnsiTheme="majorHAnsi" w:cstheme="majorHAnsi"/>
          <w:sz w:val="24"/>
          <w:szCs w:val="24"/>
        </w:rPr>
        <w:t>organs</w:t>
      </w:r>
      <w:r w:rsidR="003579EF">
        <w:rPr>
          <w:rFonts w:asciiTheme="majorHAnsi" w:hAnsiTheme="majorHAnsi" w:cstheme="majorHAnsi"/>
          <w:sz w:val="24"/>
          <w:szCs w:val="24"/>
        </w:rPr>
        <w:t xml:space="preserve"> were </w:t>
      </w:r>
      <w:r w:rsidR="003B2429">
        <w:rPr>
          <w:rFonts w:asciiTheme="majorHAnsi" w:hAnsiTheme="majorHAnsi" w:cstheme="majorHAnsi"/>
          <w:sz w:val="24"/>
          <w:szCs w:val="24"/>
        </w:rPr>
        <w:t>sampled</w:t>
      </w:r>
      <w:r w:rsidR="003579EF">
        <w:rPr>
          <w:rFonts w:asciiTheme="majorHAnsi" w:hAnsiTheme="majorHAnsi" w:cstheme="majorHAnsi"/>
          <w:sz w:val="24"/>
          <w:szCs w:val="24"/>
        </w:rPr>
        <w:t xml:space="preserve"> 2 hours post Colchicine injection. All organs were rinsed, stored in PBS, and processed within 2 hours of dissection</w:t>
      </w:r>
      <w:r w:rsidR="004E2817">
        <w:rPr>
          <w:rFonts w:asciiTheme="majorHAnsi" w:hAnsiTheme="majorHAnsi" w:cstheme="majorHAnsi"/>
          <w:sz w:val="24"/>
          <w:szCs w:val="24"/>
        </w:rPr>
        <w:t xml:space="preserve"> at ambient temperature of the CABA environment</w:t>
      </w:r>
      <w:r w:rsidR="003579EF">
        <w:rPr>
          <w:rFonts w:asciiTheme="majorHAnsi" w:hAnsiTheme="majorHAnsi" w:cstheme="majorHAnsi"/>
          <w:sz w:val="24"/>
          <w:szCs w:val="24"/>
        </w:rPr>
        <w:t>.</w:t>
      </w:r>
    </w:p>
    <w:p w14:paraId="63B7DB14" w14:textId="16B98110" w:rsidR="003F5039" w:rsidRPr="00FD21E9" w:rsidRDefault="00321C12" w:rsidP="00C23BA8">
      <w:pPr>
        <w:spacing w:line="240" w:lineRule="auto"/>
        <w:rPr>
          <w:rFonts w:asciiTheme="majorHAnsi" w:hAnsiTheme="majorHAnsi" w:cstheme="majorHAnsi"/>
          <w:sz w:val="24"/>
          <w:szCs w:val="24"/>
        </w:rPr>
      </w:pPr>
      <w:r>
        <w:rPr>
          <w:rFonts w:asciiTheme="majorHAnsi" w:hAnsiTheme="majorHAnsi" w:cstheme="majorHAnsi"/>
          <w:sz w:val="24"/>
          <w:szCs w:val="24"/>
        </w:rPr>
        <w:t>We established three pools of organs: a subadult mixed</w:t>
      </w:r>
      <w:r w:rsidR="00757362">
        <w:rPr>
          <w:rFonts w:asciiTheme="majorHAnsi" w:hAnsiTheme="majorHAnsi" w:cstheme="majorHAnsi"/>
          <w:sz w:val="24"/>
          <w:szCs w:val="24"/>
        </w:rPr>
        <w:t xml:space="preserve"> sex and mixed organ </w:t>
      </w:r>
      <w:r>
        <w:rPr>
          <w:rFonts w:asciiTheme="majorHAnsi" w:hAnsiTheme="majorHAnsi" w:cstheme="majorHAnsi"/>
          <w:sz w:val="24"/>
          <w:szCs w:val="24"/>
        </w:rPr>
        <w:t>pool, a female</w:t>
      </w:r>
      <w:r w:rsidR="00757362">
        <w:rPr>
          <w:rFonts w:asciiTheme="majorHAnsi" w:hAnsiTheme="majorHAnsi" w:cstheme="majorHAnsi"/>
          <w:sz w:val="24"/>
          <w:szCs w:val="24"/>
        </w:rPr>
        <w:t xml:space="preserve"> spleen </w:t>
      </w:r>
      <w:r>
        <w:rPr>
          <w:rFonts w:asciiTheme="majorHAnsi" w:hAnsiTheme="majorHAnsi" w:cstheme="majorHAnsi"/>
          <w:sz w:val="24"/>
          <w:szCs w:val="24"/>
        </w:rPr>
        <w:t>pool, and a male</w:t>
      </w:r>
      <w:r w:rsidR="00757362">
        <w:rPr>
          <w:rFonts w:asciiTheme="majorHAnsi" w:hAnsiTheme="majorHAnsi" w:cstheme="majorHAnsi"/>
          <w:sz w:val="24"/>
          <w:szCs w:val="24"/>
        </w:rPr>
        <w:t xml:space="preserve"> spleen and gonad </w:t>
      </w:r>
      <w:r>
        <w:rPr>
          <w:rFonts w:asciiTheme="majorHAnsi" w:hAnsiTheme="majorHAnsi" w:cstheme="majorHAnsi"/>
          <w:sz w:val="24"/>
          <w:szCs w:val="24"/>
        </w:rPr>
        <w:t xml:space="preserve">pool. </w:t>
      </w:r>
      <w:r w:rsidR="00A9501C">
        <w:rPr>
          <w:rFonts w:asciiTheme="majorHAnsi" w:hAnsiTheme="majorHAnsi" w:cstheme="majorHAnsi"/>
          <w:sz w:val="24"/>
          <w:szCs w:val="24"/>
        </w:rPr>
        <w:t xml:space="preserve">Organ pools </w:t>
      </w:r>
      <w:r>
        <w:rPr>
          <w:rFonts w:asciiTheme="majorHAnsi" w:hAnsiTheme="majorHAnsi" w:cstheme="majorHAnsi"/>
          <w:sz w:val="24"/>
          <w:szCs w:val="24"/>
        </w:rPr>
        <w:t xml:space="preserve">were taken out of PBS storage solution, gently minced, and </w:t>
      </w:r>
      <w:r w:rsidR="002B588C">
        <w:rPr>
          <w:rFonts w:asciiTheme="majorHAnsi" w:hAnsiTheme="majorHAnsi" w:cstheme="majorHAnsi"/>
          <w:sz w:val="24"/>
          <w:szCs w:val="24"/>
        </w:rPr>
        <w:t>pipette-</w:t>
      </w:r>
      <w:r>
        <w:rPr>
          <w:rFonts w:asciiTheme="majorHAnsi" w:hAnsiTheme="majorHAnsi" w:cstheme="majorHAnsi"/>
          <w:sz w:val="24"/>
          <w:szCs w:val="24"/>
        </w:rPr>
        <w:t xml:space="preserve">aspirated </w:t>
      </w:r>
      <w:r w:rsidR="00A9501C">
        <w:rPr>
          <w:rFonts w:asciiTheme="majorHAnsi" w:hAnsiTheme="majorHAnsi" w:cstheme="majorHAnsi"/>
          <w:sz w:val="24"/>
          <w:szCs w:val="24"/>
        </w:rPr>
        <w:t>into single cell suspensions in a hypotonic solution (</w:t>
      </w:r>
      <w:r>
        <w:rPr>
          <w:rFonts w:asciiTheme="majorHAnsi" w:hAnsiTheme="majorHAnsi" w:cstheme="majorHAnsi"/>
          <w:sz w:val="24"/>
          <w:szCs w:val="24"/>
        </w:rPr>
        <w:t xml:space="preserve">0.56% </w:t>
      </w:r>
      <w:proofErr w:type="spellStart"/>
      <w:r>
        <w:rPr>
          <w:rFonts w:asciiTheme="majorHAnsi" w:hAnsiTheme="majorHAnsi" w:cstheme="majorHAnsi"/>
          <w:sz w:val="24"/>
          <w:szCs w:val="24"/>
        </w:rPr>
        <w:t>KCl</w:t>
      </w:r>
      <w:proofErr w:type="spellEnd"/>
      <w:r w:rsidR="00A9501C">
        <w:rPr>
          <w:rFonts w:asciiTheme="majorHAnsi" w:hAnsiTheme="majorHAnsi" w:cstheme="majorHAnsi"/>
          <w:sz w:val="24"/>
          <w:szCs w:val="24"/>
        </w:rPr>
        <w:t>)</w:t>
      </w:r>
      <w:r>
        <w:rPr>
          <w:rFonts w:asciiTheme="majorHAnsi" w:hAnsiTheme="majorHAnsi" w:cstheme="majorHAnsi"/>
          <w:sz w:val="24"/>
          <w:szCs w:val="24"/>
        </w:rPr>
        <w:t xml:space="preserve"> for 15-20 minutes.</w:t>
      </w:r>
      <w:r w:rsidR="00757362">
        <w:rPr>
          <w:rFonts w:asciiTheme="majorHAnsi" w:hAnsiTheme="majorHAnsi" w:cstheme="majorHAnsi"/>
          <w:sz w:val="24"/>
          <w:szCs w:val="24"/>
        </w:rPr>
        <w:t xml:space="preserve"> The c</w:t>
      </w:r>
      <w:r w:rsidR="003F5039" w:rsidRPr="00FD21E9">
        <w:rPr>
          <w:rFonts w:asciiTheme="majorHAnsi" w:hAnsiTheme="majorHAnsi" w:cstheme="majorHAnsi"/>
          <w:sz w:val="24"/>
          <w:szCs w:val="24"/>
        </w:rPr>
        <w:t>ell</w:t>
      </w:r>
      <w:r w:rsidR="00757362">
        <w:rPr>
          <w:rFonts w:asciiTheme="majorHAnsi" w:hAnsiTheme="majorHAnsi" w:cstheme="majorHAnsi"/>
          <w:sz w:val="24"/>
          <w:szCs w:val="24"/>
        </w:rPr>
        <w:t xml:space="preserve"> suspensions</w:t>
      </w:r>
      <w:r w:rsidR="003F5039" w:rsidRPr="00FD21E9">
        <w:rPr>
          <w:rFonts w:asciiTheme="majorHAnsi" w:hAnsiTheme="majorHAnsi" w:cstheme="majorHAnsi"/>
          <w:sz w:val="24"/>
          <w:szCs w:val="24"/>
        </w:rPr>
        <w:t xml:space="preserve"> were centrifuged at ~1000 rpm for 10 min, supernatant hypotonic solution was removed and a 3:1 fixative (</w:t>
      </w:r>
      <w:proofErr w:type="spellStart"/>
      <w:proofErr w:type="gramStart"/>
      <w:r w:rsidR="003F5039" w:rsidRPr="00FD21E9">
        <w:rPr>
          <w:rFonts w:asciiTheme="majorHAnsi" w:hAnsiTheme="majorHAnsi" w:cstheme="majorHAnsi"/>
          <w:sz w:val="24"/>
          <w:szCs w:val="24"/>
        </w:rPr>
        <w:t>methanol:glacial</w:t>
      </w:r>
      <w:proofErr w:type="spellEnd"/>
      <w:proofErr w:type="gramEnd"/>
      <w:r w:rsidR="003F5039" w:rsidRPr="00FD21E9">
        <w:rPr>
          <w:rFonts w:asciiTheme="majorHAnsi" w:hAnsiTheme="majorHAnsi" w:cstheme="majorHAnsi"/>
          <w:sz w:val="24"/>
          <w:szCs w:val="24"/>
        </w:rPr>
        <w:t xml:space="preserve"> acetic acid) was added. Cell pellets were resuspended and stored at 4</w:t>
      </w:r>
      <w:r w:rsidR="00135A81" w:rsidRPr="00757362">
        <w:rPr>
          <w:rFonts w:asciiTheme="majorHAnsi" w:hAnsiTheme="majorHAnsi" w:cstheme="majorHAnsi"/>
          <w:sz w:val="24"/>
          <w:szCs w:val="24"/>
        </w:rPr>
        <w:t>°</w:t>
      </w:r>
      <w:r w:rsidR="003F5039" w:rsidRPr="00FD21E9">
        <w:rPr>
          <w:rFonts w:asciiTheme="majorHAnsi" w:hAnsiTheme="majorHAnsi" w:cstheme="majorHAnsi"/>
          <w:sz w:val="24"/>
          <w:szCs w:val="24"/>
        </w:rPr>
        <w:t>C. Two to three more f</w:t>
      </w:r>
      <w:r w:rsidR="00135A81">
        <w:rPr>
          <w:rFonts w:asciiTheme="majorHAnsi" w:hAnsiTheme="majorHAnsi" w:cstheme="majorHAnsi"/>
          <w:sz w:val="24"/>
          <w:szCs w:val="24"/>
        </w:rPr>
        <w:t>resh f</w:t>
      </w:r>
      <w:r w:rsidR="003F5039" w:rsidRPr="00FD21E9">
        <w:rPr>
          <w:rFonts w:asciiTheme="majorHAnsi" w:hAnsiTheme="majorHAnsi" w:cstheme="majorHAnsi"/>
          <w:sz w:val="24"/>
          <w:szCs w:val="24"/>
        </w:rPr>
        <w:t xml:space="preserve">ixative </w:t>
      </w:r>
      <w:r w:rsidR="00135A81">
        <w:rPr>
          <w:rFonts w:asciiTheme="majorHAnsi" w:hAnsiTheme="majorHAnsi" w:cstheme="majorHAnsi"/>
          <w:sz w:val="24"/>
          <w:szCs w:val="24"/>
        </w:rPr>
        <w:t>treatments</w:t>
      </w:r>
      <w:r w:rsidR="003F5039" w:rsidRPr="00FD21E9">
        <w:rPr>
          <w:rFonts w:asciiTheme="majorHAnsi" w:hAnsiTheme="majorHAnsi" w:cstheme="majorHAnsi"/>
          <w:sz w:val="24"/>
          <w:szCs w:val="24"/>
        </w:rPr>
        <w:t xml:space="preserve"> (centrifugation, resuspension in new fixative) were conducted, and cells were applied to slides</w:t>
      </w:r>
      <w:r w:rsidR="00135A81">
        <w:rPr>
          <w:rFonts w:asciiTheme="majorHAnsi" w:hAnsiTheme="majorHAnsi" w:cstheme="majorHAnsi"/>
          <w:sz w:val="24"/>
          <w:szCs w:val="24"/>
        </w:rPr>
        <w:t xml:space="preserve"> using an </w:t>
      </w:r>
      <w:r w:rsidR="00E910EE">
        <w:rPr>
          <w:rFonts w:asciiTheme="majorHAnsi" w:hAnsiTheme="majorHAnsi" w:cstheme="majorHAnsi"/>
          <w:sz w:val="24"/>
          <w:szCs w:val="24"/>
        </w:rPr>
        <w:t>air-dry</w:t>
      </w:r>
      <w:r w:rsidR="00135A81">
        <w:rPr>
          <w:rFonts w:asciiTheme="majorHAnsi" w:hAnsiTheme="majorHAnsi" w:cstheme="majorHAnsi"/>
          <w:sz w:val="24"/>
          <w:szCs w:val="24"/>
        </w:rPr>
        <w:t xml:space="preserve"> method</w:t>
      </w:r>
      <w:r w:rsidR="003F5039" w:rsidRPr="00FD21E9">
        <w:rPr>
          <w:rFonts w:asciiTheme="majorHAnsi" w:hAnsiTheme="majorHAnsi" w:cstheme="majorHAnsi"/>
          <w:sz w:val="24"/>
          <w:szCs w:val="24"/>
        </w:rPr>
        <w:t xml:space="preserve"> one week later. Slides were stained using </w:t>
      </w:r>
      <w:r w:rsidR="003D4EBA">
        <w:rPr>
          <w:rFonts w:asciiTheme="majorHAnsi" w:hAnsiTheme="majorHAnsi" w:cstheme="majorHAnsi"/>
          <w:sz w:val="24"/>
          <w:szCs w:val="24"/>
        </w:rPr>
        <w:t>the DAPI-</w:t>
      </w:r>
      <w:proofErr w:type="spellStart"/>
      <w:r w:rsidR="003D4EBA">
        <w:rPr>
          <w:rFonts w:asciiTheme="majorHAnsi" w:hAnsiTheme="majorHAnsi" w:cstheme="majorHAnsi"/>
          <w:sz w:val="24"/>
          <w:szCs w:val="24"/>
        </w:rPr>
        <w:t>Vectashield</w:t>
      </w:r>
      <w:proofErr w:type="spellEnd"/>
      <w:r w:rsidR="003F5039" w:rsidRPr="00FD21E9">
        <w:rPr>
          <w:rFonts w:asciiTheme="majorHAnsi" w:hAnsiTheme="majorHAnsi" w:cstheme="majorHAnsi"/>
          <w:sz w:val="24"/>
          <w:szCs w:val="24"/>
        </w:rPr>
        <w:t xml:space="preserve"> DNA staining fluorescent dye and cell</w:t>
      </w:r>
      <w:r w:rsidR="000C6B61">
        <w:rPr>
          <w:rFonts w:asciiTheme="majorHAnsi" w:hAnsiTheme="majorHAnsi" w:cstheme="majorHAnsi"/>
          <w:sz w:val="24"/>
          <w:szCs w:val="24"/>
        </w:rPr>
        <w:t xml:space="preserve"> nuclei</w:t>
      </w:r>
      <w:r w:rsidR="003F5039" w:rsidRPr="00FD21E9">
        <w:rPr>
          <w:rFonts w:asciiTheme="majorHAnsi" w:hAnsiTheme="majorHAnsi" w:cstheme="majorHAnsi"/>
          <w:sz w:val="24"/>
          <w:szCs w:val="24"/>
        </w:rPr>
        <w:t xml:space="preserve"> were examined using an Olympus BX-40 Microscope. Images of </w:t>
      </w:r>
      <w:r w:rsidR="00135A81">
        <w:rPr>
          <w:rFonts w:asciiTheme="majorHAnsi" w:hAnsiTheme="majorHAnsi" w:cstheme="majorHAnsi"/>
          <w:sz w:val="24"/>
          <w:szCs w:val="24"/>
        </w:rPr>
        <w:t xml:space="preserve">mitotic metaphase cells </w:t>
      </w:r>
      <w:r w:rsidR="003F5039" w:rsidRPr="00FD21E9">
        <w:rPr>
          <w:rFonts w:asciiTheme="majorHAnsi" w:hAnsiTheme="majorHAnsi" w:cstheme="majorHAnsi"/>
          <w:sz w:val="24"/>
          <w:szCs w:val="24"/>
        </w:rPr>
        <w:t xml:space="preserve">were captured and stored using the </w:t>
      </w:r>
      <w:proofErr w:type="spellStart"/>
      <w:r w:rsidR="003F5039" w:rsidRPr="00FD21E9">
        <w:rPr>
          <w:rFonts w:asciiTheme="majorHAnsi" w:hAnsiTheme="majorHAnsi" w:cstheme="majorHAnsi"/>
          <w:sz w:val="24"/>
          <w:szCs w:val="24"/>
        </w:rPr>
        <w:t>CytoVision</w:t>
      </w:r>
      <w:proofErr w:type="spellEnd"/>
      <w:r w:rsidR="003F5039" w:rsidRPr="00FD21E9">
        <w:rPr>
          <w:rFonts w:asciiTheme="majorHAnsi" w:hAnsiTheme="majorHAnsi" w:cstheme="majorHAnsi"/>
          <w:sz w:val="24"/>
          <w:szCs w:val="24"/>
        </w:rPr>
        <w:t xml:space="preserve"> Software </w:t>
      </w:r>
      <w:r w:rsidR="003D4EBA">
        <w:rPr>
          <w:rFonts w:asciiTheme="majorHAnsi" w:hAnsiTheme="majorHAnsi" w:cstheme="majorHAnsi"/>
          <w:sz w:val="24"/>
          <w:szCs w:val="24"/>
        </w:rPr>
        <w:t xml:space="preserve">(v7.4) </w:t>
      </w:r>
      <w:r w:rsidR="003F5039" w:rsidRPr="00FD21E9">
        <w:rPr>
          <w:rFonts w:asciiTheme="majorHAnsi" w:hAnsiTheme="majorHAnsi" w:cstheme="majorHAnsi"/>
          <w:sz w:val="24"/>
          <w:szCs w:val="24"/>
        </w:rPr>
        <w:t>and the number of chromosomes in the species were determined</w:t>
      </w:r>
      <w:r w:rsidR="00135A81">
        <w:rPr>
          <w:rFonts w:asciiTheme="majorHAnsi" w:hAnsiTheme="majorHAnsi" w:cstheme="majorHAnsi"/>
          <w:sz w:val="24"/>
          <w:szCs w:val="24"/>
        </w:rPr>
        <w:t xml:space="preserve"> from images with intact cells with clearly defined</w:t>
      </w:r>
      <w:r w:rsidR="00E910EE">
        <w:rPr>
          <w:rFonts w:asciiTheme="majorHAnsi" w:hAnsiTheme="majorHAnsi" w:cstheme="majorHAnsi"/>
          <w:sz w:val="24"/>
          <w:szCs w:val="24"/>
        </w:rPr>
        <w:t xml:space="preserve"> and nonoverlapping</w:t>
      </w:r>
      <w:r w:rsidR="00135A81">
        <w:rPr>
          <w:rFonts w:asciiTheme="majorHAnsi" w:hAnsiTheme="majorHAnsi" w:cstheme="majorHAnsi"/>
          <w:sz w:val="24"/>
          <w:szCs w:val="24"/>
        </w:rPr>
        <w:t xml:space="preserve"> chromosomes</w:t>
      </w:r>
      <w:r w:rsidR="003F5039" w:rsidRPr="00FD21E9">
        <w:rPr>
          <w:rFonts w:asciiTheme="majorHAnsi" w:hAnsiTheme="majorHAnsi" w:cstheme="majorHAnsi"/>
          <w:sz w:val="24"/>
          <w:szCs w:val="24"/>
        </w:rPr>
        <w:t>.</w:t>
      </w:r>
    </w:p>
    <w:p w14:paraId="0B56A36A" w14:textId="202BF1A0" w:rsidR="003F5039" w:rsidRPr="00FD21E9" w:rsidRDefault="0087338E" w:rsidP="00F60237">
      <w:pPr>
        <w:spacing w:after="0" w:line="240" w:lineRule="auto"/>
        <w:jc w:val="left"/>
        <w:rPr>
          <w:rFonts w:asciiTheme="majorHAnsi" w:hAnsiTheme="majorHAnsi" w:cstheme="majorHAnsi"/>
          <w:b/>
          <w:bCs/>
          <w:sz w:val="24"/>
          <w:szCs w:val="24"/>
        </w:rPr>
      </w:pPr>
      <w:r>
        <w:rPr>
          <w:rFonts w:asciiTheme="majorHAnsi" w:hAnsiTheme="majorHAnsi" w:cstheme="majorHAnsi"/>
          <w:b/>
          <w:bCs/>
          <w:sz w:val="24"/>
          <w:szCs w:val="24"/>
        </w:rPr>
        <w:br w:type="page"/>
      </w:r>
    </w:p>
    <w:p w14:paraId="398B0908" w14:textId="77777777" w:rsidR="003F5039" w:rsidRPr="00FD21E9" w:rsidRDefault="003F5039" w:rsidP="0011235A">
      <w:pPr>
        <w:pStyle w:val="Header"/>
        <w:outlineLvl w:val="1"/>
        <w:rPr>
          <w:rFonts w:asciiTheme="majorHAnsi" w:hAnsiTheme="majorHAnsi" w:cstheme="majorHAnsi"/>
          <w:i/>
          <w:szCs w:val="24"/>
        </w:rPr>
      </w:pPr>
      <w:bookmarkStart w:id="39" w:name="_Toc113123192"/>
      <w:bookmarkStart w:id="40" w:name="_Toc113273231"/>
      <w:r w:rsidRPr="00FD21E9">
        <w:rPr>
          <w:rFonts w:asciiTheme="majorHAnsi" w:hAnsiTheme="majorHAnsi" w:cstheme="majorHAnsi"/>
          <w:szCs w:val="24"/>
        </w:rPr>
        <w:lastRenderedPageBreak/>
        <w:t>Results</w:t>
      </w:r>
      <w:bookmarkEnd w:id="39"/>
      <w:bookmarkEnd w:id="40"/>
    </w:p>
    <w:p w14:paraId="25E6390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1" w:name="_Toc113123193"/>
      <w:bookmarkStart w:id="42" w:name="_Toc113273232"/>
      <w:r w:rsidRPr="00FD21E9">
        <w:rPr>
          <w:rFonts w:asciiTheme="majorHAnsi" w:hAnsiTheme="majorHAnsi" w:cstheme="majorHAnsi"/>
          <w:sz w:val="24"/>
          <w:szCs w:val="24"/>
        </w:rPr>
        <w:t>Sample collection &amp; DNA extraction</w:t>
      </w:r>
      <w:bookmarkEnd w:id="41"/>
      <w:bookmarkEnd w:id="42"/>
    </w:p>
    <w:p w14:paraId="1687826F" w14:textId="11A8651B" w:rsidR="003F503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iCs/>
          <w:sz w:val="24"/>
          <w:szCs w:val="24"/>
        </w:rPr>
        <w:t>After mixed results in length and quantity yield of HMW gDNA from back muscle tissue flash frozen and stored unsuspended in liquid, we expanded our sampling and storage methods through the additional collection of scale and internal organ tissue, and by storing samples of back muscle tissue in propylene glycol. However, we did not find that suspending flash frozen back muscle in propylene glycol provided more success in the yield of HMW gDNA. We used tissue samples from two female individuals and two male individuals to extract roughly 3.4</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µg of HMW gDNA at a concentration of 87</w:t>
      </w:r>
      <w:r w:rsidR="000C6B61">
        <w:rPr>
          <w:rFonts w:asciiTheme="majorHAnsi" w:hAnsiTheme="majorHAnsi" w:cstheme="majorHAnsi"/>
          <w:iCs/>
          <w:sz w:val="24"/>
          <w:szCs w:val="24"/>
        </w:rPr>
        <w:t xml:space="preserve"> </w:t>
      </w:r>
      <w:r w:rsidRPr="00FD21E9">
        <w:rPr>
          <w:rFonts w:asciiTheme="majorHAnsi" w:hAnsiTheme="majorHAnsi" w:cstheme="majorHAnsi"/>
          <w:iCs/>
          <w:sz w:val="24"/>
          <w:szCs w:val="24"/>
        </w:rPr>
        <w:t>ng/</w:t>
      </w:r>
      <w:r w:rsidRPr="0023777B">
        <w:rPr>
          <w:rFonts w:asciiTheme="majorHAnsi" w:hAnsiTheme="majorHAnsi" w:cstheme="majorHAnsi"/>
          <w:iCs/>
          <w:sz w:val="24"/>
          <w:szCs w:val="24"/>
        </w:rPr>
        <w:t>µ</w:t>
      </w:r>
      <w:r w:rsidRPr="00FD21E9">
        <w:rPr>
          <w:rFonts w:asciiTheme="majorHAnsi" w:hAnsiTheme="majorHAnsi" w:cstheme="majorHAnsi"/>
          <w:iCs/>
          <w:sz w:val="24"/>
          <w:szCs w:val="24"/>
        </w:rPr>
        <w:t xml:space="preserve">L for subsequent sequencing (Figure 2.1). Suspending tissues in propylene glycol did not increase the success rate or yield of extracted HMW gDNA in our experience, and all successful extractions were </w:t>
      </w:r>
      <w:r w:rsidR="00EE4C3F">
        <w:rPr>
          <w:rFonts w:asciiTheme="majorHAnsi" w:hAnsiTheme="majorHAnsi" w:cstheme="majorHAnsi"/>
          <w:iCs/>
          <w:sz w:val="24"/>
          <w:szCs w:val="24"/>
        </w:rPr>
        <w:t xml:space="preserve">from tissues </w:t>
      </w:r>
      <w:r w:rsidRPr="00FD21E9">
        <w:rPr>
          <w:rFonts w:asciiTheme="majorHAnsi" w:hAnsiTheme="majorHAnsi" w:cstheme="majorHAnsi"/>
          <w:iCs/>
          <w:sz w:val="24"/>
          <w:szCs w:val="24"/>
        </w:rPr>
        <w:t xml:space="preserve">not suspended in any kind of solution after flash freezing.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260/280 absorbance ratios of extractions </w:t>
      </w:r>
      <w:r w:rsidR="007D782C">
        <w:rPr>
          <w:rFonts w:asciiTheme="majorHAnsi" w:hAnsiTheme="majorHAnsi" w:cstheme="majorHAnsi"/>
          <w:iCs/>
          <w:sz w:val="24"/>
          <w:szCs w:val="24"/>
        </w:rPr>
        <w:t>were between</w:t>
      </w:r>
      <w:r w:rsidRPr="00FD21E9">
        <w:rPr>
          <w:rFonts w:asciiTheme="majorHAnsi" w:hAnsiTheme="majorHAnsi" w:cstheme="majorHAnsi"/>
          <w:iCs/>
          <w:sz w:val="24"/>
          <w:szCs w:val="24"/>
        </w:rPr>
        <w:t xml:space="preserve"> 1.</w:t>
      </w:r>
      <w:r w:rsidR="00874AFC">
        <w:rPr>
          <w:rFonts w:asciiTheme="majorHAnsi" w:hAnsiTheme="majorHAnsi" w:cstheme="majorHAnsi"/>
          <w:iCs/>
          <w:sz w:val="24"/>
          <w:szCs w:val="24"/>
        </w:rPr>
        <w:t>80</w:t>
      </w:r>
      <w:r w:rsidRPr="00FD21E9">
        <w:rPr>
          <w:rFonts w:asciiTheme="majorHAnsi" w:hAnsiTheme="majorHAnsi" w:cstheme="majorHAnsi"/>
          <w:iCs/>
          <w:sz w:val="24"/>
          <w:szCs w:val="24"/>
        </w:rPr>
        <w:t xml:space="preserve"> </w:t>
      </w:r>
      <w:r w:rsidR="00874AFC">
        <w:rPr>
          <w:rFonts w:asciiTheme="majorHAnsi" w:hAnsiTheme="majorHAnsi" w:cstheme="majorHAnsi"/>
          <w:iCs/>
          <w:sz w:val="24"/>
          <w:szCs w:val="24"/>
        </w:rPr>
        <w:t>to</w:t>
      </w:r>
      <w:r w:rsidRPr="00FD21E9">
        <w:rPr>
          <w:rFonts w:asciiTheme="majorHAnsi" w:hAnsiTheme="majorHAnsi" w:cstheme="majorHAnsi"/>
          <w:iCs/>
          <w:sz w:val="24"/>
          <w:szCs w:val="24"/>
        </w:rPr>
        <w:t xml:space="preserve"> 1.9</w:t>
      </w:r>
      <w:r w:rsidR="00874AFC">
        <w:rPr>
          <w:rFonts w:asciiTheme="majorHAnsi" w:hAnsiTheme="majorHAnsi" w:cstheme="majorHAnsi"/>
          <w:iCs/>
          <w:sz w:val="24"/>
          <w:szCs w:val="24"/>
        </w:rPr>
        <w:t>1, and</w:t>
      </w:r>
      <w:r w:rsidRPr="00FD21E9">
        <w:rPr>
          <w:rFonts w:asciiTheme="majorHAnsi" w:hAnsiTheme="majorHAnsi" w:cstheme="majorHAnsi"/>
          <w:iCs/>
          <w:sz w:val="24"/>
          <w:szCs w:val="24"/>
        </w:rPr>
        <w:t xml:space="preserve"> </w:t>
      </w:r>
      <w:proofErr w:type="spellStart"/>
      <w:r w:rsidRPr="00FD21E9">
        <w:rPr>
          <w:rFonts w:asciiTheme="majorHAnsi" w:hAnsiTheme="majorHAnsi" w:cstheme="majorHAnsi"/>
          <w:iCs/>
          <w:sz w:val="24"/>
          <w:szCs w:val="24"/>
        </w:rPr>
        <w:t>NanoDrop</w:t>
      </w:r>
      <w:proofErr w:type="spellEnd"/>
      <w:r w:rsidRPr="00FD21E9">
        <w:rPr>
          <w:rFonts w:asciiTheme="majorHAnsi" w:hAnsiTheme="majorHAnsi" w:cstheme="majorHAnsi"/>
          <w:iCs/>
          <w:sz w:val="24"/>
          <w:szCs w:val="24"/>
        </w:rPr>
        <w:t xml:space="preserve"> 260/230 ratios </w:t>
      </w:r>
      <w:r w:rsidR="00874AFC">
        <w:rPr>
          <w:rFonts w:asciiTheme="majorHAnsi" w:hAnsiTheme="majorHAnsi" w:cstheme="majorHAnsi"/>
          <w:iCs/>
          <w:sz w:val="24"/>
          <w:szCs w:val="24"/>
        </w:rPr>
        <w:t>ranged from 1.73 to 2.22 (Table 2.2)</w:t>
      </w:r>
    </w:p>
    <w:p w14:paraId="620F8140" w14:textId="77777777" w:rsidR="00CD0ACF" w:rsidRPr="00FD21E9" w:rsidRDefault="00CD0ACF" w:rsidP="0011235A">
      <w:pPr>
        <w:spacing w:line="240" w:lineRule="auto"/>
        <w:ind w:right="270"/>
        <w:rPr>
          <w:rFonts w:asciiTheme="majorHAnsi" w:hAnsiTheme="majorHAnsi" w:cstheme="majorHAnsi"/>
          <w:iCs/>
          <w:sz w:val="24"/>
          <w:szCs w:val="24"/>
        </w:rPr>
      </w:pPr>
    </w:p>
    <w:p w14:paraId="304B44DD"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3" w:name="_Toc113123194"/>
      <w:bookmarkStart w:id="44" w:name="_Toc113273233"/>
      <w:r w:rsidRPr="00FD21E9">
        <w:rPr>
          <w:rFonts w:asciiTheme="majorHAnsi" w:hAnsiTheme="majorHAnsi" w:cstheme="majorHAnsi"/>
          <w:sz w:val="24"/>
          <w:szCs w:val="24"/>
        </w:rPr>
        <w:t>Linked-read library prep, sequencing &amp; quality control</w:t>
      </w:r>
      <w:bookmarkEnd w:id="43"/>
      <w:bookmarkEnd w:id="44"/>
    </w:p>
    <w:p w14:paraId="529DA7B4" w14:textId="46657F73"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P</w:t>
      </w:r>
      <w:r w:rsidRPr="009A34FE">
        <w:rPr>
          <w:rFonts w:asciiTheme="majorHAnsi" w:hAnsiTheme="majorHAnsi" w:cstheme="majorHAnsi"/>
          <w:sz w:val="24"/>
          <w:szCs w:val="24"/>
        </w:rPr>
        <w:t xml:space="preserve">ost-GEM DNA </w:t>
      </w:r>
      <w:r w:rsidRPr="00FD21E9">
        <w:rPr>
          <w:rFonts w:asciiTheme="majorHAnsi" w:hAnsiTheme="majorHAnsi" w:cstheme="majorHAnsi"/>
          <w:sz w:val="24"/>
          <w:szCs w:val="24"/>
        </w:rPr>
        <w:t xml:space="preserve">quantified library electropherograms showed expected distributions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2). We generated 94,825,601,818 bp of paired-end linked-read sequencing data from the female specimen. Using the Genomescope</w:t>
      </w:r>
      <w:r w:rsidR="0087338E">
        <w:rPr>
          <w:rFonts w:asciiTheme="majorHAnsi" w:hAnsiTheme="majorHAnsi" w:cstheme="majorHAnsi"/>
          <w:sz w:val="24"/>
          <w:szCs w:val="24"/>
        </w:rPr>
        <w:t>2</w:t>
      </w:r>
      <w:r w:rsidRPr="00FD21E9">
        <w:rPr>
          <w:rFonts w:asciiTheme="majorHAnsi" w:hAnsiTheme="majorHAnsi" w:cstheme="majorHAnsi"/>
          <w:sz w:val="24"/>
          <w:szCs w:val="24"/>
        </w:rPr>
        <w:t xml:space="preserve"> </w:t>
      </w:r>
      <w:r w:rsidRPr="009A34FE">
        <w:rPr>
          <w:rFonts w:asciiTheme="majorHAnsi" w:hAnsiTheme="majorHAnsi" w:cstheme="majorHAnsi"/>
          <w:sz w:val="24"/>
          <w:szCs w:val="24"/>
        </w:rPr>
        <w:t xml:space="preserve">k-mer based haploid genome size </w:t>
      </w:r>
      <w:r w:rsidRPr="00FD21E9">
        <w:rPr>
          <w:rFonts w:asciiTheme="majorHAnsi" w:hAnsiTheme="majorHAnsi" w:cstheme="majorHAnsi"/>
          <w:sz w:val="24"/>
          <w:szCs w:val="24"/>
        </w:rPr>
        <w:t>estimation of the</w:t>
      </w:r>
      <w:r w:rsidRPr="009A34FE">
        <w:rPr>
          <w:rFonts w:asciiTheme="majorHAnsi" w:hAnsiTheme="majorHAnsi" w:cstheme="majorHAnsi"/>
          <w:sz w:val="24"/>
          <w:szCs w:val="24"/>
        </w:rPr>
        <w:t xml:space="preserve"> female </w:t>
      </w:r>
      <w:r w:rsidRPr="00FD21E9">
        <w:rPr>
          <w:rFonts w:asciiTheme="majorHAnsi" w:hAnsiTheme="majorHAnsi" w:cstheme="majorHAnsi"/>
          <w:sz w:val="24"/>
          <w:szCs w:val="24"/>
        </w:rPr>
        <w:t xml:space="preserve">10X sequencing data we estimated the delta smelt genome size to be </w:t>
      </w:r>
      <w:r w:rsidRPr="009A34FE">
        <w:rPr>
          <w:rFonts w:asciiTheme="majorHAnsi" w:hAnsiTheme="majorHAnsi" w:cstheme="majorHAnsi"/>
          <w:sz w:val="24"/>
          <w:szCs w:val="24"/>
        </w:rPr>
        <w:t>0.49 Gb</w:t>
      </w:r>
      <w:r w:rsidRPr="00FD21E9">
        <w:rPr>
          <w:rFonts w:asciiTheme="majorHAnsi" w:hAnsiTheme="majorHAnsi" w:cstheme="majorHAnsi"/>
          <w:sz w:val="24"/>
          <w:szCs w:val="24"/>
        </w:rPr>
        <w:t xml:space="preserve">. We used the updated k-mer based estimate to reduce the amount of male data generated in </w:t>
      </w:r>
      <w:r w:rsidR="000D523C">
        <w:rPr>
          <w:rFonts w:asciiTheme="majorHAnsi" w:hAnsiTheme="majorHAnsi" w:cstheme="majorHAnsi"/>
          <w:sz w:val="24"/>
          <w:szCs w:val="24"/>
        </w:rPr>
        <w:t xml:space="preserve">linked- read </w:t>
      </w:r>
      <w:r w:rsidRPr="00FD21E9">
        <w:rPr>
          <w:rFonts w:asciiTheme="majorHAnsi" w:hAnsiTheme="majorHAnsi" w:cstheme="majorHAnsi"/>
          <w:sz w:val="24"/>
          <w:szCs w:val="24"/>
        </w:rPr>
        <w:t>sequencing</w:t>
      </w:r>
      <w:r w:rsidRPr="009A34FE">
        <w:rPr>
          <w:rFonts w:asciiTheme="majorHAnsi" w:hAnsiTheme="majorHAnsi" w:cstheme="majorHAnsi"/>
          <w:sz w:val="24"/>
          <w:szCs w:val="24"/>
        </w:rPr>
        <w:t xml:space="preserve">. </w:t>
      </w:r>
      <w:r w:rsidRPr="00FD21E9">
        <w:rPr>
          <w:rFonts w:asciiTheme="majorHAnsi" w:hAnsiTheme="majorHAnsi" w:cstheme="majorHAnsi"/>
          <w:sz w:val="24"/>
          <w:szCs w:val="24"/>
        </w:rPr>
        <w:t xml:space="preserve">In total, we generated 94,825,601,818 bp and 65,806,680,934 bp of female and male linked-read sequencing data, respectively. The average per sequence base quality was 33 and 32 in the female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and 34 and 32 in the male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 </w:t>
      </w:r>
    </w:p>
    <w:p w14:paraId="3D59EA73" w14:textId="29DE5A5D"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 xml:space="preserve">Mapped k-mer histograms for each sample and at each value of k showed discrete, single peaks indicating no sign of contamination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3). All GC count frequency plots show roughly normal circular distributions of distinct k-mers with no aberrant spotting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 xml:space="preserve">4). Additionally, the number of distinct k-mers does not appear to be heavily skewed, indicating no sequencing bias, in the male or female sequencing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5). These data together indicate no observable signs of bacterial or organell</w:t>
      </w:r>
      <w:r w:rsidR="00315B1D">
        <w:rPr>
          <w:rFonts w:asciiTheme="majorHAnsi" w:hAnsiTheme="majorHAnsi" w:cstheme="majorHAnsi"/>
          <w:sz w:val="24"/>
          <w:szCs w:val="24"/>
        </w:rPr>
        <w:t>ar DNA</w:t>
      </w:r>
      <w:r w:rsidRPr="00FD21E9">
        <w:rPr>
          <w:rFonts w:asciiTheme="majorHAnsi" w:hAnsiTheme="majorHAnsi" w:cstheme="majorHAnsi"/>
          <w:sz w:val="24"/>
          <w:szCs w:val="24"/>
        </w:rPr>
        <w:t xml:space="preserve"> contamination or major sources of sequencing bias in the linked-read sequencing data.</w:t>
      </w:r>
    </w:p>
    <w:p w14:paraId="07FEA697" w14:textId="77777777" w:rsidR="003F5039" w:rsidRPr="00FD21E9" w:rsidRDefault="003F5039" w:rsidP="0011235A">
      <w:pPr>
        <w:spacing w:line="240" w:lineRule="auto"/>
        <w:ind w:right="270"/>
        <w:rPr>
          <w:rFonts w:asciiTheme="majorHAnsi" w:hAnsiTheme="majorHAnsi" w:cstheme="majorHAnsi"/>
          <w:sz w:val="24"/>
          <w:szCs w:val="24"/>
        </w:rPr>
      </w:pPr>
    </w:p>
    <w:p w14:paraId="3D2EF21E"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45" w:name="_Toc113123195"/>
      <w:bookmarkStart w:id="46" w:name="_Toc113273234"/>
      <w:r w:rsidRPr="00FD21E9">
        <w:rPr>
          <w:rFonts w:asciiTheme="majorHAnsi" w:hAnsiTheme="majorHAnsi" w:cstheme="majorHAnsi"/>
          <w:sz w:val="24"/>
          <w:szCs w:val="24"/>
        </w:rPr>
        <w:t>Long-read library prep, sequencing &amp; quality control</w:t>
      </w:r>
      <w:bookmarkEnd w:id="45"/>
      <w:bookmarkEnd w:id="46"/>
    </w:p>
    <w:p w14:paraId="4D0B36AC" w14:textId="1A3C59B4" w:rsidR="003F5039" w:rsidRPr="00FD21E9" w:rsidRDefault="003F7F9E" w:rsidP="0011235A">
      <w:pPr>
        <w:spacing w:line="240" w:lineRule="auto"/>
        <w:ind w:right="270"/>
        <w:rPr>
          <w:rFonts w:asciiTheme="majorHAnsi" w:hAnsiTheme="majorHAnsi" w:cstheme="majorHAnsi"/>
          <w:sz w:val="24"/>
          <w:szCs w:val="24"/>
        </w:rPr>
      </w:pPr>
      <w:r>
        <w:rPr>
          <w:rFonts w:asciiTheme="majorHAnsi" w:hAnsiTheme="majorHAnsi" w:cstheme="majorHAnsi"/>
          <w:sz w:val="24"/>
          <w:szCs w:val="24"/>
        </w:rPr>
        <w:t>In order to obtain sufficient sequencing data we</w:t>
      </w:r>
      <w:r w:rsidR="00224AC0">
        <w:rPr>
          <w:rFonts w:asciiTheme="majorHAnsi" w:hAnsiTheme="majorHAnsi" w:cstheme="majorHAnsi"/>
          <w:sz w:val="24"/>
          <w:szCs w:val="24"/>
        </w:rPr>
        <w:t xml:space="preserve"> created two high-input library from one male individual</w:t>
      </w:r>
      <w:r>
        <w:rPr>
          <w:rFonts w:asciiTheme="majorHAnsi" w:hAnsiTheme="majorHAnsi" w:cstheme="majorHAnsi"/>
          <w:sz w:val="24"/>
          <w:szCs w:val="24"/>
        </w:rPr>
        <w:t xml:space="preserve"> (TKTK IND), one high-input library from one female individual (TKTKT), and one high-input and one low-input library from a second female individual (TKTKT) (</w:t>
      </w:r>
      <w:proofErr w:type="gramStart"/>
      <w:r>
        <w:rPr>
          <w:rFonts w:asciiTheme="majorHAnsi" w:hAnsiTheme="majorHAnsi" w:cstheme="majorHAnsi"/>
          <w:sz w:val="24"/>
          <w:szCs w:val="24"/>
        </w:rPr>
        <w:t>Table .</w:t>
      </w:r>
      <w:proofErr w:type="gramEnd"/>
      <w:r>
        <w:rPr>
          <w:rFonts w:asciiTheme="majorHAnsi" w:hAnsiTheme="majorHAnsi" w:cstheme="majorHAnsi"/>
          <w:sz w:val="24"/>
          <w:szCs w:val="24"/>
        </w:rPr>
        <w:t xml:space="preserve"> </w:t>
      </w:r>
      <w:r w:rsidR="003F5039" w:rsidRPr="00FD21E9">
        <w:rPr>
          <w:rFonts w:asciiTheme="majorHAnsi" w:hAnsiTheme="majorHAnsi" w:cstheme="majorHAnsi"/>
          <w:sz w:val="24"/>
          <w:szCs w:val="24"/>
        </w:rPr>
        <w:t>Starting gDNA inputs ranged from 6.5</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to 20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ug of gDNA. The sheared gDNA input for the removal of single </w:t>
      </w:r>
      <w:r w:rsidR="003F5039" w:rsidRPr="00FD21E9">
        <w:rPr>
          <w:rFonts w:asciiTheme="majorHAnsi" w:hAnsiTheme="majorHAnsi" w:cstheme="majorHAnsi"/>
          <w:sz w:val="24"/>
          <w:szCs w:val="24"/>
        </w:rPr>
        <w:lastRenderedPageBreak/>
        <w:t>strand overhangs ranged from 1000</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ng to 7</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ug, and the average length of gDNA for sequencing ranged from 14-18.4</w:t>
      </w:r>
      <w:r w:rsidR="00315B1D">
        <w:rPr>
          <w:rFonts w:asciiTheme="majorHAnsi" w:hAnsiTheme="majorHAnsi" w:cstheme="majorHAnsi"/>
          <w:sz w:val="24"/>
          <w:szCs w:val="24"/>
        </w:rPr>
        <w:t xml:space="preserve"> </w:t>
      </w:r>
      <w:r w:rsidR="003F5039" w:rsidRPr="00FD21E9">
        <w:rPr>
          <w:rFonts w:asciiTheme="majorHAnsi" w:hAnsiTheme="majorHAnsi" w:cstheme="majorHAnsi"/>
          <w:sz w:val="24"/>
          <w:szCs w:val="24"/>
        </w:rPr>
        <w:t xml:space="preserve">kb. </w:t>
      </w:r>
    </w:p>
    <w:p w14:paraId="423D5327" w14:textId="77777777" w:rsidR="003F5039" w:rsidRPr="00FD21E9" w:rsidRDefault="003F5039" w:rsidP="0011235A">
      <w:pPr>
        <w:spacing w:line="240" w:lineRule="auto"/>
        <w:ind w:right="270"/>
        <w:rPr>
          <w:rFonts w:asciiTheme="majorHAnsi" w:hAnsiTheme="majorHAnsi" w:cstheme="majorHAnsi"/>
          <w:iCs/>
          <w:sz w:val="24"/>
          <w:szCs w:val="24"/>
        </w:rPr>
      </w:pPr>
      <w:r w:rsidRPr="00FD21E9">
        <w:rPr>
          <w:rFonts w:asciiTheme="majorHAnsi" w:hAnsiTheme="majorHAnsi" w:cstheme="majorHAnsi"/>
          <w:sz w:val="24"/>
          <w:szCs w:val="24"/>
        </w:rPr>
        <w:t xml:space="preserve">Five movie collections (150 hours of sequencing data) from two male and one female high-input library, and two low-input female library runs were collected. </w:t>
      </w:r>
      <w:r w:rsidRPr="00FD21E9">
        <w:rPr>
          <w:rFonts w:asciiTheme="majorHAnsi" w:hAnsiTheme="majorHAnsi" w:cstheme="majorHAnsi"/>
          <w:iCs/>
          <w:sz w:val="24"/>
          <w:szCs w:val="24"/>
        </w:rPr>
        <w:t>A total of 3,095,133 male reads and 2,741,504 female reads representing 35,841,976,770 and 28,549,585,055 base pairs, respectively, passed quality control and were used for subsequent assembly (Table 2.3).</w:t>
      </w:r>
    </w:p>
    <w:p w14:paraId="45ABE3DF" w14:textId="77777777" w:rsidR="003F5039" w:rsidRPr="00FD21E9" w:rsidRDefault="003F5039" w:rsidP="0011235A">
      <w:pPr>
        <w:spacing w:line="240" w:lineRule="auto"/>
        <w:rPr>
          <w:rFonts w:asciiTheme="majorHAnsi" w:hAnsiTheme="majorHAnsi" w:cstheme="majorHAnsi"/>
          <w:b/>
          <w:bCs/>
          <w:sz w:val="24"/>
          <w:szCs w:val="24"/>
          <w:u w:val="single"/>
        </w:rPr>
      </w:pPr>
    </w:p>
    <w:p w14:paraId="6E51C0A5"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7" w:name="_Toc113123196"/>
      <w:bookmarkStart w:id="48" w:name="_Toc113273235"/>
      <w:r w:rsidRPr="00FD21E9">
        <w:rPr>
          <w:rFonts w:asciiTheme="majorHAnsi" w:hAnsiTheme="majorHAnsi" w:cstheme="majorHAnsi"/>
          <w:sz w:val="24"/>
          <w:szCs w:val="24"/>
        </w:rPr>
        <w:t>Hi-C chromatin conformation capture library prep, sequencing &amp; quality control</w:t>
      </w:r>
      <w:bookmarkEnd w:id="47"/>
      <w:bookmarkEnd w:id="48"/>
    </w:p>
    <w:p w14:paraId="51586397" w14:textId="4819096F" w:rsidR="003F5039" w:rsidRPr="00FD21E9" w:rsidRDefault="003F5039" w:rsidP="0011235A">
      <w:pPr>
        <w:spacing w:line="240" w:lineRule="auto"/>
        <w:ind w:right="270"/>
        <w:rPr>
          <w:rFonts w:asciiTheme="majorHAnsi" w:hAnsiTheme="majorHAnsi" w:cstheme="majorHAnsi"/>
          <w:sz w:val="24"/>
          <w:szCs w:val="24"/>
        </w:rPr>
      </w:pPr>
      <w:r w:rsidRPr="00FD21E9">
        <w:rPr>
          <w:rFonts w:asciiTheme="majorHAnsi" w:hAnsiTheme="majorHAnsi" w:cstheme="majorHAnsi"/>
          <w:sz w:val="24"/>
          <w:szCs w:val="24"/>
        </w:rPr>
        <w:t>Hi-C sequencing files contained 87,444,477 read pairs in total (Table 2.3). The data contained an average of 2,966.33 read pairs per contig greater than 5</w:t>
      </w:r>
      <w:r w:rsidR="00315B1D">
        <w:rPr>
          <w:rFonts w:asciiTheme="majorHAnsi" w:hAnsiTheme="majorHAnsi" w:cstheme="majorHAnsi"/>
          <w:sz w:val="24"/>
          <w:szCs w:val="24"/>
        </w:rPr>
        <w:t xml:space="preserve">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18.78% of the read pairs mapped to greater than 10 kilobases (</w:t>
      </w:r>
      <w:proofErr w:type="spellStart"/>
      <w:r w:rsidRPr="00FD21E9">
        <w:rPr>
          <w:rFonts w:asciiTheme="majorHAnsi" w:hAnsiTheme="majorHAnsi" w:cstheme="majorHAnsi"/>
          <w:sz w:val="24"/>
          <w:szCs w:val="24"/>
        </w:rPr>
        <w:t>kbp</w:t>
      </w:r>
      <w:proofErr w:type="spellEnd"/>
      <w:r w:rsidRPr="00FD21E9">
        <w:rPr>
          <w:rFonts w:asciiTheme="majorHAnsi" w:hAnsiTheme="majorHAnsi" w:cstheme="majorHAnsi"/>
          <w:sz w:val="24"/>
          <w:szCs w:val="24"/>
        </w:rPr>
        <w:t xml:space="preserve">) apart and 56.38% of reads were considered high quality indicating successful library prep and sequencing. The average per sequence base quality was 38 and 36 in the R1 and R2 </w:t>
      </w:r>
      <w:proofErr w:type="spellStart"/>
      <w:r w:rsidRPr="00FD21E9">
        <w:rPr>
          <w:rFonts w:asciiTheme="majorHAnsi" w:hAnsiTheme="majorHAnsi" w:cstheme="majorHAnsi"/>
          <w:sz w:val="24"/>
          <w:szCs w:val="24"/>
        </w:rPr>
        <w:t>fastq</w:t>
      </w:r>
      <w:proofErr w:type="spellEnd"/>
      <w:r w:rsidRPr="00FD21E9">
        <w:rPr>
          <w:rFonts w:asciiTheme="majorHAnsi" w:hAnsiTheme="majorHAnsi" w:cstheme="majorHAnsi"/>
          <w:sz w:val="24"/>
          <w:szCs w:val="24"/>
        </w:rPr>
        <w:t xml:space="preserve"> files, respectively (Table 2.3).</w:t>
      </w:r>
    </w:p>
    <w:p w14:paraId="46F17631" w14:textId="77777777" w:rsidR="003F5039" w:rsidRPr="00FD21E9" w:rsidRDefault="003F5039" w:rsidP="0011235A">
      <w:pPr>
        <w:spacing w:line="240" w:lineRule="auto"/>
        <w:ind w:right="270"/>
        <w:rPr>
          <w:rFonts w:asciiTheme="majorHAnsi" w:hAnsiTheme="majorHAnsi" w:cstheme="majorHAnsi"/>
          <w:b/>
          <w:bCs/>
          <w:sz w:val="24"/>
          <w:szCs w:val="24"/>
          <w:u w:val="single"/>
        </w:rPr>
      </w:pPr>
    </w:p>
    <w:p w14:paraId="38500394" w14:textId="77777777" w:rsidR="003F5039" w:rsidRPr="00FD21E9" w:rsidRDefault="003F5039" w:rsidP="0011235A">
      <w:pPr>
        <w:pStyle w:val="HTMLAddress"/>
        <w:spacing w:line="240" w:lineRule="auto"/>
        <w:outlineLvl w:val="2"/>
        <w:rPr>
          <w:rFonts w:asciiTheme="majorHAnsi" w:hAnsiTheme="majorHAnsi" w:cstheme="majorHAnsi"/>
          <w:sz w:val="24"/>
          <w:szCs w:val="24"/>
        </w:rPr>
      </w:pPr>
      <w:bookmarkStart w:id="49" w:name="_Toc113123197"/>
      <w:bookmarkStart w:id="50" w:name="_Toc113273236"/>
      <w:r w:rsidRPr="00FD21E9">
        <w:rPr>
          <w:rFonts w:asciiTheme="majorHAnsi" w:hAnsiTheme="majorHAnsi" w:cstheme="majorHAnsi"/>
          <w:sz w:val="24"/>
          <w:szCs w:val="24"/>
        </w:rPr>
        <w:t>Assembly quality assessment</w:t>
      </w:r>
      <w:bookmarkEnd w:id="49"/>
      <w:bookmarkEnd w:id="50"/>
    </w:p>
    <w:p w14:paraId="4DE85359" w14:textId="523D5A6E" w:rsidR="00422626"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We searched raw data and each iteration of the assemblies for 3,640 conserved </w:t>
      </w:r>
      <w:proofErr w:type="gramStart"/>
      <w:r w:rsidRPr="00FD21E9">
        <w:rPr>
          <w:rFonts w:asciiTheme="majorHAnsi" w:hAnsiTheme="majorHAnsi" w:cstheme="majorHAnsi"/>
          <w:sz w:val="24"/>
          <w:szCs w:val="24"/>
        </w:rPr>
        <w:t>single-copy</w:t>
      </w:r>
      <w:proofErr w:type="gramEnd"/>
      <w:r w:rsidRPr="00FD21E9">
        <w:rPr>
          <w:rFonts w:asciiTheme="majorHAnsi" w:hAnsiTheme="majorHAnsi" w:cstheme="majorHAnsi"/>
          <w:sz w:val="24"/>
          <w:szCs w:val="24"/>
        </w:rPr>
        <w:t xml:space="preserve"> orthologs contained within the 05 August 2020 Actinopterygii lineage dataset using BUSCO. The quality filtered female and male HiFi data contained whole genes or sequence fragments of 95.6% (3.3% complete single copy, 89.3% complete double copy, and 3.0% fragmented) and 94.4% (3.4% complete single copy, 87.0% complete double copy, and 4.0% fragmented) of the conserved Actinopterygii gene dataset, respectively (Table 2.4).</w:t>
      </w:r>
    </w:p>
    <w:p w14:paraId="081ECC0D" w14:textId="638E35DA"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After each step</w:t>
      </w:r>
      <w:r w:rsidR="000D523C">
        <w:rPr>
          <w:rFonts w:asciiTheme="majorHAnsi" w:hAnsiTheme="majorHAnsi" w:cstheme="majorHAnsi"/>
          <w:sz w:val="24"/>
          <w:szCs w:val="24"/>
        </w:rPr>
        <w:t xml:space="preserve"> of the assembly</w:t>
      </w:r>
      <w:r w:rsidRPr="00FD21E9">
        <w:rPr>
          <w:rFonts w:asciiTheme="majorHAnsi" w:hAnsiTheme="majorHAnsi" w:cstheme="majorHAnsi"/>
          <w:sz w:val="24"/>
          <w:szCs w:val="24"/>
        </w:rPr>
        <w:t xml:space="preserve"> the total length and N50 increased, and the L50 and total number of contigs decreased (Figure </w:t>
      </w:r>
      <w:r w:rsidRPr="00FD21E9">
        <w:rPr>
          <w:rFonts w:asciiTheme="majorHAnsi" w:hAnsiTheme="majorHAnsi" w:cstheme="majorHAnsi"/>
          <w:iCs/>
          <w:sz w:val="24"/>
          <w:szCs w:val="24"/>
        </w:rPr>
        <w:t>2.</w:t>
      </w:r>
      <w:r w:rsidRPr="00FD21E9">
        <w:rPr>
          <w:rFonts w:asciiTheme="majorHAnsi" w:hAnsiTheme="majorHAnsi" w:cstheme="majorHAnsi"/>
          <w:sz w:val="24"/>
          <w:szCs w:val="24"/>
        </w:rPr>
        <w:t>6</w:t>
      </w:r>
      <w:r w:rsidR="00644092" w:rsidRPr="00FD21E9">
        <w:rPr>
          <w:rFonts w:asciiTheme="majorHAnsi" w:hAnsiTheme="majorHAnsi" w:cstheme="majorHAnsi"/>
          <w:sz w:val="24"/>
          <w:szCs w:val="24"/>
        </w:rPr>
        <w:t xml:space="preserve"> &amp; 2.7</w:t>
      </w:r>
      <w:r w:rsidRPr="00FD21E9">
        <w:rPr>
          <w:rFonts w:asciiTheme="majorHAnsi" w:hAnsiTheme="majorHAnsi" w:cstheme="majorHAnsi"/>
          <w:sz w:val="24"/>
          <w:szCs w:val="24"/>
        </w:rPr>
        <w:t>). Female HiFi sequencing data had an N50 of 15,048 and an L50 of 771,808, while the male HiFi data had an N50 of 11,604 and an L50 of 1,276,120. The final female assembly contained 89.3% complete (87.7% single copy and 1.6% double copy) genes and fragments of an additional 0.8% of conserved genes, had an N50 of 14,850,352, L50 of 13, and was a total of 437,273,953 bp long with a total of 376 contigs. The final male assembly contained 88.4% complete (81.2% single copy and 7.2% double copy) genes and fragments of an additional 1.0% of conserved genes, had an N50 of 12,200,365, L50 of 15 and was a total of 472,157,411 bp long with a total of 549 contigs (Table 2.4).</w:t>
      </w:r>
    </w:p>
    <w:p w14:paraId="55EB53CD" w14:textId="77777777" w:rsidR="003F5039" w:rsidRPr="00FD21E9" w:rsidRDefault="003F5039" w:rsidP="0011235A">
      <w:pPr>
        <w:spacing w:line="240" w:lineRule="auto"/>
        <w:rPr>
          <w:rFonts w:asciiTheme="majorHAnsi" w:hAnsiTheme="majorHAnsi" w:cstheme="majorHAnsi"/>
          <w:sz w:val="24"/>
          <w:szCs w:val="24"/>
        </w:rPr>
      </w:pPr>
    </w:p>
    <w:p w14:paraId="7737965B" w14:textId="77777777" w:rsidR="003F5039" w:rsidRPr="00FD21E9" w:rsidRDefault="003F5039" w:rsidP="0011235A">
      <w:pPr>
        <w:pStyle w:val="HTMLAddress"/>
        <w:spacing w:line="240" w:lineRule="auto"/>
        <w:outlineLvl w:val="2"/>
        <w:rPr>
          <w:rFonts w:asciiTheme="majorHAnsi" w:hAnsiTheme="majorHAnsi" w:cstheme="majorHAnsi"/>
          <w:b/>
          <w:bCs/>
          <w:sz w:val="24"/>
          <w:szCs w:val="24"/>
          <w:u w:val="single"/>
        </w:rPr>
      </w:pPr>
      <w:bookmarkStart w:id="51" w:name="_Toc113123198"/>
      <w:bookmarkStart w:id="52" w:name="_Toc113273237"/>
      <w:r w:rsidRPr="00FD21E9">
        <w:rPr>
          <w:rFonts w:asciiTheme="majorHAnsi" w:hAnsiTheme="majorHAnsi" w:cstheme="majorHAnsi"/>
          <w:sz w:val="24"/>
          <w:szCs w:val="24"/>
        </w:rPr>
        <w:t>Cytogenic chromosome validation</w:t>
      </w:r>
      <w:bookmarkEnd w:id="51"/>
      <w:bookmarkEnd w:id="52"/>
      <w:r w:rsidRPr="00FD21E9">
        <w:rPr>
          <w:rFonts w:asciiTheme="majorHAnsi" w:hAnsiTheme="majorHAnsi" w:cstheme="majorHAnsi"/>
          <w:sz w:val="24"/>
          <w:szCs w:val="24"/>
        </w:rPr>
        <w:t xml:space="preserve"> </w:t>
      </w:r>
    </w:p>
    <w:p w14:paraId="2A9017F9" w14:textId="2DAD790B" w:rsidR="003F5039" w:rsidRDefault="003B2429" w:rsidP="00791715">
      <w:pPr>
        <w:spacing w:line="240" w:lineRule="auto"/>
        <w:rPr>
          <w:rFonts w:asciiTheme="majorHAnsi" w:hAnsiTheme="majorHAnsi" w:cstheme="majorHAnsi"/>
          <w:sz w:val="24"/>
          <w:szCs w:val="24"/>
        </w:rPr>
      </w:pPr>
      <w:r>
        <w:rPr>
          <w:rFonts w:asciiTheme="majorHAnsi" w:hAnsiTheme="majorHAnsi" w:cstheme="majorHAnsi"/>
          <w:sz w:val="24"/>
          <w:szCs w:val="24"/>
        </w:rPr>
        <w:t>Organs from a</w:t>
      </w:r>
      <w:r w:rsidR="00A066C0">
        <w:rPr>
          <w:rFonts w:asciiTheme="majorHAnsi" w:hAnsiTheme="majorHAnsi" w:cstheme="majorHAnsi"/>
          <w:sz w:val="24"/>
          <w:szCs w:val="24"/>
        </w:rPr>
        <w:t xml:space="preserve"> total of 43 </w:t>
      </w:r>
      <w:r w:rsidR="007E4664">
        <w:rPr>
          <w:rFonts w:asciiTheme="majorHAnsi" w:hAnsiTheme="majorHAnsi" w:cstheme="majorHAnsi"/>
          <w:sz w:val="24"/>
          <w:szCs w:val="24"/>
        </w:rPr>
        <w:t>fish</w:t>
      </w:r>
      <w:r>
        <w:rPr>
          <w:rFonts w:asciiTheme="majorHAnsi" w:hAnsiTheme="majorHAnsi" w:cstheme="majorHAnsi"/>
          <w:sz w:val="24"/>
          <w:szCs w:val="24"/>
        </w:rPr>
        <w:t>,</w:t>
      </w:r>
      <w:r w:rsidR="007E4664">
        <w:rPr>
          <w:rFonts w:asciiTheme="majorHAnsi" w:hAnsiTheme="majorHAnsi" w:cstheme="majorHAnsi"/>
          <w:sz w:val="24"/>
          <w:szCs w:val="24"/>
        </w:rPr>
        <w:t xml:space="preserve"> comprised of subadults (n=15) and adults (n=28)</w:t>
      </w:r>
      <w:r>
        <w:rPr>
          <w:rFonts w:asciiTheme="majorHAnsi" w:hAnsiTheme="majorHAnsi" w:cstheme="majorHAnsi"/>
          <w:sz w:val="24"/>
          <w:szCs w:val="24"/>
        </w:rPr>
        <w:t>,</w:t>
      </w:r>
      <w:r w:rsidR="007E4664">
        <w:rPr>
          <w:rFonts w:asciiTheme="majorHAnsi" w:hAnsiTheme="majorHAnsi" w:cstheme="majorHAnsi"/>
          <w:sz w:val="24"/>
          <w:szCs w:val="24"/>
        </w:rPr>
        <w:t xml:space="preserve"> </w:t>
      </w:r>
      <w:r w:rsidR="00A066C0">
        <w:rPr>
          <w:rFonts w:asciiTheme="majorHAnsi" w:hAnsiTheme="majorHAnsi" w:cstheme="majorHAnsi"/>
          <w:sz w:val="24"/>
          <w:szCs w:val="24"/>
        </w:rPr>
        <w:t xml:space="preserve">were </w:t>
      </w:r>
      <w:r w:rsidR="00C26B5B">
        <w:rPr>
          <w:rFonts w:asciiTheme="majorHAnsi" w:hAnsiTheme="majorHAnsi" w:cstheme="majorHAnsi"/>
          <w:sz w:val="24"/>
          <w:szCs w:val="24"/>
        </w:rPr>
        <w:t>sampled</w:t>
      </w:r>
      <w:r w:rsidR="00A066C0">
        <w:rPr>
          <w:rFonts w:asciiTheme="majorHAnsi" w:hAnsiTheme="majorHAnsi" w:cstheme="majorHAnsi"/>
          <w:sz w:val="24"/>
          <w:szCs w:val="24"/>
        </w:rPr>
        <w:t xml:space="preserve"> for cytogenic analyses. </w:t>
      </w:r>
      <w:r w:rsidR="002F52A4">
        <w:rPr>
          <w:rFonts w:asciiTheme="majorHAnsi" w:hAnsiTheme="majorHAnsi" w:cstheme="majorHAnsi"/>
          <w:sz w:val="24"/>
          <w:szCs w:val="24"/>
        </w:rPr>
        <w:t>Subadult and adult specimen</w:t>
      </w:r>
      <w:r w:rsidR="002C4466">
        <w:rPr>
          <w:rFonts w:asciiTheme="majorHAnsi" w:hAnsiTheme="majorHAnsi" w:cstheme="majorHAnsi"/>
          <w:sz w:val="24"/>
          <w:szCs w:val="24"/>
        </w:rPr>
        <w:t xml:space="preserve"> </w:t>
      </w:r>
      <w:r w:rsidR="006C6899">
        <w:rPr>
          <w:rFonts w:asciiTheme="majorHAnsi" w:hAnsiTheme="majorHAnsi" w:cstheme="majorHAnsi"/>
          <w:sz w:val="24"/>
          <w:szCs w:val="24"/>
        </w:rPr>
        <w:t>body lengths</w:t>
      </w:r>
      <w:r w:rsidR="002C4466">
        <w:rPr>
          <w:rFonts w:asciiTheme="majorHAnsi" w:hAnsiTheme="majorHAnsi" w:cstheme="majorHAnsi"/>
          <w:sz w:val="24"/>
          <w:szCs w:val="24"/>
        </w:rPr>
        <w:t xml:space="preserve"> ranged from </w:t>
      </w:r>
      <w:r w:rsidR="002F52A4">
        <w:rPr>
          <w:rFonts w:asciiTheme="majorHAnsi" w:hAnsiTheme="majorHAnsi" w:cstheme="majorHAnsi"/>
          <w:sz w:val="24"/>
          <w:szCs w:val="24"/>
        </w:rPr>
        <w:t>2 to 3 inches</w:t>
      </w:r>
      <w:r>
        <w:rPr>
          <w:rFonts w:asciiTheme="majorHAnsi" w:hAnsiTheme="majorHAnsi" w:cstheme="majorHAnsi"/>
          <w:sz w:val="24"/>
          <w:szCs w:val="24"/>
        </w:rPr>
        <w:t xml:space="preserve"> (mean=2.5 inches)</w:t>
      </w:r>
      <w:r w:rsidR="002F52A4">
        <w:rPr>
          <w:rFonts w:asciiTheme="majorHAnsi" w:hAnsiTheme="majorHAnsi" w:cstheme="majorHAnsi"/>
          <w:sz w:val="24"/>
          <w:szCs w:val="24"/>
        </w:rPr>
        <w:t xml:space="preserve"> and </w:t>
      </w:r>
      <w:r w:rsidR="006C6899">
        <w:rPr>
          <w:rFonts w:asciiTheme="majorHAnsi" w:hAnsiTheme="majorHAnsi" w:cstheme="majorHAnsi"/>
          <w:sz w:val="24"/>
          <w:szCs w:val="24"/>
        </w:rPr>
        <w:t>2.</w:t>
      </w:r>
      <w:r>
        <w:rPr>
          <w:rFonts w:asciiTheme="majorHAnsi" w:hAnsiTheme="majorHAnsi" w:cstheme="majorHAnsi"/>
          <w:sz w:val="24"/>
          <w:szCs w:val="24"/>
        </w:rPr>
        <w:t>75</w:t>
      </w:r>
      <w:r w:rsidR="006C6899">
        <w:rPr>
          <w:rFonts w:asciiTheme="majorHAnsi" w:hAnsiTheme="majorHAnsi" w:cstheme="majorHAnsi"/>
          <w:sz w:val="24"/>
          <w:szCs w:val="24"/>
        </w:rPr>
        <w:t xml:space="preserve"> to 4 inches</w:t>
      </w:r>
      <w:r>
        <w:rPr>
          <w:rFonts w:asciiTheme="majorHAnsi" w:hAnsiTheme="majorHAnsi" w:cstheme="majorHAnsi"/>
          <w:sz w:val="24"/>
          <w:szCs w:val="24"/>
        </w:rPr>
        <w:t xml:space="preserve"> (mean=3.5 inches)</w:t>
      </w:r>
      <w:r w:rsidR="002F52A4">
        <w:rPr>
          <w:rFonts w:asciiTheme="majorHAnsi" w:hAnsiTheme="majorHAnsi" w:cstheme="majorHAnsi"/>
          <w:sz w:val="24"/>
          <w:szCs w:val="24"/>
        </w:rPr>
        <w:t xml:space="preserve">, respectively. </w:t>
      </w:r>
      <w:r w:rsidR="006F591B">
        <w:rPr>
          <w:rFonts w:asciiTheme="majorHAnsi" w:hAnsiTheme="majorHAnsi" w:cstheme="majorHAnsi"/>
          <w:sz w:val="24"/>
          <w:szCs w:val="24"/>
        </w:rPr>
        <w:t xml:space="preserve">Spleen, head kidney and heart organs were collected from the first harvest. Spleen and one male gonad were collected </w:t>
      </w:r>
      <w:r w:rsidR="006F591B">
        <w:rPr>
          <w:rFonts w:asciiTheme="majorHAnsi" w:hAnsiTheme="majorHAnsi" w:cstheme="majorHAnsi"/>
          <w:sz w:val="24"/>
          <w:szCs w:val="24"/>
        </w:rPr>
        <w:lastRenderedPageBreak/>
        <w:t xml:space="preserve">from the second harvest. </w:t>
      </w:r>
      <w:r>
        <w:rPr>
          <w:rFonts w:asciiTheme="majorHAnsi" w:hAnsiTheme="majorHAnsi" w:cstheme="majorHAnsi"/>
          <w:sz w:val="24"/>
          <w:szCs w:val="24"/>
        </w:rPr>
        <w:t xml:space="preserve">Eight and </w:t>
      </w:r>
      <w:r w:rsidR="006F591B">
        <w:rPr>
          <w:rFonts w:asciiTheme="majorHAnsi" w:hAnsiTheme="majorHAnsi" w:cstheme="majorHAnsi"/>
          <w:sz w:val="24"/>
          <w:szCs w:val="24"/>
        </w:rPr>
        <w:t>fifteen cell slides were prepared from the first and second harvest, respectively. S</w:t>
      </w:r>
      <w:r w:rsidR="003F5039" w:rsidRPr="00FD21E9">
        <w:rPr>
          <w:rFonts w:asciiTheme="majorHAnsi" w:hAnsiTheme="majorHAnsi" w:cstheme="majorHAnsi"/>
          <w:sz w:val="24"/>
          <w:szCs w:val="24"/>
        </w:rPr>
        <w:t>eventy-five cell images were collected from the three pooled sample sets (mixed sex, males-only, females-only).</w:t>
      </w:r>
      <w:r w:rsidR="00791715">
        <w:rPr>
          <w:rFonts w:asciiTheme="majorHAnsi" w:hAnsiTheme="majorHAnsi" w:cstheme="majorHAnsi"/>
          <w:sz w:val="24"/>
          <w:szCs w:val="24"/>
        </w:rPr>
        <w:t xml:space="preserve"> After quality control filtration to retain only </w:t>
      </w:r>
      <w:r w:rsidR="00791715">
        <w:rPr>
          <w:rFonts w:asciiTheme="majorHAnsi" w:hAnsiTheme="majorHAnsi" w:cstheme="majorHAnsi"/>
          <w:sz w:val="24"/>
          <w:szCs w:val="24"/>
        </w:rPr>
        <w:t>images with intact cells with clearly defined and nonoverlapping chromosomes</w:t>
      </w:r>
      <w:r w:rsidR="00764BAE">
        <w:rPr>
          <w:rFonts w:asciiTheme="majorHAnsi" w:hAnsiTheme="majorHAnsi" w:cstheme="majorHAnsi"/>
          <w:sz w:val="24"/>
          <w:szCs w:val="24"/>
        </w:rPr>
        <w:t>,</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18 cell</w:t>
      </w:r>
      <w:r w:rsidR="00764BAE">
        <w:rPr>
          <w:rFonts w:asciiTheme="majorHAnsi" w:hAnsiTheme="majorHAnsi" w:cstheme="majorHAnsi"/>
          <w:sz w:val="24"/>
          <w:szCs w:val="24"/>
        </w:rPr>
        <w:t xml:space="preserve"> images</w:t>
      </w:r>
      <w:r w:rsidR="003F5039" w:rsidRPr="00FD21E9">
        <w:rPr>
          <w:rFonts w:asciiTheme="majorHAnsi" w:hAnsiTheme="majorHAnsi" w:cstheme="majorHAnsi"/>
          <w:sz w:val="24"/>
          <w:szCs w:val="24"/>
        </w:rPr>
        <w:t xml:space="preserve"> were </w:t>
      </w:r>
      <w:r w:rsidR="00791715">
        <w:rPr>
          <w:rFonts w:asciiTheme="majorHAnsi" w:hAnsiTheme="majorHAnsi" w:cstheme="majorHAnsi"/>
          <w:sz w:val="24"/>
          <w:szCs w:val="24"/>
        </w:rPr>
        <w:t>kept</w:t>
      </w:r>
      <w:r w:rsidR="003F5039" w:rsidRPr="00FD21E9">
        <w:rPr>
          <w:rFonts w:asciiTheme="majorHAnsi" w:hAnsiTheme="majorHAnsi" w:cstheme="majorHAnsi"/>
          <w:sz w:val="24"/>
          <w:szCs w:val="24"/>
        </w:rPr>
        <w:t xml:space="preserve"> for counting</w:t>
      </w:r>
      <w:r w:rsidR="00791715">
        <w:rPr>
          <w:rFonts w:asciiTheme="majorHAnsi" w:hAnsiTheme="majorHAnsi" w:cstheme="majorHAnsi"/>
          <w:sz w:val="24"/>
          <w:szCs w:val="24"/>
        </w:rPr>
        <w:t xml:space="preserve"> </w:t>
      </w:r>
      <w:r w:rsidR="003F5039" w:rsidRPr="00FD21E9">
        <w:rPr>
          <w:rFonts w:asciiTheme="majorHAnsi" w:hAnsiTheme="majorHAnsi" w:cstheme="majorHAnsi"/>
          <w:sz w:val="24"/>
          <w:szCs w:val="24"/>
        </w:rPr>
        <w:t>analysis</w:t>
      </w:r>
      <w:r w:rsidR="00764BAE">
        <w:rPr>
          <w:rFonts w:asciiTheme="majorHAnsi" w:hAnsiTheme="majorHAnsi" w:cstheme="majorHAnsi"/>
          <w:sz w:val="24"/>
          <w:szCs w:val="24"/>
        </w:rPr>
        <w:t>. We</w:t>
      </w:r>
      <w:r w:rsidR="003F5039" w:rsidRPr="00FD21E9">
        <w:rPr>
          <w:rFonts w:asciiTheme="majorHAnsi" w:hAnsiTheme="majorHAnsi" w:cstheme="majorHAnsi"/>
          <w:sz w:val="24"/>
          <w:szCs w:val="24"/>
        </w:rPr>
        <w:t xml:space="preserve"> determined the diploid</w:t>
      </w:r>
      <w:r w:rsidR="00C26B5B">
        <w:rPr>
          <w:rFonts w:asciiTheme="majorHAnsi" w:hAnsiTheme="majorHAnsi" w:cstheme="majorHAnsi"/>
          <w:sz w:val="24"/>
          <w:szCs w:val="24"/>
        </w:rPr>
        <w:t xml:space="preserve"> (2n</w:t>
      </w:r>
      <w:r w:rsidR="003F5039" w:rsidRPr="00FD21E9">
        <w:rPr>
          <w:rFonts w:asciiTheme="majorHAnsi" w:hAnsiTheme="majorHAnsi" w:cstheme="majorHAnsi"/>
          <w:sz w:val="24"/>
          <w:szCs w:val="24"/>
        </w:rPr>
        <w:t xml:space="preserve">) chromosome count for the delta smelt to be 56, with 15 cells exhibiting 2n=56 and 3 cells with </w:t>
      </w:r>
      <w:proofErr w:type="spellStart"/>
      <w:r w:rsidR="003F5039" w:rsidRPr="00FD21E9">
        <w:rPr>
          <w:rFonts w:asciiTheme="majorHAnsi" w:hAnsiTheme="majorHAnsi" w:cstheme="majorHAnsi"/>
          <w:sz w:val="24"/>
          <w:szCs w:val="24"/>
        </w:rPr>
        <w:t>hypomodal</w:t>
      </w:r>
      <w:proofErr w:type="spellEnd"/>
      <w:r w:rsidR="003F5039" w:rsidRPr="00FD21E9">
        <w:rPr>
          <w:rFonts w:asciiTheme="majorHAnsi" w:hAnsiTheme="majorHAnsi" w:cstheme="majorHAnsi"/>
          <w:sz w:val="24"/>
          <w:szCs w:val="24"/>
        </w:rPr>
        <w:t xml:space="preserve"> counts (1 cell with 2n=54, 2 cells with 2n=55</w:t>
      </w:r>
      <w:r w:rsidR="00C26B5B">
        <w:rPr>
          <w:rFonts w:asciiTheme="majorHAnsi" w:hAnsiTheme="majorHAnsi" w:cstheme="majorHAnsi"/>
          <w:sz w:val="24"/>
          <w:szCs w:val="24"/>
        </w:rPr>
        <w:t>)</w:t>
      </w:r>
      <w:r w:rsidR="003F5039" w:rsidRPr="00FD21E9">
        <w:rPr>
          <w:rFonts w:asciiTheme="majorHAnsi" w:hAnsiTheme="majorHAnsi" w:cstheme="majorHAnsi"/>
          <w:sz w:val="24"/>
          <w:szCs w:val="24"/>
        </w:rPr>
        <w:t xml:space="preserve"> </w:t>
      </w:r>
      <w:r w:rsidR="00C26B5B">
        <w:rPr>
          <w:rFonts w:asciiTheme="majorHAnsi" w:hAnsiTheme="majorHAnsi" w:cstheme="majorHAnsi"/>
          <w:sz w:val="24"/>
          <w:szCs w:val="24"/>
        </w:rPr>
        <w:t xml:space="preserve">(Figure 2.8, </w:t>
      </w:r>
      <w:r w:rsidR="003F5039" w:rsidRPr="00FD21E9">
        <w:rPr>
          <w:rFonts w:asciiTheme="majorHAnsi" w:hAnsiTheme="majorHAnsi" w:cstheme="majorHAnsi"/>
          <w:sz w:val="24"/>
          <w:szCs w:val="24"/>
        </w:rPr>
        <w:t xml:space="preserve">Table 2.5). </w:t>
      </w:r>
    </w:p>
    <w:p w14:paraId="128F8D9F" w14:textId="77777777" w:rsidR="003F5039" w:rsidRPr="00FD21E9" w:rsidRDefault="003F5039" w:rsidP="0011235A">
      <w:pPr>
        <w:spacing w:line="240" w:lineRule="auto"/>
        <w:rPr>
          <w:rFonts w:asciiTheme="majorHAnsi" w:hAnsiTheme="majorHAnsi" w:cstheme="majorHAnsi"/>
          <w:sz w:val="24"/>
          <w:szCs w:val="24"/>
        </w:rPr>
      </w:pPr>
    </w:p>
    <w:p w14:paraId="2C92E786" w14:textId="77777777" w:rsidR="003F5039" w:rsidRPr="00FD21E9" w:rsidRDefault="003F5039" w:rsidP="0011235A">
      <w:pPr>
        <w:pStyle w:val="Header"/>
        <w:outlineLvl w:val="1"/>
        <w:rPr>
          <w:rFonts w:asciiTheme="majorHAnsi" w:hAnsiTheme="majorHAnsi" w:cstheme="majorHAnsi"/>
          <w:szCs w:val="24"/>
        </w:rPr>
      </w:pPr>
      <w:bookmarkStart w:id="53" w:name="_Toc113123199"/>
      <w:bookmarkStart w:id="54" w:name="_Toc113273238"/>
      <w:r w:rsidRPr="00FD21E9">
        <w:rPr>
          <w:rFonts w:asciiTheme="majorHAnsi" w:hAnsiTheme="majorHAnsi" w:cstheme="majorHAnsi"/>
          <w:szCs w:val="24"/>
        </w:rPr>
        <w:t>Discussion &amp; Conclusion</w:t>
      </w:r>
      <w:bookmarkEnd w:id="53"/>
      <w:bookmarkEnd w:id="54"/>
    </w:p>
    <w:p w14:paraId="7CFC316C" w14:textId="77777777" w:rsidR="00764BAE" w:rsidRDefault="00764BAE"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primary objective of this chapter was to create a highly contiguous chromosome-scale </w:t>
      </w:r>
      <w:r w:rsidRPr="00FD21E9">
        <w:rPr>
          <w:rFonts w:asciiTheme="majorHAnsi" w:hAnsiTheme="majorHAnsi" w:cstheme="majorHAnsi"/>
          <w:i/>
          <w:iCs/>
          <w:sz w:val="24"/>
          <w:szCs w:val="24"/>
        </w:rPr>
        <w:t>de novo</w:t>
      </w:r>
      <w:r w:rsidRPr="00FD21E9">
        <w:rPr>
          <w:rFonts w:asciiTheme="majorHAnsi" w:hAnsiTheme="majorHAnsi" w:cstheme="majorHAnsi"/>
          <w:sz w:val="24"/>
          <w:szCs w:val="24"/>
        </w:rPr>
        <w:t xml:space="preserve"> genome assembly for use within and beyond the scope of this dissertation. We have achieved two chromosome-scale reference genomes, one for a female fish and one for a male fish, where a chromosome counts of 2n=56 for the species was independently validated by sequencing-free cytogenetic methods. </w:t>
      </w:r>
    </w:p>
    <w:p w14:paraId="21443E08" w14:textId="4147D2E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final total lengths for the male and female assemblies were 0.47</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0.44</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These total lengths are similar to the wakasagi smelt genome (</w:t>
      </w:r>
      <w:r w:rsidRPr="00FD21E9">
        <w:rPr>
          <w:rFonts w:asciiTheme="majorHAnsi" w:hAnsiTheme="majorHAnsi" w:cstheme="majorHAnsi"/>
          <w:i/>
          <w:iCs/>
          <w:sz w:val="24"/>
          <w:szCs w:val="24"/>
        </w:rPr>
        <w:t>Hypomesus nipponensis</w:t>
      </w:r>
      <w:r w:rsidRPr="00FD21E9">
        <w:rPr>
          <w:rFonts w:asciiTheme="majorHAnsi" w:hAnsiTheme="majorHAnsi" w:cstheme="majorHAnsi"/>
          <w:sz w:val="24"/>
          <w:szCs w:val="24"/>
        </w:rPr>
        <w:t>) which has a total length of 0.50</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sidR="00D86949">
        <w:rPr>
          <w:rFonts w:asciiTheme="majorHAnsi" w:hAnsiTheme="majorHAnsi" w:cstheme="majorHAnsi"/>
          <w:sz w:val="24"/>
          <w:szCs w:val="24"/>
        </w:rPr>
        <w:instrText xml:space="preserve"> ADDIN ZOTERO_ITEM CSL_CITATION {"citationID":"LHomXNMi","properties":{"formattedCitation":"(Xuan et al., 2021)","plainCitation":"(Xuan et al., 2021)","noteIndex":0},"citationItems":[{"id":501,"uris":["http://zotero.org/users/local/3tku6QP0/items/I97AMA8Q"],"itemData":{"id":501,"type":"article-journal","container-title":"G3: Genes|Genomes|Genetics","DOI":"10.1093/g3journal/jkab147","language":"en","page":"35","source":"Zotero","title":"Draft Genome of the Korean smelt Hypomesus nipponensis and its transcriptomic","author":[{"family":"Xuan","given":"Biao"},{"family":"Kim","given":"Eun Mi"},{"family":"Song","given":"Mi-Young"},{"family":"Shin","given":"Younhee"},{"family":"Jeon","given":"Ji-Hyeon"},{"family":"Bae","given":"Eun"}],"issued":{"date-parts":[["2021"]]}}}],"schema":"https://github.com/citation-style-language/schema/raw/master/csl-citation.json"} </w:instrText>
      </w:r>
      <w:r w:rsidRPr="00FD21E9">
        <w:rPr>
          <w:rFonts w:asciiTheme="majorHAnsi" w:hAnsiTheme="majorHAnsi" w:cstheme="majorHAnsi"/>
          <w:sz w:val="24"/>
          <w:szCs w:val="24"/>
        </w:rPr>
        <w:fldChar w:fldCharType="separate"/>
      </w:r>
      <w:r w:rsidR="00D86949">
        <w:rPr>
          <w:rFonts w:ascii="Calibri Light" w:hAnsiTheme="majorHAnsi" w:cs="Calibri Light"/>
          <w:sz w:val="24"/>
        </w:rPr>
        <w:t>(Xuan et al., 2021)</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Our final male and female assemblies had 376 and 549 scaffolds with N50’s of 0.12</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and 0.15</w:t>
      </w:r>
      <w:r w:rsidR="0079787C">
        <w:rPr>
          <w:rFonts w:asciiTheme="majorHAnsi" w:hAnsiTheme="majorHAnsi" w:cstheme="majorHAnsi"/>
          <w:sz w:val="24"/>
          <w:szCs w:val="24"/>
        </w:rPr>
        <w:t xml:space="preserve"> </w:t>
      </w:r>
      <w:r w:rsidRPr="00FD21E9">
        <w:rPr>
          <w:rFonts w:asciiTheme="majorHAnsi" w:hAnsiTheme="majorHAnsi" w:cstheme="majorHAnsi"/>
          <w:sz w:val="24"/>
          <w:szCs w:val="24"/>
        </w:rPr>
        <w:t>Gb, respectively. The first 28 contigs, representing the number of haploid chromosomes confirmed by cytogenetic karyotyping, contain 73.3% and 81.6% of the sequencing data of total assemblies in male and females, respectively. The delta smelt reference assemblies are roughly 25-30 times more contiguous tha</w:t>
      </w:r>
      <w:r w:rsidR="0079787C">
        <w:rPr>
          <w:rFonts w:asciiTheme="majorHAnsi" w:hAnsiTheme="majorHAnsi" w:cstheme="majorHAnsi"/>
          <w:sz w:val="24"/>
          <w:szCs w:val="24"/>
        </w:rPr>
        <w:t>n</w:t>
      </w:r>
      <w:r w:rsidRPr="00FD21E9">
        <w:rPr>
          <w:rFonts w:asciiTheme="majorHAnsi" w:hAnsiTheme="majorHAnsi" w:cstheme="majorHAnsi"/>
          <w:sz w:val="24"/>
          <w:szCs w:val="24"/>
        </w:rPr>
        <w:t xml:space="preserve"> the previously published </w:t>
      </w:r>
      <w:r w:rsidRPr="00FD21E9">
        <w:rPr>
          <w:rFonts w:asciiTheme="majorHAnsi" w:hAnsiTheme="majorHAnsi" w:cstheme="majorHAnsi"/>
          <w:i/>
          <w:iCs/>
          <w:sz w:val="24"/>
          <w:szCs w:val="24"/>
        </w:rPr>
        <w:t xml:space="preserve">H. </w:t>
      </w:r>
      <w:proofErr w:type="spellStart"/>
      <w:r w:rsidRPr="00FD21E9">
        <w:rPr>
          <w:rFonts w:asciiTheme="majorHAnsi" w:hAnsiTheme="majorHAnsi" w:cstheme="majorHAnsi"/>
          <w:i/>
          <w:iCs/>
          <w:sz w:val="24"/>
          <w:szCs w:val="24"/>
        </w:rPr>
        <w:t>niponnensis</w:t>
      </w:r>
      <w:proofErr w:type="spellEnd"/>
      <w:r w:rsidRPr="00FD21E9">
        <w:rPr>
          <w:rFonts w:asciiTheme="majorHAnsi" w:hAnsiTheme="majorHAnsi" w:cstheme="majorHAnsi"/>
          <w:sz w:val="24"/>
          <w:szCs w:val="24"/>
        </w:rPr>
        <w:t xml:space="preserve"> assembly and our final male assembly contained 88.4% and final female contained 89.3% of core genes expected in the </w:t>
      </w:r>
      <w:r w:rsidRPr="00FD21E9">
        <w:rPr>
          <w:rFonts w:asciiTheme="majorHAnsi" w:hAnsiTheme="majorHAnsi" w:cstheme="majorHAnsi"/>
          <w:i/>
          <w:iCs/>
          <w:sz w:val="24"/>
          <w:szCs w:val="24"/>
        </w:rPr>
        <w:t>Actinopterygii</w:t>
      </w:r>
      <w:r w:rsidRPr="00FD21E9">
        <w:rPr>
          <w:rFonts w:asciiTheme="majorHAnsi" w:hAnsiTheme="majorHAnsi" w:cstheme="majorHAnsi"/>
          <w:sz w:val="24"/>
          <w:szCs w:val="24"/>
        </w:rPr>
        <w:t xml:space="preserve"> BUSCO database. As such, our reference genomes provide a strong foundation for the future of delta smelt and evolutionary genomic research.</w:t>
      </w:r>
    </w:p>
    <w:p w14:paraId="520C742C" w14:textId="7B7308C9" w:rsidR="003F5039" w:rsidRPr="00FD21E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The male assembly is roughly 0.03</w:t>
      </w:r>
      <w:r w:rsidR="007373D1">
        <w:rPr>
          <w:rFonts w:asciiTheme="majorHAnsi" w:hAnsiTheme="majorHAnsi" w:cstheme="majorHAnsi"/>
          <w:sz w:val="24"/>
          <w:szCs w:val="24"/>
        </w:rPr>
        <w:t xml:space="preserve"> </w:t>
      </w:r>
      <w:r w:rsidRPr="00FD21E9">
        <w:rPr>
          <w:rFonts w:asciiTheme="majorHAnsi" w:hAnsiTheme="majorHAnsi" w:cstheme="majorHAnsi"/>
          <w:sz w:val="24"/>
          <w:szCs w:val="24"/>
        </w:rPr>
        <w:t xml:space="preserve">Gb, or 8.0% longer than the female assembly and has a 5.6% increase of double-copy genes. These double-copy genes may account for the longer assembly length. Alternatively, or perhaps additionally, the male genome may have male specific sequences, such as a sex chromosome, which we could </w:t>
      </w:r>
      <w:r w:rsidR="007373D1">
        <w:rPr>
          <w:rFonts w:asciiTheme="majorHAnsi" w:hAnsiTheme="majorHAnsi" w:cstheme="majorHAnsi"/>
          <w:sz w:val="24"/>
          <w:szCs w:val="24"/>
        </w:rPr>
        <w:t>detect</w:t>
      </w:r>
      <w:r w:rsidRPr="00FD21E9">
        <w:rPr>
          <w:rFonts w:asciiTheme="majorHAnsi" w:hAnsiTheme="majorHAnsi" w:cstheme="majorHAnsi"/>
          <w:sz w:val="24"/>
          <w:szCs w:val="24"/>
        </w:rPr>
        <w:t xml:space="preserve"> in our cytogenetic work.</w:t>
      </w:r>
    </w:p>
    <w:p w14:paraId="42D1AFD3" w14:textId="30B0B295" w:rsidR="003F5039" w:rsidRDefault="003F5039"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Our two reference genomes were published to NCBI with GenBank assembly accession numbers GCA_021917145.1 (female) and GCA_021870715.1 (male) on February 02, </w:t>
      </w:r>
      <w:r w:rsidR="003037E2" w:rsidRPr="00FD21E9">
        <w:rPr>
          <w:rFonts w:asciiTheme="majorHAnsi" w:hAnsiTheme="majorHAnsi" w:cstheme="majorHAnsi"/>
          <w:sz w:val="24"/>
          <w:szCs w:val="24"/>
        </w:rPr>
        <w:t>2022,</w:t>
      </w:r>
      <w:r w:rsidRPr="00FD21E9">
        <w:rPr>
          <w:rFonts w:asciiTheme="majorHAnsi" w:hAnsiTheme="majorHAnsi" w:cstheme="majorHAnsi"/>
          <w:sz w:val="24"/>
          <w:szCs w:val="24"/>
        </w:rPr>
        <w:t xml:space="preserve"> and February 03, 2022, respectively and the more contiguous female genome has subsequently annotated by the NCBI Eukaryotic Genome Annotation Pipeline. </w:t>
      </w:r>
    </w:p>
    <w:p w14:paraId="21CB257D" w14:textId="149ECE6E" w:rsidR="000C33D6" w:rsidRDefault="000C33D6" w:rsidP="0011235A">
      <w:pPr>
        <w:spacing w:line="240" w:lineRule="auto"/>
        <w:rPr>
          <w:rFonts w:asciiTheme="majorHAnsi" w:hAnsiTheme="majorHAnsi" w:cstheme="majorHAnsi"/>
          <w:sz w:val="24"/>
          <w:szCs w:val="24"/>
        </w:rPr>
      </w:pPr>
      <w:r w:rsidRPr="00FD21E9">
        <w:rPr>
          <w:rFonts w:asciiTheme="majorHAnsi" w:hAnsiTheme="majorHAnsi" w:cstheme="majorHAnsi"/>
          <w:sz w:val="24"/>
          <w:szCs w:val="24"/>
        </w:rPr>
        <w:t xml:space="preserve">The diploid chromosome number of 56 for delta smelt </w:t>
      </w:r>
      <w:r>
        <w:rPr>
          <w:rFonts w:asciiTheme="majorHAnsi" w:hAnsiTheme="majorHAnsi" w:cstheme="majorHAnsi"/>
          <w:sz w:val="24"/>
          <w:szCs w:val="24"/>
        </w:rPr>
        <w:t>revealed by</w:t>
      </w:r>
      <w:r w:rsidRPr="00FD21E9">
        <w:rPr>
          <w:rFonts w:asciiTheme="majorHAnsi" w:hAnsiTheme="majorHAnsi" w:cstheme="majorHAnsi"/>
          <w:sz w:val="24"/>
          <w:szCs w:val="24"/>
        </w:rPr>
        <w:t xml:space="preserve"> our karyotyping aligns with those reported for other smelt species, 2n=54, 56 or 58 for European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{"citationID":"lXut5gfr","properties":{"formattedCitation":"(Nygren et al., 1971; Ocalewicz et al., 2007)","plainCitation":"(Nygren et al., 1971; Ocalewicz et al., 2007)","noteIndex":0},"citationItems":[{"id":496,"uris":["http://zotero.org/users/local/3tku6QP0/items/44HS34AW"],"itemData":{"id":496,"type":"article-journal","container-title":"Hereditas","DOI":"10.1111/j.1601-5223.1971.tb02381.x","ISSN":"00180661","issue":"2","language":"en","page":"283-286","source":"DOI.org (Crossref)","title":"Cytological studies in the smelt (Osmerus eperlanus L.)","volume":"67","author":[{"family":"Nygren","given":"Axel"},{"family":"Nilsson","given":"Birgit"},{"family":"Jahnke","given":"Margarete"}],"issued":{"date-parts":[["1971"]]}}},{"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(Nygren et al., 1971;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and 2n=56 for pond smelt</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{"citationID":"isNNQCcP","properties":{"formattedCitation":"(Kitada et al., 1980)","plainCitation":"(Kitada et al., 1980)","noteIndex":0},"citationItems":[{"id":493,"uris":["http://zotero.org/users/local/3tku6QP0/items/NSNAJYQZ"],"itemData":{"id":493,"type":"article-journal","container-title":"Chrom. Inform. Serv.","page":"8-9","title":"Chromosomes of the pond smelt Hypomesus transpacificus nipponensis","volume":"28","author":[{"family":"Kitada","given":"J"},{"family":"Tatewaki","given":"R"},{"family":"Tagawa","given":"M"}],"issued":{"date-parts":[["1980"]]}}}],"schema":"https://github.com/citation-style-language/schema/raw/master/csl-citation.json"}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(Kitada et al., 1980)</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As others have noted, Robertsonian fusions/fissions of chromosomes (</w:t>
      </w:r>
      <w:proofErr w:type="spellStart"/>
      <w:r w:rsidRPr="00FD21E9">
        <w:rPr>
          <w:rFonts w:asciiTheme="majorHAnsi" w:hAnsiTheme="majorHAnsi" w:cstheme="majorHAnsi"/>
          <w:sz w:val="24"/>
          <w:szCs w:val="24"/>
        </w:rPr>
        <w:t>acrocentrics</w:t>
      </w:r>
      <w:proofErr w:type="spellEnd"/>
      <w:r w:rsidRPr="00FD21E9">
        <w:rPr>
          <w:rFonts w:asciiTheme="majorHAnsi" w:hAnsiTheme="majorHAnsi" w:cstheme="majorHAnsi"/>
          <w:sz w:val="24"/>
          <w:szCs w:val="24"/>
        </w:rPr>
        <w:t xml:space="preserve"> fusing to form </w:t>
      </w:r>
      <w:proofErr w:type="spellStart"/>
      <w:r w:rsidRPr="00FD21E9">
        <w:rPr>
          <w:rFonts w:asciiTheme="majorHAnsi" w:hAnsiTheme="majorHAnsi" w:cstheme="majorHAnsi"/>
          <w:sz w:val="24"/>
          <w:szCs w:val="24"/>
        </w:rPr>
        <w:t>metacentrics</w:t>
      </w:r>
      <w:proofErr w:type="spellEnd"/>
      <w:r w:rsidRPr="00FD21E9">
        <w:rPr>
          <w:rFonts w:asciiTheme="majorHAnsi" w:hAnsiTheme="majorHAnsi" w:cstheme="majorHAnsi"/>
          <w:sz w:val="24"/>
          <w:szCs w:val="24"/>
        </w:rPr>
        <w:t xml:space="preserve"> or vice versa) may be the source of the karyotype variation, which is also the basis for karyotype variation observed within and among salmonid species</w:t>
      </w:r>
      <w:r>
        <w:rPr>
          <w:rFonts w:asciiTheme="majorHAnsi" w:hAnsiTheme="majorHAnsi" w:cstheme="majorHAnsi"/>
          <w:sz w:val="24"/>
          <w:szCs w:val="24"/>
        </w:rPr>
        <w:t xml:space="preserve"> </w:t>
      </w:r>
      <w:r w:rsidRPr="00FD21E9">
        <w:rPr>
          <w:rFonts w:asciiTheme="majorHAnsi" w:hAnsiTheme="majorHAnsi" w:cstheme="majorHAnsi"/>
          <w:sz w:val="24"/>
          <w:szCs w:val="24"/>
        </w:rPr>
        <w:fldChar w:fldCharType="begin"/>
      </w:r>
      <w:r>
        <w:rPr>
          <w:rFonts w:asciiTheme="majorHAnsi" w:hAnsiTheme="majorHAnsi" w:cstheme="majorHAnsi"/>
          <w:sz w:val="24"/>
          <w:szCs w:val="24"/>
        </w:rPr>
        <w:instrText xml:space="preserve"> ADDIN ZOTERO_ITEM CSL_CITATION {"citationID":"tUelmuHF","properties":{"formattedCitation":"(Hartley, 1987; Ocalewicz et al., 2007)","plainCitation":"(Hartley, 1987; Ocalewicz et al., 2007)","noteIndex":0},"citationItems":[{"id":497,"uris":["http://zotero.org/users/local/3tku6QP0/items/278C2NYA"],"itemData":{"id":497,"type":"article-journal","container-title":"Genetica","DOI":"10.1007/s10709-006-9110-9","ISSN":"0016-6707, 1573-6857","issue":"1","journalAbbreviation":"Genetica","language":"en","page":"29-35","source":"DOI.org (Crossref)","title":"Karyotype and chromosomal characteristics of Ag–NOR sites and 5S rDNA in European smelt, Osmerus eperlanus","volume":"131","author":[{"family":"Ocalewicz","given":"K."},{"family":"Hliwa","given":"P."},{"family":"Krol","given":"J."},{"family":"Rábová","given":"M."},{"family":"Stabinski","given":"R."},{"family":"Ráb","given":"P."}],"issued":{"date-parts":[["2007",7,26]]}}},{"id":499,"uris":["http://zotero.org/users/local/3tku6QP0/items/CEEW65XW"],"itemData":{"id":499,"type":"article-journal","container-title":"Biological Reviews","DOI":"10.1111/j.1469-185X.1987.tb00663.x","ISSN":"1464-7931, 1469-185X","issue":"3","journalAbbreviation":"Biological Reviews","language":"en","page":"197-214","source":"DOI.org (Crossref)","title":"THE CHROMOSOMES OF SALMONID FISHES","volume":"62","author":[{"family":"Hartley","given":"S. E."}],"issued":{"date-parts":[["1987",8]]}}}],"schema":"https://github.com/citation-style-language/schema/raw/master/csl-citation.json"} </w:instrText>
      </w:r>
      <w:r w:rsidRPr="00FD21E9">
        <w:rPr>
          <w:rFonts w:asciiTheme="majorHAnsi" w:hAnsiTheme="majorHAnsi" w:cstheme="majorHAnsi"/>
          <w:sz w:val="24"/>
          <w:szCs w:val="24"/>
        </w:rPr>
        <w:fldChar w:fldCharType="separate"/>
      </w:r>
      <w:r>
        <w:rPr>
          <w:rFonts w:ascii="Calibri Light" w:hAnsiTheme="majorHAnsi" w:cs="Calibri Light"/>
          <w:sz w:val="24"/>
        </w:rPr>
        <w:t>(Hartley, 1987; Ocalewicz et al., 2007)</w:t>
      </w:r>
      <w:r w:rsidRPr="00FD21E9">
        <w:rPr>
          <w:rFonts w:asciiTheme="majorHAnsi" w:hAnsiTheme="majorHAnsi" w:cstheme="majorHAnsi"/>
          <w:sz w:val="24"/>
          <w:szCs w:val="24"/>
        </w:rPr>
        <w:fldChar w:fldCharType="end"/>
      </w:r>
      <w:r w:rsidRPr="00FD21E9">
        <w:rPr>
          <w:rFonts w:asciiTheme="majorHAnsi" w:hAnsiTheme="majorHAnsi" w:cstheme="majorHAnsi"/>
          <w:sz w:val="24"/>
          <w:szCs w:val="24"/>
        </w:rPr>
        <w:t xml:space="preserve">. No sex chromosomes have been reported to date for those smelts studied cytogenetically, and here we </w:t>
      </w:r>
      <w:r w:rsidRPr="00FD21E9">
        <w:rPr>
          <w:rFonts w:asciiTheme="majorHAnsi" w:hAnsiTheme="majorHAnsi" w:cstheme="majorHAnsi"/>
          <w:sz w:val="24"/>
          <w:szCs w:val="24"/>
        </w:rPr>
        <w:lastRenderedPageBreak/>
        <w:t>found no evidence for sex-specific chromosomes although a more detailed study is necessary given the small sample size and low resolution of images. Similar to reports</w:t>
      </w:r>
      <w:r>
        <w:rPr>
          <w:rFonts w:asciiTheme="majorHAnsi" w:hAnsiTheme="majorHAnsi" w:cstheme="majorHAnsi"/>
          <w:sz w:val="24"/>
          <w:szCs w:val="24"/>
        </w:rPr>
        <w:t xml:space="preserve"> from other smelt species</w:t>
      </w:r>
      <w:r w:rsidRPr="00FD21E9">
        <w:rPr>
          <w:rFonts w:asciiTheme="majorHAnsi" w:hAnsiTheme="majorHAnsi" w:cstheme="majorHAnsi"/>
          <w:sz w:val="24"/>
          <w:szCs w:val="24"/>
        </w:rPr>
        <w:t xml:space="preserve">, we note a preponderance of </w:t>
      </w:r>
      <w:proofErr w:type="spellStart"/>
      <w:r w:rsidRPr="00FD21E9">
        <w:rPr>
          <w:rFonts w:asciiTheme="majorHAnsi" w:hAnsiTheme="majorHAnsi" w:cstheme="majorHAnsi"/>
          <w:sz w:val="24"/>
          <w:szCs w:val="24"/>
        </w:rPr>
        <w:t>subt</w:t>
      </w:r>
      <w:r>
        <w:rPr>
          <w:rFonts w:asciiTheme="majorHAnsi" w:hAnsiTheme="majorHAnsi" w:cstheme="majorHAnsi"/>
          <w:sz w:val="24"/>
          <w:szCs w:val="24"/>
        </w:rPr>
        <w:t>e</w:t>
      </w:r>
      <w:r w:rsidRPr="00FD21E9">
        <w:rPr>
          <w:rFonts w:asciiTheme="majorHAnsi" w:hAnsiTheme="majorHAnsi" w:cstheme="majorHAnsi"/>
          <w:sz w:val="24"/>
          <w:szCs w:val="24"/>
        </w:rPr>
        <w:t>locentric</w:t>
      </w:r>
      <w:proofErr w:type="spellEnd"/>
      <w:r w:rsidRPr="00FD21E9">
        <w:rPr>
          <w:rFonts w:asciiTheme="majorHAnsi" w:hAnsiTheme="majorHAnsi" w:cstheme="majorHAnsi"/>
          <w:sz w:val="24"/>
          <w:szCs w:val="24"/>
        </w:rPr>
        <w:t>/acrocentric chromosome pairs over metacentric chromosome pair</w:t>
      </w:r>
      <w:r>
        <w:rPr>
          <w:rFonts w:asciiTheme="majorHAnsi" w:hAnsiTheme="majorHAnsi" w:cstheme="majorHAnsi"/>
          <w:sz w:val="24"/>
          <w:szCs w:val="24"/>
        </w:rPr>
        <w:t>s</w:t>
      </w:r>
      <w:r w:rsidRPr="00FD21E9">
        <w:rPr>
          <w:rFonts w:asciiTheme="majorHAnsi" w:hAnsiTheme="majorHAnsi" w:cstheme="majorHAnsi"/>
          <w:sz w:val="24"/>
          <w:szCs w:val="24"/>
        </w:rPr>
        <w:t>, as one might expect for closely related species. Chromosome composition is a descriptive metric, and our findings did not alter or affect our genome assembly process.</w:t>
      </w:r>
    </w:p>
    <w:p w14:paraId="522C01BB" w14:textId="78338CF6" w:rsidR="00081378" w:rsidRDefault="00830624" w:rsidP="0011235A">
      <w:pPr>
        <w:spacing w:line="240" w:lineRule="auto"/>
        <w:rPr>
          <w:rFonts w:asciiTheme="majorHAnsi" w:hAnsiTheme="majorHAnsi" w:cstheme="majorHAnsi"/>
          <w:sz w:val="24"/>
          <w:szCs w:val="24"/>
        </w:rPr>
      </w:pPr>
      <w:r>
        <w:rPr>
          <w:rFonts w:asciiTheme="majorHAnsi" w:hAnsiTheme="majorHAnsi" w:cstheme="majorHAnsi"/>
          <w:sz w:val="24"/>
          <w:szCs w:val="24"/>
        </w:rPr>
        <w:t>This</w:t>
      </w:r>
      <w:r w:rsidR="00081378">
        <w:rPr>
          <w:rFonts w:asciiTheme="majorHAnsi" w:hAnsiTheme="majorHAnsi" w:cstheme="majorHAnsi"/>
          <w:sz w:val="24"/>
          <w:szCs w:val="24"/>
        </w:rPr>
        <w:t xml:space="preserve"> </w:t>
      </w:r>
      <w:r w:rsidR="00ED58FF">
        <w:rPr>
          <w:rFonts w:asciiTheme="majorHAnsi" w:hAnsiTheme="majorHAnsi" w:cstheme="majorHAnsi"/>
          <w:sz w:val="24"/>
          <w:szCs w:val="24"/>
        </w:rPr>
        <w:t>high-quality</w:t>
      </w:r>
      <w:r>
        <w:rPr>
          <w:rFonts w:asciiTheme="majorHAnsi" w:hAnsiTheme="majorHAnsi" w:cstheme="majorHAnsi"/>
          <w:sz w:val="24"/>
          <w:szCs w:val="24"/>
        </w:rPr>
        <w:t xml:space="preserve"> reference genome provides a valuable resource for smelt conservation research. It is the most contiguous assembled smelt genome publicly available</w:t>
      </w:r>
      <w:r w:rsidR="00081378">
        <w:rPr>
          <w:rFonts w:asciiTheme="majorHAnsi" w:hAnsiTheme="majorHAnsi" w:cstheme="majorHAnsi"/>
          <w:sz w:val="24"/>
          <w:szCs w:val="24"/>
        </w:rPr>
        <w:t xml:space="preserve">, may be broadly </w:t>
      </w:r>
      <w:r w:rsidR="006B6CB5">
        <w:rPr>
          <w:rFonts w:asciiTheme="majorHAnsi" w:hAnsiTheme="majorHAnsi" w:cstheme="majorHAnsi"/>
          <w:sz w:val="24"/>
          <w:szCs w:val="24"/>
        </w:rPr>
        <w:t xml:space="preserve">and specifically. At the broadest level, this chromosome level genome provides a resource for evolutionary studies across the tree of life (TKTK CITE EBGP). Within the </w:t>
      </w:r>
      <w:proofErr w:type="spellStart"/>
      <w:r w:rsidR="006B6CB5">
        <w:rPr>
          <w:rFonts w:asciiTheme="majorHAnsi" w:hAnsiTheme="majorHAnsi" w:cstheme="majorHAnsi"/>
          <w:sz w:val="24"/>
          <w:szCs w:val="24"/>
        </w:rPr>
        <w:t>Osmeridae</w:t>
      </w:r>
      <w:proofErr w:type="spellEnd"/>
      <w:r w:rsidR="006B6CB5">
        <w:rPr>
          <w:rFonts w:asciiTheme="majorHAnsi" w:hAnsiTheme="majorHAnsi" w:cstheme="majorHAnsi"/>
          <w:sz w:val="24"/>
          <w:szCs w:val="24"/>
        </w:rPr>
        <w:t xml:space="preserve"> family, it can </w:t>
      </w:r>
      <w:r w:rsidR="00081378">
        <w:rPr>
          <w:rFonts w:asciiTheme="majorHAnsi" w:hAnsiTheme="majorHAnsi" w:cstheme="majorHAnsi"/>
          <w:sz w:val="24"/>
          <w:szCs w:val="24"/>
        </w:rPr>
        <w:t>used as a reference genome for other listed</w:t>
      </w:r>
      <w:r w:rsidR="006B6CB5">
        <w:rPr>
          <w:rFonts w:asciiTheme="majorHAnsi" w:hAnsiTheme="majorHAnsi" w:cstheme="majorHAnsi"/>
          <w:sz w:val="24"/>
          <w:szCs w:val="24"/>
        </w:rPr>
        <w:t>,</w:t>
      </w:r>
      <w:r w:rsidR="00081378">
        <w:rPr>
          <w:rFonts w:asciiTheme="majorHAnsi" w:hAnsiTheme="majorHAnsi" w:cstheme="majorHAnsi"/>
          <w:sz w:val="24"/>
          <w:szCs w:val="24"/>
        </w:rPr>
        <w:t xml:space="preserve"> </w:t>
      </w:r>
      <w:r w:rsidR="003037E2">
        <w:rPr>
          <w:rFonts w:asciiTheme="majorHAnsi" w:hAnsiTheme="majorHAnsi" w:cstheme="majorHAnsi"/>
          <w:sz w:val="24"/>
          <w:szCs w:val="24"/>
        </w:rPr>
        <w:t>vulnerable,</w:t>
      </w:r>
      <w:r w:rsidR="006B6CB5">
        <w:rPr>
          <w:rFonts w:asciiTheme="majorHAnsi" w:hAnsiTheme="majorHAnsi" w:cstheme="majorHAnsi"/>
          <w:sz w:val="24"/>
          <w:szCs w:val="24"/>
        </w:rPr>
        <w:t xml:space="preserve"> or declining species</w:t>
      </w:r>
      <w:r w:rsidR="00081378">
        <w:rPr>
          <w:rFonts w:asciiTheme="majorHAnsi" w:hAnsiTheme="majorHAnsi" w:cstheme="majorHAnsi"/>
          <w:sz w:val="24"/>
          <w:szCs w:val="24"/>
        </w:rPr>
        <w:t>, such as longfin smelt</w:t>
      </w:r>
      <w:r w:rsidR="006B6CB5">
        <w:rPr>
          <w:rFonts w:asciiTheme="majorHAnsi" w:hAnsiTheme="majorHAnsi" w:cstheme="majorHAnsi"/>
          <w:sz w:val="24"/>
          <w:szCs w:val="24"/>
        </w:rPr>
        <w:t>. Specifically, to delta smelt</w:t>
      </w:r>
      <w:r w:rsidR="00081378">
        <w:rPr>
          <w:rFonts w:asciiTheme="majorHAnsi" w:hAnsiTheme="majorHAnsi" w:cstheme="majorHAnsi"/>
          <w:sz w:val="24"/>
          <w:szCs w:val="24"/>
        </w:rPr>
        <w:t xml:space="preserve"> </w:t>
      </w:r>
      <w:r w:rsidR="006B6CB5">
        <w:rPr>
          <w:rFonts w:asciiTheme="majorHAnsi" w:hAnsiTheme="majorHAnsi" w:cstheme="majorHAnsi"/>
          <w:sz w:val="24"/>
          <w:szCs w:val="24"/>
        </w:rPr>
        <w:t>this genome tool</w:t>
      </w:r>
      <w:r w:rsidR="00081378">
        <w:rPr>
          <w:rFonts w:asciiTheme="majorHAnsi" w:hAnsiTheme="majorHAnsi" w:cstheme="majorHAnsi"/>
          <w:sz w:val="24"/>
          <w:szCs w:val="24"/>
        </w:rPr>
        <w:t xml:space="preserve"> has already been </w:t>
      </w:r>
      <w:r>
        <w:rPr>
          <w:rFonts w:asciiTheme="majorHAnsi" w:hAnsiTheme="majorHAnsi" w:cstheme="majorHAnsi"/>
          <w:sz w:val="24"/>
          <w:szCs w:val="24"/>
        </w:rPr>
        <w:t xml:space="preserve">used to identify </w:t>
      </w:r>
      <w:r w:rsidR="00081378">
        <w:rPr>
          <w:rFonts w:asciiTheme="majorHAnsi" w:hAnsiTheme="majorHAnsi" w:cstheme="majorHAnsi"/>
          <w:sz w:val="24"/>
          <w:szCs w:val="24"/>
        </w:rPr>
        <w:t xml:space="preserve">associations between </w:t>
      </w:r>
      <w:r w:rsidR="00B67D9A">
        <w:rPr>
          <w:rFonts w:asciiTheme="majorHAnsi" w:hAnsiTheme="majorHAnsi" w:cstheme="majorHAnsi"/>
          <w:sz w:val="24"/>
          <w:szCs w:val="24"/>
        </w:rPr>
        <w:t xml:space="preserve">non-neutral </w:t>
      </w:r>
      <w:r w:rsidR="00081378">
        <w:rPr>
          <w:rFonts w:asciiTheme="majorHAnsi" w:hAnsiTheme="majorHAnsi" w:cstheme="majorHAnsi"/>
          <w:sz w:val="24"/>
          <w:szCs w:val="24"/>
        </w:rPr>
        <w:t xml:space="preserve">genetic variants and life history phenotypes in delta smelt </w:t>
      </w:r>
      <w:r w:rsidR="005B2580">
        <w:rPr>
          <w:rFonts w:asciiTheme="majorHAnsi" w:hAnsiTheme="majorHAnsi" w:cstheme="majorHAnsi"/>
          <w:sz w:val="24"/>
          <w:szCs w:val="24"/>
        </w:rPr>
        <w:fldChar w:fldCharType="begin"/>
      </w:r>
      <w:r w:rsidR="005B2580">
        <w:rPr>
          <w:rFonts w:asciiTheme="majorHAnsi" w:hAnsiTheme="majorHAnsi" w:cstheme="majorHAnsi"/>
          <w:sz w:val="24"/>
          <w:szCs w:val="24"/>
        </w:rPr>
        <w:instrText xml:space="preserve"> ADDIN ZOTERO_ITEM CSL_CITATION {"citationID":"2zllvj9j","properties":{"formattedCitation":"(Campbell et al., 2022)","plainCitation":"(Campbell et al., 2022)","noteIndex":0},"citationItems":[{"id":579,"uris":["http://zotero.org/users/local/3tku6QP0/items/CAYCDWGR"],"itemData":{"id":579,"type":"article-journal","abstract":"Migration is a complex phenotypic trait with some species containing migratory and nonmigratory individuals. Such life history variation may be attributed in part to plasticity, epigenetics, or genetics. Although considered semianadromous, recent studies using otolith geochemistry have revealed life history variation within the critically endangered Delta Smelt. Broadly categorizable as migratory or freshwater residents, we examined Restriction site Associated DNA sequencing data to test for a relationship between genetic variation and migratory behaviors. As previously shown, we found no evidence for neutral population genetic structure within Delta Smelt; however, we found signiﬁcant evidence for associations between genetic variants and life history phenotypes. Furthermore, discriminant analysis of principal components, hierarchical clustering, and machine learning resulted in accurate assignment of ﬁsh into the freshwater resident or migratory classes based on their genotypes. These results suggest the presence of adaptive genetic variants relating to life history variation within a panmictic population. Mechanisms that may lead to this observation are genotype dependent habitat choice and spatially variable selection, both of which could operate each generation and are not exclusive. Given that the population of cultured Delta Smelt are being used as a refugial population for conservation, as a supply for wild population supplementation, and currently represent the majority of all living individuals of this species, we recommend that the hatchery management strategy consider the frequencies of life history-associated alleles and how to maintain this important aspect of Delta Smelt biological variation while under captive propagation.","container-title":"G3 Genes|Genomes|Genetics","DOI":"10.1093/g3journal/jkac133","ISSN":"2160-1836","issue":"8","language":"en","page":"jkac133","source":"DOI.org (Crossref)","title":"Polygenic discrimination of migratory phenotypes in an estuarine forage fish","volume":"12","author":[{"family":"Campbell","given":"Matthew A"},{"family":"Joslin","given":"Shannon E K"},{"family":"Goodbla","given":"Alisha M"},{"family":"Willmes","given":"Malte"},{"family":"Hobbs","given":"James A"},{"family":"Lewis","given":"Levi S"},{"family":"Finger","given":"Amanda J"}],"editor":[{"family":"Tachida","given":"H"}],"issued":{"date-parts":[["2022",7,29]]}}}],"schema":"https://github.com/citation-style-language/schema/raw/master/csl-citation.json"} </w:instrText>
      </w:r>
      <w:r w:rsidR="005B2580">
        <w:rPr>
          <w:rFonts w:asciiTheme="majorHAnsi" w:hAnsiTheme="majorHAnsi" w:cstheme="majorHAnsi"/>
          <w:sz w:val="24"/>
          <w:szCs w:val="24"/>
        </w:rPr>
        <w:fldChar w:fldCharType="separate"/>
      </w:r>
      <w:r w:rsidR="005B2580">
        <w:rPr>
          <w:rFonts w:asciiTheme="majorHAnsi" w:hAnsiTheme="majorHAnsi" w:cstheme="majorHAnsi"/>
          <w:noProof/>
          <w:sz w:val="24"/>
          <w:szCs w:val="24"/>
        </w:rPr>
        <w:t>(Campbell et al., 2022)</w:t>
      </w:r>
      <w:r w:rsidR="005B2580">
        <w:rPr>
          <w:rFonts w:asciiTheme="majorHAnsi" w:hAnsiTheme="majorHAnsi" w:cstheme="majorHAnsi"/>
          <w:sz w:val="24"/>
          <w:szCs w:val="24"/>
        </w:rPr>
        <w:fldChar w:fldCharType="end"/>
      </w:r>
      <w:r w:rsidR="005B2580">
        <w:rPr>
          <w:rFonts w:asciiTheme="majorHAnsi" w:hAnsiTheme="majorHAnsi" w:cstheme="majorHAnsi"/>
          <w:sz w:val="24"/>
          <w:szCs w:val="24"/>
        </w:rPr>
        <w:t xml:space="preserve">. </w:t>
      </w:r>
      <w:r w:rsidR="00A7543D">
        <w:rPr>
          <w:rFonts w:asciiTheme="majorHAnsi" w:hAnsiTheme="majorHAnsi" w:cstheme="majorHAnsi"/>
          <w:sz w:val="24"/>
          <w:szCs w:val="24"/>
        </w:rPr>
        <w:t>Since captive population of delta smelt are being used as a source for supplementation of the wild population and currently represent</w:t>
      </w:r>
      <w:r w:rsidR="003037E2">
        <w:rPr>
          <w:rFonts w:asciiTheme="majorHAnsi" w:hAnsiTheme="majorHAnsi" w:cstheme="majorHAnsi"/>
          <w:sz w:val="24"/>
          <w:szCs w:val="24"/>
        </w:rPr>
        <w:t>s</w:t>
      </w:r>
      <w:r w:rsidR="00A7543D">
        <w:rPr>
          <w:rFonts w:asciiTheme="majorHAnsi" w:hAnsiTheme="majorHAnsi" w:cstheme="majorHAnsi"/>
          <w:sz w:val="24"/>
          <w:szCs w:val="24"/>
        </w:rPr>
        <w:t xml:space="preserve"> the majority of all living individuals of the species, this genome provides a powerful resource to develop hatchery management strategies to best support </w:t>
      </w:r>
      <w:r w:rsidR="00ED58FF">
        <w:rPr>
          <w:rFonts w:asciiTheme="majorHAnsi" w:hAnsiTheme="majorHAnsi" w:cstheme="majorHAnsi"/>
          <w:sz w:val="24"/>
          <w:szCs w:val="24"/>
        </w:rPr>
        <w:t>adaptive genetic</w:t>
      </w:r>
      <w:r w:rsidR="00A7543D">
        <w:rPr>
          <w:rFonts w:asciiTheme="majorHAnsi" w:hAnsiTheme="majorHAnsi" w:cstheme="majorHAnsi"/>
          <w:sz w:val="24"/>
          <w:szCs w:val="24"/>
        </w:rPr>
        <w:t xml:space="preserve"> variation</w:t>
      </w:r>
      <w:r w:rsidR="00ED58FF">
        <w:rPr>
          <w:rFonts w:asciiTheme="majorHAnsi" w:hAnsiTheme="majorHAnsi" w:cstheme="majorHAnsi"/>
          <w:sz w:val="24"/>
          <w:szCs w:val="24"/>
        </w:rPr>
        <w:t xml:space="preserve"> contributing to survival </w:t>
      </w:r>
      <w:r w:rsidR="00A7543D">
        <w:rPr>
          <w:rFonts w:asciiTheme="majorHAnsi" w:hAnsiTheme="majorHAnsi" w:cstheme="majorHAnsi"/>
          <w:sz w:val="24"/>
          <w:szCs w:val="24"/>
        </w:rPr>
        <w:t>within the delta smelt species.</w:t>
      </w:r>
    </w:p>
    <w:p w14:paraId="645139E1" w14:textId="77777777" w:rsidR="008914E8" w:rsidRDefault="008914E8" w:rsidP="0011235A">
      <w:pPr>
        <w:spacing w:after="0" w:line="240" w:lineRule="auto"/>
        <w:jc w:val="left"/>
        <w:rPr>
          <w:rFonts w:asciiTheme="majorHAnsi" w:eastAsiaTheme="majorEastAsia" w:hAnsiTheme="majorHAnsi" w:cstheme="majorBidi"/>
          <w:b/>
          <w:bCs/>
          <w:sz w:val="24"/>
          <w:szCs w:val="24"/>
        </w:rPr>
      </w:pPr>
      <w:r>
        <w:br w:type="page"/>
      </w:r>
    </w:p>
    <w:p w14:paraId="766E5B6B" w14:textId="1011E498" w:rsidR="008914E8" w:rsidRPr="005549A1" w:rsidRDefault="00EC36DE" w:rsidP="0011235A">
      <w:pPr>
        <w:pStyle w:val="TOCHeading"/>
        <w:tabs>
          <w:tab w:val="left" w:pos="532"/>
        </w:tabs>
        <w:spacing w:line="240" w:lineRule="auto"/>
        <w:outlineLvl w:val="0"/>
      </w:pPr>
      <w:bookmarkStart w:id="55" w:name="_Toc113273239"/>
      <w:r>
        <w:lastRenderedPageBreak/>
        <w:t>Works Cited</w:t>
      </w:r>
      <w:bookmarkEnd w:id="55"/>
    </w:p>
    <w:p w14:paraId="4FFE4699" w14:textId="77777777" w:rsidR="005D23B9" w:rsidRPr="005D23B9" w:rsidRDefault="0087338E" w:rsidP="005D23B9">
      <w:pPr>
        <w:pStyle w:val="Bibliography"/>
        <w:rPr>
          <w:rFonts w:ascii="Calibri" w:cs="Calibri"/>
        </w:rPr>
      </w:pPr>
      <w:r w:rsidRPr="003B7B17">
        <w:rPr>
          <w:rFonts w:asciiTheme="majorHAnsi" w:eastAsia="Times New Roman" w:hAnsiTheme="majorHAnsi" w:cstheme="majorHAnsi"/>
          <w:color w:val="000000"/>
          <w:sz w:val="24"/>
          <w:szCs w:val="24"/>
        </w:rPr>
        <w:fldChar w:fldCharType="begin"/>
      </w:r>
      <w:r w:rsidR="005D23B9">
        <w:rPr>
          <w:rFonts w:asciiTheme="majorHAnsi" w:eastAsia="Times New Roman" w:hAnsiTheme="majorHAnsi" w:cstheme="majorHAnsi"/>
          <w:color w:val="000000"/>
          <w:sz w:val="24"/>
          <w:szCs w:val="24"/>
        </w:rPr>
        <w:instrText xml:space="preserve"> ADDIN ZOTERO_BIBL {"uncited":[],"omitted":[],"custom":[]} CSL_BIBLIOGRAPHY </w:instrText>
      </w:r>
      <w:r w:rsidRPr="003B7B17">
        <w:rPr>
          <w:rFonts w:asciiTheme="majorHAnsi" w:eastAsia="Times New Roman" w:hAnsiTheme="majorHAnsi" w:cstheme="majorHAnsi"/>
          <w:color w:val="000000"/>
          <w:sz w:val="24"/>
          <w:szCs w:val="24"/>
        </w:rPr>
        <w:fldChar w:fldCharType="separate"/>
      </w:r>
      <w:r w:rsidR="005D23B9" w:rsidRPr="005D23B9">
        <w:rPr>
          <w:rFonts w:ascii="Calibri" w:cs="Calibri"/>
        </w:rPr>
        <w:t xml:space="preserve">Andrews, S. (2010). </w:t>
      </w:r>
      <w:proofErr w:type="spellStart"/>
      <w:r w:rsidR="005D23B9" w:rsidRPr="005D23B9">
        <w:rPr>
          <w:rFonts w:ascii="Calibri" w:cs="Calibri"/>
          <w:i/>
          <w:iCs/>
        </w:rPr>
        <w:t>FastQC</w:t>
      </w:r>
      <w:proofErr w:type="spellEnd"/>
      <w:r w:rsidR="005D23B9" w:rsidRPr="005D23B9">
        <w:rPr>
          <w:rFonts w:ascii="Calibri" w:cs="Calibri"/>
          <w:i/>
          <w:iCs/>
        </w:rPr>
        <w:t>: a quality control tool for high throughput sequence data.</w:t>
      </w:r>
      <w:r w:rsidR="005D23B9" w:rsidRPr="005D23B9">
        <w:rPr>
          <w:rFonts w:ascii="Calibri" w:cs="Calibri"/>
        </w:rPr>
        <w:t xml:space="preserve"> (0.11.9) [Computer software]. https://www.bioinformatics.babraham.ac.uk/projects/fastqc/</w:t>
      </w:r>
    </w:p>
    <w:p w14:paraId="68E739B1" w14:textId="77777777" w:rsidR="005D23B9" w:rsidRPr="005D23B9" w:rsidRDefault="005D23B9" w:rsidP="005D23B9">
      <w:pPr>
        <w:pStyle w:val="Bibliography"/>
        <w:rPr>
          <w:rFonts w:ascii="Calibri" w:cs="Calibri"/>
        </w:rPr>
      </w:pPr>
      <w:r w:rsidRPr="005D23B9">
        <w:rPr>
          <w:rFonts w:ascii="Calibri" w:cs="Calibri"/>
        </w:rPr>
        <w:t xml:space="preserve">Barnard, P. L., </w:t>
      </w:r>
      <w:proofErr w:type="spellStart"/>
      <w:r w:rsidRPr="005D23B9">
        <w:rPr>
          <w:rFonts w:ascii="Calibri" w:cs="Calibri"/>
        </w:rPr>
        <w:t>Schoellhamer</w:t>
      </w:r>
      <w:proofErr w:type="spellEnd"/>
      <w:r w:rsidRPr="005D23B9">
        <w:rPr>
          <w:rFonts w:ascii="Calibri" w:cs="Calibri"/>
        </w:rPr>
        <w:t xml:space="preserve">, D. H., Jaffe, B. E., &amp; McKee, L. J. (2013). Sediment transport in the San Francisco Bay Coastal System: An overview. </w:t>
      </w:r>
      <w:r w:rsidRPr="005D23B9">
        <w:rPr>
          <w:rFonts w:ascii="Calibri" w:cs="Calibri"/>
          <w:i/>
          <w:iCs/>
        </w:rPr>
        <w:t>Marine Geology</w:t>
      </w:r>
      <w:r w:rsidRPr="005D23B9">
        <w:rPr>
          <w:rFonts w:ascii="Calibri" w:cs="Calibri"/>
        </w:rPr>
        <w:t xml:space="preserve">, </w:t>
      </w:r>
      <w:r w:rsidRPr="005D23B9">
        <w:rPr>
          <w:rFonts w:ascii="Calibri" w:cs="Calibri"/>
          <w:i/>
          <w:iCs/>
        </w:rPr>
        <w:t>345</w:t>
      </w:r>
      <w:r w:rsidRPr="005D23B9">
        <w:rPr>
          <w:rFonts w:ascii="Calibri" w:cs="Calibri"/>
        </w:rPr>
        <w:t>, 3–17. https://doi.org/10.1016/j.margeo.2013.04.005</w:t>
      </w:r>
    </w:p>
    <w:p w14:paraId="099D1A8A" w14:textId="77777777" w:rsidR="005D23B9" w:rsidRPr="005D23B9" w:rsidRDefault="005D23B9" w:rsidP="005D23B9">
      <w:pPr>
        <w:pStyle w:val="Bibliography"/>
        <w:rPr>
          <w:rFonts w:ascii="Calibri" w:cs="Calibri"/>
        </w:rPr>
      </w:pPr>
      <w:proofErr w:type="spellStart"/>
      <w:r w:rsidRPr="005D23B9">
        <w:rPr>
          <w:rFonts w:ascii="Calibri" w:cs="Calibri"/>
        </w:rPr>
        <w:t>Belarmino</w:t>
      </w:r>
      <w:proofErr w:type="spellEnd"/>
      <w:r w:rsidRPr="005D23B9">
        <w:rPr>
          <w:rFonts w:ascii="Calibri" w:cs="Calibri"/>
        </w:rPr>
        <w:t xml:space="preserve">, E., </w:t>
      </w:r>
      <w:proofErr w:type="spellStart"/>
      <w:r w:rsidRPr="005D23B9">
        <w:rPr>
          <w:rFonts w:ascii="Calibri" w:cs="Calibri"/>
        </w:rPr>
        <w:t>Nóbrega</w:t>
      </w:r>
      <w:proofErr w:type="spellEnd"/>
      <w:r w:rsidRPr="005D23B9">
        <w:rPr>
          <w:rFonts w:ascii="Calibri" w:cs="Calibri"/>
        </w:rPr>
        <w:t xml:space="preserve">, M. F. de, Grimm, A. M., </w:t>
      </w:r>
      <w:proofErr w:type="spellStart"/>
      <w:r w:rsidRPr="005D23B9">
        <w:rPr>
          <w:rFonts w:ascii="Calibri" w:cs="Calibri"/>
        </w:rPr>
        <w:t>Copertino</w:t>
      </w:r>
      <w:proofErr w:type="spellEnd"/>
      <w:r w:rsidRPr="005D23B9">
        <w:rPr>
          <w:rFonts w:ascii="Calibri" w:cs="Calibri"/>
        </w:rPr>
        <w:t xml:space="preserve">, M. da S., Vieira, J. P., &amp; Garcia, A. M. (2021). Long-term trends in the abundance of an estuarine fish and relationships with El Niño climatic impacts and seagrass meadows reduction. </w:t>
      </w:r>
      <w:r w:rsidRPr="005D23B9">
        <w:rPr>
          <w:rFonts w:ascii="Calibri" w:cs="Calibri"/>
          <w:i/>
          <w:iCs/>
        </w:rPr>
        <w:t>Estuarine, Coastal and Shelf Science</w:t>
      </w:r>
      <w:r w:rsidRPr="005D23B9">
        <w:rPr>
          <w:rFonts w:ascii="Calibri" w:cs="Calibri"/>
        </w:rPr>
        <w:t xml:space="preserve">, </w:t>
      </w:r>
      <w:r w:rsidRPr="005D23B9">
        <w:rPr>
          <w:rFonts w:ascii="Calibri" w:cs="Calibri"/>
          <w:i/>
          <w:iCs/>
        </w:rPr>
        <w:t>261</w:t>
      </w:r>
      <w:r w:rsidRPr="005D23B9">
        <w:rPr>
          <w:rFonts w:ascii="Calibri" w:cs="Calibri"/>
        </w:rPr>
        <w:t>, 107565. https://doi.org/10.1016/j.ecss.2021.107565</w:t>
      </w:r>
    </w:p>
    <w:p w14:paraId="6B0FCE70" w14:textId="77777777" w:rsidR="005D23B9" w:rsidRPr="005D23B9" w:rsidRDefault="005D23B9" w:rsidP="005D23B9">
      <w:pPr>
        <w:pStyle w:val="Bibliography"/>
        <w:rPr>
          <w:rFonts w:ascii="Calibri" w:cs="Calibri"/>
        </w:rPr>
      </w:pPr>
      <w:r w:rsidRPr="005D23B9">
        <w:rPr>
          <w:rFonts w:ascii="Calibri" w:cs="Calibri"/>
        </w:rPr>
        <w:t xml:space="preserve">Campbell, M. A., Joslin, S. E. K., </w:t>
      </w:r>
      <w:proofErr w:type="spellStart"/>
      <w:r w:rsidRPr="005D23B9">
        <w:rPr>
          <w:rFonts w:ascii="Calibri" w:cs="Calibri"/>
        </w:rPr>
        <w:t>Goodbla</w:t>
      </w:r>
      <w:proofErr w:type="spellEnd"/>
      <w:r w:rsidRPr="005D23B9">
        <w:rPr>
          <w:rFonts w:ascii="Calibri" w:cs="Calibri"/>
        </w:rPr>
        <w:t xml:space="preserve">, A. M., </w:t>
      </w:r>
      <w:proofErr w:type="spellStart"/>
      <w:r w:rsidRPr="005D23B9">
        <w:rPr>
          <w:rFonts w:ascii="Calibri" w:cs="Calibri"/>
        </w:rPr>
        <w:t>Willmes</w:t>
      </w:r>
      <w:proofErr w:type="spellEnd"/>
      <w:r w:rsidRPr="005D23B9">
        <w:rPr>
          <w:rFonts w:ascii="Calibri" w:cs="Calibri"/>
        </w:rPr>
        <w:t xml:space="preserve">, M., Hobbs, J. A., Lewis, L. S., &amp; Finger, A. J. (2022). Polygenic discrimination of migratory phenotypes in an estuarine forage fish. </w:t>
      </w:r>
      <w:r w:rsidRPr="005D23B9">
        <w:rPr>
          <w:rFonts w:ascii="Calibri" w:cs="Calibri"/>
          <w:i/>
          <w:iCs/>
        </w:rPr>
        <w:t xml:space="preserve">G3 </w:t>
      </w:r>
      <w:proofErr w:type="spellStart"/>
      <w:r w:rsidRPr="005D23B9">
        <w:rPr>
          <w:rFonts w:ascii="Calibri" w:cs="Calibri"/>
          <w:i/>
          <w:iCs/>
        </w:rPr>
        <w:t>Genes|Genomes|Genetics</w:t>
      </w:r>
      <w:proofErr w:type="spellEnd"/>
      <w:r w:rsidRPr="005D23B9">
        <w:rPr>
          <w:rFonts w:ascii="Calibri" w:cs="Calibri"/>
        </w:rPr>
        <w:t xml:space="preserve">, </w:t>
      </w:r>
      <w:r w:rsidRPr="005D23B9">
        <w:rPr>
          <w:rFonts w:ascii="Calibri" w:cs="Calibri"/>
          <w:i/>
          <w:iCs/>
        </w:rPr>
        <w:t>12</w:t>
      </w:r>
      <w:r w:rsidRPr="005D23B9">
        <w:rPr>
          <w:rFonts w:ascii="Calibri" w:cs="Calibri"/>
        </w:rPr>
        <w:t>(8), jkac133. https://doi.org/10.1093/g3journal/jkac133</w:t>
      </w:r>
    </w:p>
    <w:p w14:paraId="586F8244" w14:textId="77777777" w:rsidR="005D23B9" w:rsidRPr="005D23B9" w:rsidRDefault="005D23B9" w:rsidP="005D23B9">
      <w:pPr>
        <w:pStyle w:val="Bibliography"/>
        <w:rPr>
          <w:rFonts w:ascii="Calibri" w:cs="Calibri"/>
        </w:rPr>
      </w:pPr>
      <w:r w:rsidRPr="005D23B9">
        <w:rPr>
          <w:rFonts w:ascii="Calibri" w:cs="Calibri"/>
        </w:rPr>
        <w:t xml:space="preserve">Caro, T., Rowe, Z., Berger, J., </w:t>
      </w:r>
      <w:proofErr w:type="spellStart"/>
      <w:r w:rsidRPr="005D23B9">
        <w:rPr>
          <w:rFonts w:ascii="Calibri" w:cs="Calibri"/>
        </w:rPr>
        <w:t>Wholey</w:t>
      </w:r>
      <w:proofErr w:type="spellEnd"/>
      <w:r w:rsidRPr="005D23B9">
        <w:rPr>
          <w:rFonts w:ascii="Calibri" w:cs="Calibri"/>
        </w:rPr>
        <w:t xml:space="preserve">, P., &amp; Dobson, A. (2022). An inconvenient misconception: Climate change is not the principal driver of biodiversity loss. </w:t>
      </w:r>
      <w:r w:rsidRPr="005D23B9">
        <w:rPr>
          <w:rFonts w:ascii="Calibri" w:cs="Calibri"/>
          <w:i/>
          <w:iCs/>
        </w:rPr>
        <w:t>Conservation Letters</w:t>
      </w:r>
      <w:r w:rsidRPr="005D23B9">
        <w:rPr>
          <w:rFonts w:ascii="Calibri" w:cs="Calibri"/>
        </w:rPr>
        <w:t xml:space="preserve">, </w:t>
      </w:r>
      <w:r w:rsidRPr="005D23B9">
        <w:rPr>
          <w:rFonts w:ascii="Calibri" w:cs="Calibri"/>
          <w:i/>
          <w:iCs/>
        </w:rPr>
        <w:t>15</w:t>
      </w:r>
      <w:r w:rsidRPr="005D23B9">
        <w:rPr>
          <w:rFonts w:ascii="Calibri" w:cs="Calibri"/>
        </w:rPr>
        <w:t>(3), e12868. https://doi.org/10.1111/conl.12868</w:t>
      </w:r>
    </w:p>
    <w:p w14:paraId="48E553FA" w14:textId="77777777" w:rsidR="005D23B9" w:rsidRPr="005D23B9" w:rsidRDefault="005D23B9" w:rsidP="005D23B9">
      <w:pPr>
        <w:pStyle w:val="Bibliography"/>
        <w:rPr>
          <w:rFonts w:ascii="Calibri" w:cs="Calibri"/>
        </w:rPr>
      </w:pPr>
      <w:proofErr w:type="spellStart"/>
      <w:r w:rsidRPr="005D23B9">
        <w:rPr>
          <w:rFonts w:ascii="Calibri" w:cs="Calibri"/>
        </w:rPr>
        <w:t>Catchen</w:t>
      </w:r>
      <w:proofErr w:type="spellEnd"/>
      <w:r w:rsidRPr="005D23B9">
        <w:rPr>
          <w:rFonts w:ascii="Calibri" w:cs="Calibri"/>
        </w:rPr>
        <w:t xml:space="preserve">, J., </w:t>
      </w:r>
      <w:proofErr w:type="spellStart"/>
      <w:r w:rsidRPr="005D23B9">
        <w:rPr>
          <w:rFonts w:ascii="Calibri" w:cs="Calibri"/>
        </w:rPr>
        <w:t>Amores</w:t>
      </w:r>
      <w:proofErr w:type="spellEnd"/>
      <w:r w:rsidRPr="005D23B9">
        <w:rPr>
          <w:rFonts w:ascii="Calibri" w:cs="Calibri"/>
        </w:rPr>
        <w:t xml:space="preserve">, A., &amp; </w:t>
      </w:r>
      <w:proofErr w:type="spellStart"/>
      <w:r w:rsidRPr="005D23B9">
        <w:rPr>
          <w:rFonts w:ascii="Calibri" w:cs="Calibri"/>
        </w:rPr>
        <w:t>Bassham</w:t>
      </w:r>
      <w:proofErr w:type="spellEnd"/>
      <w:r w:rsidRPr="005D23B9">
        <w:rPr>
          <w:rFonts w:ascii="Calibri" w:cs="Calibri"/>
        </w:rPr>
        <w:t xml:space="preserve">, S. (2020). </w:t>
      </w:r>
      <w:proofErr w:type="spellStart"/>
      <w:r w:rsidRPr="005D23B9">
        <w:rPr>
          <w:rFonts w:ascii="Calibri" w:cs="Calibri"/>
        </w:rPr>
        <w:t>Chromonomer</w:t>
      </w:r>
      <w:proofErr w:type="spellEnd"/>
      <w:r w:rsidRPr="005D23B9">
        <w:rPr>
          <w:rFonts w:ascii="Calibri" w:cs="Calibri"/>
        </w:rPr>
        <w:t xml:space="preserve">: A Tool Set for Repairing and Enhancing Assembled Genomes Through Integration of Genetic Maps and Conserved Synteny. </w:t>
      </w:r>
      <w:r w:rsidRPr="005D23B9">
        <w:rPr>
          <w:rFonts w:ascii="Calibri" w:cs="Calibri"/>
          <w:i/>
          <w:iCs/>
        </w:rPr>
        <w:t xml:space="preserve">G3: </w:t>
      </w:r>
      <w:proofErr w:type="spellStart"/>
      <w:r w:rsidRPr="005D23B9">
        <w:rPr>
          <w:rFonts w:ascii="Calibri" w:cs="Calibri"/>
          <w:i/>
          <w:iCs/>
        </w:rPr>
        <w:t>Genes|Genomes|Genetics</w:t>
      </w:r>
      <w:proofErr w:type="spellEnd"/>
      <w:r w:rsidRPr="005D23B9">
        <w:rPr>
          <w:rFonts w:ascii="Calibri" w:cs="Calibri"/>
        </w:rPr>
        <w:t xml:space="preserve">, </w:t>
      </w:r>
      <w:r w:rsidRPr="005D23B9">
        <w:rPr>
          <w:rFonts w:ascii="Calibri" w:cs="Calibri"/>
          <w:i/>
          <w:iCs/>
        </w:rPr>
        <w:t>10</w:t>
      </w:r>
      <w:r w:rsidRPr="005D23B9">
        <w:rPr>
          <w:rFonts w:ascii="Calibri" w:cs="Calibri"/>
        </w:rPr>
        <w:t>(11), 4115–4128. https://doi.org/10.1534/g3.120.401485</w:t>
      </w:r>
    </w:p>
    <w:p w14:paraId="20D37F87" w14:textId="77777777" w:rsidR="005D23B9" w:rsidRPr="005D23B9" w:rsidRDefault="005D23B9" w:rsidP="005D23B9">
      <w:pPr>
        <w:pStyle w:val="Bibliography"/>
        <w:rPr>
          <w:rFonts w:ascii="Calibri" w:cs="Calibri"/>
        </w:rPr>
      </w:pPr>
      <w:proofErr w:type="spellStart"/>
      <w:r w:rsidRPr="005D23B9">
        <w:rPr>
          <w:rFonts w:ascii="Calibri" w:cs="Calibri"/>
        </w:rPr>
        <w:t>Conomos</w:t>
      </w:r>
      <w:proofErr w:type="spellEnd"/>
      <w:r w:rsidRPr="005D23B9">
        <w:rPr>
          <w:rFonts w:ascii="Calibri" w:cs="Calibri"/>
        </w:rPr>
        <w:t xml:space="preserve">, T. J. (1979). </w:t>
      </w:r>
      <w:r w:rsidRPr="005D23B9">
        <w:rPr>
          <w:rFonts w:ascii="Calibri" w:cs="Calibri"/>
          <w:i/>
          <w:iCs/>
        </w:rPr>
        <w:t>San Francisco Bay—The urbanized estuary</w:t>
      </w:r>
      <w:r w:rsidRPr="005D23B9">
        <w:rPr>
          <w:rFonts w:ascii="Calibri" w:cs="Calibri"/>
        </w:rPr>
        <w:t>. American Association for the Advancement of Science- Pacific Division.</w:t>
      </w:r>
    </w:p>
    <w:p w14:paraId="6CD0327C" w14:textId="77777777" w:rsidR="005D23B9" w:rsidRPr="005D23B9" w:rsidRDefault="005D23B9" w:rsidP="005D23B9">
      <w:pPr>
        <w:pStyle w:val="Bibliography"/>
        <w:rPr>
          <w:rFonts w:ascii="Calibri" w:cs="Calibri"/>
        </w:rPr>
      </w:pPr>
      <w:r w:rsidRPr="005D23B9">
        <w:rPr>
          <w:rFonts w:ascii="Calibri" w:cs="Calibri"/>
        </w:rPr>
        <w:t xml:space="preserve">Cottingham, A., Huang, P., </w:t>
      </w:r>
      <w:proofErr w:type="spellStart"/>
      <w:r w:rsidRPr="005D23B9">
        <w:rPr>
          <w:rFonts w:ascii="Calibri" w:cs="Calibri"/>
        </w:rPr>
        <w:t>Hipsey</w:t>
      </w:r>
      <w:proofErr w:type="spellEnd"/>
      <w:r w:rsidRPr="005D23B9">
        <w:rPr>
          <w:rFonts w:ascii="Calibri" w:cs="Calibri"/>
        </w:rPr>
        <w:t xml:space="preserve">, M. R., Hall, N. G., Ashworth, E., Williams, J., &amp; Potter, I. C. (n.d.). </w:t>
      </w:r>
      <w:r w:rsidRPr="005D23B9">
        <w:rPr>
          <w:rFonts w:ascii="Calibri" w:cs="Calibri"/>
          <w:i/>
          <w:iCs/>
        </w:rPr>
        <w:t>Growth, condition, and maturity schedules of an estuarine fish species change in estuaries following increased hypoxia due to climate change</w:t>
      </w:r>
      <w:r w:rsidRPr="005D23B9">
        <w:rPr>
          <w:rFonts w:ascii="Calibri" w:cs="Calibri"/>
        </w:rPr>
        <w:t>. 20.</w:t>
      </w:r>
    </w:p>
    <w:p w14:paraId="0A2DB417" w14:textId="77777777" w:rsidR="005D23B9" w:rsidRPr="005D23B9" w:rsidRDefault="005D23B9" w:rsidP="005D23B9">
      <w:pPr>
        <w:pStyle w:val="Bibliography"/>
        <w:rPr>
          <w:rFonts w:ascii="Calibri" w:cs="Calibri"/>
        </w:rPr>
      </w:pPr>
      <w:r w:rsidRPr="005D23B9">
        <w:rPr>
          <w:rFonts w:ascii="Calibri" w:cs="Calibri"/>
        </w:rPr>
        <w:t xml:space="preserve">Dill, W. A., &amp; </w:t>
      </w:r>
      <w:proofErr w:type="spellStart"/>
      <w:r w:rsidRPr="005D23B9">
        <w:rPr>
          <w:rFonts w:ascii="Calibri" w:cs="Calibri"/>
        </w:rPr>
        <w:t>Cordone</w:t>
      </w:r>
      <w:proofErr w:type="spellEnd"/>
      <w:r w:rsidRPr="005D23B9">
        <w:rPr>
          <w:rFonts w:ascii="Calibri" w:cs="Calibri"/>
        </w:rPr>
        <w:t xml:space="preserve">, A. J. (1997). </w:t>
      </w:r>
      <w:r w:rsidRPr="005D23B9">
        <w:rPr>
          <w:rFonts w:ascii="Calibri" w:cs="Calibri"/>
          <w:i/>
          <w:iCs/>
        </w:rPr>
        <w:t xml:space="preserve">STATE OF CALIFORNIA THE RESOURCES AGENCY DEPARTMENT OF FISH AND GAME FISH BULLETIN 178 History </w:t>
      </w:r>
      <w:proofErr w:type="gramStart"/>
      <w:r w:rsidRPr="005D23B9">
        <w:rPr>
          <w:rFonts w:ascii="Calibri" w:cs="Calibri"/>
          <w:i/>
          <w:iCs/>
        </w:rPr>
        <w:t>And</w:t>
      </w:r>
      <w:proofErr w:type="gramEnd"/>
      <w:r w:rsidRPr="005D23B9">
        <w:rPr>
          <w:rFonts w:ascii="Calibri" w:cs="Calibri"/>
          <w:i/>
          <w:iCs/>
        </w:rPr>
        <w:t xml:space="preserve"> Status of Introduced Fishes In California, 1871 – 1996</w:t>
      </w:r>
      <w:r w:rsidRPr="005D23B9">
        <w:rPr>
          <w:rFonts w:ascii="Calibri" w:cs="Calibri"/>
        </w:rPr>
        <w:t>. 415.</w:t>
      </w:r>
    </w:p>
    <w:p w14:paraId="16627F58" w14:textId="77777777" w:rsidR="005D23B9" w:rsidRPr="005D23B9" w:rsidRDefault="005D23B9" w:rsidP="005D23B9">
      <w:pPr>
        <w:pStyle w:val="Bibliography"/>
        <w:rPr>
          <w:rFonts w:ascii="Calibri" w:cs="Calibri"/>
        </w:rPr>
      </w:pPr>
      <w:r w:rsidRPr="005D23B9">
        <w:rPr>
          <w:rFonts w:ascii="Calibri" w:cs="Calibri"/>
        </w:rPr>
        <w:lastRenderedPageBreak/>
        <w:t xml:space="preserve">East, A. E., &amp; Sankey, J. B. (2020). Geomorphic and Sedimentary Effects of Modern Climate Change: Current and Anticipated Future Conditions in the Western United States. </w:t>
      </w:r>
      <w:r w:rsidRPr="005D23B9">
        <w:rPr>
          <w:rFonts w:ascii="Calibri" w:cs="Calibri"/>
          <w:i/>
          <w:iCs/>
        </w:rPr>
        <w:t>Reviews of Geophysics</w:t>
      </w:r>
      <w:r w:rsidRPr="005D23B9">
        <w:rPr>
          <w:rFonts w:ascii="Calibri" w:cs="Calibri"/>
        </w:rPr>
        <w:t xml:space="preserve">, </w:t>
      </w:r>
      <w:r w:rsidRPr="005D23B9">
        <w:rPr>
          <w:rFonts w:ascii="Calibri" w:cs="Calibri"/>
          <w:i/>
          <w:iCs/>
        </w:rPr>
        <w:t>58</w:t>
      </w:r>
      <w:r w:rsidRPr="005D23B9">
        <w:rPr>
          <w:rFonts w:ascii="Calibri" w:cs="Calibri"/>
        </w:rPr>
        <w:t>(4), e2019RG000692. https://doi.org/10.1029/2019RG000692</w:t>
      </w:r>
    </w:p>
    <w:p w14:paraId="5BBC1428" w14:textId="77777777" w:rsidR="005D23B9" w:rsidRPr="005D23B9" w:rsidRDefault="005D23B9" w:rsidP="005D23B9">
      <w:pPr>
        <w:pStyle w:val="Bibliography"/>
        <w:rPr>
          <w:rFonts w:ascii="Calibri" w:cs="Calibri"/>
        </w:rPr>
      </w:pPr>
      <w:r w:rsidRPr="005D23B9">
        <w:rPr>
          <w:rFonts w:ascii="Calibri" w:cs="Calibri"/>
        </w:rPr>
        <w:t xml:space="preserve">Fisch, K. M., Henderson, J. M., Burton, R. S., &amp; May, B. (2011). Population genetics and conservation implications for the endangered delta smelt in the San Francisco Bay-Delta. </w:t>
      </w:r>
      <w:r w:rsidRPr="005D23B9">
        <w:rPr>
          <w:rFonts w:ascii="Calibri" w:cs="Calibri"/>
          <w:i/>
          <w:iCs/>
        </w:rPr>
        <w:t>Conservation Genetics</w:t>
      </w:r>
      <w:r w:rsidRPr="005D23B9">
        <w:rPr>
          <w:rFonts w:ascii="Calibri" w:cs="Calibri"/>
        </w:rPr>
        <w:t xml:space="preserve">, </w:t>
      </w:r>
      <w:r w:rsidRPr="005D23B9">
        <w:rPr>
          <w:rFonts w:ascii="Calibri" w:cs="Calibri"/>
          <w:i/>
          <w:iCs/>
        </w:rPr>
        <w:t>12</w:t>
      </w:r>
      <w:r w:rsidRPr="005D23B9">
        <w:rPr>
          <w:rFonts w:ascii="Calibri" w:cs="Calibri"/>
        </w:rPr>
        <w:t>(6), 1421–1434. https://doi.org/10.1007/s10592-011-0240-y</w:t>
      </w:r>
    </w:p>
    <w:p w14:paraId="595E1D6B" w14:textId="77777777" w:rsidR="005D23B9" w:rsidRPr="005D23B9" w:rsidRDefault="005D23B9" w:rsidP="005D23B9">
      <w:pPr>
        <w:pStyle w:val="Bibliography"/>
        <w:rPr>
          <w:rFonts w:ascii="Calibri" w:cs="Calibri"/>
        </w:rPr>
      </w:pPr>
      <w:proofErr w:type="spellStart"/>
      <w:r w:rsidRPr="005D23B9">
        <w:rPr>
          <w:rFonts w:ascii="Calibri" w:cs="Calibri"/>
        </w:rPr>
        <w:t>Ghurye</w:t>
      </w:r>
      <w:proofErr w:type="spellEnd"/>
      <w:r w:rsidRPr="005D23B9">
        <w:rPr>
          <w:rFonts w:ascii="Calibri" w:cs="Calibri"/>
        </w:rPr>
        <w:t xml:space="preserve">, J., </w:t>
      </w:r>
      <w:proofErr w:type="spellStart"/>
      <w:r w:rsidRPr="005D23B9">
        <w:rPr>
          <w:rFonts w:ascii="Calibri" w:cs="Calibri"/>
        </w:rPr>
        <w:t>Rhie</w:t>
      </w:r>
      <w:proofErr w:type="spellEnd"/>
      <w:r w:rsidRPr="005D23B9">
        <w:rPr>
          <w:rFonts w:ascii="Calibri" w:cs="Calibri"/>
        </w:rPr>
        <w:t xml:space="preserve">, A., </w:t>
      </w:r>
      <w:proofErr w:type="spellStart"/>
      <w:r w:rsidRPr="005D23B9">
        <w:rPr>
          <w:rFonts w:ascii="Calibri" w:cs="Calibri"/>
        </w:rPr>
        <w:t>Walenz</w:t>
      </w:r>
      <w:proofErr w:type="spellEnd"/>
      <w:r w:rsidRPr="005D23B9">
        <w:rPr>
          <w:rFonts w:ascii="Calibri" w:cs="Calibri"/>
        </w:rPr>
        <w:t xml:space="preserve">, B. P., Schmitt, A., Selvaraj, S., Pop, M., </w:t>
      </w:r>
      <w:proofErr w:type="spellStart"/>
      <w:r w:rsidRPr="005D23B9">
        <w:rPr>
          <w:rFonts w:ascii="Calibri" w:cs="Calibri"/>
        </w:rPr>
        <w:t>Phillippy</w:t>
      </w:r>
      <w:proofErr w:type="spellEnd"/>
      <w:r w:rsidRPr="005D23B9">
        <w:rPr>
          <w:rFonts w:ascii="Calibri" w:cs="Calibri"/>
        </w:rPr>
        <w:t xml:space="preserve">, A. M., &amp; </w:t>
      </w:r>
      <w:proofErr w:type="spellStart"/>
      <w:r w:rsidRPr="005D23B9">
        <w:rPr>
          <w:rFonts w:ascii="Calibri" w:cs="Calibri"/>
        </w:rPr>
        <w:t>Koren</w:t>
      </w:r>
      <w:proofErr w:type="spellEnd"/>
      <w:r w:rsidRPr="005D23B9">
        <w:rPr>
          <w:rFonts w:ascii="Calibri" w:cs="Calibri"/>
        </w:rPr>
        <w:t xml:space="preserve">, S. (2019). Integrating Hi-C links with assembly graphs for chromosome-scale assembly. </w:t>
      </w:r>
      <w:r w:rsidRPr="005D23B9">
        <w:rPr>
          <w:rFonts w:ascii="Calibri" w:cs="Calibri"/>
          <w:i/>
          <w:iCs/>
        </w:rPr>
        <w:t>PLOS Computational Biology</w:t>
      </w:r>
      <w:r w:rsidRPr="005D23B9">
        <w:rPr>
          <w:rFonts w:ascii="Calibri" w:cs="Calibri"/>
        </w:rPr>
        <w:t xml:space="preserve">, </w:t>
      </w:r>
      <w:r w:rsidRPr="005D23B9">
        <w:rPr>
          <w:rFonts w:ascii="Calibri" w:cs="Calibri"/>
          <w:i/>
          <w:iCs/>
        </w:rPr>
        <w:t>15</w:t>
      </w:r>
      <w:r w:rsidRPr="005D23B9">
        <w:rPr>
          <w:rFonts w:ascii="Calibri" w:cs="Calibri"/>
        </w:rPr>
        <w:t>(8), e1007273. https://doi.org/10.1371/journal.pcbi.1007273</w:t>
      </w:r>
    </w:p>
    <w:p w14:paraId="0A9B7860" w14:textId="77777777" w:rsidR="005D23B9" w:rsidRPr="005D23B9" w:rsidRDefault="005D23B9" w:rsidP="005D23B9">
      <w:pPr>
        <w:pStyle w:val="Bibliography"/>
        <w:rPr>
          <w:rFonts w:ascii="Calibri" w:cs="Calibri"/>
        </w:rPr>
      </w:pPr>
      <w:proofErr w:type="spellStart"/>
      <w:r w:rsidRPr="005D23B9">
        <w:rPr>
          <w:rFonts w:ascii="Calibri" w:cs="Calibri"/>
        </w:rPr>
        <w:t>Glibert</w:t>
      </w:r>
      <w:proofErr w:type="spellEnd"/>
      <w:r w:rsidRPr="005D23B9">
        <w:rPr>
          <w:rFonts w:ascii="Calibri" w:cs="Calibri"/>
        </w:rPr>
        <w:t xml:space="preserve">, P. M., Fullerton, D., Burkholder, J. M., Cornwell, J. C., &amp; Kana, T. M. (2011). Ecological Stoichiometry, Biogeochemical Cycling, Invasive Species, and Aquatic Food Webs: San Francisco Estuary and Comparative Systems. </w:t>
      </w:r>
      <w:r w:rsidRPr="005D23B9">
        <w:rPr>
          <w:rFonts w:ascii="Calibri" w:cs="Calibri"/>
          <w:i/>
          <w:iCs/>
        </w:rPr>
        <w:t>Reviews in Fisheries Science</w:t>
      </w:r>
      <w:r w:rsidRPr="005D23B9">
        <w:rPr>
          <w:rFonts w:ascii="Calibri" w:cs="Calibri"/>
        </w:rPr>
        <w:t xml:space="preserve">, </w:t>
      </w:r>
      <w:r w:rsidRPr="005D23B9">
        <w:rPr>
          <w:rFonts w:ascii="Calibri" w:cs="Calibri"/>
          <w:i/>
          <w:iCs/>
        </w:rPr>
        <w:t>19</w:t>
      </w:r>
      <w:r w:rsidRPr="005D23B9">
        <w:rPr>
          <w:rFonts w:ascii="Calibri" w:cs="Calibri"/>
        </w:rPr>
        <w:t>(4), 358–417. https://doi.org/10.1080/10641262.2011.611916</w:t>
      </w:r>
    </w:p>
    <w:p w14:paraId="0965C0F0" w14:textId="77777777" w:rsidR="005D23B9" w:rsidRPr="005D23B9" w:rsidRDefault="005D23B9" w:rsidP="005D23B9">
      <w:pPr>
        <w:pStyle w:val="Bibliography"/>
        <w:rPr>
          <w:rFonts w:ascii="Calibri" w:cs="Calibri"/>
        </w:rPr>
      </w:pPr>
      <w:proofErr w:type="spellStart"/>
      <w:r w:rsidRPr="005D23B9">
        <w:rPr>
          <w:rFonts w:ascii="Calibri" w:cs="Calibri"/>
        </w:rPr>
        <w:t>Gremme</w:t>
      </w:r>
      <w:proofErr w:type="spellEnd"/>
      <w:r w:rsidRPr="005D23B9">
        <w:rPr>
          <w:rFonts w:ascii="Calibri" w:cs="Calibri"/>
        </w:rPr>
        <w:t xml:space="preserve">, G., </w:t>
      </w:r>
      <w:proofErr w:type="spellStart"/>
      <w:r w:rsidRPr="005D23B9">
        <w:rPr>
          <w:rFonts w:ascii="Calibri" w:cs="Calibri"/>
        </w:rPr>
        <w:t>Steinbiss</w:t>
      </w:r>
      <w:proofErr w:type="spellEnd"/>
      <w:r w:rsidRPr="005D23B9">
        <w:rPr>
          <w:rFonts w:ascii="Calibri" w:cs="Calibri"/>
        </w:rPr>
        <w:t xml:space="preserve">, S., &amp; Kurtz, S. (2013). </w:t>
      </w:r>
      <w:proofErr w:type="spellStart"/>
      <w:r w:rsidRPr="005D23B9">
        <w:rPr>
          <w:rFonts w:ascii="Calibri" w:cs="Calibri"/>
        </w:rPr>
        <w:t>GenomeTools</w:t>
      </w:r>
      <w:proofErr w:type="spellEnd"/>
      <w:r w:rsidRPr="005D23B9">
        <w:rPr>
          <w:rFonts w:ascii="Calibri" w:cs="Calibri"/>
        </w:rPr>
        <w:t xml:space="preserve">: A Comprehensive Software Library for Efficient Processing of Structured Genome Annotations. </w:t>
      </w:r>
      <w:r w:rsidRPr="005D23B9">
        <w:rPr>
          <w:rFonts w:ascii="Calibri" w:cs="Calibri"/>
          <w:i/>
          <w:iCs/>
        </w:rPr>
        <w:t>IEEE/ACM Transactions on Computational Biology and Bioinformatics / IEEE, ACM</w:t>
      </w:r>
      <w:r w:rsidRPr="005D23B9">
        <w:rPr>
          <w:rFonts w:ascii="Calibri" w:cs="Calibri"/>
        </w:rPr>
        <w:t xml:space="preserve">, </w:t>
      </w:r>
      <w:r w:rsidRPr="005D23B9">
        <w:rPr>
          <w:rFonts w:ascii="Calibri" w:cs="Calibri"/>
          <w:i/>
          <w:iCs/>
        </w:rPr>
        <w:t>10</w:t>
      </w:r>
      <w:r w:rsidRPr="005D23B9">
        <w:rPr>
          <w:rFonts w:ascii="Calibri" w:cs="Calibri"/>
        </w:rPr>
        <w:t>, 645–656. https://doi.org/10.1109/TCBB.2013.68</w:t>
      </w:r>
    </w:p>
    <w:p w14:paraId="1FA7644C" w14:textId="77777777" w:rsidR="005D23B9" w:rsidRPr="005D23B9" w:rsidRDefault="005D23B9" w:rsidP="005D23B9">
      <w:pPr>
        <w:pStyle w:val="Bibliography"/>
        <w:rPr>
          <w:rFonts w:ascii="Calibri" w:cs="Calibri"/>
        </w:rPr>
      </w:pPr>
      <w:r w:rsidRPr="005D23B9">
        <w:rPr>
          <w:rFonts w:ascii="Calibri" w:cs="Calibri"/>
        </w:rPr>
        <w:t xml:space="preserve">Guan, D., McCarthy, S. A., Wood, J., Howe, K., Wang, Y., &amp; Durbin, R. (2020). Identifying and removing haplotypic duplication in primary genome assemblies. </w:t>
      </w:r>
      <w:r w:rsidRPr="005D23B9">
        <w:rPr>
          <w:rFonts w:ascii="Calibri" w:cs="Calibri"/>
          <w:i/>
          <w:iCs/>
        </w:rPr>
        <w:t>Bioinformatics</w:t>
      </w:r>
      <w:r w:rsidRPr="005D23B9">
        <w:rPr>
          <w:rFonts w:ascii="Calibri" w:cs="Calibri"/>
        </w:rPr>
        <w:t xml:space="preserve">, </w:t>
      </w:r>
      <w:r w:rsidRPr="005D23B9">
        <w:rPr>
          <w:rFonts w:ascii="Calibri" w:cs="Calibri"/>
          <w:i/>
          <w:iCs/>
        </w:rPr>
        <w:t>36</w:t>
      </w:r>
      <w:r w:rsidRPr="005D23B9">
        <w:rPr>
          <w:rFonts w:ascii="Calibri" w:cs="Calibri"/>
        </w:rPr>
        <w:t>(9), 2896–2898. https://doi.org/10.1093/bioinformatics/btaa025</w:t>
      </w:r>
    </w:p>
    <w:p w14:paraId="73BF786B" w14:textId="77777777" w:rsidR="005D23B9" w:rsidRPr="005D23B9" w:rsidRDefault="005D23B9" w:rsidP="005D23B9">
      <w:pPr>
        <w:pStyle w:val="Bibliography"/>
        <w:rPr>
          <w:rFonts w:ascii="Calibri" w:cs="Calibri"/>
        </w:rPr>
      </w:pPr>
      <w:proofErr w:type="spellStart"/>
      <w:r w:rsidRPr="005D23B9">
        <w:rPr>
          <w:rFonts w:ascii="Calibri" w:cs="Calibri"/>
        </w:rPr>
        <w:t>Gurevich</w:t>
      </w:r>
      <w:proofErr w:type="spellEnd"/>
      <w:r w:rsidRPr="005D23B9">
        <w:rPr>
          <w:rFonts w:ascii="Calibri" w:cs="Calibri"/>
        </w:rPr>
        <w:t xml:space="preserve">, A., </w:t>
      </w:r>
      <w:proofErr w:type="spellStart"/>
      <w:r w:rsidRPr="005D23B9">
        <w:rPr>
          <w:rFonts w:ascii="Calibri" w:cs="Calibri"/>
        </w:rPr>
        <w:t>Saveliev</w:t>
      </w:r>
      <w:proofErr w:type="spellEnd"/>
      <w:r w:rsidRPr="005D23B9">
        <w:rPr>
          <w:rFonts w:ascii="Calibri" w:cs="Calibri"/>
        </w:rPr>
        <w:t xml:space="preserve">, V., </w:t>
      </w:r>
      <w:proofErr w:type="spellStart"/>
      <w:r w:rsidRPr="005D23B9">
        <w:rPr>
          <w:rFonts w:ascii="Calibri" w:cs="Calibri"/>
        </w:rPr>
        <w:t>Vyahhi</w:t>
      </w:r>
      <w:proofErr w:type="spellEnd"/>
      <w:r w:rsidRPr="005D23B9">
        <w:rPr>
          <w:rFonts w:ascii="Calibri" w:cs="Calibri"/>
        </w:rPr>
        <w:t xml:space="preserve">, N., &amp; </w:t>
      </w:r>
      <w:proofErr w:type="spellStart"/>
      <w:r w:rsidRPr="005D23B9">
        <w:rPr>
          <w:rFonts w:ascii="Calibri" w:cs="Calibri"/>
        </w:rPr>
        <w:t>Tesler</w:t>
      </w:r>
      <w:proofErr w:type="spellEnd"/>
      <w:r w:rsidRPr="005D23B9">
        <w:rPr>
          <w:rFonts w:ascii="Calibri" w:cs="Calibri"/>
        </w:rPr>
        <w:t xml:space="preserve">, G. (2013). QUAST: Quality assessment tool for genome assemblies. </w:t>
      </w:r>
      <w:r w:rsidRPr="005D23B9">
        <w:rPr>
          <w:rFonts w:ascii="Calibri" w:cs="Calibri"/>
          <w:i/>
          <w:iCs/>
        </w:rPr>
        <w:t>Bioinformatics</w:t>
      </w:r>
      <w:r w:rsidRPr="005D23B9">
        <w:rPr>
          <w:rFonts w:ascii="Calibri" w:cs="Calibri"/>
        </w:rPr>
        <w:t xml:space="preserve">, </w:t>
      </w:r>
      <w:r w:rsidRPr="005D23B9">
        <w:rPr>
          <w:rFonts w:ascii="Calibri" w:cs="Calibri"/>
          <w:i/>
          <w:iCs/>
        </w:rPr>
        <w:t>29</w:t>
      </w:r>
      <w:r w:rsidRPr="005D23B9">
        <w:rPr>
          <w:rFonts w:ascii="Calibri" w:cs="Calibri"/>
        </w:rPr>
        <w:t>(8), 1072–1075. https://doi.org/10.1093/bioinformatics/btt086</w:t>
      </w:r>
    </w:p>
    <w:p w14:paraId="137BA5A6" w14:textId="77777777" w:rsidR="005D23B9" w:rsidRPr="005D23B9" w:rsidRDefault="005D23B9" w:rsidP="005D23B9">
      <w:pPr>
        <w:pStyle w:val="Bibliography"/>
        <w:rPr>
          <w:rFonts w:ascii="Calibri" w:cs="Calibri"/>
        </w:rPr>
      </w:pPr>
      <w:r w:rsidRPr="005D23B9">
        <w:rPr>
          <w:rFonts w:ascii="Calibri" w:cs="Calibri"/>
        </w:rPr>
        <w:t xml:space="preserve">Hammock, B. G., Hartman, R., Dahlgren, R. A., Johnston, C., Kurobe, T., Lehman, P. W., Lewis, L. S., Van Nieuwenhuyse, E., Ramírez-Duarte, W. F., Schultz, A. A., &amp; </w:t>
      </w:r>
      <w:proofErr w:type="spellStart"/>
      <w:r w:rsidRPr="005D23B9">
        <w:rPr>
          <w:rFonts w:ascii="Calibri" w:cs="Calibri"/>
        </w:rPr>
        <w:t>Teh</w:t>
      </w:r>
      <w:proofErr w:type="spellEnd"/>
      <w:r w:rsidRPr="005D23B9">
        <w:rPr>
          <w:rFonts w:ascii="Calibri" w:cs="Calibri"/>
        </w:rPr>
        <w:t xml:space="preserve">, S. J. (2022). Patterns and predictors of condition indices in a critically endangered fish. </w:t>
      </w:r>
      <w:proofErr w:type="spellStart"/>
      <w:r w:rsidRPr="005D23B9">
        <w:rPr>
          <w:rFonts w:ascii="Calibri" w:cs="Calibri"/>
          <w:i/>
          <w:iCs/>
        </w:rPr>
        <w:t>Hydrobiologia</w:t>
      </w:r>
      <w:proofErr w:type="spellEnd"/>
      <w:r w:rsidRPr="005D23B9">
        <w:rPr>
          <w:rFonts w:ascii="Calibri" w:cs="Calibri"/>
        </w:rPr>
        <w:t xml:space="preserve">, </w:t>
      </w:r>
      <w:r w:rsidRPr="005D23B9">
        <w:rPr>
          <w:rFonts w:ascii="Calibri" w:cs="Calibri"/>
          <w:i/>
          <w:iCs/>
        </w:rPr>
        <w:t>849</w:t>
      </w:r>
      <w:r w:rsidRPr="005D23B9">
        <w:rPr>
          <w:rFonts w:ascii="Calibri" w:cs="Calibri"/>
        </w:rPr>
        <w:t>(3), 675–695. https://doi.org/10.1007/s10750-021-04738-z</w:t>
      </w:r>
    </w:p>
    <w:p w14:paraId="098E7FB0" w14:textId="77777777" w:rsidR="005D23B9" w:rsidRPr="005D23B9" w:rsidRDefault="005D23B9" w:rsidP="005D23B9">
      <w:pPr>
        <w:pStyle w:val="Bibliography"/>
        <w:rPr>
          <w:rFonts w:ascii="Calibri" w:cs="Calibri"/>
        </w:rPr>
      </w:pPr>
      <w:r w:rsidRPr="005D23B9">
        <w:rPr>
          <w:rFonts w:ascii="Calibri" w:cs="Calibri"/>
        </w:rPr>
        <w:t xml:space="preserve">Hartley, S. E. (1987). THE CHROMOSOMES OF SALMONID FISHES. </w:t>
      </w:r>
      <w:r w:rsidRPr="005D23B9">
        <w:rPr>
          <w:rFonts w:ascii="Calibri" w:cs="Calibri"/>
          <w:i/>
          <w:iCs/>
        </w:rPr>
        <w:t>Biological Reviews</w:t>
      </w:r>
      <w:r w:rsidRPr="005D23B9">
        <w:rPr>
          <w:rFonts w:ascii="Calibri" w:cs="Calibri"/>
        </w:rPr>
        <w:t xml:space="preserve">, </w:t>
      </w:r>
      <w:r w:rsidRPr="005D23B9">
        <w:rPr>
          <w:rFonts w:ascii="Calibri" w:cs="Calibri"/>
          <w:i/>
          <w:iCs/>
        </w:rPr>
        <w:t>62</w:t>
      </w:r>
      <w:r w:rsidRPr="005D23B9">
        <w:rPr>
          <w:rFonts w:ascii="Calibri" w:cs="Calibri"/>
        </w:rPr>
        <w:t>(3), 197–214. https://doi.org/10.1111/j.1469-185X.1987.tb00663.x</w:t>
      </w:r>
    </w:p>
    <w:p w14:paraId="3AC5471F" w14:textId="77777777" w:rsidR="005D23B9" w:rsidRPr="005D23B9" w:rsidRDefault="005D23B9" w:rsidP="005D23B9">
      <w:pPr>
        <w:pStyle w:val="Bibliography"/>
        <w:rPr>
          <w:rFonts w:ascii="Calibri" w:cs="Calibri"/>
        </w:rPr>
      </w:pPr>
      <w:r w:rsidRPr="005D23B9">
        <w:rPr>
          <w:rFonts w:ascii="Calibri" w:cs="Calibri"/>
        </w:rPr>
        <w:lastRenderedPageBreak/>
        <w:t xml:space="preserve">Hobbs, J. A., Lewis, L. S., </w:t>
      </w:r>
      <w:proofErr w:type="spellStart"/>
      <w:r w:rsidRPr="005D23B9">
        <w:rPr>
          <w:rFonts w:ascii="Calibri" w:cs="Calibri"/>
        </w:rPr>
        <w:t>Willmes</w:t>
      </w:r>
      <w:proofErr w:type="spellEnd"/>
      <w:r w:rsidRPr="005D23B9">
        <w:rPr>
          <w:rFonts w:ascii="Calibri" w:cs="Calibri"/>
        </w:rPr>
        <w:t xml:space="preserve">, M., Denney, C., &amp; Bush, E. (2019). Complex life histories discovered in a critically endangered fish. </w:t>
      </w:r>
      <w:r w:rsidRPr="005D23B9">
        <w:rPr>
          <w:rFonts w:ascii="Calibri" w:cs="Calibri"/>
          <w:i/>
          <w:iCs/>
        </w:rPr>
        <w:t>Scientific Reports</w:t>
      </w:r>
      <w:r w:rsidRPr="005D23B9">
        <w:rPr>
          <w:rFonts w:ascii="Calibri" w:cs="Calibri"/>
        </w:rPr>
        <w:t xml:space="preserve">, </w:t>
      </w:r>
      <w:r w:rsidRPr="005D23B9">
        <w:rPr>
          <w:rFonts w:ascii="Calibri" w:cs="Calibri"/>
          <w:i/>
          <w:iCs/>
        </w:rPr>
        <w:t>9</w:t>
      </w:r>
      <w:r w:rsidRPr="005D23B9">
        <w:rPr>
          <w:rFonts w:ascii="Calibri" w:cs="Calibri"/>
        </w:rPr>
        <w:t>(1), 16772. https://doi.org/10.1038/s41598-019-52273-8</w:t>
      </w:r>
    </w:p>
    <w:p w14:paraId="3D465557" w14:textId="77777777" w:rsidR="005D23B9" w:rsidRPr="005D23B9" w:rsidRDefault="005D23B9" w:rsidP="005D23B9">
      <w:pPr>
        <w:pStyle w:val="Bibliography"/>
        <w:rPr>
          <w:rFonts w:ascii="Calibri" w:cs="Calibri"/>
        </w:rPr>
      </w:pPr>
      <w:r w:rsidRPr="005D23B9">
        <w:rPr>
          <w:rFonts w:ascii="Calibri" w:cs="Calibri"/>
        </w:rPr>
        <w:t xml:space="preserve">James, N. C., Cowley, P. D., &amp; Whitfield, A. K. (2018). The marine fish assemblage of the East </w:t>
      </w:r>
      <w:proofErr w:type="spellStart"/>
      <w:r w:rsidRPr="005D23B9">
        <w:rPr>
          <w:rFonts w:ascii="Calibri" w:cs="Calibri"/>
        </w:rPr>
        <w:t>Kleinemonde</w:t>
      </w:r>
      <w:proofErr w:type="spellEnd"/>
      <w:r w:rsidRPr="005D23B9">
        <w:rPr>
          <w:rFonts w:ascii="Calibri" w:cs="Calibri"/>
        </w:rPr>
        <w:t xml:space="preserve"> Estuary over 20 years: Declining abundance and nursery function? </w:t>
      </w:r>
      <w:r w:rsidRPr="005D23B9">
        <w:rPr>
          <w:rFonts w:ascii="Calibri" w:cs="Calibri"/>
          <w:i/>
          <w:iCs/>
        </w:rPr>
        <w:t>Estuarine, Coastal and Shelf Science</w:t>
      </w:r>
      <w:r w:rsidRPr="005D23B9">
        <w:rPr>
          <w:rFonts w:ascii="Calibri" w:cs="Calibri"/>
        </w:rPr>
        <w:t xml:space="preserve">, </w:t>
      </w:r>
      <w:r w:rsidRPr="005D23B9">
        <w:rPr>
          <w:rFonts w:ascii="Calibri" w:cs="Calibri"/>
          <w:i/>
          <w:iCs/>
        </w:rPr>
        <w:t>214</w:t>
      </w:r>
      <w:r w:rsidRPr="005D23B9">
        <w:rPr>
          <w:rFonts w:ascii="Calibri" w:cs="Calibri"/>
        </w:rPr>
        <w:t>, 64–71. https://doi.org/10.1016/j.ecss.2018.09.010</w:t>
      </w:r>
    </w:p>
    <w:p w14:paraId="4E44C5B8" w14:textId="77777777" w:rsidR="005D23B9" w:rsidRPr="005D23B9" w:rsidRDefault="005D23B9" w:rsidP="005D23B9">
      <w:pPr>
        <w:pStyle w:val="Bibliography"/>
        <w:rPr>
          <w:rFonts w:ascii="Calibri" w:cs="Calibri"/>
        </w:rPr>
      </w:pPr>
      <w:proofErr w:type="spellStart"/>
      <w:r w:rsidRPr="005D23B9">
        <w:rPr>
          <w:rFonts w:ascii="Calibri" w:cs="Calibri"/>
        </w:rPr>
        <w:t>Kitada</w:t>
      </w:r>
      <w:proofErr w:type="spellEnd"/>
      <w:r w:rsidRPr="005D23B9">
        <w:rPr>
          <w:rFonts w:ascii="Calibri" w:cs="Calibri"/>
        </w:rPr>
        <w:t xml:space="preserve">, J., </w:t>
      </w:r>
      <w:proofErr w:type="spellStart"/>
      <w:r w:rsidRPr="005D23B9">
        <w:rPr>
          <w:rFonts w:ascii="Calibri" w:cs="Calibri"/>
        </w:rPr>
        <w:t>Tatewaki</w:t>
      </w:r>
      <w:proofErr w:type="spellEnd"/>
      <w:r w:rsidRPr="005D23B9">
        <w:rPr>
          <w:rFonts w:ascii="Calibri" w:cs="Calibri"/>
        </w:rPr>
        <w:t xml:space="preserve">, R., &amp; Tagawa, M. (1980). Chromosomes of the pond smelt Hypomesus transpacificus nipponensis. </w:t>
      </w:r>
      <w:proofErr w:type="spellStart"/>
      <w:r w:rsidRPr="005D23B9">
        <w:rPr>
          <w:rFonts w:ascii="Calibri" w:cs="Calibri"/>
          <w:i/>
          <w:iCs/>
        </w:rPr>
        <w:t>Chrom</w:t>
      </w:r>
      <w:proofErr w:type="spellEnd"/>
      <w:r w:rsidRPr="005D23B9">
        <w:rPr>
          <w:rFonts w:ascii="Calibri" w:cs="Calibri"/>
          <w:i/>
          <w:iCs/>
        </w:rPr>
        <w:t>. Inform. Serv.</w:t>
      </w:r>
      <w:r w:rsidRPr="005D23B9">
        <w:rPr>
          <w:rFonts w:ascii="Calibri" w:cs="Calibri"/>
        </w:rPr>
        <w:t xml:space="preserve">, </w:t>
      </w:r>
      <w:r w:rsidRPr="005D23B9">
        <w:rPr>
          <w:rFonts w:ascii="Calibri" w:cs="Calibri"/>
          <w:i/>
          <w:iCs/>
        </w:rPr>
        <w:t>28</w:t>
      </w:r>
      <w:r w:rsidRPr="005D23B9">
        <w:rPr>
          <w:rFonts w:ascii="Calibri" w:cs="Calibri"/>
        </w:rPr>
        <w:t>, 8–9.</w:t>
      </w:r>
    </w:p>
    <w:p w14:paraId="3F61F8E3" w14:textId="77777777" w:rsidR="005D23B9" w:rsidRPr="005D23B9" w:rsidRDefault="005D23B9" w:rsidP="005D23B9">
      <w:pPr>
        <w:pStyle w:val="Bibliography"/>
        <w:rPr>
          <w:rFonts w:ascii="Calibri" w:cs="Calibri"/>
        </w:rPr>
      </w:pPr>
      <w:r w:rsidRPr="005D23B9">
        <w:rPr>
          <w:rFonts w:ascii="Calibri" w:cs="Calibri"/>
        </w:rPr>
        <w:t xml:space="preserve">Lew, R. M., Finger, A. J., </w:t>
      </w:r>
      <w:proofErr w:type="spellStart"/>
      <w:r w:rsidRPr="005D23B9">
        <w:rPr>
          <w:rFonts w:ascii="Calibri" w:cs="Calibri"/>
        </w:rPr>
        <w:t>Baerwald</w:t>
      </w:r>
      <w:proofErr w:type="spellEnd"/>
      <w:r w:rsidRPr="005D23B9">
        <w:rPr>
          <w:rFonts w:ascii="Calibri" w:cs="Calibri"/>
        </w:rPr>
        <w:t xml:space="preserve">, M. R., </w:t>
      </w:r>
      <w:proofErr w:type="spellStart"/>
      <w:r w:rsidRPr="005D23B9">
        <w:rPr>
          <w:rFonts w:ascii="Calibri" w:cs="Calibri"/>
        </w:rPr>
        <w:t>Goodbla</w:t>
      </w:r>
      <w:proofErr w:type="spellEnd"/>
      <w:r w:rsidRPr="005D23B9">
        <w:rPr>
          <w:rFonts w:ascii="Calibri" w:cs="Calibri"/>
        </w:rPr>
        <w:t xml:space="preserve">, A., May, B., &amp; Meek, M. H. (2015). Using Next-Generation Sequencing to Assist a Conservation Hatchery: A Single-Nucleotide Polymorphism Panel for the Genetic Management of Endangered Delta Smelt. </w:t>
      </w:r>
      <w:r w:rsidRPr="005D23B9">
        <w:rPr>
          <w:rFonts w:ascii="Calibri" w:cs="Calibri"/>
          <w:i/>
          <w:iCs/>
        </w:rPr>
        <w:t>Transactions of the American Fisheries Society</w:t>
      </w:r>
      <w:r w:rsidRPr="005D23B9">
        <w:rPr>
          <w:rFonts w:ascii="Calibri" w:cs="Calibri"/>
        </w:rPr>
        <w:t xml:space="preserve">, </w:t>
      </w:r>
      <w:r w:rsidRPr="005D23B9">
        <w:rPr>
          <w:rFonts w:ascii="Calibri" w:cs="Calibri"/>
          <w:i/>
          <w:iCs/>
        </w:rPr>
        <w:t>144</w:t>
      </w:r>
      <w:r w:rsidRPr="005D23B9">
        <w:rPr>
          <w:rFonts w:ascii="Calibri" w:cs="Calibri"/>
        </w:rPr>
        <w:t>(4), 767–779. https://doi.org/10.1080/00028487.2015.1037016</w:t>
      </w:r>
    </w:p>
    <w:p w14:paraId="2C95FC86" w14:textId="77777777" w:rsidR="005D23B9" w:rsidRPr="005D23B9" w:rsidRDefault="005D23B9" w:rsidP="005D23B9">
      <w:pPr>
        <w:pStyle w:val="Bibliography"/>
        <w:rPr>
          <w:rFonts w:ascii="Calibri" w:cs="Calibri"/>
        </w:rPr>
      </w:pPr>
      <w:r w:rsidRPr="005D23B9">
        <w:rPr>
          <w:rFonts w:ascii="Calibri" w:cs="Calibri"/>
        </w:rPr>
        <w:t xml:space="preserve">Li, H., &amp; Durbin, R. (2009). Fast and accurate short read alignment with Burrows-Wheeler transform. </w:t>
      </w:r>
      <w:r w:rsidRPr="005D23B9">
        <w:rPr>
          <w:rFonts w:ascii="Calibri" w:cs="Calibri"/>
          <w:i/>
          <w:iCs/>
        </w:rPr>
        <w:t>Bioinformatics</w:t>
      </w:r>
      <w:r w:rsidRPr="005D23B9">
        <w:rPr>
          <w:rFonts w:ascii="Calibri" w:cs="Calibri"/>
        </w:rPr>
        <w:t xml:space="preserve">, </w:t>
      </w:r>
      <w:r w:rsidRPr="005D23B9">
        <w:rPr>
          <w:rFonts w:ascii="Calibri" w:cs="Calibri"/>
          <w:i/>
          <w:iCs/>
        </w:rPr>
        <w:t>25</w:t>
      </w:r>
      <w:r w:rsidRPr="005D23B9">
        <w:rPr>
          <w:rFonts w:ascii="Calibri" w:cs="Calibri"/>
        </w:rPr>
        <w:t>(14), 1754–1760. https://doi.org/10.1093/bioinformatics/btp324</w:t>
      </w:r>
    </w:p>
    <w:p w14:paraId="11057547" w14:textId="77777777" w:rsidR="005D23B9" w:rsidRPr="005D23B9" w:rsidRDefault="005D23B9" w:rsidP="005D23B9">
      <w:pPr>
        <w:pStyle w:val="Bibliography"/>
        <w:rPr>
          <w:rFonts w:ascii="Calibri" w:cs="Calibri"/>
        </w:rPr>
      </w:pPr>
      <w:r w:rsidRPr="005D23B9">
        <w:rPr>
          <w:rFonts w:ascii="Calibri" w:cs="Calibri"/>
        </w:rPr>
        <w:t xml:space="preserve">Li, H., </w:t>
      </w:r>
      <w:proofErr w:type="spellStart"/>
      <w:r w:rsidRPr="005D23B9">
        <w:rPr>
          <w:rFonts w:ascii="Calibri" w:cs="Calibri"/>
        </w:rPr>
        <w:t>Handsaker</w:t>
      </w:r>
      <w:proofErr w:type="spellEnd"/>
      <w:r w:rsidRPr="005D23B9">
        <w:rPr>
          <w:rFonts w:ascii="Calibri" w:cs="Calibri"/>
        </w:rPr>
        <w:t xml:space="preserve">, B., </w:t>
      </w:r>
      <w:proofErr w:type="spellStart"/>
      <w:r w:rsidRPr="005D23B9">
        <w:rPr>
          <w:rFonts w:ascii="Calibri" w:cs="Calibri"/>
        </w:rPr>
        <w:t>Wysoker</w:t>
      </w:r>
      <w:proofErr w:type="spellEnd"/>
      <w:r w:rsidRPr="005D23B9">
        <w:rPr>
          <w:rFonts w:ascii="Calibri" w:cs="Calibri"/>
        </w:rPr>
        <w:t xml:space="preserve">, A., Fennell, T., </w:t>
      </w:r>
      <w:proofErr w:type="spellStart"/>
      <w:r w:rsidRPr="005D23B9">
        <w:rPr>
          <w:rFonts w:ascii="Calibri" w:cs="Calibri"/>
        </w:rPr>
        <w:t>Ruan</w:t>
      </w:r>
      <w:proofErr w:type="spellEnd"/>
      <w:r w:rsidRPr="005D23B9">
        <w:rPr>
          <w:rFonts w:ascii="Calibri" w:cs="Calibri"/>
        </w:rPr>
        <w:t xml:space="preserve">, J., Homer, N., Marth, G., </w:t>
      </w:r>
      <w:proofErr w:type="spellStart"/>
      <w:r w:rsidRPr="005D23B9">
        <w:rPr>
          <w:rFonts w:ascii="Calibri" w:cs="Calibri"/>
        </w:rPr>
        <w:t>Abecasis</w:t>
      </w:r>
      <w:proofErr w:type="spellEnd"/>
      <w:r w:rsidRPr="005D23B9">
        <w:rPr>
          <w:rFonts w:ascii="Calibri" w:cs="Calibri"/>
        </w:rPr>
        <w:t xml:space="preserve">, G., &amp; Durbin, R. (2009). The Sequence Alignment/Map format and </w:t>
      </w:r>
      <w:proofErr w:type="spellStart"/>
      <w:r w:rsidRPr="005D23B9">
        <w:rPr>
          <w:rFonts w:ascii="Calibri" w:cs="Calibri"/>
        </w:rPr>
        <w:t>SAMtools</w:t>
      </w:r>
      <w:proofErr w:type="spellEnd"/>
      <w:r w:rsidRPr="005D23B9">
        <w:rPr>
          <w:rFonts w:ascii="Calibri" w:cs="Calibri"/>
        </w:rPr>
        <w:t xml:space="preserve">. </w:t>
      </w:r>
      <w:r w:rsidRPr="005D23B9">
        <w:rPr>
          <w:rFonts w:ascii="Calibri" w:cs="Calibri"/>
          <w:i/>
          <w:iCs/>
        </w:rPr>
        <w:t>Bioinformatics</w:t>
      </w:r>
      <w:r w:rsidRPr="005D23B9">
        <w:rPr>
          <w:rFonts w:ascii="Calibri" w:cs="Calibri"/>
        </w:rPr>
        <w:t xml:space="preserve">, </w:t>
      </w:r>
      <w:r w:rsidRPr="005D23B9">
        <w:rPr>
          <w:rFonts w:ascii="Calibri" w:cs="Calibri"/>
          <w:i/>
          <w:iCs/>
        </w:rPr>
        <w:t>25</w:t>
      </w:r>
      <w:r w:rsidRPr="005D23B9">
        <w:rPr>
          <w:rFonts w:ascii="Calibri" w:cs="Calibri"/>
        </w:rPr>
        <w:t>(16), 2078–2079. https://doi.org/10.1093/bioinformatics/btp352</w:t>
      </w:r>
    </w:p>
    <w:p w14:paraId="1970DB0B" w14:textId="77777777" w:rsidR="005D23B9" w:rsidRPr="005D23B9" w:rsidRDefault="005D23B9" w:rsidP="005D23B9">
      <w:pPr>
        <w:pStyle w:val="Bibliography"/>
        <w:rPr>
          <w:rFonts w:ascii="Calibri" w:cs="Calibri"/>
        </w:rPr>
      </w:pPr>
      <w:r w:rsidRPr="005D23B9">
        <w:rPr>
          <w:rFonts w:ascii="Calibri" w:cs="Calibri"/>
        </w:rPr>
        <w:t xml:space="preserve">Mapleson, D., </w:t>
      </w:r>
      <w:proofErr w:type="spellStart"/>
      <w:r w:rsidRPr="005D23B9">
        <w:rPr>
          <w:rFonts w:ascii="Calibri" w:cs="Calibri"/>
        </w:rPr>
        <w:t>Accinelli</w:t>
      </w:r>
      <w:proofErr w:type="spellEnd"/>
      <w:r w:rsidRPr="005D23B9">
        <w:rPr>
          <w:rFonts w:ascii="Calibri" w:cs="Calibri"/>
        </w:rPr>
        <w:t xml:space="preserve">, G. G., </w:t>
      </w:r>
      <w:proofErr w:type="spellStart"/>
      <w:r w:rsidRPr="005D23B9">
        <w:rPr>
          <w:rFonts w:ascii="Calibri" w:cs="Calibri"/>
        </w:rPr>
        <w:t>Kettleborough</w:t>
      </w:r>
      <w:proofErr w:type="spellEnd"/>
      <w:r w:rsidRPr="005D23B9">
        <w:rPr>
          <w:rFonts w:ascii="Calibri" w:cs="Calibri"/>
        </w:rPr>
        <w:t xml:space="preserve">, G., Wright, J., &amp; Clavijo, B. J. (2017). </w:t>
      </w:r>
      <w:r w:rsidRPr="005D23B9">
        <w:rPr>
          <w:rFonts w:ascii="Calibri" w:cs="Calibri"/>
          <w:i/>
          <w:iCs/>
        </w:rPr>
        <w:t xml:space="preserve">Sequence analysis </w:t>
      </w:r>
      <w:proofErr w:type="gramStart"/>
      <w:r w:rsidRPr="005D23B9">
        <w:rPr>
          <w:rFonts w:ascii="Calibri" w:cs="Calibri"/>
          <w:i/>
          <w:iCs/>
        </w:rPr>
        <w:t>KAT :</w:t>
      </w:r>
      <w:proofErr w:type="gramEnd"/>
      <w:r w:rsidRPr="005D23B9">
        <w:rPr>
          <w:rFonts w:ascii="Calibri" w:cs="Calibri"/>
          <w:i/>
          <w:iCs/>
        </w:rPr>
        <w:t xml:space="preserve"> a K-mer analysis toolkit to quality control NGS datasets and genome assemblies</w:t>
      </w:r>
      <w:r w:rsidRPr="005D23B9">
        <w:rPr>
          <w:rFonts w:ascii="Calibri" w:cs="Calibri"/>
        </w:rPr>
        <w:t xml:space="preserve">. </w:t>
      </w:r>
      <w:r w:rsidRPr="005D23B9">
        <w:rPr>
          <w:rFonts w:ascii="Calibri" w:cs="Calibri"/>
          <w:i/>
          <w:iCs/>
        </w:rPr>
        <w:t>33</w:t>
      </w:r>
      <w:r w:rsidRPr="005D23B9">
        <w:rPr>
          <w:rFonts w:ascii="Calibri" w:cs="Calibri"/>
        </w:rPr>
        <w:t>(November 2016), 574–576. https://doi.org/10.1093/bioinformatics/btw663</w:t>
      </w:r>
    </w:p>
    <w:p w14:paraId="198FFBF5" w14:textId="77777777" w:rsidR="005D23B9" w:rsidRPr="005D23B9" w:rsidRDefault="005D23B9" w:rsidP="005D23B9">
      <w:pPr>
        <w:pStyle w:val="Bibliography"/>
        <w:rPr>
          <w:rFonts w:ascii="Calibri" w:cs="Calibri"/>
        </w:rPr>
      </w:pPr>
      <w:proofErr w:type="spellStart"/>
      <w:r w:rsidRPr="005D23B9">
        <w:rPr>
          <w:rFonts w:ascii="Calibri" w:cs="Calibri"/>
        </w:rPr>
        <w:t>Marçais</w:t>
      </w:r>
      <w:proofErr w:type="spellEnd"/>
      <w:r w:rsidRPr="005D23B9">
        <w:rPr>
          <w:rFonts w:ascii="Calibri" w:cs="Calibri"/>
        </w:rPr>
        <w:t xml:space="preserve">, G., &amp; Kingsford, C. (2011). A fast, lock-free approach for efficient parallel counting of occurrences of k-mers. </w:t>
      </w:r>
      <w:r w:rsidRPr="005D23B9">
        <w:rPr>
          <w:rFonts w:ascii="Calibri" w:cs="Calibri"/>
          <w:i/>
          <w:iCs/>
        </w:rPr>
        <w:t>Bioinformatics</w:t>
      </w:r>
      <w:r w:rsidRPr="005D23B9">
        <w:rPr>
          <w:rFonts w:ascii="Calibri" w:cs="Calibri"/>
        </w:rPr>
        <w:t xml:space="preserve">, </w:t>
      </w:r>
      <w:r w:rsidRPr="005D23B9">
        <w:rPr>
          <w:rFonts w:ascii="Calibri" w:cs="Calibri"/>
          <w:i/>
          <w:iCs/>
        </w:rPr>
        <w:t>27</w:t>
      </w:r>
      <w:r w:rsidRPr="005D23B9">
        <w:rPr>
          <w:rFonts w:ascii="Calibri" w:cs="Calibri"/>
        </w:rPr>
        <w:t>(6), 764–770. https://doi.org/10.1093/bioinformatics/btr011</w:t>
      </w:r>
    </w:p>
    <w:p w14:paraId="43C19A01" w14:textId="77777777" w:rsidR="005D23B9" w:rsidRPr="005D23B9" w:rsidRDefault="005D23B9" w:rsidP="005D23B9">
      <w:pPr>
        <w:pStyle w:val="Bibliography"/>
        <w:rPr>
          <w:rFonts w:ascii="Calibri" w:cs="Calibri"/>
        </w:rPr>
      </w:pPr>
      <w:r w:rsidRPr="005D23B9">
        <w:rPr>
          <w:rFonts w:ascii="Calibri" w:cs="Calibri"/>
        </w:rPr>
        <w:t xml:space="preserve">McAllister, D. E. (1963). </w:t>
      </w:r>
      <w:r w:rsidRPr="005D23B9">
        <w:rPr>
          <w:rFonts w:ascii="Calibri" w:cs="Calibri"/>
          <w:i/>
          <w:iCs/>
        </w:rPr>
        <w:t xml:space="preserve">Revision of the smelt family, </w:t>
      </w:r>
      <w:proofErr w:type="spellStart"/>
      <w:r w:rsidRPr="005D23B9">
        <w:rPr>
          <w:rFonts w:ascii="Calibri" w:cs="Calibri"/>
          <w:i/>
          <w:iCs/>
        </w:rPr>
        <w:t>Osmeridae</w:t>
      </w:r>
      <w:proofErr w:type="spellEnd"/>
      <w:r w:rsidRPr="005D23B9">
        <w:rPr>
          <w:rFonts w:ascii="Calibri" w:cs="Calibri"/>
          <w:i/>
          <w:iCs/>
        </w:rPr>
        <w:t>.</w:t>
      </w:r>
      <w:r w:rsidRPr="005D23B9">
        <w:rPr>
          <w:rFonts w:ascii="Calibri" w:cs="Calibri"/>
        </w:rPr>
        <w:t xml:space="preserve"> National Museum of Canada, Biological Series 191.</w:t>
      </w:r>
    </w:p>
    <w:p w14:paraId="753DF472" w14:textId="77777777" w:rsidR="005D23B9" w:rsidRPr="005D23B9" w:rsidRDefault="005D23B9" w:rsidP="005D23B9">
      <w:pPr>
        <w:pStyle w:val="Bibliography"/>
        <w:rPr>
          <w:rFonts w:ascii="Calibri" w:cs="Calibri"/>
        </w:rPr>
      </w:pPr>
      <w:r w:rsidRPr="005D23B9">
        <w:rPr>
          <w:rFonts w:ascii="Calibri" w:cs="Calibri"/>
        </w:rPr>
        <w:t xml:space="preserve">Moyle, P. B. (2002). </w:t>
      </w:r>
      <w:r w:rsidRPr="005D23B9">
        <w:rPr>
          <w:rFonts w:ascii="Calibri" w:cs="Calibri"/>
          <w:i/>
          <w:iCs/>
        </w:rPr>
        <w:t>Inland Fishes of California</w:t>
      </w:r>
      <w:r w:rsidRPr="005D23B9">
        <w:rPr>
          <w:rFonts w:ascii="Calibri" w:cs="Calibri"/>
        </w:rPr>
        <w:t xml:space="preserve"> (2nd ed.). University of California Press.</w:t>
      </w:r>
    </w:p>
    <w:p w14:paraId="64D7C2AE" w14:textId="77777777" w:rsidR="005D23B9" w:rsidRPr="005D23B9" w:rsidRDefault="005D23B9" w:rsidP="005D23B9">
      <w:pPr>
        <w:pStyle w:val="Bibliography"/>
        <w:rPr>
          <w:rFonts w:ascii="Calibri" w:cs="Calibri"/>
        </w:rPr>
      </w:pPr>
      <w:r w:rsidRPr="005D23B9">
        <w:rPr>
          <w:rFonts w:ascii="Calibri" w:cs="Calibri"/>
        </w:rPr>
        <w:t xml:space="preserve">Moyle, P. B., Herbold, B., Stevens, D. E., &amp; Miller, L. W. (1992). Transactions of the American Fisheries Society Life History and Status of Delta Smelt in the Sacramento-San Joaquin </w:t>
      </w:r>
      <w:proofErr w:type="gramStart"/>
      <w:r w:rsidRPr="005D23B9">
        <w:rPr>
          <w:rFonts w:ascii="Calibri" w:cs="Calibri"/>
        </w:rPr>
        <w:t>Estuary ,</w:t>
      </w:r>
      <w:proofErr w:type="gramEnd"/>
      <w:r w:rsidRPr="005D23B9">
        <w:rPr>
          <w:rFonts w:ascii="Calibri" w:cs="Calibri"/>
        </w:rPr>
        <w:t xml:space="preserve"> California. </w:t>
      </w:r>
      <w:r w:rsidRPr="005D23B9">
        <w:rPr>
          <w:rFonts w:ascii="Calibri" w:cs="Calibri"/>
          <w:i/>
          <w:iCs/>
        </w:rPr>
        <w:t>Transactions of the American Fisheries Society</w:t>
      </w:r>
      <w:r w:rsidRPr="005D23B9">
        <w:rPr>
          <w:rFonts w:ascii="Calibri" w:cs="Calibri"/>
        </w:rPr>
        <w:t xml:space="preserve">, </w:t>
      </w:r>
      <w:r w:rsidRPr="005D23B9">
        <w:rPr>
          <w:rFonts w:ascii="Calibri" w:cs="Calibri"/>
          <w:i/>
          <w:iCs/>
        </w:rPr>
        <w:t>121</w:t>
      </w:r>
      <w:r w:rsidRPr="005D23B9">
        <w:rPr>
          <w:rFonts w:ascii="Calibri" w:cs="Calibri"/>
        </w:rPr>
        <w:t>(1), 67–77. https://doi.org/10.1016/j.fertnstert.2012.04.042</w:t>
      </w:r>
    </w:p>
    <w:p w14:paraId="4454846C" w14:textId="77777777" w:rsidR="005D23B9" w:rsidRPr="005D23B9" w:rsidRDefault="005D23B9" w:rsidP="005D23B9">
      <w:pPr>
        <w:pStyle w:val="Bibliography"/>
        <w:rPr>
          <w:rFonts w:ascii="Calibri" w:cs="Calibri"/>
        </w:rPr>
      </w:pPr>
      <w:r w:rsidRPr="005D23B9">
        <w:rPr>
          <w:rFonts w:ascii="Calibri" w:cs="Calibri"/>
        </w:rPr>
        <w:lastRenderedPageBreak/>
        <w:t xml:space="preserve">Moyle, P. B., Hobbs, J. A., &amp; Durand, J. R. (2018). Delta Smelt and Water Politics in California. </w:t>
      </w:r>
      <w:r w:rsidRPr="005D23B9">
        <w:rPr>
          <w:rFonts w:ascii="Calibri" w:cs="Calibri"/>
          <w:i/>
          <w:iCs/>
        </w:rPr>
        <w:t>Fisheries</w:t>
      </w:r>
      <w:r w:rsidRPr="005D23B9">
        <w:rPr>
          <w:rFonts w:ascii="Calibri" w:cs="Calibri"/>
        </w:rPr>
        <w:t xml:space="preserve">, </w:t>
      </w:r>
      <w:r w:rsidRPr="005D23B9">
        <w:rPr>
          <w:rFonts w:ascii="Calibri" w:cs="Calibri"/>
          <w:i/>
          <w:iCs/>
        </w:rPr>
        <w:t>43</w:t>
      </w:r>
      <w:r w:rsidRPr="005D23B9">
        <w:rPr>
          <w:rFonts w:ascii="Calibri" w:cs="Calibri"/>
        </w:rPr>
        <w:t>(1), 42–50. https://doi.org/10.1002/fsh.10014</w:t>
      </w:r>
    </w:p>
    <w:p w14:paraId="7968FCB2" w14:textId="77777777" w:rsidR="005D23B9" w:rsidRPr="005D23B9" w:rsidRDefault="005D23B9" w:rsidP="005D23B9">
      <w:pPr>
        <w:pStyle w:val="Bibliography"/>
        <w:rPr>
          <w:rFonts w:ascii="Calibri" w:cs="Calibri"/>
        </w:rPr>
      </w:pPr>
      <w:r w:rsidRPr="005D23B9">
        <w:rPr>
          <w:rFonts w:ascii="Calibri" w:cs="Calibri"/>
        </w:rPr>
        <w:t xml:space="preserve">Moyle, Peter B., Brown, Larry R., Durand, John R., Hobbs, J. A. (2016). Delta Smelt: </w:t>
      </w:r>
      <w:proofErr w:type="spellStart"/>
      <w:r w:rsidRPr="005D23B9">
        <w:rPr>
          <w:rFonts w:ascii="Calibri" w:cs="Calibri"/>
        </w:rPr>
        <w:t>LIfe</w:t>
      </w:r>
      <w:proofErr w:type="spellEnd"/>
      <w:r w:rsidRPr="005D23B9">
        <w:rPr>
          <w:rFonts w:ascii="Calibri" w:cs="Calibri"/>
        </w:rPr>
        <w:t xml:space="preserve"> History and Decline of a Once-</w:t>
      </w:r>
      <w:proofErr w:type="spellStart"/>
      <w:r w:rsidRPr="005D23B9">
        <w:rPr>
          <w:rFonts w:ascii="Calibri" w:cs="Calibri"/>
        </w:rPr>
        <w:t>Adundant</w:t>
      </w:r>
      <w:proofErr w:type="spellEnd"/>
      <w:r w:rsidRPr="005D23B9">
        <w:rPr>
          <w:rFonts w:ascii="Calibri" w:cs="Calibri"/>
        </w:rPr>
        <w:t xml:space="preserve"> Species in the San Francisco Estuary. </w:t>
      </w:r>
      <w:r w:rsidRPr="005D23B9">
        <w:rPr>
          <w:rFonts w:ascii="Calibri" w:cs="Calibri"/>
          <w:i/>
          <w:iCs/>
        </w:rPr>
        <w:t>San Francisco Estuary and Watershed Science</w:t>
      </w:r>
      <w:r w:rsidRPr="005D23B9">
        <w:rPr>
          <w:rFonts w:ascii="Calibri" w:cs="Calibri"/>
        </w:rPr>
        <w:t xml:space="preserve">, </w:t>
      </w:r>
      <w:r w:rsidRPr="005D23B9">
        <w:rPr>
          <w:rFonts w:ascii="Calibri" w:cs="Calibri"/>
          <w:i/>
          <w:iCs/>
        </w:rPr>
        <w:t>14</w:t>
      </w:r>
      <w:r w:rsidRPr="005D23B9">
        <w:rPr>
          <w:rFonts w:ascii="Calibri" w:cs="Calibri"/>
        </w:rPr>
        <w:t>(2), 1–40.</w:t>
      </w:r>
    </w:p>
    <w:p w14:paraId="4BB33438" w14:textId="77777777" w:rsidR="005D23B9" w:rsidRPr="005D23B9" w:rsidRDefault="005D23B9" w:rsidP="005D23B9">
      <w:pPr>
        <w:pStyle w:val="Bibliography"/>
        <w:rPr>
          <w:rFonts w:ascii="Calibri" w:cs="Calibri"/>
        </w:rPr>
      </w:pPr>
      <w:r w:rsidRPr="005D23B9">
        <w:rPr>
          <w:rFonts w:ascii="Calibri" w:cs="Calibri"/>
        </w:rPr>
        <w:t xml:space="preserve">Nichols, F. H., </w:t>
      </w:r>
      <w:proofErr w:type="spellStart"/>
      <w:r w:rsidRPr="005D23B9">
        <w:rPr>
          <w:rFonts w:ascii="Calibri" w:cs="Calibri"/>
        </w:rPr>
        <w:t>Cloern</w:t>
      </w:r>
      <w:proofErr w:type="spellEnd"/>
      <w:r w:rsidRPr="005D23B9">
        <w:rPr>
          <w:rFonts w:ascii="Calibri" w:cs="Calibri"/>
        </w:rPr>
        <w:t xml:space="preserve">, J. E., </w:t>
      </w:r>
      <w:proofErr w:type="spellStart"/>
      <w:r w:rsidRPr="005D23B9">
        <w:rPr>
          <w:rFonts w:ascii="Calibri" w:cs="Calibri"/>
        </w:rPr>
        <w:t>Luoma</w:t>
      </w:r>
      <w:proofErr w:type="spellEnd"/>
      <w:r w:rsidRPr="005D23B9">
        <w:rPr>
          <w:rFonts w:ascii="Calibri" w:cs="Calibri"/>
        </w:rPr>
        <w:t xml:space="preserve">, S. N., &amp; Peterson, D. H. (1986). The Modification of an Estuary. </w:t>
      </w:r>
      <w:r w:rsidRPr="005D23B9">
        <w:rPr>
          <w:rFonts w:ascii="Calibri" w:cs="Calibri"/>
          <w:i/>
          <w:iCs/>
        </w:rPr>
        <w:t>Science</w:t>
      </w:r>
      <w:r w:rsidRPr="005D23B9">
        <w:rPr>
          <w:rFonts w:ascii="Calibri" w:cs="Calibri"/>
        </w:rPr>
        <w:t xml:space="preserve">, </w:t>
      </w:r>
      <w:r w:rsidRPr="005D23B9">
        <w:rPr>
          <w:rFonts w:ascii="Calibri" w:cs="Calibri"/>
          <w:i/>
          <w:iCs/>
        </w:rPr>
        <w:t>231</w:t>
      </w:r>
      <w:r w:rsidRPr="005D23B9">
        <w:rPr>
          <w:rFonts w:ascii="Calibri" w:cs="Calibri"/>
        </w:rPr>
        <w:t>(4738), 567–573. https://doi.org/10.1126/science.231.4738.567</w:t>
      </w:r>
    </w:p>
    <w:p w14:paraId="34E7366A" w14:textId="77777777" w:rsidR="005D23B9" w:rsidRPr="005D23B9" w:rsidRDefault="005D23B9" w:rsidP="005D23B9">
      <w:pPr>
        <w:pStyle w:val="Bibliography"/>
        <w:rPr>
          <w:rFonts w:ascii="Calibri" w:cs="Calibri"/>
        </w:rPr>
      </w:pPr>
      <w:r w:rsidRPr="005D23B9">
        <w:rPr>
          <w:rFonts w:ascii="Calibri" w:cs="Calibri"/>
        </w:rPr>
        <w:t xml:space="preserve">Ning, Z. (n.d.). </w:t>
      </w:r>
      <w:r w:rsidRPr="005D23B9">
        <w:rPr>
          <w:rFonts w:ascii="Calibri" w:cs="Calibri"/>
          <w:i/>
          <w:iCs/>
        </w:rPr>
        <w:t>Scaff10X: Pipeline for scaffolding and breaking a genome assembly using 10x genomics linked-reads</w:t>
      </w:r>
      <w:r w:rsidRPr="005D23B9">
        <w:rPr>
          <w:rFonts w:ascii="Calibri" w:cs="Calibri"/>
        </w:rPr>
        <w:t xml:space="preserve"> [Computer software].</w:t>
      </w:r>
    </w:p>
    <w:p w14:paraId="251F53D4" w14:textId="77777777" w:rsidR="005D23B9" w:rsidRPr="005D23B9" w:rsidRDefault="005D23B9" w:rsidP="005D23B9">
      <w:pPr>
        <w:pStyle w:val="Bibliography"/>
        <w:rPr>
          <w:rFonts w:ascii="Calibri" w:cs="Calibri"/>
        </w:rPr>
      </w:pPr>
      <w:r w:rsidRPr="005D23B9">
        <w:rPr>
          <w:rFonts w:ascii="Calibri" w:cs="Calibri"/>
        </w:rPr>
        <w:t xml:space="preserve">Nygren, A., Nilsson, B., &amp; Jahnke, M. (1971). Cytological studies in the smelt (Osmerus eperlanus L.). </w:t>
      </w:r>
      <w:proofErr w:type="spellStart"/>
      <w:r w:rsidRPr="005D23B9">
        <w:rPr>
          <w:rFonts w:ascii="Calibri" w:cs="Calibri"/>
          <w:i/>
          <w:iCs/>
        </w:rPr>
        <w:t>Hereditas</w:t>
      </w:r>
      <w:proofErr w:type="spellEnd"/>
      <w:r w:rsidRPr="005D23B9">
        <w:rPr>
          <w:rFonts w:ascii="Calibri" w:cs="Calibri"/>
        </w:rPr>
        <w:t xml:space="preserve">, </w:t>
      </w:r>
      <w:r w:rsidRPr="005D23B9">
        <w:rPr>
          <w:rFonts w:ascii="Calibri" w:cs="Calibri"/>
          <w:i/>
          <w:iCs/>
        </w:rPr>
        <w:t>67</w:t>
      </w:r>
      <w:r w:rsidRPr="005D23B9">
        <w:rPr>
          <w:rFonts w:ascii="Calibri" w:cs="Calibri"/>
        </w:rPr>
        <w:t>(2), 283–286. https://doi.org/10.1111/j.1601-5223.1971.tb02381.x</w:t>
      </w:r>
    </w:p>
    <w:p w14:paraId="3DDFC541" w14:textId="77777777" w:rsidR="005D23B9" w:rsidRPr="005D23B9" w:rsidRDefault="005D23B9" w:rsidP="005D23B9">
      <w:pPr>
        <w:pStyle w:val="Bibliography"/>
        <w:rPr>
          <w:rFonts w:ascii="Calibri" w:cs="Calibri"/>
        </w:rPr>
      </w:pPr>
      <w:proofErr w:type="spellStart"/>
      <w:r w:rsidRPr="005D23B9">
        <w:rPr>
          <w:rFonts w:ascii="Calibri" w:cs="Calibri"/>
        </w:rPr>
        <w:t>Ocalewicz</w:t>
      </w:r>
      <w:proofErr w:type="spellEnd"/>
      <w:r w:rsidRPr="005D23B9">
        <w:rPr>
          <w:rFonts w:ascii="Calibri" w:cs="Calibri"/>
        </w:rPr>
        <w:t xml:space="preserve">, K., </w:t>
      </w:r>
      <w:proofErr w:type="spellStart"/>
      <w:r w:rsidRPr="005D23B9">
        <w:rPr>
          <w:rFonts w:ascii="Calibri" w:cs="Calibri"/>
        </w:rPr>
        <w:t>Hliwa</w:t>
      </w:r>
      <w:proofErr w:type="spellEnd"/>
      <w:r w:rsidRPr="005D23B9">
        <w:rPr>
          <w:rFonts w:ascii="Calibri" w:cs="Calibri"/>
        </w:rPr>
        <w:t xml:space="preserve">, P., </w:t>
      </w:r>
      <w:proofErr w:type="spellStart"/>
      <w:r w:rsidRPr="005D23B9">
        <w:rPr>
          <w:rFonts w:ascii="Calibri" w:cs="Calibri"/>
        </w:rPr>
        <w:t>Krol</w:t>
      </w:r>
      <w:proofErr w:type="spellEnd"/>
      <w:r w:rsidRPr="005D23B9">
        <w:rPr>
          <w:rFonts w:ascii="Calibri" w:cs="Calibri"/>
        </w:rPr>
        <w:t xml:space="preserve">, J., </w:t>
      </w:r>
      <w:proofErr w:type="spellStart"/>
      <w:r w:rsidRPr="005D23B9">
        <w:rPr>
          <w:rFonts w:ascii="Calibri" w:cs="Calibri"/>
        </w:rPr>
        <w:t>Rábová</w:t>
      </w:r>
      <w:proofErr w:type="spellEnd"/>
      <w:r w:rsidRPr="005D23B9">
        <w:rPr>
          <w:rFonts w:ascii="Calibri" w:cs="Calibri"/>
        </w:rPr>
        <w:t xml:space="preserve">, M., </w:t>
      </w:r>
      <w:proofErr w:type="spellStart"/>
      <w:r w:rsidRPr="005D23B9">
        <w:rPr>
          <w:rFonts w:ascii="Calibri" w:cs="Calibri"/>
        </w:rPr>
        <w:t>Stabinski</w:t>
      </w:r>
      <w:proofErr w:type="spellEnd"/>
      <w:r w:rsidRPr="005D23B9">
        <w:rPr>
          <w:rFonts w:ascii="Calibri" w:cs="Calibri"/>
        </w:rPr>
        <w:t xml:space="preserve">, R., &amp; </w:t>
      </w:r>
      <w:proofErr w:type="spellStart"/>
      <w:r w:rsidRPr="005D23B9">
        <w:rPr>
          <w:rFonts w:ascii="Calibri" w:cs="Calibri"/>
        </w:rPr>
        <w:t>Ráb</w:t>
      </w:r>
      <w:proofErr w:type="spellEnd"/>
      <w:r w:rsidRPr="005D23B9">
        <w:rPr>
          <w:rFonts w:ascii="Calibri" w:cs="Calibri"/>
        </w:rPr>
        <w:t xml:space="preserve">, P. (2007). Karyotype and chromosomal characteristics of Ag–NOR sites and 5S rDNA in European smelt, Osmerus eperlanus. </w:t>
      </w:r>
      <w:proofErr w:type="spellStart"/>
      <w:r w:rsidRPr="005D23B9">
        <w:rPr>
          <w:rFonts w:ascii="Calibri" w:cs="Calibri"/>
          <w:i/>
          <w:iCs/>
        </w:rPr>
        <w:t>Genetica</w:t>
      </w:r>
      <w:proofErr w:type="spellEnd"/>
      <w:r w:rsidRPr="005D23B9">
        <w:rPr>
          <w:rFonts w:ascii="Calibri" w:cs="Calibri"/>
        </w:rPr>
        <w:t xml:space="preserve">, </w:t>
      </w:r>
      <w:r w:rsidRPr="005D23B9">
        <w:rPr>
          <w:rFonts w:ascii="Calibri" w:cs="Calibri"/>
          <w:i/>
          <w:iCs/>
        </w:rPr>
        <w:t>131</w:t>
      </w:r>
      <w:r w:rsidRPr="005D23B9">
        <w:rPr>
          <w:rFonts w:ascii="Calibri" w:cs="Calibri"/>
        </w:rPr>
        <w:t>(1), 29–35. https://doi.org/10.1007/s10709-006-9110-9</w:t>
      </w:r>
    </w:p>
    <w:p w14:paraId="4C9F3544" w14:textId="77777777" w:rsidR="005D23B9" w:rsidRPr="005D23B9" w:rsidRDefault="005D23B9" w:rsidP="005D23B9">
      <w:pPr>
        <w:pStyle w:val="Bibliography"/>
        <w:rPr>
          <w:rFonts w:ascii="Calibri" w:cs="Calibri"/>
        </w:rPr>
      </w:pPr>
      <w:r w:rsidRPr="005D23B9">
        <w:rPr>
          <w:rFonts w:ascii="Calibri" w:cs="Calibri"/>
        </w:rPr>
        <w:t xml:space="preserve">Patrick, H. J. H., </w:t>
      </w:r>
      <w:proofErr w:type="spellStart"/>
      <w:r w:rsidRPr="005D23B9">
        <w:rPr>
          <w:rFonts w:ascii="Calibri" w:cs="Calibri"/>
        </w:rPr>
        <w:t>Chomič</w:t>
      </w:r>
      <w:proofErr w:type="spellEnd"/>
      <w:r w:rsidRPr="005D23B9">
        <w:rPr>
          <w:rFonts w:ascii="Calibri" w:cs="Calibri"/>
        </w:rPr>
        <w:t xml:space="preserve">, A., &amp; Armstrong, K. F. (2016). Cooled Propylene Glycol as a Pragmatic Choice for Preservation of DNA From Remote Field-Collected Diptera for Next-Generation Sequence Analysis. </w:t>
      </w:r>
      <w:r w:rsidRPr="005D23B9">
        <w:rPr>
          <w:rFonts w:ascii="Calibri" w:cs="Calibri"/>
          <w:i/>
          <w:iCs/>
        </w:rPr>
        <w:t>Journal of Economic Entomology</w:t>
      </w:r>
      <w:r w:rsidRPr="005D23B9">
        <w:rPr>
          <w:rFonts w:ascii="Calibri" w:cs="Calibri"/>
        </w:rPr>
        <w:t xml:space="preserve">, </w:t>
      </w:r>
      <w:r w:rsidRPr="005D23B9">
        <w:rPr>
          <w:rFonts w:ascii="Calibri" w:cs="Calibri"/>
          <w:i/>
          <w:iCs/>
        </w:rPr>
        <w:t>109</w:t>
      </w:r>
      <w:r w:rsidRPr="005D23B9">
        <w:rPr>
          <w:rFonts w:ascii="Calibri" w:cs="Calibri"/>
        </w:rPr>
        <w:t>(3), 1469–1473. https://doi.org/10.1093/jee/tow047</w:t>
      </w:r>
    </w:p>
    <w:p w14:paraId="12CB45B3" w14:textId="77777777" w:rsidR="005D23B9" w:rsidRPr="005D23B9" w:rsidRDefault="005D23B9" w:rsidP="005D23B9">
      <w:pPr>
        <w:pStyle w:val="Bibliography"/>
        <w:rPr>
          <w:rFonts w:ascii="Calibri" w:cs="Calibri"/>
        </w:rPr>
      </w:pPr>
      <w:r w:rsidRPr="005D23B9">
        <w:rPr>
          <w:rFonts w:ascii="Calibri" w:cs="Calibri"/>
        </w:rPr>
        <w:t xml:space="preserve">Quinlan, A. R., &amp; Hall, I. M. (2010). </w:t>
      </w:r>
      <w:proofErr w:type="spellStart"/>
      <w:r w:rsidRPr="005D23B9">
        <w:rPr>
          <w:rFonts w:ascii="Calibri" w:cs="Calibri"/>
        </w:rPr>
        <w:t>BEDTools</w:t>
      </w:r>
      <w:proofErr w:type="spellEnd"/>
      <w:r w:rsidRPr="005D23B9">
        <w:rPr>
          <w:rFonts w:ascii="Calibri" w:cs="Calibri"/>
        </w:rPr>
        <w:t xml:space="preserve">: A flexible suite of utilities for comparing genomic features. </w:t>
      </w:r>
      <w:r w:rsidRPr="005D23B9">
        <w:rPr>
          <w:rFonts w:ascii="Calibri" w:cs="Calibri"/>
          <w:i/>
          <w:iCs/>
        </w:rPr>
        <w:t>Bioinformatics</w:t>
      </w:r>
      <w:r w:rsidRPr="005D23B9">
        <w:rPr>
          <w:rFonts w:ascii="Calibri" w:cs="Calibri"/>
        </w:rPr>
        <w:t xml:space="preserve">, </w:t>
      </w:r>
      <w:r w:rsidRPr="005D23B9">
        <w:rPr>
          <w:rFonts w:ascii="Calibri" w:cs="Calibri"/>
          <w:i/>
          <w:iCs/>
        </w:rPr>
        <w:t>26</w:t>
      </w:r>
      <w:r w:rsidRPr="005D23B9">
        <w:rPr>
          <w:rFonts w:ascii="Calibri" w:cs="Calibri"/>
        </w:rPr>
        <w:t>(6), 841–842. https://doi.org/10.1093/bioinformatics/btq033</w:t>
      </w:r>
    </w:p>
    <w:p w14:paraId="1B3DAF42" w14:textId="77777777" w:rsidR="005D23B9" w:rsidRPr="005D23B9" w:rsidRDefault="005D23B9" w:rsidP="005D23B9">
      <w:pPr>
        <w:pStyle w:val="Bibliography"/>
        <w:rPr>
          <w:rFonts w:ascii="Calibri" w:cs="Calibri"/>
        </w:rPr>
      </w:pPr>
      <w:r w:rsidRPr="005D23B9">
        <w:rPr>
          <w:rFonts w:ascii="Calibri" w:cs="Calibri"/>
        </w:rPr>
        <w:t xml:space="preserve">Rosenfield, J. A., &amp; Baxter, R. D. (2007). Population Dynamics and Distribution Patterns of Longfin Smelt in the San Francisco Estuary. </w:t>
      </w:r>
      <w:r w:rsidRPr="005D23B9">
        <w:rPr>
          <w:rFonts w:ascii="Calibri" w:cs="Calibri"/>
          <w:i/>
          <w:iCs/>
        </w:rPr>
        <w:t>Transactions of the American Fisheries Society</w:t>
      </w:r>
      <w:r w:rsidRPr="005D23B9">
        <w:rPr>
          <w:rFonts w:ascii="Calibri" w:cs="Calibri"/>
        </w:rPr>
        <w:t xml:space="preserve">, </w:t>
      </w:r>
      <w:r w:rsidRPr="005D23B9">
        <w:rPr>
          <w:rFonts w:ascii="Calibri" w:cs="Calibri"/>
          <w:i/>
          <w:iCs/>
        </w:rPr>
        <w:t>136</w:t>
      </w:r>
      <w:r w:rsidRPr="005D23B9">
        <w:rPr>
          <w:rFonts w:ascii="Calibri" w:cs="Calibri"/>
        </w:rPr>
        <w:t>(6), 1577–1592. https://doi.org/10.1577/T06-148.1</w:t>
      </w:r>
    </w:p>
    <w:p w14:paraId="2879388A" w14:textId="77777777" w:rsidR="005D23B9" w:rsidRPr="005D23B9" w:rsidRDefault="005D23B9" w:rsidP="005D23B9">
      <w:pPr>
        <w:pStyle w:val="Bibliography"/>
        <w:rPr>
          <w:rFonts w:ascii="Calibri" w:cs="Calibri"/>
        </w:rPr>
      </w:pPr>
      <w:proofErr w:type="spellStart"/>
      <w:r w:rsidRPr="005D23B9">
        <w:rPr>
          <w:rFonts w:ascii="Calibri" w:cs="Calibri"/>
        </w:rPr>
        <w:t>Simão</w:t>
      </w:r>
      <w:proofErr w:type="spellEnd"/>
      <w:r w:rsidRPr="005D23B9">
        <w:rPr>
          <w:rFonts w:ascii="Calibri" w:cs="Calibri"/>
        </w:rPr>
        <w:t xml:space="preserve">, F. A., Waterhouse, R. M., Ioannidis, P., </w:t>
      </w:r>
      <w:proofErr w:type="spellStart"/>
      <w:r w:rsidRPr="005D23B9">
        <w:rPr>
          <w:rFonts w:ascii="Calibri" w:cs="Calibri"/>
        </w:rPr>
        <w:t>Kriventseva</w:t>
      </w:r>
      <w:proofErr w:type="spellEnd"/>
      <w:r w:rsidRPr="005D23B9">
        <w:rPr>
          <w:rFonts w:ascii="Calibri" w:cs="Calibri"/>
        </w:rPr>
        <w:t xml:space="preserve">, E. V., &amp; </w:t>
      </w:r>
      <w:proofErr w:type="spellStart"/>
      <w:r w:rsidRPr="005D23B9">
        <w:rPr>
          <w:rFonts w:ascii="Calibri" w:cs="Calibri"/>
        </w:rPr>
        <w:t>Zdobnov</w:t>
      </w:r>
      <w:proofErr w:type="spellEnd"/>
      <w:r w:rsidRPr="005D23B9">
        <w:rPr>
          <w:rFonts w:ascii="Calibri" w:cs="Calibri"/>
        </w:rPr>
        <w:t xml:space="preserve">, E. M. (2015). BUSCO: Assessing genome assembly and annotation completeness with </w:t>
      </w:r>
      <w:proofErr w:type="gramStart"/>
      <w:r w:rsidRPr="005D23B9">
        <w:rPr>
          <w:rFonts w:ascii="Calibri" w:cs="Calibri"/>
        </w:rPr>
        <w:t>single-copy</w:t>
      </w:r>
      <w:proofErr w:type="gramEnd"/>
      <w:r w:rsidRPr="005D23B9">
        <w:rPr>
          <w:rFonts w:ascii="Calibri" w:cs="Calibri"/>
        </w:rPr>
        <w:t xml:space="preserve"> orthologs. </w:t>
      </w:r>
      <w:r w:rsidRPr="005D23B9">
        <w:rPr>
          <w:rFonts w:ascii="Calibri" w:cs="Calibri"/>
          <w:i/>
          <w:iCs/>
        </w:rPr>
        <w:t>Bioinformatics</w:t>
      </w:r>
      <w:r w:rsidRPr="005D23B9">
        <w:rPr>
          <w:rFonts w:ascii="Calibri" w:cs="Calibri"/>
        </w:rPr>
        <w:t xml:space="preserve">, </w:t>
      </w:r>
      <w:r w:rsidRPr="005D23B9">
        <w:rPr>
          <w:rFonts w:ascii="Calibri" w:cs="Calibri"/>
          <w:i/>
          <w:iCs/>
        </w:rPr>
        <w:t>31</w:t>
      </w:r>
      <w:r w:rsidRPr="005D23B9">
        <w:rPr>
          <w:rFonts w:ascii="Calibri" w:cs="Calibri"/>
        </w:rPr>
        <w:t>(19), 3210–3212. https://doi.org/10.1093/bioinformatics/btv351</w:t>
      </w:r>
    </w:p>
    <w:p w14:paraId="4D7ADD80" w14:textId="77777777" w:rsidR="005D23B9" w:rsidRPr="005D23B9" w:rsidRDefault="005D23B9" w:rsidP="005D23B9">
      <w:pPr>
        <w:pStyle w:val="Bibliography"/>
        <w:rPr>
          <w:rFonts w:ascii="Calibri" w:cs="Calibri"/>
        </w:rPr>
      </w:pPr>
      <w:r w:rsidRPr="005D23B9">
        <w:rPr>
          <w:rFonts w:ascii="Calibri" w:cs="Calibri"/>
        </w:rPr>
        <w:t xml:space="preserve">Sommer, T., Armor, C., Baxter, R., Breuer, R., Brown, L., </w:t>
      </w:r>
      <w:proofErr w:type="spellStart"/>
      <w:r w:rsidRPr="005D23B9">
        <w:rPr>
          <w:rFonts w:ascii="Calibri" w:cs="Calibri"/>
        </w:rPr>
        <w:t>Chotkowski</w:t>
      </w:r>
      <w:proofErr w:type="spellEnd"/>
      <w:r w:rsidRPr="005D23B9">
        <w:rPr>
          <w:rFonts w:ascii="Calibri" w:cs="Calibri"/>
        </w:rPr>
        <w:t xml:space="preserve">, M., Culberson, S., </w:t>
      </w:r>
      <w:proofErr w:type="spellStart"/>
      <w:r w:rsidRPr="005D23B9">
        <w:rPr>
          <w:rFonts w:ascii="Calibri" w:cs="Calibri"/>
        </w:rPr>
        <w:t>Feyrer</w:t>
      </w:r>
      <w:proofErr w:type="spellEnd"/>
      <w:r w:rsidRPr="005D23B9">
        <w:rPr>
          <w:rFonts w:ascii="Calibri" w:cs="Calibri"/>
        </w:rPr>
        <w:t>, F., Gingras, M., Herbold, B., Kimmerer, W., Mueller-</w:t>
      </w:r>
      <w:proofErr w:type="spellStart"/>
      <w:r w:rsidRPr="005D23B9">
        <w:rPr>
          <w:rFonts w:ascii="Calibri" w:cs="Calibri"/>
        </w:rPr>
        <w:t>Solger</w:t>
      </w:r>
      <w:proofErr w:type="spellEnd"/>
      <w:r w:rsidRPr="005D23B9">
        <w:rPr>
          <w:rFonts w:ascii="Calibri" w:cs="Calibri"/>
        </w:rPr>
        <w:t xml:space="preserve">, A., </w:t>
      </w:r>
      <w:proofErr w:type="spellStart"/>
      <w:r w:rsidRPr="005D23B9">
        <w:rPr>
          <w:rFonts w:ascii="Calibri" w:cs="Calibri"/>
        </w:rPr>
        <w:t>Nobriga</w:t>
      </w:r>
      <w:proofErr w:type="spellEnd"/>
      <w:r w:rsidRPr="005D23B9">
        <w:rPr>
          <w:rFonts w:ascii="Calibri" w:cs="Calibri"/>
        </w:rPr>
        <w:t xml:space="preserve">, M., &amp; Souza, K. (2007). The Collapse of Pelagic Fishes in the Upper San Francisco Estuary: El </w:t>
      </w:r>
      <w:proofErr w:type="spellStart"/>
      <w:r w:rsidRPr="005D23B9">
        <w:rPr>
          <w:rFonts w:ascii="Calibri" w:cs="Calibri"/>
        </w:rPr>
        <w:t>Colapso</w:t>
      </w:r>
      <w:proofErr w:type="spellEnd"/>
      <w:r w:rsidRPr="005D23B9">
        <w:rPr>
          <w:rFonts w:ascii="Calibri" w:cs="Calibri"/>
        </w:rPr>
        <w:t xml:space="preserve"> de los </w:t>
      </w:r>
      <w:proofErr w:type="spellStart"/>
      <w:r w:rsidRPr="005D23B9">
        <w:rPr>
          <w:rFonts w:ascii="Calibri" w:cs="Calibri"/>
        </w:rPr>
        <w:t>Peces</w:t>
      </w:r>
      <w:proofErr w:type="spellEnd"/>
      <w:r w:rsidRPr="005D23B9">
        <w:rPr>
          <w:rFonts w:ascii="Calibri" w:cs="Calibri"/>
        </w:rPr>
        <w:t xml:space="preserve"> </w:t>
      </w:r>
      <w:proofErr w:type="spellStart"/>
      <w:r w:rsidRPr="005D23B9">
        <w:rPr>
          <w:rFonts w:ascii="Calibri" w:cs="Calibri"/>
        </w:rPr>
        <w:t>Pelagicos</w:t>
      </w:r>
      <w:proofErr w:type="spellEnd"/>
      <w:r w:rsidRPr="005D23B9">
        <w:rPr>
          <w:rFonts w:ascii="Calibri" w:cs="Calibri"/>
        </w:rPr>
        <w:t xml:space="preserve"> </w:t>
      </w:r>
      <w:proofErr w:type="spellStart"/>
      <w:r w:rsidRPr="005D23B9">
        <w:rPr>
          <w:rFonts w:ascii="Calibri" w:cs="Calibri"/>
        </w:rPr>
        <w:t>en</w:t>
      </w:r>
      <w:proofErr w:type="spellEnd"/>
      <w:r w:rsidRPr="005D23B9">
        <w:rPr>
          <w:rFonts w:ascii="Calibri" w:cs="Calibri"/>
        </w:rPr>
        <w:t xml:space="preserve"> La Cabecera Del </w:t>
      </w:r>
      <w:proofErr w:type="spellStart"/>
      <w:r w:rsidRPr="005D23B9">
        <w:rPr>
          <w:rFonts w:ascii="Calibri" w:cs="Calibri"/>
        </w:rPr>
        <w:t>Estuario</w:t>
      </w:r>
      <w:proofErr w:type="spellEnd"/>
      <w:r w:rsidRPr="005D23B9">
        <w:rPr>
          <w:rFonts w:ascii="Calibri" w:cs="Calibri"/>
        </w:rPr>
        <w:t xml:space="preserve"> </w:t>
      </w:r>
      <w:r w:rsidRPr="005D23B9">
        <w:rPr>
          <w:rFonts w:ascii="Calibri" w:cs="Calibri"/>
        </w:rPr>
        <w:lastRenderedPageBreak/>
        <w:t xml:space="preserve">San Francisco. </w:t>
      </w:r>
      <w:r w:rsidRPr="005D23B9">
        <w:rPr>
          <w:rFonts w:ascii="Calibri" w:cs="Calibri"/>
          <w:i/>
          <w:iCs/>
        </w:rPr>
        <w:t>Fisheries</w:t>
      </w:r>
      <w:r w:rsidRPr="005D23B9">
        <w:rPr>
          <w:rFonts w:ascii="Calibri" w:cs="Calibri"/>
        </w:rPr>
        <w:t xml:space="preserve">, </w:t>
      </w:r>
      <w:r w:rsidRPr="005D23B9">
        <w:rPr>
          <w:rFonts w:ascii="Calibri" w:cs="Calibri"/>
          <w:i/>
          <w:iCs/>
        </w:rPr>
        <w:t>32</w:t>
      </w:r>
      <w:r w:rsidRPr="005D23B9">
        <w:rPr>
          <w:rFonts w:ascii="Calibri" w:cs="Calibri"/>
        </w:rPr>
        <w:t>(6), 270–277. https://doi.org/10.1577/1548-8446(2007)32[</w:t>
      </w:r>
      <w:proofErr w:type="gramStart"/>
      <w:r w:rsidRPr="005D23B9">
        <w:rPr>
          <w:rFonts w:ascii="Calibri" w:cs="Calibri"/>
        </w:rPr>
        <w:t>270:TCOPFI</w:t>
      </w:r>
      <w:proofErr w:type="gramEnd"/>
      <w:r w:rsidRPr="005D23B9">
        <w:rPr>
          <w:rFonts w:ascii="Calibri" w:cs="Calibri"/>
        </w:rPr>
        <w:t>]2.0.CO;2</w:t>
      </w:r>
    </w:p>
    <w:p w14:paraId="7D904965" w14:textId="77777777" w:rsidR="005D23B9" w:rsidRPr="005D23B9" w:rsidRDefault="005D23B9" w:rsidP="005D23B9">
      <w:pPr>
        <w:pStyle w:val="Bibliography"/>
        <w:rPr>
          <w:rFonts w:ascii="Calibri" w:cs="Calibri"/>
        </w:rPr>
      </w:pPr>
      <w:r w:rsidRPr="005D23B9">
        <w:rPr>
          <w:rFonts w:ascii="Calibri" w:cs="Calibri"/>
        </w:rPr>
        <w:t xml:space="preserve">Sommer, T., Mejia, F., </w:t>
      </w:r>
      <w:proofErr w:type="spellStart"/>
      <w:r w:rsidRPr="005D23B9">
        <w:rPr>
          <w:rFonts w:ascii="Calibri" w:cs="Calibri"/>
        </w:rPr>
        <w:t>Nobriga</w:t>
      </w:r>
      <w:proofErr w:type="spellEnd"/>
      <w:r w:rsidRPr="005D23B9">
        <w:rPr>
          <w:rFonts w:ascii="Calibri" w:cs="Calibri"/>
        </w:rPr>
        <w:t xml:space="preserve">, M., </w:t>
      </w:r>
      <w:proofErr w:type="spellStart"/>
      <w:r w:rsidRPr="005D23B9">
        <w:rPr>
          <w:rFonts w:ascii="Calibri" w:cs="Calibri"/>
        </w:rPr>
        <w:t>Feyrer</w:t>
      </w:r>
      <w:proofErr w:type="spellEnd"/>
      <w:r w:rsidRPr="005D23B9">
        <w:rPr>
          <w:rFonts w:ascii="Calibri" w:cs="Calibri"/>
        </w:rPr>
        <w:t xml:space="preserve">, F., &amp; </w:t>
      </w:r>
      <w:proofErr w:type="spellStart"/>
      <w:r w:rsidRPr="005D23B9">
        <w:rPr>
          <w:rFonts w:ascii="Calibri" w:cs="Calibri"/>
        </w:rPr>
        <w:t>Grimaldo</w:t>
      </w:r>
      <w:proofErr w:type="spellEnd"/>
      <w:r w:rsidRPr="005D23B9">
        <w:rPr>
          <w:rFonts w:ascii="Calibri" w:cs="Calibri"/>
        </w:rPr>
        <w:t xml:space="preserve">, L. (2011). The Spawning Migration of Delta Smelt in the Upper San Francisco Estuary. </w:t>
      </w:r>
      <w:r w:rsidRPr="005D23B9">
        <w:rPr>
          <w:rFonts w:ascii="Calibri" w:cs="Calibri"/>
          <w:i/>
          <w:iCs/>
        </w:rPr>
        <w:t>San Francisco Estuary and Watershed Science</w:t>
      </w:r>
      <w:r w:rsidRPr="005D23B9">
        <w:rPr>
          <w:rFonts w:ascii="Calibri" w:cs="Calibri"/>
        </w:rPr>
        <w:t xml:space="preserve">, </w:t>
      </w:r>
      <w:r w:rsidRPr="005D23B9">
        <w:rPr>
          <w:rFonts w:ascii="Calibri" w:cs="Calibri"/>
          <w:i/>
          <w:iCs/>
        </w:rPr>
        <w:t>9</w:t>
      </w:r>
      <w:r w:rsidRPr="005D23B9">
        <w:rPr>
          <w:rFonts w:ascii="Calibri" w:cs="Calibri"/>
        </w:rPr>
        <w:t>(2), 1–44.</w:t>
      </w:r>
    </w:p>
    <w:p w14:paraId="235C95FD" w14:textId="77777777" w:rsidR="005D23B9" w:rsidRPr="005D23B9" w:rsidRDefault="005D23B9" w:rsidP="005D23B9">
      <w:pPr>
        <w:pStyle w:val="Bibliography"/>
        <w:rPr>
          <w:rFonts w:ascii="Calibri" w:cs="Calibri"/>
        </w:rPr>
      </w:pPr>
      <w:proofErr w:type="spellStart"/>
      <w:r w:rsidRPr="005D23B9">
        <w:rPr>
          <w:rFonts w:ascii="Calibri" w:cs="Calibri"/>
        </w:rPr>
        <w:t>Strona</w:t>
      </w:r>
      <w:proofErr w:type="spellEnd"/>
      <w:r w:rsidRPr="005D23B9">
        <w:rPr>
          <w:rFonts w:ascii="Calibri" w:cs="Calibri"/>
        </w:rPr>
        <w:t xml:space="preserve">, G., &amp; Bradshaw, C. J. A. (2022). Coextinctions dominate future vertebrate losses from climate and land use change. </w:t>
      </w:r>
      <w:r w:rsidRPr="005D23B9">
        <w:rPr>
          <w:rFonts w:ascii="Calibri" w:cs="Calibri"/>
          <w:i/>
          <w:iCs/>
        </w:rPr>
        <w:t>Science Advances</w:t>
      </w:r>
      <w:r w:rsidRPr="005D23B9">
        <w:rPr>
          <w:rFonts w:ascii="Calibri" w:cs="Calibri"/>
        </w:rPr>
        <w:t xml:space="preserve">, </w:t>
      </w:r>
      <w:r w:rsidRPr="005D23B9">
        <w:rPr>
          <w:rFonts w:ascii="Calibri" w:cs="Calibri"/>
          <w:i/>
          <w:iCs/>
        </w:rPr>
        <w:t>8</w:t>
      </w:r>
      <w:r w:rsidRPr="005D23B9">
        <w:rPr>
          <w:rFonts w:ascii="Calibri" w:cs="Calibri"/>
        </w:rPr>
        <w:t>(50), eabn4345. https://doi.org/10.1126/sciadv.abn4345</w:t>
      </w:r>
    </w:p>
    <w:p w14:paraId="31F2CCC6" w14:textId="77777777" w:rsidR="005D23B9" w:rsidRPr="005D23B9" w:rsidRDefault="005D23B9" w:rsidP="005D23B9">
      <w:pPr>
        <w:pStyle w:val="Bibliography"/>
        <w:rPr>
          <w:rFonts w:ascii="Calibri" w:cs="Calibri"/>
        </w:rPr>
      </w:pPr>
      <w:r w:rsidRPr="005D23B9">
        <w:rPr>
          <w:rFonts w:ascii="Calibri" w:cs="Calibri"/>
        </w:rPr>
        <w:t xml:space="preserve">Ullrich, P. A., Xu, Z., Rhoades, A. M., </w:t>
      </w:r>
      <w:proofErr w:type="spellStart"/>
      <w:r w:rsidRPr="005D23B9">
        <w:rPr>
          <w:rFonts w:ascii="Calibri" w:cs="Calibri"/>
        </w:rPr>
        <w:t>Dettinger</w:t>
      </w:r>
      <w:proofErr w:type="spellEnd"/>
      <w:r w:rsidRPr="005D23B9">
        <w:rPr>
          <w:rFonts w:ascii="Calibri" w:cs="Calibri"/>
        </w:rPr>
        <w:t xml:space="preserve">, M. D., Mount, J. F., Jones, A. D., &amp; </w:t>
      </w:r>
      <w:proofErr w:type="spellStart"/>
      <w:r w:rsidRPr="005D23B9">
        <w:rPr>
          <w:rFonts w:ascii="Calibri" w:cs="Calibri"/>
        </w:rPr>
        <w:t>Vahmani</w:t>
      </w:r>
      <w:proofErr w:type="spellEnd"/>
      <w:r w:rsidRPr="005D23B9">
        <w:rPr>
          <w:rFonts w:ascii="Calibri" w:cs="Calibri"/>
        </w:rPr>
        <w:t xml:space="preserve">, P. (2018). California’s Drought of the Future: A Midcentury Recreation of the Exceptional Conditions of 2012–2017. </w:t>
      </w:r>
      <w:r w:rsidRPr="005D23B9">
        <w:rPr>
          <w:rFonts w:ascii="Calibri" w:cs="Calibri"/>
          <w:i/>
          <w:iCs/>
        </w:rPr>
        <w:t>Earth’s Future</w:t>
      </w:r>
      <w:r w:rsidRPr="005D23B9">
        <w:rPr>
          <w:rFonts w:ascii="Calibri" w:cs="Calibri"/>
        </w:rPr>
        <w:t xml:space="preserve">, </w:t>
      </w:r>
      <w:r w:rsidRPr="005D23B9">
        <w:rPr>
          <w:rFonts w:ascii="Calibri" w:cs="Calibri"/>
          <w:i/>
          <w:iCs/>
        </w:rPr>
        <w:t>6</w:t>
      </w:r>
      <w:r w:rsidRPr="005D23B9">
        <w:rPr>
          <w:rFonts w:ascii="Calibri" w:cs="Calibri"/>
        </w:rPr>
        <w:t>(11), 1568–1587. https://doi.org/10.1029/2018EF001007</w:t>
      </w:r>
    </w:p>
    <w:p w14:paraId="4AA694CE" w14:textId="77777777" w:rsidR="005D23B9" w:rsidRPr="005D23B9" w:rsidRDefault="005D23B9" w:rsidP="005D23B9">
      <w:pPr>
        <w:pStyle w:val="Bibliography"/>
        <w:rPr>
          <w:rFonts w:ascii="Calibri" w:cs="Calibri"/>
        </w:rPr>
      </w:pPr>
      <w:proofErr w:type="spellStart"/>
      <w:r w:rsidRPr="005D23B9">
        <w:rPr>
          <w:rFonts w:ascii="Calibri" w:cs="Calibri"/>
        </w:rPr>
        <w:t>Vaser</w:t>
      </w:r>
      <w:proofErr w:type="spellEnd"/>
      <w:r w:rsidRPr="005D23B9">
        <w:rPr>
          <w:rFonts w:ascii="Calibri" w:cs="Calibri"/>
        </w:rPr>
        <w:t xml:space="preserve">, R., </w:t>
      </w:r>
      <w:proofErr w:type="spellStart"/>
      <w:r w:rsidRPr="005D23B9">
        <w:rPr>
          <w:rFonts w:ascii="Calibri" w:cs="Calibri"/>
        </w:rPr>
        <w:t>Sović</w:t>
      </w:r>
      <w:proofErr w:type="spellEnd"/>
      <w:r w:rsidRPr="005D23B9">
        <w:rPr>
          <w:rFonts w:ascii="Calibri" w:cs="Calibri"/>
        </w:rPr>
        <w:t xml:space="preserve">, I., Nagarajan, N., &amp; </w:t>
      </w:r>
      <w:proofErr w:type="spellStart"/>
      <w:r w:rsidRPr="005D23B9">
        <w:rPr>
          <w:rFonts w:ascii="Calibri" w:cs="Calibri"/>
        </w:rPr>
        <w:t>Šikić</w:t>
      </w:r>
      <w:proofErr w:type="spellEnd"/>
      <w:r w:rsidRPr="005D23B9">
        <w:rPr>
          <w:rFonts w:ascii="Calibri" w:cs="Calibri"/>
        </w:rPr>
        <w:t xml:space="preserve">, M. (2017). Fast and accurate de novo genome assembly from long uncorrected reads. </w:t>
      </w:r>
      <w:r w:rsidRPr="005D23B9">
        <w:rPr>
          <w:rFonts w:ascii="Calibri" w:cs="Calibri"/>
          <w:i/>
          <w:iCs/>
        </w:rPr>
        <w:t>Genome Research</w:t>
      </w:r>
      <w:r w:rsidRPr="005D23B9">
        <w:rPr>
          <w:rFonts w:ascii="Calibri" w:cs="Calibri"/>
        </w:rPr>
        <w:t xml:space="preserve">, </w:t>
      </w:r>
      <w:r w:rsidRPr="005D23B9">
        <w:rPr>
          <w:rFonts w:ascii="Calibri" w:cs="Calibri"/>
          <w:i/>
          <w:iCs/>
        </w:rPr>
        <w:t>27</w:t>
      </w:r>
      <w:r w:rsidRPr="005D23B9">
        <w:rPr>
          <w:rFonts w:ascii="Calibri" w:cs="Calibri"/>
        </w:rPr>
        <w:t>(5), 737–746. https://doi.org/10.1101/gr.214270.116</w:t>
      </w:r>
    </w:p>
    <w:p w14:paraId="73A78A9C" w14:textId="77777777" w:rsidR="005D23B9" w:rsidRPr="005D23B9" w:rsidRDefault="005D23B9" w:rsidP="005D23B9">
      <w:pPr>
        <w:pStyle w:val="Bibliography"/>
        <w:rPr>
          <w:rFonts w:ascii="Calibri" w:cs="Calibri"/>
        </w:rPr>
      </w:pPr>
      <w:proofErr w:type="spellStart"/>
      <w:r w:rsidRPr="005D23B9">
        <w:rPr>
          <w:rFonts w:ascii="Calibri" w:cs="Calibri"/>
        </w:rPr>
        <w:t>Vurture</w:t>
      </w:r>
      <w:proofErr w:type="spellEnd"/>
      <w:r w:rsidRPr="005D23B9">
        <w:rPr>
          <w:rFonts w:ascii="Calibri" w:cs="Calibri"/>
        </w:rPr>
        <w:t xml:space="preserve">, G. W., </w:t>
      </w:r>
      <w:proofErr w:type="spellStart"/>
      <w:r w:rsidRPr="005D23B9">
        <w:rPr>
          <w:rFonts w:ascii="Calibri" w:cs="Calibri"/>
        </w:rPr>
        <w:t>Sedlazeck</w:t>
      </w:r>
      <w:proofErr w:type="spellEnd"/>
      <w:r w:rsidRPr="005D23B9">
        <w:rPr>
          <w:rFonts w:ascii="Calibri" w:cs="Calibri"/>
        </w:rPr>
        <w:t xml:space="preserve">, F. J., </w:t>
      </w:r>
      <w:proofErr w:type="spellStart"/>
      <w:r w:rsidRPr="005D23B9">
        <w:rPr>
          <w:rFonts w:ascii="Calibri" w:cs="Calibri"/>
        </w:rPr>
        <w:t>Nattestad</w:t>
      </w:r>
      <w:proofErr w:type="spellEnd"/>
      <w:r w:rsidRPr="005D23B9">
        <w:rPr>
          <w:rFonts w:ascii="Calibri" w:cs="Calibri"/>
        </w:rPr>
        <w:t xml:space="preserve">, M., Underwood, C. J., Fang, H., </w:t>
      </w:r>
      <w:proofErr w:type="spellStart"/>
      <w:r w:rsidRPr="005D23B9">
        <w:rPr>
          <w:rFonts w:ascii="Calibri" w:cs="Calibri"/>
        </w:rPr>
        <w:t>Gurtowski</w:t>
      </w:r>
      <w:proofErr w:type="spellEnd"/>
      <w:r w:rsidRPr="005D23B9">
        <w:rPr>
          <w:rFonts w:ascii="Calibri" w:cs="Calibri"/>
        </w:rPr>
        <w:t xml:space="preserve">, J., &amp; Schatz, M. C. (2017). </w:t>
      </w:r>
      <w:proofErr w:type="spellStart"/>
      <w:r w:rsidRPr="005D23B9">
        <w:rPr>
          <w:rFonts w:ascii="Calibri" w:cs="Calibri"/>
        </w:rPr>
        <w:t>GenomeScope</w:t>
      </w:r>
      <w:proofErr w:type="spellEnd"/>
      <w:r w:rsidRPr="005D23B9">
        <w:rPr>
          <w:rFonts w:ascii="Calibri" w:cs="Calibri"/>
        </w:rPr>
        <w:t xml:space="preserve">: Fast reference-free genome profiling from short reads. </w:t>
      </w:r>
      <w:r w:rsidRPr="005D23B9">
        <w:rPr>
          <w:rFonts w:ascii="Calibri" w:cs="Calibri"/>
          <w:i/>
          <w:iCs/>
        </w:rPr>
        <w:t>Bioinformatics</w:t>
      </w:r>
      <w:r w:rsidRPr="005D23B9">
        <w:rPr>
          <w:rFonts w:ascii="Calibri" w:cs="Calibri"/>
        </w:rPr>
        <w:t xml:space="preserve">, </w:t>
      </w:r>
      <w:r w:rsidRPr="005D23B9">
        <w:rPr>
          <w:rFonts w:ascii="Calibri" w:cs="Calibri"/>
          <w:i/>
          <w:iCs/>
        </w:rPr>
        <w:t>33</w:t>
      </w:r>
      <w:r w:rsidRPr="005D23B9">
        <w:rPr>
          <w:rFonts w:ascii="Calibri" w:cs="Calibri"/>
        </w:rPr>
        <w:t>(14), 2202–2204. https://doi.org/10.1093/bioinformatics/btx153</w:t>
      </w:r>
    </w:p>
    <w:p w14:paraId="7D7D7276" w14:textId="77777777" w:rsidR="005D23B9" w:rsidRPr="005D23B9" w:rsidRDefault="005D23B9" w:rsidP="005D23B9">
      <w:pPr>
        <w:pStyle w:val="Bibliography"/>
        <w:rPr>
          <w:rFonts w:ascii="Calibri" w:cs="Calibri"/>
        </w:rPr>
      </w:pPr>
      <w:proofErr w:type="spellStart"/>
      <w:r w:rsidRPr="005D23B9">
        <w:rPr>
          <w:rFonts w:ascii="Calibri" w:cs="Calibri"/>
        </w:rPr>
        <w:t>Wasko</w:t>
      </w:r>
      <w:proofErr w:type="spellEnd"/>
      <w:r w:rsidRPr="005D23B9">
        <w:rPr>
          <w:rFonts w:ascii="Calibri" w:cs="Calibri"/>
        </w:rPr>
        <w:t xml:space="preserve">, A. P., Martins, C., Oliveira, C., &amp; </w:t>
      </w:r>
      <w:proofErr w:type="spellStart"/>
      <w:r w:rsidRPr="005D23B9">
        <w:rPr>
          <w:rFonts w:ascii="Calibri" w:cs="Calibri"/>
        </w:rPr>
        <w:t>Foresti</w:t>
      </w:r>
      <w:proofErr w:type="spellEnd"/>
      <w:r w:rsidRPr="005D23B9">
        <w:rPr>
          <w:rFonts w:ascii="Calibri" w:cs="Calibri"/>
        </w:rPr>
        <w:t xml:space="preserve">, F. (2003). Non-destructive genetic sampling in fish. An improved method for DNA extraction from fish fins and scales. </w:t>
      </w:r>
      <w:proofErr w:type="spellStart"/>
      <w:r w:rsidRPr="005D23B9">
        <w:rPr>
          <w:rFonts w:ascii="Calibri" w:cs="Calibri"/>
          <w:i/>
          <w:iCs/>
        </w:rPr>
        <w:t>Hereditas</w:t>
      </w:r>
      <w:proofErr w:type="spellEnd"/>
      <w:r w:rsidRPr="005D23B9">
        <w:rPr>
          <w:rFonts w:ascii="Calibri" w:cs="Calibri"/>
        </w:rPr>
        <w:t xml:space="preserve">, </w:t>
      </w:r>
      <w:r w:rsidRPr="005D23B9">
        <w:rPr>
          <w:rFonts w:ascii="Calibri" w:cs="Calibri"/>
          <w:i/>
          <w:iCs/>
        </w:rPr>
        <w:t>138</w:t>
      </w:r>
      <w:r w:rsidRPr="005D23B9">
        <w:rPr>
          <w:rFonts w:ascii="Calibri" w:cs="Calibri"/>
        </w:rPr>
        <w:t>(3), 161–165. https://doi.org/10.1034/j.1601-5223.2003.01503.x</w:t>
      </w:r>
    </w:p>
    <w:p w14:paraId="509D195E" w14:textId="77777777" w:rsidR="005D23B9" w:rsidRPr="005D23B9" w:rsidRDefault="005D23B9" w:rsidP="005D23B9">
      <w:pPr>
        <w:pStyle w:val="Bibliography"/>
        <w:rPr>
          <w:rFonts w:ascii="Calibri" w:cs="Calibri"/>
        </w:rPr>
      </w:pPr>
      <w:r w:rsidRPr="005D23B9">
        <w:rPr>
          <w:rFonts w:ascii="Calibri" w:cs="Calibri"/>
        </w:rPr>
        <w:t xml:space="preserve">Xuan, B., Kim, E. M., Song, M.-Y., Shin, Y., Jeon, J.-H., &amp; Bae, E. (2021). Draft Genome of the Korean smelt Hypomesus nipponensis and its transcriptomic. </w:t>
      </w:r>
      <w:r w:rsidRPr="005D23B9">
        <w:rPr>
          <w:rFonts w:ascii="Calibri" w:cs="Calibri"/>
          <w:i/>
          <w:iCs/>
        </w:rPr>
        <w:t xml:space="preserve">G3: </w:t>
      </w:r>
      <w:proofErr w:type="spellStart"/>
      <w:r w:rsidRPr="005D23B9">
        <w:rPr>
          <w:rFonts w:ascii="Calibri" w:cs="Calibri"/>
          <w:i/>
          <w:iCs/>
        </w:rPr>
        <w:t>Genes|Genomes|Genetics</w:t>
      </w:r>
      <w:proofErr w:type="spellEnd"/>
      <w:r w:rsidRPr="005D23B9">
        <w:rPr>
          <w:rFonts w:ascii="Calibri" w:cs="Calibri"/>
        </w:rPr>
        <w:t>, 35. https://doi.org/10.1093/g3journal/jkab147</w:t>
      </w:r>
    </w:p>
    <w:p w14:paraId="25149163" w14:textId="429C5E87" w:rsidR="000E70AC" w:rsidRDefault="0087338E" w:rsidP="0011235A">
      <w:pPr>
        <w:spacing w:after="0" w:line="240" w:lineRule="auto"/>
        <w:jc w:val="left"/>
        <w:rPr>
          <w:rFonts w:ascii="Calibri" w:eastAsia="Times New Roman" w:hAnsi="Calibri" w:cs="Calibri"/>
          <w:color w:val="000000"/>
        </w:rPr>
      </w:pPr>
      <w:r w:rsidRPr="003B7B17">
        <w:rPr>
          <w:rFonts w:asciiTheme="majorHAnsi" w:eastAsia="Times New Roman" w:hAnsiTheme="majorHAnsi" w:cstheme="majorHAnsi"/>
          <w:color w:val="000000"/>
          <w:sz w:val="24"/>
          <w:szCs w:val="24"/>
        </w:rPr>
        <w:fldChar w:fldCharType="end"/>
      </w:r>
    </w:p>
    <w:p w14:paraId="0978B2C1" w14:textId="77777777" w:rsidR="008914E8" w:rsidRDefault="008914E8" w:rsidP="0011235A">
      <w:pPr>
        <w:spacing w:after="0" w:line="240" w:lineRule="auto"/>
        <w:jc w:val="left"/>
        <w:rPr>
          <w:rFonts w:ascii="Calibri" w:eastAsia="Times New Roman" w:hAnsi="Calibri" w:cs="Calibri"/>
          <w:color w:val="000000"/>
        </w:rPr>
      </w:pPr>
    </w:p>
    <w:p w14:paraId="75C3D4F5" w14:textId="51903A2C" w:rsidR="008914E8" w:rsidRDefault="008914E8" w:rsidP="0011235A">
      <w:pPr>
        <w:spacing w:after="0" w:line="240" w:lineRule="auto"/>
        <w:jc w:val="left"/>
        <w:rPr>
          <w:rFonts w:ascii="Calibri" w:eastAsia="Times New Roman" w:hAnsi="Calibri" w:cs="Calibri"/>
          <w:color w:val="000000"/>
        </w:rPr>
        <w:sectPr w:rsidR="008914E8" w:rsidSect="003B7B17">
          <w:type w:val="continuous"/>
          <w:pgSz w:w="12240" w:h="15840"/>
          <w:pgMar w:top="1440" w:right="1440" w:bottom="1377" w:left="1440" w:header="720" w:footer="720" w:gutter="0"/>
          <w:cols w:space="720"/>
          <w:docGrid w:linePitch="360"/>
        </w:sectPr>
      </w:pPr>
    </w:p>
    <w:tbl>
      <w:tblPr>
        <w:tblpPr w:leftFromText="180" w:rightFromText="180" w:horzAnchor="margin" w:tblpY="841"/>
        <w:tblW w:w="19176" w:type="dxa"/>
        <w:tblLook w:val="04A0" w:firstRow="1" w:lastRow="0" w:firstColumn="1" w:lastColumn="0" w:noHBand="0" w:noVBand="1"/>
      </w:tblPr>
      <w:tblGrid>
        <w:gridCol w:w="262"/>
        <w:gridCol w:w="3240"/>
        <w:gridCol w:w="529"/>
        <w:gridCol w:w="1391"/>
        <w:gridCol w:w="1724"/>
        <w:gridCol w:w="1280"/>
        <w:gridCol w:w="971"/>
        <w:gridCol w:w="1308"/>
        <w:gridCol w:w="990"/>
        <w:gridCol w:w="1170"/>
        <w:gridCol w:w="900"/>
        <w:gridCol w:w="900"/>
        <w:gridCol w:w="874"/>
        <w:gridCol w:w="836"/>
        <w:gridCol w:w="920"/>
        <w:gridCol w:w="1552"/>
        <w:gridCol w:w="329"/>
      </w:tblGrid>
      <w:tr w:rsidR="00644092" w:rsidRPr="00C11823" w14:paraId="2E2AFD60" w14:textId="77777777" w:rsidTr="003A7D4F">
        <w:trPr>
          <w:trHeight w:val="214"/>
        </w:trPr>
        <w:tc>
          <w:tcPr>
            <w:tcW w:w="262" w:type="dxa"/>
            <w:tcBorders>
              <w:top w:val="single" w:sz="4" w:space="0" w:color="auto"/>
              <w:left w:val="single" w:sz="4" w:space="0" w:color="auto"/>
              <w:bottom w:val="nil"/>
              <w:right w:val="nil"/>
            </w:tcBorders>
            <w:shd w:val="clear" w:color="auto" w:fill="auto"/>
            <w:noWrap/>
            <w:vAlign w:val="bottom"/>
            <w:hideMark/>
          </w:tcPr>
          <w:p w14:paraId="5CBF427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lastRenderedPageBreak/>
              <w:t> </w:t>
            </w:r>
          </w:p>
        </w:tc>
        <w:tc>
          <w:tcPr>
            <w:tcW w:w="3240" w:type="dxa"/>
            <w:tcBorders>
              <w:top w:val="single" w:sz="4" w:space="0" w:color="auto"/>
              <w:left w:val="nil"/>
              <w:bottom w:val="nil"/>
              <w:right w:val="nil"/>
            </w:tcBorders>
            <w:shd w:val="clear" w:color="auto" w:fill="auto"/>
            <w:noWrap/>
            <w:vAlign w:val="bottom"/>
            <w:hideMark/>
          </w:tcPr>
          <w:p w14:paraId="3066A4C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529" w:type="dxa"/>
            <w:tcBorders>
              <w:top w:val="single" w:sz="4" w:space="0" w:color="auto"/>
              <w:left w:val="nil"/>
              <w:bottom w:val="nil"/>
              <w:right w:val="nil"/>
            </w:tcBorders>
            <w:shd w:val="clear" w:color="auto" w:fill="auto"/>
            <w:noWrap/>
            <w:vAlign w:val="bottom"/>
            <w:hideMark/>
          </w:tcPr>
          <w:p w14:paraId="6CCB56C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single" w:sz="4" w:space="0" w:color="auto"/>
              <w:left w:val="nil"/>
              <w:bottom w:val="nil"/>
              <w:right w:val="nil"/>
            </w:tcBorders>
            <w:shd w:val="clear" w:color="auto" w:fill="auto"/>
            <w:noWrap/>
            <w:vAlign w:val="bottom"/>
            <w:hideMark/>
          </w:tcPr>
          <w:p w14:paraId="4FCDFCB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single" w:sz="4" w:space="0" w:color="auto"/>
              <w:left w:val="nil"/>
              <w:bottom w:val="nil"/>
              <w:right w:val="nil"/>
            </w:tcBorders>
            <w:shd w:val="clear" w:color="auto" w:fill="auto"/>
            <w:noWrap/>
            <w:vAlign w:val="bottom"/>
            <w:hideMark/>
          </w:tcPr>
          <w:p w14:paraId="2C65F20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single" w:sz="4" w:space="0" w:color="auto"/>
              <w:left w:val="nil"/>
              <w:bottom w:val="nil"/>
              <w:right w:val="nil"/>
            </w:tcBorders>
            <w:shd w:val="clear" w:color="auto" w:fill="auto"/>
            <w:noWrap/>
            <w:vAlign w:val="bottom"/>
            <w:hideMark/>
          </w:tcPr>
          <w:p w14:paraId="5E0374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single" w:sz="4" w:space="0" w:color="auto"/>
              <w:left w:val="nil"/>
              <w:bottom w:val="nil"/>
              <w:right w:val="nil"/>
            </w:tcBorders>
            <w:shd w:val="clear" w:color="auto" w:fill="auto"/>
            <w:noWrap/>
            <w:vAlign w:val="bottom"/>
            <w:hideMark/>
          </w:tcPr>
          <w:p w14:paraId="45A6956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single" w:sz="4" w:space="0" w:color="auto"/>
              <w:left w:val="nil"/>
              <w:bottom w:val="nil"/>
              <w:right w:val="nil"/>
            </w:tcBorders>
            <w:shd w:val="clear" w:color="auto" w:fill="auto"/>
            <w:noWrap/>
            <w:vAlign w:val="bottom"/>
            <w:hideMark/>
          </w:tcPr>
          <w:p w14:paraId="22BE71D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single" w:sz="4" w:space="0" w:color="auto"/>
              <w:left w:val="nil"/>
              <w:bottom w:val="nil"/>
              <w:right w:val="nil"/>
            </w:tcBorders>
            <w:shd w:val="clear" w:color="auto" w:fill="auto"/>
            <w:noWrap/>
            <w:vAlign w:val="bottom"/>
            <w:hideMark/>
          </w:tcPr>
          <w:p w14:paraId="7F218A9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single" w:sz="4" w:space="0" w:color="auto"/>
              <w:left w:val="nil"/>
              <w:bottom w:val="nil"/>
              <w:right w:val="nil"/>
            </w:tcBorders>
            <w:shd w:val="clear" w:color="auto" w:fill="auto"/>
            <w:noWrap/>
            <w:vAlign w:val="bottom"/>
            <w:hideMark/>
          </w:tcPr>
          <w:p w14:paraId="44CE7BA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406A838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single" w:sz="4" w:space="0" w:color="auto"/>
              <w:left w:val="nil"/>
              <w:bottom w:val="nil"/>
              <w:right w:val="nil"/>
            </w:tcBorders>
            <w:shd w:val="clear" w:color="auto" w:fill="auto"/>
            <w:noWrap/>
            <w:vAlign w:val="bottom"/>
            <w:hideMark/>
          </w:tcPr>
          <w:p w14:paraId="5144549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single" w:sz="4" w:space="0" w:color="auto"/>
              <w:left w:val="nil"/>
              <w:bottom w:val="nil"/>
              <w:right w:val="nil"/>
            </w:tcBorders>
            <w:shd w:val="clear" w:color="auto" w:fill="auto"/>
            <w:noWrap/>
            <w:vAlign w:val="bottom"/>
            <w:hideMark/>
          </w:tcPr>
          <w:p w14:paraId="456E057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single" w:sz="4" w:space="0" w:color="auto"/>
              <w:left w:val="nil"/>
              <w:bottom w:val="nil"/>
              <w:right w:val="nil"/>
            </w:tcBorders>
            <w:shd w:val="clear" w:color="auto" w:fill="auto"/>
            <w:noWrap/>
            <w:vAlign w:val="bottom"/>
            <w:hideMark/>
          </w:tcPr>
          <w:p w14:paraId="28D378B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single" w:sz="4" w:space="0" w:color="auto"/>
              <w:left w:val="nil"/>
              <w:bottom w:val="nil"/>
              <w:right w:val="nil"/>
            </w:tcBorders>
            <w:shd w:val="clear" w:color="auto" w:fill="auto"/>
            <w:noWrap/>
            <w:vAlign w:val="bottom"/>
            <w:hideMark/>
          </w:tcPr>
          <w:p w14:paraId="53CA2AC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single" w:sz="4" w:space="0" w:color="auto"/>
              <w:left w:val="nil"/>
              <w:bottom w:val="nil"/>
              <w:right w:val="nil"/>
            </w:tcBorders>
            <w:shd w:val="clear" w:color="auto" w:fill="auto"/>
            <w:noWrap/>
            <w:vAlign w:val="bottom"/>
            <w:hideMark/>
          </w:tcPr>
          <w:p w14:paraId="0DD877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single" w:sz="4" w:space="0" w:color="auto"/>
              <w:left w:val="nil"/>
              <w:bottom w:val="nil"/>
              <w:right w:val="single" w:sz="4" w:space="0" w:color="auto"/>
            </w:tcBorders>
            <w:shd w:val="clear" w:color="auto" w:fill="auto"/>
            <w:noWrap/>
            <w:vAlign w:val="bottom"/>
            <w:hideMark/>
          </w:tcPr>
          <w:p w14:paraId="4466933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18794461" w14:textId="77777777" w:rsidTr="003A7D4F">
        <w:trPr>
          <w:trHeight w:val="467"/>
        </w:trPr>
        <w:tc>
          <w:tcPr>
            <w:tcW w:w="262" w:type="dxa"/>
            <w:tcBorders>
              <w:top w:val="nil"/>
              <w:left w:val="single" w:sz="4" w:space="0" w:color="auto"/>
              <w:bottom w:val="nil"/>
              <w:right w:val="nil"/>
            </w:tcBorders>
            <w:shd w:val="clear" w:color="auto" w:fill="auto"/>
            <w:noWrap/>
            <w:vAlign w:val="bottom"/>
            <w:hideMark/>
          </w:tcPr>
          <w:p w14:paraId="4247158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18585" w:type="dxa"/>
            <w:gridSpan w:val="15"/>
            <w:tcBorders>
              <w:top w:val="nil"/>
              <w:left w:val="nil"/>
              <w:bottom w:val="single" w:sz="4" w:space="0" w:color="auto"/>
              <w:right w:val="nil"/>
            </w:tcBorders>
            <w:shd w:val="clear" w:color="auto" w:fill="auto"/>
            <w:vAlign w:val="bottom"/>
            <w:hideMark/>
          </w:tcPr>
          <w:p w14:paraId="3C11CB16" w14:textId="2F4D7739" w:rsidR="00644092" w:rsidRPr="00C11823" w:rsidRDefault="00644092" w:rsidP="003A7D4F">
            <w:pPr>
              <w:spacing w:after="0" w:line="240" w:lineRule="auto"/>
              <w:jc w:val="left"/>
              <w:rPr>
                <w:rFonts w:ascii="Calibri Light" w:eastAsia="Times New Roman" w:hAnsi="Calibri Light" w:cs="Calibri Light"/>
              </w:rPr>
            </w:pPr>
            <w:r w:rsidRPr="00C11823">
              <w:rPr>
                <w:rFonts w:ascii="Calibri Light" w:eastAsia="Times New Roman" w:hAnsi="Calibri Light" w:cs="Calibri Light"/>
                <w:b/>
                <w:bCs/>
              </w:rPr>
              <w:t xml:space="preserve">Table </w:t>
            </w:r>
            <w:r>
              <w:rPr>
                <w:rFonts w:ascii="Calibri Light" w:eastAsia="Times New Roman" w:hAnsi="Calibri Light" w:cs="Calibri Light"/>
                <w:b/>
                <w:bCs/>
              </w:rPr>
              <w:t>2.</w:t>
            </w:r>
            <w:r w:rsidRPr="00C11823">
              <w:rPr>
                <w:rFonts w:ascii="Calibri Light" w:eastAsia="Times New Roman" w:hAnsi="Calibri Light" w:cs="Calibri Light"/>
                <w:b/>
                <w:bCs/>
              </w:rPr>
              <w:t xml:space="preserve">1. </w:t>
            </w:r>
            <w:r w:rsidRPr="00C11823">
              <w:rPr>
                <w:rFonts w:ascii="Calibri Light" w:eastAsia="Times New Roman" w:hAnsi="Calibri Light" w:cs="Calibri Light"/>
              </w:rPr>
              <w:t xml:space="preserve">Assembly metrics from </w:t>
            </w:r>
            <w:proofErr w:type="spellStart"/>
            <w:r w:rsidRPr="00C11823">
              <w:rPr>
                <w:rFonts w:ascii="Calibri Light" w:eastAsia="Times New Roman" w:hAnsi="Calibri Light" w:cs="Calibri Light"/>
              </w:rPr>
              <w:t>Osmeridae</w:t>
            </w:r>
            <w:proofErr w:type="spellEnd"/>
            <w:r w:rsidRPr="00C11823">
              <w:rPr>
                <w:rFonts w:ascii="Calibri Light" w:eastAsia="Times New Roman" w:hAnsi="Calibri Light" w:cs="Calibri Light"/>
              </w:rPr>
              <w:t xml:space="preserve"> genome assemblies </w:t>
            </w:r>
            <w:r w:rsidR="00240654">
              <w:rPr>
                <w:rFonts w:ascii="Calibri Light" w:eastAsia="Times New Roman" w:hAnsi="Calibri Light" w:cs="Calibri Light"/>
              </w:rPr>
              <w:t xml:space="preserve">listed in peer reviewed papers or </w:t>
            </w:r>
            <w:r w:rsidRPr="00C11823">
              <w:rPr>
                <w:rFonts w:ascii="Calibri Light" w:eastAsia="Times New Roman" w:hAnsi="Calibri Light" w:cs="Calibri Light"/>
              </w:rPr>
              <w:t xml:space="preserve">publicly available </w:t>
            </w:r>
            <w:r w:rsidR="00240654">
              <w:rPr>
                <w:rFonts w:ascii="Calibri Light" w:eastAsia="Times New Roman" w:hAnsi="Calibri Light" w:cs="Calibri Light"/>
              </w:rPr>
              <w:t xml:space="preserve">on NCBI’s GenBank </w:t>
            </w:r>
            <w:r w:rsidRPr="00C11823">
              <w:rPr>
                <w:rFonts w:ascii="Calibri Light" w:eastAsia="Times New Roman" w:hAnsi="Calibri Light" w:cs="Calibri Light"/>
              </w:rPr>
              <w:t xml:space="preserve">prior to </w:t>
            </w:r>
            <w:r>
              <w:rPr>
                <w:rFonts w:ascii="Calibri Light" w:eastAsia="Times New Roman" w:hAnsi="Calibri Light" w:cs="Calibri Light"/>
              </w:rPr>
              <w:t>public release</w:t>
            </w:r>
            <w:r w:rsidRPr="00C11823">
              <w:rPr>
                <w:rFonts w:ascii="Calibri Light" w:eastAsia="Times New Roman" w:hAnsi="Calibri Light" w:cs="Calibri Light"/>
              </w:rPr>
              <w:t xml:space="preserve"> of the delta smelt genome </w:t>
            </w:r>
            <w:r>
              <w:rPr>
                <w:rFonts w:ascii="Calibri Light" w:eastAsia="Times New Roman" w:hAnsi="Calibri Light" w:cs="Calibri Light"/>
              </w:rPr>
              <w:t xml:space="preserve">on </w:t>
            </w:r>
            <w:r w:rsidRPr="00C11823">
              <w:rPr>
                <w:rFonts w:ascii="Calibri Light" w:eastAsia="Times New Roman" w:hAnsi="Calibri Light" w:cs="Calibri Light"/>
              </w:rPr>
              <w:t>February 0</w:t>
            </w:r>
            <w:r w:rsidR="00DF2390">
              <w:rPr>
                <w:rFonts w:ascii="Calibri Light" w:eastAsia="Times New Roman" w:hAnsi="Calibri Light" w:cs="Calibri Light"/>
              </w:rPr>
              <w:t>4</w:t>
            </w:r>
            <w:r w:rsidRPr="00C11823">
              <w:rPr>
                <w:rFonts w:ascii="Calibri Light" w:eastAsia="Times New Roman" w:hAnsi="Calibri Light" w:cs="Calibri Light"/>
              </w:rPr>
              <w:t>, 2022.</w:t>
            </w:r>
          </w:p>
        </w:tc>
        <w:tc>
          <w:tcPr>
            <w:tcW w:w="329" w:type="dxa"/>
            <w:tcBorders>
              <w:top w:val="nil"/>
              <w:left w:val="nil"/>
              <w:bottom w:val="nil"/>
              <w:right w:val="single" w:sz="4" w:space="0" w:color="auto"/>
            </w:tcBorders>
            <w:shd w:val="clear" w:color="auto" w:fill="auto"/>
            <w:noWrap/>
            <w:vAlign w:val="bottom"/>
            <w:hideMark/>
          </w:tcPr>
          <w:p w14:paraId="11A8EC2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3A7D4F" w:rsidRPr="00C11823" w14:paraId="2AD80683" w14:textId="77777777" w:rsidTr="003A7D4F">
        <w:trPr>
          <w:trHeight w:val="1394"/>
        </w:trPr>
        <w:tc>
          <w:tcPr>
            <w:tcW w:w="262" w:type="dxa"/>
            <w:tcBorders>
              <w:top w:val="nil"/>
              <w:left w:val="single" w:sz="4" w:space="0" w:color="auto"/>
              <w:bottom w:val="nil"/>
              <w:right w:val="nil"/>
            </w:tcBorders>
            <w:shd w:val="clear" w:color="auto" w:fill="auto"/>
            <w:noWrap/>
            <w:vAlign w:val="bottom"/>
            <w:hideMark/>
          </w:tcPr>
          <w:p w14:paraId="7F41026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nil"/>
            </w:tcBorders>
            <w:shd w:val="clear" w:color="000000" w:fill="D9D9D9"/>
            <w:vAlign w:val="bottom"/>
            <w:hideMark/>
          </w:tcPr>
          <w:p w14:paraId="7C05CFA1"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Species</w:t>
            </w:r>
          </w:p>
        </w:tc>
        <w:tc>
          <w:tcPr>
            <w:tcW w:w="529" w:type="dxa"/>
            <w:tcBorders>
              <w:top w:val="nil"/>
              <w:left w:val="nil"/>
              <w:bottom w:val="single" w:sz="4" w:space="0" w:color="auto"/>
              <w:right w:val="nil"/>
            </w:tcBorders>
            <w:shd w:val="clear" w:color="000000" w:fill="D9D9D9"/>
            <w:vAlign w:val="bottom"/>
            <w:hideMark/>
          </w:tcPr>
          <w:p w14:paraId="05FB45E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Sex</w:t>
            </w:r>
          </w:p>
        </w:tc>
        <w:tc>
          <w:tcPr>
            <w:tcW w:w="1391" w:type="dxa"/>
            <w:tcBorders>
              <w:top w:val="nil"/>
              <w:left w:val="nil"/>
              <w:bottom w:val="single" w:sz="4" w:space="0" w:color="auto"/>
              <w:right w:val="nil"/>
            </w:tcBorders>
            <w:shd w:val="clear" w:color="000000" w:fill="D9D9D9"/>
            <w:vAlign w:val="bottom"/>
            <w:hideMark/>
          </w:tcPr>
          <w:p w14:paraId="71BA28FB" w14:textId="77777777" w:rsidR="00644092"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Release Date</w:t>
            </w:r>
          </w:p>
          <w:p w14:paraId="13B596D9" w14:textId="2AFF6B32" w:rsidR="009E004D" w:rsidRPr="00C11823" w:rsidRDefault="009E004D"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(YYYY.MM.DD)</w:t>
            </w:r>
          </w:p>
        </w:tc>
        <w:tc>
          <w:tcPr>
            <w:tcW w:w="1724" w:type="dxa"/>
            <w:tcBorders>
              <w:top w:val="nil"/>
              <w:left w:val="nil"/>
              <w:bottom w:val="single" w:sz="4" w:space="0" w:color="auto"/>
              <w:right w:val="nil"/>
            </w:tcBorders>
            <w:shd w:val="clear" w:color="000000" w:fill="D9D9D9"/>
            <w:vAlign w:val="bottom"/>
            <w:hideMark/>
          </w:tcPr>
          <w:p w14:paraId="3868B3D6" w14:textId="327908B2"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Accession </w:t>
            </w:r>
            <w:r w:rsidRPr="00C11823">
              <w:rPr>
                <w:rFonts w:ascii="Calibri Light" w:eastAsia="Times New Roman" w:hAnsi="Calibri Light" w:cs="Calibri Light"/>
                <w:b/>
                <w:bCs/>
              </w:rPr>
              <w:br/>
              <w:t>Number</w:t>
            </w:r>
          </w:p>
        </w:tc>
        <w:tc>
          <w:tcPr>
            <w:tcW w:w="1280" w:type="dxa"/>
            <w:tcBorders>
              <w:top w:val="nil"/>
              <w:left w:val="nil"/>
              <w:bottom w:val="single" w:sz="4" w:space="0" w:color="auto"/>
              <w:right w:val="nil"/>
            </w:tcBorders>
            <w:shd w:val="clear" w:color="000000" w:fill="D9D9D9"/>
            <w:vAlign w:val="bottom"/>
            <w:hideMark/>
          </w:tcPr>
          <w:p w14:paraId="23C7EAA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Assembly</w:t>
            </w:r>
            <w:r w:rsidRPr="00C11823">
              <w:rPr>
                <w:rFonts w:ascii="Calibri Light" w:eastAsia="Times New Roman" w:hAnsi="Calibri Light" w:cs="Calibri Light"/>
                <w:b/>
                <w:bCs/>
              </w:rPr>
              <w:br/>
              <w:t xml:space="preserve"> Level</w:t>
            </w:r>
          </w:p>
        </w:tc>
        <w:tc>
          <w:tcPr>
            <w:tcW w:w="971" w:type="dxa"/>
            <w:tcBorders>
              <w:top w:val="nil"/>
              <w:left w:val="nil"/>
              <w:bottom w:val="single" w:sz="4" w:space="0" w:color="auto"/>
              <w:right w:val="nil"/>
            </w:tcBorders>
            <w:shd w:val="clear" w:color="000000" w:fill="D9D9D9"/>
            <w:vAlign w:val="bottom"/>
            <w:hideMark/>
          </w:tcPr>
          <w:p w14:paraId="47815D82"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Coverage </w:t>
            </w:r>
          </w:p>
        </w:tc>
        <w:tc>
          <w:tcPr>
            <w:tcW w:w="1308" w:type="dxa"/>
            <w:tcBorders>
              <w:top w:val="nil"/>
              <w:left w:val="nil"/>
              <w:bottom w:val="single" w:sz="4" w:space="0" w:color="auto"/>
              <w:right w:val="nil"/>
            </w:tcBorders>
            <w:shd w:val="clear" w:color="000000" w:fill="D9D9D9"/>
            <w:vAlign w:val="bottom"/>
            <w:hideMark/>
          </w:tcPr>
          <w:p w14:paraId="48ED2C7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Total sequence length</w:t>
            </w:r>
          </w:p>
        </w:tc>
        <w:tc>
          <w:tcPr>
            <w:tcW w:w="990" w:type="dxa"/>
            <w:tcBorders>
              <w:top w:val="nil"/>
              <w:left w:val="nil"/>
              <w:bottom w:val="single" w:sz="4" w:space="0" w:color="auto"/>
              <w:right w:val="nil"/>
            </w:tcBorders>
            <w:shd w:val="clear" w:color="000000" w:fill="D9D9D9"/>
            <w:vAlign w:val="bottom"/>
            <w:hideMark/>
          </w:tcPr>
          <w:p w14:paraId="4DCF2B04"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scaffolds</w:t>
            </w:r>
          </w:p>
        </w:tc>
        <w:tc>
          <w:tcPr>
            <w:tcW w:w="1170" w:type="dxa"/>
            <w:tcBorders>
              <w:top w:val="nil"/>
              <w:left w:val="nil"/>
              <w:bottom w:val="single" w:sz="4" w:space="0" w:color="auto"/>
              <w:right w:val="nil"/>
            </w:tcBorders>
            <w:shd w:val="clear" w:color="000000" w:fill="D9D9D9"/>
            <w:vAlign w:val="bottom"/>
            <w:hideMark/>
          </w:tcPr>
          <w:p w14:paraId="1FB2203B"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N50</w:t>
            </w:r>
          </w:p>
        </w:tc>
        <w:tc>
          <w:tcPr>
            <w:tcW w:w="900" w:type="dxa"/>
            <w:tcBorders>
              <w:top w:val="nil"/>
              <w:left w:val="nil"/>
              <w:bottom w:val="single" w:sz="4" w:space="0" w:color="auto"/>
              <w:right w:val="nil"/>
            </w:tcBorders>
            <w:shd w:val="clear" w:color="000000" w:fill="D9D9D9"/>
            <w:vAlign w:val="bottom"/>
            <w:hideMark/>
          </w:tcPr>
          <w:p w14:paraId="0F8B40DE"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Scaffold L50</w:t>
            </w:r>
          </w:p>
        </w:tc>
        <w:tc>
          <w:tcPr>
            <w:tcW w:w="900" w:type="dxa"/>
            <w:tcBorders>
              <w:top w:val="nil"/>
              <w:left w:val="nil"/>
              <w:bottom w:val="single" w:sz="4" w:space="0" w:color="auto"/>
              <w:right w:val="nil"/>
            </w:tcBorders>
            <w:shd w:val="clear" w:color="000000" w:fill="D9D9D9"/>
            <w:vAlign w:val="bottom"/>
            <w:hideMark/>
          </w:tcPr>
          <w:p w14:paraId="6C44386C"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Number of contigs</w:t>
            </w:r>
          </w:p>
        </w:tc>
        <w:tc>
          <w:tcPr>
            <w:tcW w:w="874" w:type="dxa"/>
            <w:tcBorders>
              <w:top w:val="nil"/>
              <w:left w:val="nil"/>
              <w:bottom w:val="single" w:sz="4" w:space="0" w:color="auto"/>
              <w:right w:val="nil"/>
            </w:tcBorders>
            <w:shd w:val="clear" w:color="000000" w:fill="D9D9D9"/>
            <w:vAlign w:val="bottom"/>
            <w:hideMark/>
          </w:tcPr>
          <w:p w14:paraId="10357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N50</w:t>
            </w:r>
          </w:p>
        </w:tc>
        <w:tc>
          <w:tcPr>
            <w:tcW w:w="836" w:type="dxa"/>
            <w:tcBorders>
              <w:top w:val="nil"/>
              <w:left w:val="nil"/>
              <w:bottom w:val="single" w:sz="4" w:space="0" w:color="auto"/>
              <w:right w:val="nil"/>
            </w:tcBorders>
            <w:shd w:val="clear" w:color="000000" w:fill="D9D9D9"/>
            <w:vAlign w:val="bottom"/>
            <w:hideMark/>
          </w:tcPr>
          <w:p w14:paraId="6DCDE5B5"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Contig L50</w:t>
            </w:r>
          </w:p>
        </w:tc>
        <w:tc>
          <w:tcPr>
            <w:tcW w:w="920" w:type="dxa"/>
            <w:tcBorders>
              <w:top w:val="nil"/>
              <w:left w:val="nil"/>
              <w:bottom w:val="single" w:sz="4" w:space="0" w:color="auto"/>
              <w:right w:val="nil"/>
            </w:tcBorders>
            <w:shd w:val="clear" w:color="000000" w:fill="D9D9D9"/>
            <w:vAlign w:val="bottom"/>
            <w:hideMark/>
          </w:tcPr>
          <w:p w14:paraId="0EF254C8" w14:textId="77777777" w:rsidR="00644092" w:rsidRPr="00C11823" w:rsidRDefault="00644092" w:rsidP="003A7D4F">
            <w:pPr>
              <w:spacing w:after="0" w:line="240" w:lineRule="auto"/>
              <w:jc w:val="center"/>
              <w:rPr>
                <w:rFonts w:ascii="Calibri Light" w:eastAsia="Times New Roman" w:hAnsi="Calibri Light" w:cs="Calibri Light"/>
                <w:b/>
                <w:bCs/>
              </w:rPr>
            </w:pPr>
            <w:r w:rsidRPr="00C11823">
              <w:rPr>
                <w:rFonts w:ascii="Calibri Light" w:eastAsia="Times New Roman" w:hAnsi="Calibri Light" w:cs="Calibri Light"/>
                <w:b/>
                <w:bCs/>
              </w:rPr>
              <w:t xml:space="preserve">Number of </w:t>
            </w:r>
            <w:proofErr w:type="spellStart"/>
            <w:r w:rsidRPr="00C11823">
              <w:rPr>
                <w:rFonts w:ascii="Calibri Light" w:eastAsia="Times New Roman" w:hAnsi="Calibri Light" w:cs="Calibri Light"/>
                <w:b/>
                <w:bCs/>
              </w:rPr>
              <w:t>chr.</w:t>
            </w:r>
            <w:proofErr w:type="spellEnd"/>
            <w:r w:rsidRPr="00C11823">
              <w:rPr>
                <w:rFonts w:ascii="Calibri Light" w:eastAsia="Times New Roman" w:hAnsi="Calibri Light" w:cs="Calibri Light"/>
                <w:b/>
                <w:bCs/>
              </w:rPr>
              <w:t xml:space="preserve"> and plasmids</w:t>
            </w:r>
          </w:p>
        </w:tc>
        <w:tc>
          <w:tcPr>
            <w:tcW w:w="1552" w:type="dxa"/>
            <w:tcBorders>
              <w:top w:val="nil"/>
              <w:left w:val="nil"/>
              <w:bottom w:val="single" w:sz="4" w:space="0" w:color="auto"/>
              <w:right w:val="single" w:sz="4" w:space="0" w:color="auto"/>
            </w:tcBorders>
            <w:shd w:val="clear" w:color="000000" w:fill="D9D9D9"/>
            <w:vAlign w:val="bottom"/>
            <w:hideMark/>
          </w:tcPr>
          <w:p w14:paraId="01AB323C" w14:textId="15E9EC5E" w:rsidR="00644092" w:rsidRPr="00C11823" w:rsidRDefault="00E91A9E" w:rsidP="003A7D4F">
            <w:pPr>
              <w:spacing w:after="0" w:line="240" w:lineRule="auto"/>
              <w:jc w:val="center"/>
              <w:rPr>
                <w:rFonts w:ascii="Calibri Light" w:eastAsia="Times New Roman" w:hAnsi="Calibri Light" w:cs="Calibri Light"/>
                <w:b/>
                <w:bCs/>
              </w:rPr>
            </w:pPr>
            <w:r>
              <w:rPr>
                <w:rFonts w:ascii="Calibri Light" w:eastAsia="Times New Roman" w:hAnsi="Calibri Light" w:cs="Calibri Light"/>
                <w:b/>
                <w:bCs/>
              </w:rPr>
              <w:t>Final n</w:t>
            </w:r>
            <w:r w:rsidR="00644092" w:rsidRPr="00C11823">
              <w:rPr>
                <w:rFonts w:ascii="Calibri Light" w:eastAsia="Times New Roman" w:hAnsi="Calibri Light" w:cs="Calibri Light"/>
                <w:b/>
                <w:bCs/>
              </w:rPr>
              <w:t>umber of component sequences</w:t>
            </w:r>
          </w:p>
        </w:tc>
        <w:tc>
          <w:tcPr>
            <w:tcW w:w="329" w:type="dxa"/>
            <w:tcBorders>
              <w:top w:val="nil"/>
              <w:left w:val="nil"/>
              <w:bottom w:val="nil"/>
              <w:right w:val="single" w:sz="4" w:space="0" w:color="auto"/>
            </w:tcBorders>
            <w:shd w:val="clear" w:color="auto" w:fill="auto"/>
            <w:noWrap/>
            <w:vAlign w:val="bottom"/>
            <w:hideMark/>
          </w:tcPr>
          <w:p w14:paraId="1FB2D66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0BE3682B"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C7E98F2"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FBE4F15"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(female)</w:t>
            </w:r>
          </w:p>
        </w:tc>
        <w:tc>
          <w:tcPr>
            <w:tcW w:w="529" w:type="dxa"/>
            <w:tcBorders>
              <w:top w:val="nil"/>
              <w:left w:val="nil"/>
              <w:bottom w:val="single" w:sz="4" w:space="0" w:color="auto"/>
              <w:right w:val="single" w:sz="4" w:space="0" w:color="auto"/>
            </w:tcBorders>
            <w:shd w:val="clear" w:color="auto" w:fill="auto"/>
            <w:noWrap/>
            <w:vAlign w:val="bottom"/>
            <w:hideMark/>
          </w:tcPr>
          <w:p w14:paraId="22ECCA4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F</w:t>
            </w:r>
          </w:p>
        </w:tc>
        <w:tc>
          <w:tcPr>
            <w:tcW w:w="1391" w:type="dxa"/>
            <w:tcBorders>
              <w:top w:val="nil"/>
              <w:left w:val="nil"/>
              <w:bottom w:val="single" w:sz="4" w:space="0" w:color="auto"/>
              <w:right w:val="single" w:sz="4" w:space="0" w:color="auto"/>
            </w:tcBorders>
            <w:shd w:val="clear" w:color="auto" w:fill="auto"/>
            <w:noWrap/>
            <w:vAlign w:val="bottom"/>
            <w:hideMark/>
          </w:tcPr>
          <w:p w14:paraId="71198E2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7C6ECE5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GCA_021917145.1</w:t>
            </w:r>
          </w:p>
        </w:tc>
        <w:tc>
          <w:tcPr>
            <w:tcW w:w="1280" w:type="dxa"/>
            <w:tcBorders>
              <w:top w:val="nil"/>
              <w:left w:val="nil"/>
              <w:bottom w:val="single" w:sz="4" w:space="0" w:color="auto"/>
              <w:right w:val="single" w:sz="4" w:space="0" w:color="auto"/>
            </w:tcBorders>
            <w:shd w:val="clear" w:color="auto" w:fill="auto"/>
            <w:noWrap/>
            <w:vAlign w:val="bottom"/>
            <w:hideMark/>
          </w:tcPr>
          <w:p w14:paraId="41EE188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662EB1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120x</w:t>
            </w:r>
          </w:p>
        </w:tc>
        <w:tc>
          <w:tcPr>
            <w:tcW w:w="1308" w:type="dxa"/>
            <w:tcBorders>
              <w:top w:val="nil"/>
              <w:left w:val="nil"/>
              <w:bottom w:val="single" w:sz="4" w:space="0" w:color="auto"/>
              <w:right w:val="single" w:sz="4" w:space="0" w:color="auto"/>
            </w:tcBorders>
            <w:shd w:val="clear" w:color="auto" w:fill="auto"/>
            <w:noWrap/>
            <w:vAlign w:val="bottom"/>
            <w:hideMark/>
          </w:tcPr>
          <w:p w14:paraId="286DB41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437,273,953</w:t>
            </w:r>
          </w:p>
        </w:tc>
        <w:tc>
          <w:tcPr>
            <w:tcW w:w="990" w:type="dxa"/>
            <w:tcBorders>
              <w:top w:val="nil"/>
              <w:left w:val="nil"/>
              <w:bottom w:val="single" w:sz="4" w:space="0" w:color="auto"/>
              <w:right w:val="single" w:sz="4" w:space="0" w:color="auto"/>
            </w:tcBorders>
            <w:shd w:val="clear" w:color="auto" w:fill="auto"/>
            <w:noWrap/>
            <w:vAlign w:val="bottom"/>
            <w:hideMark/>
          </w:tcPr>
          <w:p w14:paraId="13A361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1170" w:type="dxa"/>
            <w:tcBorders>
              <w:top w:val="nil"/>
              <w:left w:val="nil"/>
              <w:bottom w:val="single" w:sz="4" w:space="0" w:color="auto"/>
              <w:right w:val="single" w:sz="4" w:space="0" w:color="auto"/>
            </w:tcBorders>
            <w:shd w:val="clear" w:color="auto" w:fill="auto"/>
            <w:noWrap/>
            <w:vAlign w:val="bottom"/>
            <w:hideMark/>
          </w:tcPr>
          <w:p w14:paraId="7DD3CE5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14,850,352</w:t>
            </w:r>
          </w:p>
        </w:tc>
        <w:tc>
          <w:tcPr>
            <w:tcW w:w="900" w:type="dxa"/>
            <w:tcBorders>
              <w:top w:val="nil"/>
              <w:left w:val="nil"/>
              <w:bottom w:val="single" w:sz="4" w:space="0" w:color="auto"/>
              <w:right w:val="single" w:sz="4" w:space="0" w:color="auto"/>
            </w:tcBorders>
            <w:shd w:val="clear" w:color="auto" w:fill="auto"/>
            <w:noWrap/>
            <w:vAlign w:val="bottom"/>
            <w:hideMark/>
          </w:tcPr>
          <w:p w14:paraId="41A0CFE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w:t>
            </w:r>
          </w:p>
        </w:tc>
        <w:tc>
          <w:tcPr>
            <w:tcW w:w="900" w:type="dxa"/>
            <w:tcBorders>
              <w:top w:val="nil"/>
              <w:left w:val="nil"/>
              <w:bottom w:val="single" w:sz="4" w:space="0" w:color="auto"/>
              <w:right w:val="single" w:sz="4" w:space="0" w:color="auto"/>
            </w:tcBorders>
            <w:shd w:val="clear" w:color="auto" w:fill="auto"/>
            <w:noWrap/>
            <w:vAlign w:val="bottom"/>
            <w:hideMark/>
          </w:tcPr>
          <w:p w14:paraId="5153BB9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1,850</w:t>
            </w:r>
          </w:p>
        </w:tc>
        <w:tc>
          <w:tcPr>
            <w:tcW w:w="874" w:type="dxa"/>
            <w:tcBorders>
              <w:top w:val="nil"/>
              <w:left w:val="nil"/>
              <w:bottom w:val="single" w:sz="4" w:space="0" w:color="auto"/>
              <w:right w:val="single" w:sz="4" w:space="0" w:color="auto"/>
            </w:tcBorders>
            <w:shd w:val="clear" w:color="auto" w:fill="auto"/>
            <w:noWrap/>
            <w:vAlign w:val="bottom"/>
            <w:hideMark/>
          </w:tcPr>
          <w:p w14:paraId="145042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412,669</w:t>
            </w:r>
          </w:p>
        </w:tc>
        <w:tc>
          <w:tcPr>
            <w:tcW w:w="836" w:type="dxa"/>
            <w:tcBorders>
              <w:top w:val="nil"/>
              <w:left w:val="nil"/>
              <w:bottom w:val="single" w:sz="4" w:space="0" w:color="auto"/>
              <w:right w:val="single" w:sz="4" w:space="0" w:color="auto"/>
            </w:tcBorders>
            <w:shd w:val="clear" w:color="auto" w:fill="auto"/>
            <w:noWrap/>
            <w:vAlign w:val="bottom"/>
            <w:hideMark/>
          </w:tcPr>
          <w:p w14:paraId="66258632"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267</w:t>
            </w:r>
          </w:p>
        </w:tc>
        <w:tc>
          <w:tcPr>
            <w:tcW w:w="920" w:type="dxa"/>
            <w:tcBorders>
              <w:top w:val="nil"/>
              <w:left w:val="nil"/>
              <w:bottom w:val="single" w:sz="4" w:space="0" w:color="auto"/>
              <w:right w:val="single" w:sz="4" w:space="0" w:color="auto"/>
            </w:tcBorders>
            <w:shd w:val="clear" w:color="auto" w:fill="auto"/>
            <w:noWrap/>
            <w:vAlign w:val="bottom"/>
            <w:hideMark/>
          </w:tcPr>
          <w:p w14:paraId="489A1A2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5AEA633F"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376</w:t>
            </w:r>
          </w:p>
        </w:tc>
        <w:tc>
          <w:tcPr>
            <w:tcW w:w="329" w:type="dxa"/>
            <w:tcBorders>
              <w:top w:val="nil"/>
              <w:left w:val="nil"/>
              <w:bottom w:val="nil"/>
              <w:right w:val="single" w:sz="4" w:space="0" w:color="auto"/>
            </w:tcBorders>
            <w:shd w:val="clear" w:color="auto" w:fill="auto"/>
            <w:noWrap/>
            <w:vAlign w:val="bottom"/>
            <w:hideMark/>
          </w:tcPr>
          <w:p w14:paraId="6CEE453F"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31F04D4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2E1FEAD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19816DA3"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transpacificus</w:t>
            </w:r>
            <w:r w:rsidRPr="00C11823">
              <w:rPr>
                <w:rFonts w:ascii="Calibri Light" w:eastAsia="Times New Roman" w:hAnsi="Calibri Light" w:cs="Calibri Light"/>
              </w:rPr>
              <w:t xml:space="preserve"> (male)</w:t>
            </w:r>
          </w:p>
        </w:tc>
        <w:tc>
          <w:tcPr>
            <w:tcW w:w="529" w:type="dxa"/>
            <w:tcBorders>
              <w:top w:val="nil"/>
              <w:left w:val="nil"/>
              <w:bottom w:val="single" w:sz="4" w:space="0" w:color="auto"/>
              <w:right w:val="single" w:sz="4" w:space="0" w:color="auto"/>
            </w:tcBorders>
            <w:shd w:val="clear" w:color="auto" w:fill="auto"/>
            <w:noWrap/>
            <w:vAlign w:val="bottom"/>
            <w:hideMark/>
          </w:tcPr>
          <w:p w14:paraId="1557C1C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M</w:t>
            </w:r>
          </w:p>
        </w:tc>
        <w:tc>
          <w:tcPr>
            <w:tcW w:w="1391" w:type="dxa"/>
            <w:tcBorders>
              <w:top w:val="nil"/>
              <w:left w:val="nil"/>
              <w:bottom w:val="single" w:sz="4" w:space="0" w:color="auto"/>
              <w:right w:val="single" w:sz="4" w:space="0" w:color="auto"/>
            </w:tcBorders>
            <w:shd w:val="clear" w:color="auto" w:fill="auto"/>
            <w:noWrap/>
            <w:vAlign w:val="bottom"/>
            <w:hideMark/>
          </w:tcPr>
          <w:p w14:paraId="62B1FF0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2022.02.04</w:t>
            </w:r>
          </w:p>
        </w:tc>
        <w:tc>
          <w:tcPr>
            <w:tcW w:w="1724" w:type="dxa"/>
            <w:tcBorders>
              <w:top w:val="nil"/>
              <w:left w:val="nil"/>
              <w:bottom w:val="single" w:sz="4" w:space="0" w:color="auto"/>
              <w:right w:val="single" w:sz="4" w:space="0" w:color="auto"/>
            </w:tcBorders>
            <w:shd w:val="clear" w:color="auto" w:fill="auto"/>
            <w:noWrap/>
            <w:vAlign w:val="bottom"/>
            <w:hideMark/>
          </w:tcPr>
          <w:p w14:paraId="6190B20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GCA_021870715.1</w:t>
            </w:r>
          </w:p>
        </w:tc>
        <w:tc>
          <w:tcPr>
            <w:tcW w:w="1280" w:type="dxa"/>
            <w:tcBorders>
              <w:top w:val="nil"/>
              <w:left w:val="nil"/>
              <w:bottom w:val="single" w:sz="4" w:space="0" w:color="auto"/>
              <w:right w:val="single" w:sz="4" w:space="0" w:color="auto"/>
            </w:tcBorders>
            <w:shd w:val="clear" w:color="auto" w:fill="auto"/>
            <w:noWrap/>
            <w:vAlign w:val="bottom"/>
            <w:hideMark/>
          </w:tcPr>
          <w:p w14:paraId="070AF9F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chromosome</w:t>
            </w:r>
          </w:p>
        </w:tc>
        <w:tc>
          <w:tcPr>
            <w:tcW w:w="971" w:type="dxa"/>
            <w:tcBorders>
              <w:top w:val="nil"/>
              <w:left w:val="nil"/>
              <w:bottom w:val="single" w:sz="4" w:space="0" w:color="auto"/>
              <w:right w:val="single" w:sz="4" w:space="0" w:color="auto"/>
            </w:tcBorders>
            <w:shd w:val="clear" w:color="auto" w:fill="auto"/>
            <w:noWrap/>
            <w:vAlign w:val="bottom"/>
            <w:hideMark/>
          </w:tcPr>
          <w:p w14:paraId="4B23FB0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137x</w:t>
            </w:r>
          </w:p>
        </w:tc>
        <w:tc>
          <w:tcPr>
            <w:tcW w:w="1308" w:type="dxa"/>
            <w:tcBorders>
              <w:top w:val="nil"/>
              <w:left w:val="nil"/>
              <w:bottom w:val="single" w:sz="4" w:space="0" w:color="auto"/>
              <w:right w:val="single" w:sz="4" w:space="0" w:color="auto"/>
            </w:tcBorders>
            <w:shd w:val="clear" w:color="auto" w:fill="auto"/>
            <w:noWrap/>
            <w:vAlign w:val="bottom"/>
            <w:hideMark/>
          </w:tcPr>
          <w:p w14:paraId="3E6313C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471,985,164</w:t>
            </w:r>
          </w:p>
        </w:tc>
        <w:tc>
          <w:tcPr>
            <w:tcW w:w="990" w:type="dxa"/>
            <w:tcBorders>
              <w:top w:val="nil"/>
              <w:left w:val="nil"/>
              <w:bottom w:val="single" w:sz="4" w:space="0" w:color="auto"/>
              <w:right w:val="single" w:sz="4" w:space="0" w:color="auto"/>
            </w:tcBorders>
            <w:shd w:val="clear" w:color="auto" w:fill="auto"/>
            <w:noWrap/>
            <w:vAlign w:val="bottom"/>
            <w:hideMark/>
          </w:tcPr>
          <w:p w14:paraId="79FA0B3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1170" w:type="dxa"/>
            <w:tcBorders>
              <w:top w:val="nil"/>
              <w:left w:val="nil"/>
              <w:bottom w:val="single" w:sz="4" w:space="0" w:color="auto"/>
              <w:right w:val="single" w:sz="4" w:space="0" w:color="auto"/>
            </w:tcBorders>
            <w:shd w:val="clear" w:color="auto" w:fill="auto"/>
            <w:noWrap/>
            <w:vAlign w:val="bottom"/>
            <w:hideMark/>
          </w:tcPr>
          <w:p w14:paraId="088CFBA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12,200,365</w:t>
            </w:r>
          </w:p>
        </w:tc>
        <w:tc>
          <w:tcPr>
            <w:tcW w:w="900" w:type="dxa"/>
            <w:tcBorders>
              <w:top w:val="nil"/>
              <w:left w:val="nil"/>
              <w:bottom w:val="single" w:sz="4" w:space="0" w:color="auto"/>
              <w:right w:val="single" w:sz="4" w:space="0" w:color="auto"/>
            </w:tcBorders>
            <w:shd w:val="clear" w:color="auto" w:fill="auto"/>
            <w:noWrap/>
            <w:vAlign w:val="bottom"/>
            <w:hideMark/>
          </w:tcPr>
          <w:p w14:paraId="239DD6E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15</w:t>
            </w:r>
          </w:p>
        </w:tc>
        <w:tc>
          <w:tcPr>
            <w:tcW w:w="900" w:type="dxa"/>
            <w:tcBorders>
              <w:top w:val="nil"/>
              <w:left w:val="nil"/>
              <w:bottom w:val="single" w:sz="4" w:space="0" w:color="auto"/>
              <w:right w:val="single" w:sz="4" w:space="0" w:color="auto"/>
            </w:tcBorders>
            <w:shd w:val="clear" w:color="auto" w:fill="auto"/>
            <w:noWrap/>
            <w:vAlign w:val="bottom"/>
            <w:hideMark/>
          </w:tcPr>
          <w:p w14:paraId="794A5B7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2,127</w:t>
            </w:r>
          </w:p>
        </w:tc>
        <w:tc>
          <w:tcPr>
            <w:tcW w:w="874" w:type="dxa"/>
            <w:tcBorders>
              <w:top w:val="nil"/>
              <w:left w:val="nil"/>
              <w:bottom w:val="single" w:sz="4" w:space="0" w:color="auto"/>
              <w:right w:val="single" w:sz="4" w:space="0" w:color="auto"/>
            </w:tcBorders>
            <w:shd w:val="clear" w:color="auto" w:fill="auto"/>
            <w:noWrap/>
            <w:vAlign w:val="bottom"/>
            <w:hideMark/>
          </w:tcPr>
          <w:p w14:paraId="34A3041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347,532</w:t>
            </w:r>
          </w:p>
        </w:tc>
        <w:tc>
          <w:tcPr>
            <w:tcW w:w="836" w:type="dxa"/>
            <w:tcBorders>
              <w:top w:val="nil"/>
              <w:left w:val="nil"/>
              <w:bottom w:val="single" w:sz="4" w:space="0" w:color="auto"/>
              <w:right w:val="single" w:sz="4" w:space="0" w:color="auto"/>
            </w:tcBorders>
            <w:shd w:val="clear" w:color="auto" w:fill="auto"/>
            <w:noWrap/>
            <w:vAlign w:val="bottom"/>
            <w:hideMark/>
          </w:tcPr>
          <w:p w14:paraId="6CE10B4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333</w:t>
            </w:r>
          </w:p>
        </w:tc>
        <w:tc>
          <w:tcPr>
            <w:tcW w:w="920" w:type="dxa"/>
            <w:tcBorders>
              <w:top w:val="nil"/>
              <w:left w:val="nil"/>
              <w:bottom w:val="single" w:sz="4" w:space="0" w:color="auto"/>
              <w:right w:val="single" w:sz="4" w:space="0" w:color="auto"/>
            </w:tcBorders>
            <w:shd w:val="clear" w:color="auto" w:fill="auto"/>
            <w:noWrap/>
            <w:vAlign w:val="bottom"/>
            <w:hideMark/>
          </w:tcPr>
          <w:p w14:paraId="107A4E4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26</w:t>
            </w:r>
          </w:p>
        </w:tc>
        <w:tc>
          <w:tcPr>
            <w:tcW w:w="1552" w:type="dxa"/>
            <w:tcBorders>
              <w:top w:val="nil"/>
              <w:left w:val="nil"/>
              <w:bottom w:val="single" w:sz="4" w:space="0" w:color="auto"/>
              <w:right w:val="single" w:sz="4" w:space="0" w:color="auto"/>
            </w:tcBorders>
            <w:shd w:val="clear" w:color="auto" w:fill="auto"/>
            <w:noWrap/>
            <w:vAlign w:val="bottom"/>
            <w:hideMark/>
          </w:tcPr>
          <w:p w14:paraId="3F18D49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548</w:t>
            </w:r>
          </w:p>
        </w:tc>
        <w:tc>
          <w:tcPr>
            <w:tcW w:w="329" w:type="dxa"/>
            <w:tcBorders>
              <w:top w:val="nil"/>
              <w:left w:val="nil"/>
              <w:bottom w:val="nil"/>
              <w:right w:val="single" w:sz="4" w:space="0" w:color="auto"/>
            </w:tcBorders>
            <w:shd w:val="clear" w:color="auto" w:fill="auto"/>
            <w:noWrap/>
            <w:vAlign w:val="bottom"/>
            <w:hideMark/>
          </w:tcPr>
          <w:p w14:paraId="369FF7C0"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6276DB2D"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6AD07B8C"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B2087E5" w14:textId="77777777" w:rsidR="00644092" w:rsidRPr="00C11823" w:rsidRDefault="00644092" w:rsidP="003A7D4F">
            <w:pPr>
              <w:spacing w:after="0" w:line="240" w:lineRule="auto"/>
              <w:jc w:val="center"/>
              <w:rPr>
                <w:rFonts w:ascii="Calibri Light" w:eastAsia="Times New Roman" w:hAnsi="Calibri Light" w:cs="Calibri Light"/>
              </w:rPr>
            </w:pPr>
            <w:proofErr w:type="spellStart"/>
            <w:r w:rsidRPr="009E004D">
              <w:rPr>
                <w:rFonts w:ascii="Calibri Light" w:eastAsia="Times New Roman" w:hAnsi="Calibri Light" w:cs="Calibri Light"/>
                <w:i/>
                <w:iCs/>
              </w:rPr>
              <w:t>Thaleichthys</w:t>
            </w:r>
            <w:proofErr w:type="spellEnd"/>
            <w:r w:rsidRPr="009E004D">
              <w:rPr>
                <w:rFonts w:ascii="Calibri Light" w:eastAsia="Times New Roman" w:hAnsi="Calibri Light" w:cs="Calibri Light"/>
                <w:i/>
                <w:iCs/>
              </w:rPr>
              <w:t xml:space="preserve"> </w:t>
            </w:r>
            <w:proofErr w:type="spellStart"/>
            <w:r w:rsidRPr="009E004D">
              <w:rPr>
                <w:rFonts w:ascii="Calibri Light" w:eastAsia="Times New Roman" w:hAnsi="Calibri Light" w:cs="Calibri Light"/>
                <w:i/>
                <w:iCs/>
              </w:rPr>
              <w:t>pacificus</w:t>
            </w:r>
            <w:proofErr w:type="spellEnd"/>
            <w:r w:rsidRPr="00C11823">
              <w:rPr>
                <w:rFonts w:ascii="Calibri Light" w:eastAsia="Times New Roman" w:hAnsi="Calibri Light" w:cs="Calibri Light"/>
              </w:rPr>
              <w:t xml:space="preserve"> (eulachon)</w:t>
            </w:r>
          </w:p>
        </w:tc>
        <w:tc>
          <w:tcPr>
            <w:tcW w:w="529" w:type="dxa"/>
            <w:tcBorders>
              <w:top w:val="nil"/>
              <w:left w:val="nil"/>
              <w:bottom w:val="single" w:sz="4" w:space="0" w:color="auto"/>
              <w:right w:val="single" w:sz="4" w:space="0" w:color="auto"/>
            </w:tcBorders>
            <w:shd w:val="clear" w:color="auto" w:fill="auto"/>
            <w:noWrap/>
            <w:vAlign w:val="bottom"/>
            <w:hideMark/>
          </w:tcPr>
          <w:p w14:paraId="0A0A34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448E252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2021.03.09</w:t>
            </w:r>
          </w:p>
        </w:tc>
        <w:tc>
          <w:tcPr>
            <w:tcW w:w="1724" w:type="dxa"/>
            <w:tcBorders>
              <w:top w:val="nil"/>
              <w:left w:val="nil"/>
              <w:bottom w:val="single" w:sz="4" w:space="0" w:color="auto"/>
              <w:right w:val="single" w:sz="4" w:space="0" w:color="auto"/>
            </w:tcBorders>
            <w:shd w:val="clear" w:color="auto" w:fill="auto"/>
            <w:noWrap/>
            <w:vAlign w:val="bottom"/>
            <w:hideMark/>
          </w:tcPr>
          <w:p w14:paraId="1C349B5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GCA_017311245.1</w:t>
            </w:r>
          </w:p>
        </w:tc>
        <w:tc>
          <w:tcPr>
            <w:tcW w:w="1280" w:type="dxa"/>
            <w:tcBorders>
              <w:top w:val="nil"/>
              <w:left w:val="nil"/>
              <w:bottom w:val="single" w:sz="4" w:space="0" w:color="auto"/>
              <w:right w:val="single" w:sz="4" w:space="0" w:color="auto"/>
            </w:tcBorders>
            <w:shd w:val="clear" w:color="auto" w:fill="auto"/>
            <w:noWrap/>
            <w:vAlign w:val="bottom"/>
            <w:hideMark/>
          </w:tcPr>
          <w:p w14:paraId="293845B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6ED6CFD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210x</w:t>
            </w:r>
          </w:p>
        </w:tc>
        <w:tc>
          <w:tcPr>
            <w:tcW w:w="1308" w:type="dxa"/>
            <w:tcBorders>
              <w:top w:val="nil"/>
              <w:left w:val="nil"/>
              <w:bottom w:val="single" w:sz="4" w:space="0" w:color="auto"/>
              <w:right w:val="single" w:sz="4" w:space="0" w:color="auto"/>
            </w:tcBorders>
            <w:shd w:val="clear" w:color="auto" w:fill="auto"/>
            <w:noWrap/>
            <w:vAlign w:val="bottom"/>
            <w:hideMark/>
          </w:tcPr>
          <w:p w14:paraId="41F0A04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416,131,685</w:t>
            </w:r>
          </w:p>
        </w:tc>
        <w:tc>
          <w:tcPr>
            <w:tcW w:w="990" w:type="dxa"/>
            <w:tcBorders>
              <w:top w:val="nil"/>
              <w:left w:val="nil"/>
              <w:bottom w:val="single" w:sz="4" w:space="0" w:color="auto"/>
              <w:right w:val="single" w:sz="4" w:space="0" w:color="auto"/>
            </w:tcBorders>
            <w:shd w:val="clear" w:color="auto" w:fill="auto"/>
            <w:noWrap/>
            <w:vAlign w:val="bottom"/>
            <w:hideMark/>
          </w:tcPr>
          <w:p w14:paraId="4741CC1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324,311</w:t>
            </w:r>
          </w:p>
        </w:tc>
        <w:tc>
          <w:tcPr>
            <w:tcW w:w="1170" w:type="dxa"/>
            <w:tcBorders>
              <w:top w:val="nil"/>
              <w:left w:val="nil"/>
              <w:bottom w:val="single" w:sz="4" w:space="0" w:color="auto"/>
              <w:right w:val="single" w:sz="4" w:space="0" w:color="auto"/>
            </w:tcBorders>
            <w:shd w:val="clear" w:color="auto" w:fill="auto"/>
            <w:noWrap/>
            <w:vAlign w:val="bottom"/>
            <w:hideMark/>
          </w:tcPr>
          <w:p w14:paraId="423F515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3,050</w:t>
            </w:r>
          </w:p>
        </w:tc>
        <w:tc>
          <w:tcPr>
            <w:tcW w:w="900" w:type="dxa"/>
            <w:tcBorders>
              <w:top w:val="nil"/>
              <w:left w:val="nil"/>
              <w:bottom w:val="single" w:sz="4" w:space="0" w:color="auto"/>
              <w:right w:val="single" w:sz="4" w:space="0" w:color="auto"/>
            </w:tcBorders>
            <w:shd w:val="clear" w:color="auto" w:fill="auto"/>
            <w:noWrap/>
            <w:vAlign w:val="bottom"/>
            <w:hideMark/>
          </w:tcPr>
          <w:p w14:paraId="12205F4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34,112</w:t>
            </w:r>
          </w:p>
        </w:tc>
        <w:tc>
          <w:tcPr>
            <w:tcW w:w="900" w:type="dxa"/>
            <w:tcBorders>
              <w:top w:val="nil"/>
              <w:left w:val="nil"/>
              <w:bottom w:val="single" w:sz="4" w:space="0" w:color="auto"/>
              <w:right w:val="single" w:sz="4" w:space="0" w:color="auto"/>
            </w:tcBorders>
            <w:shd w:val="clear" w:color="auto" w:fill="auto"/>
            <w:noWrap/>
            <w:vAlign w:val="bottom"/>
            <w:hideMark/>
          </w:tcPr>
          <w:p w14:paraId="7EF41D7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330,739</w:t>
            </w:r>
          </w:p>
        </w:tc>
        <w:tc>
          <w:tcPr>
            <w:tcW w:w="874" w:type="dxa"/>
            <w:tcBorders>
              <w:top w:val="nil"/>
              <w:left w:val="nil"/>
              <w:bottom w:val="single" w:sz="4" w:space="0" w:color="auto"/>
              <w:right w:val="single" w:sz="4" w:space="0" w:color="auto"/>
            </w:tcBorders>
            <w:shd w:val="clear" w:color="auto" w:fill="auto"/>
            <w:noWrap/>
            <w:vAlign w:val="bottom"/>
            <w:hideMark/>
          </w:tcPr>
          <w:p w14:paraId="761BC6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2,918</w:t>
            </w:r>
          </w:p>
        </w:tc>
        <w:tc>
          <w:tcPr>
            <w:tcW w:w="836" w:type="dxa"/>
            <w:tcBorders>
              <w:top w:val="nil"/>
              <w:left w:val="nil"/>
              <w:bottom w:val="single" w:sz="4" w:space="0" w:color="auto"/>
              <w:right w:val="single" w:sz="4" w:space="0" w:color="auto"/>
            </w:tcBorders>
            <w:shd w:val="clear" w:color="auto" w:fill="auto"/>
            <w:noWrap/>
            <w:vAlign w:val="bottom"/>
            <w:hideMark/>
          </w:tcPr>
          <w:p w14:paraId="22A3E60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35,367</w:t>
            </w:r>
          </w:p>
        </w:tc>
        <w:tc>
          <w:tcPr>
            <w:tcW w:w="920" w:type="dxa"/>
            <w:tcBorders>
              <w:top w:val="nil"/>
              <w:left w:val="nil"/>
              <w:bottom w:val="single" w:sz="4" w:space="0" w:color="auto"/>
              <w:right w:val="single" w:sz="4" w:space="0" w:color="auto"/>
            </w:tcBorders>
            <w:shd w:val="clear" w:color="auto" w:fill="auto"/>
            <w:noWrap/>
            <w:vAlign w:val="bottom"/>
            <w:hideMark/>
          </w:tcPr>
          <w:p w14:paraId="04BD4CC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6D372FC7" w14:textId="04C19A7F"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324</w:t>
            </w:r>
            <w:r w:rsidR="00307E56">
              <w:rPr>
                <w:rFonts w:ascii="Calibri Light" w:eastAsia="Times New Roman" w:hAnsi="Calibri Light" w:cs="Calibri Light"/>
              </w:rPr>
              <w:t>,</w:t>
            </w:r>
            <w:r w:rsidRPr="00C11823">
              <w:rPr>
                <w:rFonts w:ascii="Calibri Light" w:eastAsia="Times New Roman" w:hAnsi="Calibri Light" w:cs="Calibri Light"/>
              </w:rPr>
              <w:t>311</w:t>
            </w:r>
          </w:p>
        </w:tc>
        <w:tc>
          <w:tcPr>
            <w:tcW w:w="329" w:type="dxa"/>
            <w:tcBorders>
              <w:top w:val="nil"/>
              <w:left w:val="nil"/>
              <w:bottom w:val="nil"/>
              <w:right w:val="single" w:sz="4" w:space="0" w:color="auto"/>
            </w:tcBorders>
            <w:shd w:val="clear" w:color="auto" w:fill="auto"/>
            <w:noWrap/>
            <w:vAlign w:val="bottom"/>
            <w:hideMark/>
          </w:tcPr>
          <w:p w14:paraId="7930DC0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262D9436"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04C3425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51D3BF4B" w14:textId="77777777" w:rsidR="00644092" w:rsidRPr="00C11823"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Osmerus eperlanus</w:t>
            </w:r>
            <w:r w:rsidRPr="00C11823">
              <w:rPr>
                <w:rFonts w:ascii="Calibri Light" w:eastAsia="Times New Roman" w:hAnsi="Calibri Light" w:cs="Calibri Light"/>
              </w:rPr>
              <w:t xml:space="preserve"> (European smelt)</w:t>
            </w:r>
          </w:p>
        </w:tc>
        <w:tc>
          <w:tcPr>
            <w:tcW w:w="529" w:type="dxa"/>
            <w:tcBorders>
              <w:top w:val="nil"/>
              <w:left w:val="nil"/>
              <w:bottom w:val="single" w:sz="4" w:space="0" w:color="auto"/>
              <w:right w:val="single" w:sz="4" w:space="0" w:color="auto"/>
            </w:tcBorders>
            <w:shd w:val="clear" w:color="auto" w:fill="auto"/>
            <w:noWrap/>
            <w:vAlign w:val="bottom"/>
            <w:hideMark/>
          </w:tcPr>
          <w:p w14:paraId="435E7DF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1B13E8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2018.03.18</w:t>
            </w:r>
          </w:p>
        </w:tc>
        <w:tc>
          <w:tcPr>
            <w:tcW w:w="1724" w:type="dxa"/>
            <w:tcBorders>
              <w:top w:val="nil"/>
              <w:left w:val="nil"/>
              <w:bottom w:val="single" w:sz="4" w:space="0" w:color="auto"/>
              <w:right w:val="single" w:sz="4" w:space="0" w:color="auto"/>
            </w:tcBorders>
            <w:shd w:val="clear" w:color="auto" w:fill="auto"/>
            <w:noWrap/>
            <w:vAlign w:val="bottom"/>
            <w:hideMark/>
          </w:tcPr>
          <w:p w14:paraId="65DC287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GCA_900302275.1</w:t>
            </w:r>
          </w:p>
        </w:tc>
        <w:tc>
          <w:tcPr>
            <w:tcW w:w="1280" w:type="dxa"/>
            <w:tcBorders>
              <w:top w:val="nil"/>
              <w:left w:val="nil"/>
              <w:bottom w:val="single" w:sz="4" w:space="0" w:color="auto"/>
              <w:right w:val="single" w:sz="4" w:space="0" w:color="auto"/>
            </w:tcBorders>
            <w:shd w:val="clear" w:color="auto" w:fill="auto"/>
            <w:noWrap/>
            <w:vAlign w:val="bottom"/>
            <w:hideMark/>
          </w:tcPr>
          <w:p w14:paraId="4A09189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scaffold</w:t>
            </w:r>
          </w:p>
        </w:tc>
        <w:tc>
          <w:tcPr>
            <w:tcW w:w="971" w:type="dxa"/>
            <w:tcBorders>
              <w:top w:val="nil"/>
              <w:left w:val="nil"/>
              <w:bottom w:val="single" w:sz="4" w:space="0" w:color="auto"/>
              <w:right w:val="single" w:sz="4" w:space="0" w:color="auto"/>
            </w:tcBorders>
            <w:shd w:val="clear" w:color="auto" w:fill="auto"/>
            <w:noWrap/>
            <w:vAlign w:val="bottom"/>
            <w:hideMark/>
          </w:tcPr>
          <w:p w14:paraId="5A0093D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19x</w:t>
            </w:r>
          </w:p>
        </w:tc>
        <w:tc>
          <w:tcPr>
            <w:tcW w:w="1308" w:type="dxa"/>
            <w:tcBorders>
              <w:top w:val="nil"/>
              <w:left w:val="nil"/>
              <w:bottom w:val="single" w:sz="4" w:space="0" w:color="auto"/>
              <w:right w:val="single" w:sz="4" w:space="0" w:color="auto"/>
            </w:tcBorders>
            <w:shd w:val="clear" w:color="auto" w:fill="auto"/>
            <w:noWrap/>
            <w:vAlign w:val="bottom"/>
            <w:hideMark/>
          </w:tcPr>
          <w:p w14:paraId="6334BA8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342,758,722</w:t>
            </w:r>
          </w:p>
        </w:tc>
        <w:tc>
          <w:tcPr>
            <w:tcW w:w="990" w:type="dxa"/>
            <w:tcBorders>
              <w:top w:val="nil"/>
              <w:left w:val="nil"/>
              <w:bottom w:val="single" w:sz="4" w:space="0" w:color="auto"/>
              <w:right w:val="single" w:sz="4" w:space="0" w:color="auto"/>
            </w:tcBorders>
            <w:shd w:val="clear" w:color="auto" w:fill="auto"/>
            <w:noWrap/>
            <w:vAlign w:val="bottom"/>
            <w:hideMark/>
          </w:tcPr>
          <w:p w14:paraId="78E3DC6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73,274</w:t>
            </w:r>
          </w:p>
        </w:tc>
        <w:tc>
          <w:tcPr>
            <w:tcW w:w="1170" w:type="dxa"/>
            <w:tcBorders>
              <w:top w:val="nil"/>
              <w:left w:val="nil"/>
              <w:bottom w:val="single" w:sz="4" w:space="0" w:color="auto"/>
              <w:right w:val="single" w:sz="4" w:space="0" w:color="auto"/>
            </w:tcBorders>
            <w:shd w:val="clear" w:color="auto" w:fill="auto"/>
            <w:noWrap/>
            <w:vAlign w:val="bottom"/>
            <w:hideMark/>
          </w:tcPr>
          <w:p w14:paraId="588C1B3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6,820</w:t>
            </w:r>
          </w:p>
        </w:tc>
        <w:tc>
          <w:tcPr>
            <w:tcW w:w="900" w:type="dxa"/>
            <w:tcBorders>
              <w:top w:val="nil"/>
              <w:left w:val="nil"/>
              <w:bottom w:val="single" w:sz="4" w:space="0" w:color="auto"/>
              <w:right w:val="single" w:sz="4" w:space="0" w:color="auto"/>
            </w:tcBorders>
            <w:shd w:val="clear" w:color="auto" w:fill="auto"/>
            <w:noWrap/>
            <w:vAlign w:val="bottom"/>
            <w:hideMark/>
          </w:tcPr>
          <w:p w14:paraId="11FCC9C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13,139</w:t>
            </w:r>
          </w:p>
        </w:tc>
        <w:tc>
          <w:tcPr>
            <w:tcW w:w="900" w:type="dxa"/>
            <w:tcBorders>
              <w:top w:val="nil"/>
              <w:left w:val="nil"/>
              <w:bottom w:val="single" w:sz="4" w:space="0" w:color="auto"/>
              <w:right w:val="single" w:sz="4" w:space="0" w:color="auto"/>
            </w:tcBorders>
            <w:shd w:val="clear" w:color="auto" w:fill="auto"/>
            <w:noWrap/>
            <w:vAlign w:val="bottom"/>
            <w:hideMark/>
          </w:tcPr>
          <w:p w14:paraId="29D48A2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99,348</w:t>
            </w:r>
          </w:p>
        </w:tc>
        <w:tc>
          <w:tcPr>
            <w:tcW w:w="874" w:type="dxa"/>
            <w:tcBorders>
              <w:top w:val="nil"/>
              <w:left w:val="nil"/>
              <w:bottom w:val="single" w:sz="4" w:space="0" w:color="auto"/>
              <w:right w:val="single" w:sz="4" w:space="0" w:color="auto"/>
            </w:tcBorders>
            <w:shd w:val="clear" w:color="auto" w:fill="auto"/>
            <w:noWrap/>
            <w:vAlign w:val="bottom"/>
            <w:hideMark/>
          </w:tcPr>
          <w:p w14:paraId="59C4542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4,524</w:t>
            </w:r>
          </w:p>
        </w:tc>
        <w:tc>
          <w:tcPr>
            <w:tcW w:w="836" w:type="dxa"/>
            <w:tcBorders>
              <w:top w:val="nil"/>
              <w:left w:val="nil"/>
              <w:bottom w:val="single" w:sz="4" w:space="0" w:color="auto"/>
              <w:right w:val="single" w:sz="4" w:space="0" w:color="auto"/>
            </w:tcBorders>
            <w:shd w:val="clear" w:color="auto" w:fill="auto"/>
            <w:noWrap/>
            <w:vAlign w:val="bottom"/>
            <w:hideMark/>
          </w:tcPr>
          <w:p w14:paraId="5BDE3F0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21,105</w:t>
            </w:r>
          </w:p>
        </w:tc>
        <w:tc>
          <w:tcPr>
            <w:tcW w:w="920" w:type="dxa"/>
            <w:tcBorders>
              <w:top w:val="nil"/>
              <w:left w:val="nil"/>
              <w:bottom w:val="single" w:sz="4" w:space="0" w:color="auto"/>
              <w:right w:val="single" w:sz="4" w:space="0" w:color="auto"/>
            </w:tcBorders>
            <w:shd w:val="clear" w:color="auto" w:fill="auto"/>
            <w:noWrap/>
            <w:vAlign w:val="bottom"/>
            <w:hideMark/>
          </w:tcPr>
          <w:p w14:paraId="7824D2F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37BE75B8" w14:textId="12509D6E"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73</w:t>
            </w:r>
            <w:r w:rsidR="00307E56">
              <w:rPr>
                <w:rFonts w:ascii="Calibri Light" w:eastAsia="Times New Roman" w:hAnsi="Calibri Light" w:cs="Calibri Light"/>
              </w:rPr>
              <w:t>,</w:t>
            </w:r>
            <w:r w:rsidRPr="00C11823">
              <w:rPr>
                <w:rFonts w:ascii="Calibri Light" w:eastAsia="Times New Roman" w:hAnsi="Calibri Light" w:cs="Calibri Light"/>
              </w:rPr>
              <w:t>274</w:t>
            </w:r>
          </w:p>
        </w:tc>
        <w:tc>
          <w:tcPr>
            <w:tcW w:w="329" w:type="dxa"/>
            <w:tcBorders>
              <w:top w:val="nil"/>
              <w:left w:val="nil"/>
              <w:bottom w:val="nil"/>
              <w:right w:val="single" w:sz="4" w:space="0" w:color="auto"/>
            </w:tcBorders>
            <w:shd w:val="clear" w:color="auto" w:fill="auto"/>
            <w:noWrap/>
            <w:vAlign w:val="bottom"/>
            <w:hideMark/>
          </w:tcPr>
          <w:p w14:paraId="20B6F6FA"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644092" w:rsidRPr="00C11823" w14:paraId="46579BF1" w14:textId="77777777" w:rsidTr="003A7D4F">
        <w:trPr>
          <w:trHeight w:val="320"/>
        </w:trPr>
        <w:tc>
          <w:tcPr>
            <w:tcW w:w="262" w:type="dxa"/>
            <w:tcBorders>
              <w:top w:val="nil"/>
              <w:left w:val="single" w:sz="4" w:space="0" w:color="auto"/>
              <w:bottom w:val="nil"/>
              <w:right w:val="nil"/>
            </w:tcBorders>
            <w:shd w:val="clear" w:color="auto" w:fill="auto"/>
            <w:noWrap/>
            <w:vAlign w:val="bottom"/>
            <w:hideMark/>
          </w:tcPr>
          <w:p w14:paraId="3D9BA8B8"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single" w:sz="4" w:space="0" w:color="auto"/>
              <w:bottom w:val="single" w:sz="4" w:space="0" w:color="auto"/>
              <w:right w:val="single" w:sz="4" w:space="0" w:color="auto"/>
            </w:tcBorders>
            <w:shd w:val="clear" w:color="auto" w:fill="auto"/>
            <w:noWrap/>
            <w:vAlign w:val="bottom"/>
            <w:hideMark/>
          </w:tcPr>
          <w:p w14:paraId="43936119" w14:textId="77777777" w:rsidR="009E004D" w:rsidRDefault="00644092"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17A4712A" w14:textId="246B4DC6"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sidR="00DF2390">
              <w:rPr>
                <w:rFonts w:ascii="Calibri Light" w:eastAsia="Times New Roman" w:hAnsi="Calibri Light" w:cs="Calibri Light"/>
              </w:rPr>
              <w:t>Japanese</w:t>
            </w:r>
            <w:r w:rsidRPr="00C11823">
              <w:rPr>
                <w:rFonts w:ascii="Calibri Light" w:eastAsia="Times New Roman" w:hAnsi="Calibri Light" w:cs="Calibri Light"/>
              </w:rPr>
              <w:t xml:space="preserve"> smelt</w:t>
            </w:r>
            <w:r w:rsidR="009E004D">
              <w:rPr>
                <w:rFonts w:ascii="Calibri Light" w:eastAsia="Times New Roman" w:hAnsi="Calibri Light" w:cs="Calibri Light"/>
              </w:rPr>
              <w:t>/wakasagi</w:t>
            </w:r>
            <w:r w:rsidRPr="00C11823">
              <w:rPr>
                <w:rFonts w:ascii="Calibri Light" w:eastAsia="Times New Roman" w:hAnsi="Calibri Light" w:cs="Calibri Light"/>
              </w:rPr>
              <w:t>)</w:t>
            </w:r>
          </w:p>
        </w:tc>
        <w:tc>
          <w:tcPr>
            <w:tcW w:w="529" w:type="dxa"/>
            <w:tcBorders>
              <w:top w:val="nil"/>
              <w:left w:val="nil"/>
              <w:bottom w:val="single" w:sz="4" w:space="0" w:color="auto"/>
              <w:right w:val="single" w:sz="4" w:space="0" w:color="auto"/>
            </w:tcBorders>
            <w:shd w:val="clear" w:color="auto" w:fill="auto"/>
            <w:noWrap/>
            <w:vAlign w:val="bottom"/>
            <w:hideMark/>
          </w:tcPr>
          <w:p w14:paraId="1A96155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hideMark/>
          </w:tcPr>
          <w:p w14:paraId="0ABCEC6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2021.05.12</w:t>
            </w:r>
          </w:p>
        </w:tc>
        <w:tc>
          <w:tcPr>
            <w:tcW w:w="1724" w:type="dxa"/>
            <w:tcBorders>
              <w:top w:val="nil"/>
              <w:left w:val="nil"/>
              <w:bottom w:val="single" w:sz="4" w:space="0" w:color="auto"/>
              <w:right w:val="single" w:sz="4" w:space="0" w:color="auto"/>
            </w:tcBorders>
            <w:shd w:val="clear" w:color="auto" w:fill="auto"/>
            <w:noWrap/>
            <w:vAlign w:val="bottom"/>
            <w:hideMark/>
          </w:tcPr>
          <w:p w14:paraId="0CC6817E"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GCA_018346875.1</w:t>
            </w:r>
          </w:p>
        </w:tc>
        <w:tc>
          <w:tcPr>
            <w:tcW w:w="1280" w:type="dxa"/>
            <w:tcBorders>
              <w:top w:val="nil"/>
              <w:left w:val="nil"/>
              <w:bottom w:val="single" w:sz="4" w:space="0" w:color="auto"/>
              <w:right w:val="single" w:sz="4" w:space="0" w:color="auto"/>
            </w:tcBorders>
            <w:shd w:val="clear" w:color="auto" w:fill="auto"/>
            <w:noWrap/>
            <w:vAlign w:val="bottom"/>
            <w:hideMark/>
          </w:tcPr>
          <w:p w14:paraId="3662703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hideMark/>
          </w:tcPr>
          <w:p w14:paraId="7978366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126x</w:t>
            </w:r>
          </w:p>
        </w:tc>
        <w:tc>
          <w:tcPr>
            <w:tcW w:w="1308" w:type="dxa"/>
            <w:tcBorders>
              <w:top w:val="nil"/>
              <w:left w:val="nil"/>
              <w:bottom w:val="single" w:sz="4" w:space="0" w:color="auto"/>
              <w:right w:val="single" w:sz="4" w:space="0" w:color="auto"/>
            </w:tcBorders>
            <w:shd w:val="clear" w:color="auto" w:fill="auto"/>
            <w:noWrap/>
            <w:vAlign w:val="bottom"/>
            <w:hideMark/>
          </w:tcPr>
          <w:p w14:paraId="13CC5614"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34,375,595</w:t>
            </w:r>
          </w:p>
        </w:tc>
        <w:tc>
          <w:tcPr>
            <w:tcW w:w="990" w:type="dxa"/>
            <w:tcBorders>
              <w:top w:val="nil"/>
              <w:left w:val="nil"/>
              <w:bottom w:val="single" w:sz="4" w:space="0" w:color="auto"/>
              <w:right w:val="single" w:sz="4" w:space="0" w:color="auto"/>
            </w:tcBorders>
            <w:shd w:val="clear" w:color="auto" w:fill="auto"/>
            <w:noWrap/>
            <w:vAlign w:val="bottom"/>
            <w:hideMark/>
          </w:tcPr>
          <w:p w14:paraId="210F0187"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N/A</w:t>
            </w:r>
          </w:p>
        </w:tc>
        <w:tc>
          <w:tcPr>
            <w:tcW w:w="1170" w:type="dxa"/>
            <w:tcBorders>
              <w:top w:val="nil"/>
              <w:left w:val="nil"/>
              <w:bottom w:val="single" w:sz="4" w:space="0" w:color="auto"/>
              <w:right w:val="single" w:sz="4" w:space="0" w:color="auto"/>
            </w:tcBorders>
            <w:shd w:val="clear" w:color="auto" w:fill="auto"/>
            <w:noWrap/>
            <w:vAlign w:val="bottom"/>
            <w:hideMark/>
          </w:tcPr>
          <w:p w14:paraId="57BA5DB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460,000</w:t>
            </w:r>
          </w:p>
        </w:tc>
        <w:tc>
          <w:tcPr>
            <w:tcW w:w="900" w:type="dxa"/>
            <w:tcBorders>
              <w:top w:val="nil"/>
              <w:left w:val="nil"/>
              <w:bottom w:val="single" w:sz="4" w:space="0" w:color="auto"/>
              <w:right w:val="single" w:sz="4" w:space="0" w:color="auto"/>
            </w:tcBorders>
            <w:shd w:val="clear" w:color="auto" w:fill="auto"/>
            <w:noWrap/>
            <w:vAlign w:val="bottom"/>
            <w:hideMark/>
          </w:tcPr>
          <w:p w14:paraId="23AA7F90"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477</w:t>
            </w:r>
          </w:p>
        </w:tc>
        <w:tc>
          <w:tcPr>
            <w:tcW w:w="900" w:type="dxa"/>
            <w:tcBorders>
              <w:top w:val="nil"/>
              <w:left w:val="nil"/>
              <w:bottom w:val="single" w:sz="4" w:space="0" w:color="auto"/>
              <w:right w:val="single" w:sz="4" w:space="0" w:color="auto"/>
            </w:tcBorders>
            <w:shd w:val="clear" w:color="auto" w:fill="auto"/>
            <w:noWrap/>
            <w:vAlign w:val="bottom"/>
            <w:hideMark/>
          </w:tcPr>
          <w:p w14:paraId="5EEC8CBB"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20,639</w:t>
            </w:r>
          </w:p>
        </w:tc>
        <w:tc>
          <w:tcPr>
            <w:tcW w:w="874" w:type="dxa"/>
            <w:tcBorders>
              <w:top w:val="nil"/>
              <w:left w:val="nil"/>
              <w:bottom w:val="single" w:sz="4" w:space="0" w:color="auto"/>
              <w:right w:val="single" w:sz="4" w:space="0" w:color="auto"/>
            </w:tcBorders>
            <w:shd w:val="clear" w:color="auto" w:fill="auto"/>
            <w:noWrap/>
            <w:vAlign w:val="bottom"/>
            <w:hideMark/>
          </w:tcPr>
          <w:p w14:paraId="33DFBE7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2,124</w:t>
            </w:r>
          </w:p>
        </w:tc>
        <w:tc>
          <w:tcPr>
            <w:tcW w:w="836" w:type="dxa"/>
            <w:tcBorders>
              <w:top w:val="nil"/>
              <w:left w:val="nil"/>
              <w:bottom w:val="single" w:sz="4" w:space="0" w:color="auto"/>
              <w:right w:val="single" w:sz="4" w:space="0" w:color="auto"/>
            </w:tcBorders>
            <w:shd w:val="clear" w:color="auto" w:fill="auto"/>
            <w:noWrap/>
            <w:vAlign w:val="bottom"/>
            <w:hideMark/>
          </w:tcPr>
          <w:p w14:paraId="299AE7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4,887</w:t>
            </w:r>
          </w:p>
        </w:tc>
        <w:tc>
          <w:tcPr>
            <w:tcW w:w="920" w:type="dxa"/>
            <w:tcBorders>
              <w:top w:val="nil"/>
              <w:left w:val="nil"/>
              <w:bottom w:val="single" w:sz="4" w:space="0" w:color="auto"/>
              <w:right w:val="single" w:sz="4" w:space="0" w:color="auto"/>
            </w:tcBorders>
            <w:shd w:val="clear" w:color="auto" w:fill="auto"/>
            <w:noWrap/>
            <w:vAlign w:val="bottom"/>
            <w:hideMark/>
          </w:tcPr>
          <w:p w14:paraId="36C10D6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0</w:t>
            </w:r>
          </w:p>
        </w:tc>
        <w:tc>
          <w:tcPr>
            <w:tcW w:w="1552" w:type="dxa"/>
            <w:tcBorders>
              <w:top w:val="nil"/>
              <w:left w:val="nil"/>
              <w:bottom w:val="single" w:sz="4" w:space="0" w:color="auto"/>
              <w:right w:val="single" w:sz="4" w:space="0" w:color="auto"/>
            </w:tcBorders>
            <w:shd w:val="clear" w:color="auto" w:fill="auto"/>
            <w:noWrap/>
            <w:vAlign w:val="bottom"/>
            <w:hideMark/>
          </w:tcPr>
          <w:p w14:paraId="272BDDC5" w14:textId="39B44DA4"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20</w:t>
            </w:r>
            <w:r w:rsidR="00307E56">
              <w:rPr>
                <w:rFonts w:ascii="Calibri Light" w:eastAsia="Times New Roman" w:hAnsi="Calibri Light" w:cs="Calibri Light"/>
              </w:rPr>
              <w:t>,</w:t>
            </w:r>
            <w:r w:rsidRPr="00C11823">
              <w:rPr>
                <w:rFonts w:ascii="Calibri Light" w:eastAsia="Times New Roman" w:hAnsi="Calibri Light" w:cs="Calibri Light"/>
              </w:rPr>
              <w:t>639</w:t>
            </w:r>
          </w:p>
        </w:tc>
        <w:tc>
          <w:tcPr>
            <w:tcW w:w="329" w:type="dxa"/>
            <w:tcBorders>
              <w:top w:val="nil"/>
              <w:left w:val="nil"/>
              <w:bottom w:val="nil"/>
              <w:right w:val="single" w:sz="4" w:space="0" w:color="auto"/>
            </w:tcBorders>
            <w:shd w:val="clear" w:color="auto" w:fill="auto"/>
            <w:noWrap/>
            <w:vAlign w:val="bottom"/>
            <w:hideMark/>
          </w:tcPr>
          <w:p w14:paraId="58E78EA1"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r w:rsidR="00240654" w:rsidRPr="00C11823" w14:paraId="39EB368B" w14:textId="77777777" w:rsidTr="003A7D4F">
        <w:trPr>
          <w:trHeight w:val="320"/>
        </w:trPr>
        <w:tc>
          <w:tcPr>
            <w:tcW w:w="262" w:type="dxa"/>
            <w:tcBorders>
              <w:top w:val="nil"/>
              <w:left w:val="single" w:sz="4" w:space="0" w:color="auto"/>
              <w:bottom w:val="nil"/>
              <w:right w:val="nil"/>
            </w:tcBorders>
            <w:shd w:val="clear" w:color="auto" w:fill="auto"/>
            <w:noWrap/>
            <w:vAlign w:val="bottom"/>
          </w:tcPr>
          <w:p w14:paraId="527E0A67" w14:textId="77777777" w:rsidR="00240654" w:rsidRPr="00C11823" w:rsidRDefault="00240654" w:rsidP="003A7D4F">
            <w:pPr>
              <w:spacing w:after="0" w:line="240" w:lineRule="auto"/>
              <w:jc w:val="left"/>
              <w:rPr>
                <w:rFonts w:ascii="Calibri" w:eastAsia="Times New Roman" w:hAnsi="Calibri" w:cs="Calibri"/>
                <w:color w:val="000000"/>
              </w:rPr>
            </w:pPr>
          </w:p>
        </w:tc>
        <w:tc>
          <w:tcPr>
            <w:tcW w:w="3240" w:type="dxa"/>
            <w:tcBorders>
              <w:top w:val="nil"/>
              <w:left w:val="single" w:sz="4" w:space="0" w:color="auto"/>
              <w:bottom w:val="single" w:sz="4" w:space="0" w:color="auto"/>
              <w:right w:val="single" w:sz="4" w:space="0" w:color="auto"/>
            </w:tcBorders>
            <w:shd w:val="clear" w:color="auto" w:fill="auto"/>
            <w:noWrap/>
            <w:vAlign w:val="bottom"/>
          </w:tcPr>
          <w:p w14:paraId="2249B9D9" w14:textId="12910F51" w:rsidR="009E004D" w:rsidRDefault="009E004D" w:rsidP="003A7D4F">
            <w:pPr>
              <w:spacing w:after="0" w:line="240" w:lineRule="auto"/>
              <w:jc w:val="center"/>
              <w:rPr>
                <w:rFonts w:ascii="Calibri Light" w:eastAsia="Times New Roman" w:hAnsi="Calibri Light" w:cs="Calibri Light"/>
              </w:rPr>
            </w:pPr>
            <w:r w:rsidRPr="009E004D">
              <w:rPr>
                <w:rFonts w:ascii="Calibri Light" w:eastAsia="Times New Roman" w:hAnsi="Calibri Light" w:cs="Calibri Light"/>
                <w:i/>
                <w:iCs/>
              </w:rPr>
              <w:t>Hypomesus nipponensis</w:t>
            </w:r>
            <w:r w:rsidRPr="00C11823">
              <w:rPr>
                <w:rFonts w:ascii="Calibri Light" w:eastAsia="Times New Roman" w:hAnsi="Calibri Light" w:cs="Calibri Light"/>
              </w:rPr>
              <w:t xml:space="preserve"> </w:t>
            </w:r>
          </w:p>
          <w:p w14:paraId="486200B0" w14:textId="62055BA8" w:rsidR="00240654" w:rsidRPr="00C11823" w:rsidRDefault="009E004D"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w:t>
            </w:r>
            <w:r>
              <w:rPr>
                <w:rFonts w:ascii="Calibri Light" w:eastAsia="Times New Roman" w:hAnsi="Calibri Light" w:cs="Calibri Light"/>
              </w:rPr>
              <w:t>Japanese</w:t>
            </w:r>
            <w:r w:rsidRPr="00C11823">
              <w:rPr>
                <w:rFonts w:ascii="Calibri Light" w:eastAsia="Times New Roman" w:hAnsi="Calibri Light" w:cs="Calibri Light"/>
              </w:rPr>
              <w:t xml:space="preserve"> smelt</w:t>
            </w:r>
            <w:r>
              <w:rPr>
                <w:rFonts w:ascii="Calibri Light" w:eastAsia="Times New Roman" w:hAnsi="Calibri Light" w:cs="Calibri Light"/>
              </w:rPr>
              <w:t>/</w:t>
            </w:r>
            <w:proofErr w:type="gramStart"/>
            <w:r>
              <w:rPr>
                <w:rFonts w:ascii="Calibri Light" w:eastAsia="Times New Roman" w:hAnsi="Calibri Light" w:cs="Calibri Light"/>
              </w:rPr>
              <w:t>wakasagi</w:t>
            </w:r>
            <w:r w:rsidRPr="00C11823">
              <w:rPr>
                <w:rFonts w:ascii="Calibri Light" w:eastAsia="Times New Roman" w:hAnsi="Calibri Light" w:cs="Calibri Light"/>
              </w:rPr>
              <w:t>)</w:t>
            </w:r>
            <w:r w:rsidR="00307E56">
              <w:rPr>
                <w:rFonts w:ascii="Calibri Light" w:eastAsia="Times New Roman" w:hAnsi="Calibri Light" w:cs="Calibri Light"/>
              </w:rPr>
              <w:t>*</w:t>
            </w:r>
            <w:proofErr w:type="gramEnd"/>
          </w:p>
        </w:tc>
        <w:tc>
          <w:tcPr>
            <w:tcW w:w="529" w:type="dxa"/>
            <w:tcBorders>
              <w:top w:val="nil"/>
              <w:left w:val="nil"/>
              <w:bottom w:val="single" w:sz="4" w:space="0" w:color="auto"/>
              <w:right w:val="single" w:sz="4" w:space="0" w:color="auto"/>
            </w:tcBorders>
            <w:shd w:val="clear" w:color="auto" w:fill="auto"/>
            <w:noWrap/>
            <w:vAlign w:val="bottom"/>
          </w:tcPr>
          <w:p w14:paraId="72C12FA9" w14:textId="6EB77E6F"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391" w:type="dxa"/>
            <w:tcBorders>
              <w:top w:val="nil"/>
              <w:left w:val="nil"/>
              <w:bottom w:val="single" w:sz="4" w:space="0" w:color="auto"/>
              <w:right w:val="single" w:sz="4" w:space="0" w:color="auto"/>
            </w:tcBorders>
            <w:shd w:val="clear" w:color="auto" w:fill="auto"/>
            <w:noWrap/>
            <w:vAlign w:val="bottom"/>
          </w:tcPr>
          <w:p w14:paraId="784E4A6C" w14:textId="1A45B9C7"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2021.09.06</w:t>
            </w:r>
          </w:p>
        </w:tc>
        <w:tc>
          <w:tcPr>
            <w:tcW w:w="1724" w:type="dxa"/>
            <w:tcBorders>
              <w:top w:val="nil"/>
              <w:left w:val="nil"/>
              <w:bottom w:val="single" w:sz="4" w:space="0" w:color="auto"/>
              <w:right w:val="single" w:sz="4" w:space="0" w:color="auto"/>
            </w:tcBorders>
            <w:shd w:val="clear" w:color="auto" w:fill="auto"/>
            <w:noWrap/>
            <w:vAlign w:val="bottom"/>
          </w:tcPr>
          <w:p w14:paraId="6E89FDF4" w14:textId="39BB8926" w:rsidR="00240654" w:rsidRPr="00C11823" w:rsidRDefault="009E004D"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280" w:type="dxa"/>
            <w:tcBorders>
              <w:top w:val="nil"/>
              <w:left w:val="nil"/>
              <w:bottom w:val="single" w:sz="4" w:space="0" w:color="auto"/>
              <w:right w:val="single" w:sz="4" w:space="0" w:color="auto"/>
            </w:tcBorders>
            <w:shd w:val="clear" w:color="auto" w:fill="auto"/>
            <w:noWrap/>
            <w:vAlign w:val="bottom"/>
          </w:tcPr>
          <w:p w14:paraId="3EE0690F" w14:textId="7B1E6E55" w:rsidR="00240654" w:rsidRPr="00C11823" w:rsidRDefault="003A7D4F"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contig</w:t>
            </w:r>
          </w:p>
        </w:tc>
        <w:tc>
          <w:tcPr>
            <w:tcW w:w="971" w:type="dxa"/>
            <w:tcBorders>
              <w:top w:val="nil"/>
              <w:left w:val="nil"/>
              <w:bottom w:val="single" w:sz="4" w:space="0" w:color="auto"/>
              <w:right w:val="single" w:sz="4" w:space="0" w:color="auto"/>
            </w:tcBorders>
            <w:shd w:val="clear" w:color="auto" w:fill="auto"/>
            <w:noWrap/>
            <w:vAlign w:val="bottom"/>
          </w:tcPr>
          <w:p w14:paraId="422B422F" w14:textId="3AD544D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51x</w:t>
            </w:r>
          </w:p>
        </w:tc>
        <w:tc>
          <w:tcPr>
            <w:tcW w:w="1308" w:type="dxa"/>
            <w:tcBorders>
              <w:top w:val="nil"/>
              <w:left w:val="nil"/>
              <w:bottom w:val="single" w:sz="4" w:space="0" w:color="auto"/>
              <w:right w:val="single" w:sz="4" w:space="0" w:color="auto"/>
            </w:tcBorders>
            <w:shd w:val="clear" w:color="auto" w:fill="auto"/>
            <w:noWrap/>
            <w:vAlign w:val="bottom"/>
          </w:tcPr>
          <w:p w14:paraId="1096E7D5" w14:textId="11D69B73" w:rsidR="00240654" w:rsidRPr="00C11823" w:rsidRDefault="00307E56" w:rsidP="003A7D4F">
            <w:pPr>
              <w:spacing w:after="0" w:line="240" w:lineRule="auto"/>
              <w:jc w:val="center"/>
              <w:rPr>
                <w:rFonts w:ascii="Calibri Light" w:eastAsia="Times New Roman" w:hAnsi="Calibri Light" w:cs="Calibri Light"/>
              </w:rPr>
            </w:pPr>
            <w:r w:rsidRPr="00307E56">
              <w:rPr>
                <w:rFonts w:ascii="Calibri Light" w:eastAsia="Times New Roman" w:hAnsi="Calibri Light" w:cs="Calibri Light"/>
              </w:rPr>
              <w:t>498,930,205</w:t>
            </w:r>
          </w:p>
        </w:tc>
        <w:tc>
          <w:tcPr>
            <w:tcW w:w="990" w:type="dxa"/>
            <w:tcBorders>
              <w:top w:val="nil"/>
              <w:left w:val="nil"/>
              <w:bottom w:val="single" w:sz="4" w:space="0" w:color="auto"/>
              <w:right w:val="single" w:sz="4" w:space="0" w:color="auto"/>
            </w:tcBorders>
            <w:shd w:val="clear" w:color="auto" w:fill="auto"/>
            <w:noWrap/>
            <w:vAlign w:val="bottom"/>
          </w:tcPr>
          <w:p w14:paraId="0848994B" w14:textId="68EEA6F0"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1170" w:type="dxa"/>
            <w:tcBorders>
              <w:top w:val="nil"/>
              <w:left w:val="nil"/>
              <w:bottom w:val="single" w:sz="4" w:space="0" w:color="auto"/>
              <w:right w:val="single" w:sz="4" w:space="0" w:color="auto"/>
            </w:tcBorders>
            <w:shd w:val="clear" w:color="auto" w:fill="auto"/>
            <w:noWrap/>
            <w:vAlign w:val="bottom"/>
          </w:tcPr>
          <w:p w14:paraId="642D8D96" w14:textId="6C3D740E"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464,585</w:t>
            </w:r>
          </w:p>
        </w:tc>
        <w:tc>
          <w:tcPr>
            <w:tcW w:w="900" w:type="dxa"/>
            <w:tcBorders>
              <w:top w:val="nil"/>
              <w:left w:val="nil"/>
              <w:bottom w:val="single" w:sz="4" w:space="0" w:color="auto"/>
              <w:right w:val="single" w:sz="4" w:space="0" w:color="auto"/>
            </w:tcBorders>
            <w:shd w:val="clear" w:color="auto" w:fill="auto"/>
            <w:noWrap/>
            <w:vAlign w:val="bottom"/>
          </w:tcPr>
          <w:p w14:paraId="429DAE4D" w14:textId="23BDD845"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300</w:t>
            </w:r>
          </w:p>
        </w:tc>
        <w:tc>
          <w:tcPr>
            <w:tcW w:w="900" w:type="dxa"/>
            <w:tcBorders>
              <w:top w:val="nil"/>
              <w:left w:val="nil"/>
              <w:bottom w:val="single" w:sz="4" w:space="0" w:color="auto"/>
              <w:right w:val="single" w:sz="4" w:space="0" w:color="auto"/>
            </w:tcBorders>
            <w:shd w:val="clear" w:color="auto" w:fill="auto"/>
            <w:noWrap/>
            <w:vAlign w:val="bottom"/>
          </w:tcPr>
          <w:p w14:paraId="36348EA6" w14:textId="2E398063"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4,106</w:t>
            </w:r>
          </w:p>
        </w:tc>
        <w:tc>
          <w:tcPr>
            <w:tcW w:w="874" w:type="dxa"/>
            <w:tcBorders>
              <w:top w:val="nil"/>
              <w:left w:val="nil"/>
              <w:bottom w:val="single" w:sz="4" w:space="0" w:color="auto"/>
              <w:right w:val="single" w:sz="4" w:space="0" w:color="auto"/>
            </w:tcBorders>
            <w:shd w:val="clear" w:color="auto" w:fill="auto"/>
            <w:noWrap/>
            <w:vAlign w:val="bottom"/>
          </w:tcPr>
          <w:p w14:paraId="19514582" w14:textId="71FCCE49"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316,684</w:t>
            </w:r>
          </w:p>
        </w:tc>
        <w:tc>
          <w:tcPr>
            <w:tcW w:w="836" w:type="dxa"/>
            <w:tcBorders>
              <w:top w:val="nil"/>
              <w:left w:val="nil"/>
              <w:bottom w:val="single" w:sz="4" w:space="0" w:color="auto"/>
              <w:right w:val="single" w:sz="4" w:space="0" w:color="auto"/>
            </w:tcBorders>
            <w:shd w:val="clear" w:color="auto" w:fill="auto"/>
            <w:noWrap/>
            <w:vAlign w:val="bottom"/>
          </w:tcPr>
          <w:p w14:paraId="5DE43F7A" w14:textId="50C989BC" w:rsidR="00240654" w:rsidRPr="00C11823" w:rsidRDefault="00160BAA"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477</w:t>
            </w:r>
          </w:p>
        </w:tc>
        <w:tc>
          <w:tcPr>
            <w:tcW w:w="920" w:type="dxa"/>
            <w:tcBorders>
              <w:top w:val="nil"/>
              <w:left w:val="nil"/>
              <w:bottom w:val="single" w:sz="4" w:space="0" w:color="auto"/>
              <w:right w:val="single" w:sz="4" w:space="0" w:color="auto"/>
            </w:tcBorders>
            <w:shd w:val="clear" w:color="auto" w:fill="auto"/>
            <w:noWrap/>
            <w:vAlign w:val="bottom"/>
          </w:tcPr>
          <w:p w14:paraId="18640E74" w14:textId="798BD6EF" w:rsidR="00240654" w:rsidRPr="00C11823" w:rsidRDefault="00307E56"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N/A</w:t>
            </w:r>
          </w:p>
        </w:tc>
        <w:tc>
          <w:tcPr>
            <w:tcW w:w="1552" w:type="dxa"/>
            <w:tcBorders>
              <w:top w:val="nil"/>
              <w:left w:val="nil"/>
              <w:bottom w:val="single" w:sz="4" w:space="0" w:color="auto"/>
              <w:right w:val="single" w:sz="4" w:space="0" w:color="auto"/>
            </w:tcBorders>
            <w:shd w:val="clear" w:color="auto" w:fill="auto"/>
            <w:noWrap/>
            <w:vAlign w:val="bottom"/>
          </w:tcPr>
          <w:p w14:paraId="518B3787" w14:textId="6FD2C34C" w:rsidR="00240654" w:rsidRPr="00C11823" w:rsidRDefault="00E91A9E" w:rsidP="003A7D4F">
            <w:pPr>
              <w:spacing w:after="0" w:line="240" w:lineRule="auto"/>
              <w:jc w:val="center"/>
              <w:rPr>
                <w:rFonts w:ascii="Calibri Light" w:eastAsia="Times New Roman" w:hAnsi="Calibri Light" w:cs="Calibri Light"/>
              </w:rPr>
            </w:pPr>
            <w:r>
              <w:rPr>
                <w:rFonts w:ascii="Calibri Light" w:eastAsia="Times New Roman" w:hAnsi="Calibri Light" w:cs="Calibri Light"/>
              </w:rPr>
              <w:t>1,987</w:t>
            </w:r>
          </w:p>
        </w:tc>
        <w:tc>
          <w:tcPr>
            <w:tcW w:w="329" w:type="dxa"/>
            <w:tcBorders>
              <w:top w:val="nil"/>
              <w:left w:val="nil"/>
              <w:bottom w:val="nil"/>
              <w:right w:val="single" w:sz="4" w:space="0" w:color="auto"/>
            </w:tcBorders>
            <w:shd w:val="clear" w:color="auto" w:fill="auto"/>
            <w:noWrap/>
            <w:vAlign w:val="bottom"/>
          </w:tcPr>
          <w:p w14:paraId="64DE2981" w14:textId="77777777" w:rsidR="00240654" w:rsidRPr="00C11823" w:rsidRDefault="00240654" w:rsidP="003A7D4F">
            <w:pPr>
              <w:spacing w:after="0" w:line="240" w:lineRule="auto"/>
              <w:jc w:val="left"/>
              <w:rPr>
                <w:rFonts w:ascii="Calibri" w:eastAsia="Times New Roman" w:hAnsi="Calibri" w:cs="Calibri"/>
                <w:color w:val="000000"/>
              </w:rPr>
            </w:pPr>
          </w:p>
        </w:tc>
      </w:tr>
      <w:tr w:rsidR="00644092" w:rsidRPr="00C11823" w14:paraId="1461DCEF" w14:textId="77777777" w:rsidTr="003A7D4F">
        <w:trPr>
          <w:trHeight w:val="391"/>
        </w:trPr>
        <w:tc>
          <w:tcPr>
            <w:tcW w:w="262" w:type="dxa"/>
            <w:tcBorders>
              <w:top w:val="nil"/>
              <w:left w:val="single" w:sz="4" w:space="0" w:color="auto"/>
              <w:bottom w:val="single" w:sz="4" w:space="0" w:color="auto"/>
              <w:right w:val="nil"/>
            </w:tcBorders>
            <w:shd w:val="clear" w:color="auto" w:fill="auto"/>
            <w:noWrap/>
            <w:vAlign w:val="bottom"/>
            <w:hideMark/>
          </w:tcPr>
          <w:p w14:paraId="2A064425"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c>
          <w:tcPr>
            <w:tcW w:w="3240" w:type="dxa"/>
            <w:tcBorders>
              <w:top w:val="nil"/>
              <w:left w:val="nil"/>
              <w:bottom w:val="single" w:sz="4" w:space="0" w:color="auto"/>
              <w:right w:val="nil"/>
            </w:tcBorders>
            <w:shd w:val="clear" w:color="auto" w:fill="auto"/>
            <w:noWrap/>
            <w:vAlign w:val="bottom"/>
            <w:hideMark/>
          </w:tcPr>
          <w:p w14:paraId="4D70FFE1" w14:textId="7FE13B3A" w:rsidR="00644092" w:rsidRPr="00C11823" w:rsidRDefault="003A7D4F" w:rsidP="003A7D4F">
            <w:pPr>
              <w:spacing w:after="0" w:line="240" w:lineRule="auto"/>
              <w:rPr>
                <w:rFonts w:ascii="Calibri Light" w:eastAsia="Times New Roman" w:hAnsi="Calibri Light" w:cs="Calibri Light"/>
              </w:rPr>
            </w:pPr>
            <w:r>
              <w:rPr>
                <w:rFonts w:ascii="Calibri Light" w:eastAsia="Times New Roman" w:hAnsi="Calibri Light" w:cs="Calibri Light"/>
              </w:rPr>
              <w:t xml:space="preserve">* </w:t>
            </w:r>
            <w:proofErr w:type="gramStart"/>
            <w:r>
              <w:rPr>
                <w:rFonts w:ascii="Calibri Light" w:eastAsia="Times New Roman" w:hAnsi="Calibri Light" w:cs="Calibri Light"/>
              </w:rPr>
              <w:t>metrics</w:t>
            </w:r>
            <w:proofErr w:type="gramEnd"/>
            <w:r>
              <w:rPr>
                <w:rFonts w:ascii="Calibri Light" w:eastAsia="Times New Roman" w:hAnsi="Calibri Light" w:cs="Calibri Light"/>
              </w:rPr>
              <w:t xml:space="preserve"> taken from publication</w:t>
            </w:r>
            <w:r w:rsidR="00644092" w:rsidRPr="00C11823">
              <w:rPr>
                <w:rFonts w:ascii="Calibri Light" w:eastAsia="Times New Roman" w:hAnsi="Calibri Light" w:cs="Calibri Light"/>
              </w:rPr>
              <w:t> </w:t>
            </w:r>
          </w:p>
        </w:tc>
        <w:tc>
          <w:tcPr>
            <w:tcW w:w="529" w:type="dxa"/>
            <w:tcBorders>
              <w:top w:val="nil"/>
              <w:left w:val="nil"/>
              <w:bottom w:val="single" w:sz="4" w:space="0" w:color="auto"/>
              <w:right w:val="nil"/>
            </w:tcBorders>
            <w:shd w:val="clear" w:color="auto" w:fill="auto"/>
            <w:noWrap/>
            <w:vAlign w:val="bottom"/>
            <w:hideMark/>
          </w:tcPr>
          <w:p w14:paraId="03153CAC"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91" w:type="dxa"/>
            <w:tcBorders>
              <w:top w:val="nil"/>
              <w:left w:val="nil"/>
              <w:bottom w:val="single" w:sz="4" w:space="0" w:color="auto"/>
              <w:right w:val="nil"/>
            </w:tcBorders>
            <w:shd w:val="clear" w:color="auto" w:fill="auto"/>
            <w:noWrap/>
            <w:vAlign w:val="bottom"/>
            <w:hideMark/>
          </w:tcPr>
          <w:p w14:paraId="60C5557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724" w:type="dxa"/>
            <w:tcBorders>
              <w:top w:val="nil"/>
              <w:left w:val="nil"/>
              <w:bottom w:val="single" w:sz="4" w:space="0" w:color="auto"/>
              <w:right w:val="nil"/>
            </w:tcBorders>
            <w:shd w:val="clear" w:color="auto" w:fill="auto"/>
            <w:noWrap/>
            <w:vAlign w:val="bottom"/>
            <w:hideMark/>
          </w:tcPr>
          <w:p w14:paraId="0D6CC54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280" w:type="dxa"/>
            <w:tcBorders>
              <w:top w:val="nil"/>
              <w:left w:val="nil"/>
              <w:bottom w:val="single" w:sz="4" w:space="0" w:color="auto"/>
              <w:right w:val="nil"/>
            </w:tcBorders>
            <w:shd w:val="clear" w:color="auto" w:fill="auto"/>
            <w:noWrap/>
            <w:vAlign w:val="bottom"/>
            <w:hideMark/>
          </w:tcPr>
          <w:p w14:paraId="20D8CF6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71" w:type="dxa"/>
            <w:tcBorders>
              <w:top w:val="nil"/>
              <w:left w:val="nil"/>
              <w:bottom w:val="single" w:sz="4" w:space="0" w:color="auto"/>
              <w:right w:val="nil"/>
            </w:tcBorders>
            <w:shd w:val="clear" w:color="auto" w:fill="auto"/>
            <w:noWrap/>
            <w:vAlign w:val="bottom"/>
            <w:hideMark/>
          </w:tcPr>
          <w:p w14:paraId="38991BAD"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308" w:type="dxa"/>
            <w:tcBorders>
              <w:top w:val="nil"/>
              <w:left w:val="nil"/>
              <w:bottom w:val="single" w:sz="4" w:space="0" w:color="auto"/>
              <w:right w:val="nil"/>
            </w:tcBorders>
            <w:shd w:val="clear" w:color="auto" w:fill="auto"/>
            <w:noWrap/>
            <w:vAlign w:val="bottom"/>
            <w:hideMark/>
          </w:tcPr>
          <w:p w14:paraId="64C7885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90" w:type="dxa"/>
            <w:tcBorders>
              <w:top w:val="nil"/>
              <w:left w:val="nil"/>
              <w:bottom w:val="single" w:sz="4" w:space="0" w:color="auto"/>
              <w:right w:val="nil"/>
            </w:tcBorders>
            <w:shd w:val="clear" w:color="auto" w:fill="auto"/>
            <w:noWrap/>
            <w:vAlign w:val="bottom"/>
            <w:hideMark/>
          </w:tcPr>
          <w:p w14:paraId="55C6A9A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170" w:type="dxa"/>
            <w:tcBorders>
              <w:top w:val="nil"/>
              <w:left w:val="nil"/>
              <w:bottom w:val="single" w:sz="4" w:space="0" w:color="auto"/>
              <w:right w:val="nil"/>
            </w:tcBorders>
            <w:shd w:val="clear" w:color="auto" w:fill="auto"/>
            <w:noWrap/>
            <w:vAlign w:val="bottom"/>
            <w:hideMark/>
          </w:tcPr>
          <w:p w14:paraId="41666386"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1004E3F3"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00" w:type="dxa"/>
            <w:tcBorders>
              <w:top w:val="nil"/>
              <w:left w:val="nil"/>
              <w:bottom w:val="single" w:sz="4" w:space="0" w:color="auto"/>
              <w:right w:val="nil"/>
            </w:tcBorders>
            <w:shd w:val="clear" w:color="auto" w:fill="auto"/>
            <w:noWrap/>
            <w:vAlign w:val="bottom"/>
            <w:hideMark/>
          </w:tcPr>
          <w:p w14:paraId="26A993B5"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74" w:type="dxa"/>
            <w:tcBorders>
              <w:top w:val="nil"/>
              <w:left w:val="nil"/>
              <w:bottom w:val="single" w:sz="4" w:space="0" w:color="auto"/>
              <w:right w:val="nil"/>
            </w:tcBorders>
            <w:shd w:val="clear" w:color="auto" w:fill="auto"/>
            <w:noWrap/>
            <w:vAlign w:val="bottom"/>
            <w:hideMark/>
          </w:tcPr>
          <w:p w14:paraId="52944398"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836" w:type="dxa"/>
            <w:tcBorders>
              <w:top w:val="nil"/>
              <w:left w:val="nil"/>
              <w:bottom w:val="single" w:sz="4" w:space="0" w:color="auto"/>
              <w:right w:val="nil"/>
            </w:tcBorders>
            <w:shd w:val="clear" w:color="auto" w:fill="auto"/>
            <w:noWrap/>
            <w:vAlign w:val="bottom"/>
            <w:hideMark/>
          </w:tcPr>
          <w:p w14:paraId="1CF20AF1"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920" w:type="dxa"/>
            <w:tcBorders>
              <w:top w:val="nil"/>
              <w:left w:val="nil"/>
              <w:bottom w:val="single" w:sz="4" w:space="0" w:color="auto"/>
              <w:right w:val="nil"/>
            </w:tcBorders>
            <w:shd w:val="clear" w:color="auto" w:fill="auto"/>
            <w:noWrap/>
            <w:vAlign w:val="bottom"/>
            <w:hideMark/>
          </w:tcPr>
          <w:p w14:paraId="0C9A8889"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1552" w:type="dxa"/>
            <w:tcBorders>
              <w:top w:val="nil"/>
              <w:left w:val="nil"/>
              <w:bottom w:val="single" w:sz="4" w:space="0" w:color="auto"/>
              <w:right w:val="nil"/>
            </w:tcBorders>
            <w:shd w:val="clear" w:color="auto" w:fill="auto"/>
            <w:noWrap/>
            <w:vAlign w:val="bottom"/>
            <w:hideMark/>
          </w:tcPr>
          <w:p w14:paraId="1F74A01A" w14:textId="77777777" w:rsidR="00644092" w:rsidRPr="00C11823" w:rsidRDefault="00644092" w:rsidP="003A7D4F">
            <w:pPr>
              <w:spacing w:after="0" w:line="240" w:lineRule="auto"/>
              <w:jc w:val="center"/>
              <w:rPr>
                <w:rFonts w:ascii="Calibri Light" w:eastAsia="Times New Roman" w:hAnsi="Calibri Light" w:cs="Calibri Light"/>
              </w:rPr>
            </w:pPr>
            <w:r w:rsidRPr="00C11823">
              <w:rPr>
                <w:rFonts w:ascii="Calibri Light" w:eastAsia="Times New Roman" w:hAnsi="Calibri Light" w:cs="Calibri Light"/>
              </w:rPr>
              <w:t> </w:t>
            </w:r>
          </w:p>
        </w:tc>
        <w:tc>
          <w:tcPr>
            <w:tcW w:w="329" w:type="dxa"/>
            <w:tcBorders>
              <w:top w:val="nil"/>
              <w:left w:val="nil"/>
              <w:bottom w:val="single" w:sz="4" w:space="0" w:color="auto"/>
              <w:right w:val="single" w:sz="4" w:space="0" w:color="auto"/>
            </w:tcBorders>
            <w:shd w:val="clear" w:color="auto" w:fill="auto"/>
            <w:noWrap/>
            <w:vAlign w:val="bottom"/>
            <w:hideMark/>
          </w:tcPr>
          <w:p w14:paraId="582EBEFD" w14:textId="77777777" w:rsidR="00644092" w:rsidRPr="00C11823" w:rsidRDefault="00644092" w:rsidP="003A7D4F">
            <w:pPr>
              <w:spacing w:after="0" w:line="240" w:lineRule="auto"/>
              <w:jc w:val="left"/>
              <w:rPr>
                <w:rFonts w:ascii="Calibri" w:eastAsia="Times New Roman" w:hAnsi="Calibri" w:cs="Calibri"/>
                <w:color w:val="000000"/>
              </w:rPr>
            </w:pPr>
            <w:r w:rsidRPr="00C11823">
              <w:rPr>
                <w:rFonts w:ascii="Calibri" w:eastAsia="Times New Roman" w:hAnsi="Calibri" w:cs="Calibri"/>
                <w:color w:val="000000"/>
              </w:rPr>
              <w:t> </w:t>
            </w:r>
          </w:p>
        </w:tc>
      </w:tr>
    </w:tbl>
    <w:p w14:paraId="70E49DFF" w14:textId="2C70D0A5" w:rsidR="00EC36DE" w:rsidRPr="003903DF" w:rsidRDefault="00EC36DE" w:rsidP="0011235A">
      <w:pPr>
        <w:pStyle w:val="TOCHeading"/>
        <w:tabs>
          <w:tab w:val="left" w:pos="532"/>
        </w:tabs>
        <w:spacing w:line="240" w:lineRule="auto"/>
        <w:outlineLvl w:val="0"/>
      </w:pPr>
      <w:bookmarkStart w:id="56" w:name="_Toc113273240"/>
      <w:r>
        <w:t>Tables and Figures</w:t>
      </w:r>
      <w:bookmarkEnd w:id="56"/>
    </w:p>
    <w:p w14:paraId="0FEA9C2A" w14:textId="7E9A721A" w:rsidR="008914E8" w:rsidRPr="008914E8" w:rsidRDefault="008914E8" w:rsidP="0011235A">
      <w:pPr>
        <w:pStyle w:val="Header"/>
        <w:outlineLvl w:val="1"/>
        <w:rPr>
          <w:rFonts w:asciiTheme="majorHAnsi" w:hAnsiTheme="majorHAnsi" w:cstheme="majorHAnsi"/>
        </w:rPr>
        <w:sectPr w:rsidR="008914E8" w:rsidRPr="008914E8" w:rsidSect="00317A9B">
          <w:pgSz w:w="21600" w:h="8640"/>
          <w:pgMar w:top="1440" w:right="1440" w:bottom="1440" w:left="1440" w:header="720" w:footer="720" w:gutter="0"/>
          <w:cols w:space="720"/>
          <w:docGrid w:linePitch="360"/>
        </w:sectPr>
      </w:pPr>
    </w:p>
    <w:tbl>
      <w:tblPr>
        <w:tblW w:w="9350" w:type="dxa"/>
        <w:jc w:val="center"/>
        <w:tblLook w:val="04A0" w:firstRow="1" w:lastRow="0" w:firstColumn="1" w:lastColumn="0" w:noHBand="0" w:noVBand="1"/>
      </w:tblPr>
      <w:tblGrid>
        <w:gridCol w:w="297"/>
        <w:gridCol w:w="686"/>
        <w:gridCol w:w="1617"/>
        <w:gridCol w:w="1445"/>
        <w:gridCol w:w="1620"/>
        <w:gridCol w:w="1218"/>
        <w:gridCol w:w="1046"/>
        <w:gridCol w:w="1144"/>
        <w:gridCol w:w="277"/>
      </w:tblGrid>
      <w:tr w:rsidR="00C355ED" w:rsidRPr="00D22895" w14:paraId="551558D1" w14:textId="77777777" w:rsidTr="00C355ED">
        <w:trPr>
          <w:trHeight w:val="280"/>
          <w:jc w:val="center"/>
        </w:trPr>
        <w:tc>
          <w:tcPr>
            <w:tcW w:w="297" w:type="dxa"/>
            <w:tcBorders>
              <w:top w:val="single" w:sz="4" w:space="0" w:color="auto"/>
              <w:left w:val="single" w:sz="4" w:space="0" w:color="auto"/>
              <w:bottom w:val="nil"/>
              <w:right w:val="nil"/>
            </w:tcBorders>
            <w:shd w:val="clear" w:color="auto" w:fill="auto"/>
            <w:noWrap/>
            <w:vAlign w:val="bottom"/>
            <w:hideMark/>
          </w:tcPr>
          <w:p w14:paraId="5907417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lastRenderedPageBreak/>
              <w:t> </w:t>
            </w:r>
          </w:p>
        </w:tc>
        <w:tc>
          <w:tcPr>
            <w:tcW w:w="686" w:type="dxa"/>
            <w:tcBorders>
              <w:top w:val="single" w:sz="4" w:space="0" w:color="auto"/>
              <w:left w:val="nil"/>
              <w:bottom w:val="nil"/>
              <w:right w:val="nil"/>
            </w:tcBorders>
            <w:shd w:val="clear" w:color="auto" w:fill="auto"/>
            <w:noWrap/>
            <w:vAlign w:val="bottom"/>
            <w:hideMark/>
          </w:tcPr>
          <w:p w14:paraId="066886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single" w:sz="4" w:space="0" w:color="auto"/>
              <w:left w:val="nil"/>
              <w:bottom w:val="nil"/>
              <w:right w:val="nil"/>
            </w:tcBorders>
            <w:shd w:val="clear" w:color="auto" w:fill="auto"/>
            <w:noWrap/>
            <w:vAlign w:val="bottom"/>
            <w:hideMark/>
          </w:tcPr>
          <w:p w14:paraId="7307010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single" w:sz="4" w:space="0" w:color="auto"/>
              <w:left w:val="nil"/>
              <w:bottom w:val="nil"/>
              <w:right w:val="nil"/>
            </w:tcBorders>
            <w:shd w:val="clear" w:color="auto" w:fill="auto"/>
            <w:noWrap/>
            <w:vAlign w:val="bottom"/>
            <w:hideMark/>
          </w:tcPr>
          <w:p w14:paraId="6EBFD5C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single" w:sz="4" w:space="0" w:color="auto"/>
              <w:left w:val="nil"/>
              <w:bottom w:val="nil"/>
              <w:right w:val="nil"/>
            </w:tcBorders>
            <w:shd w:val="clear" w:color="auto" w:fill="auto"/>
            <w:noWrap/>
            <w:vAlign w:val="bottom"/>
            <w:hideMark/>
          </w:tcPr>
          <w:p w14:paraId="50799BA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single" w:sz="4" w:space="0" w:color="auto"/>
              <w:left w:val="nil"/>
              <w:bottom w:val="nil"/>
            </w:tcBorders>
          </w:tcPr>
          <w:p w14:paraId="40292C0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single" w:sz="4" w:space="0" w:color="auto"/>
              <w:bottom w:val="nil"/>
            </w:tcBorders>
          </w:tcPr>
          <w:p w14:paraId="3DE92E3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single" w:sz="4" w:space="0" w:color="auto"/>
              <w:bottom w:val="nil"/>
              <w:right w:val="nil"/>
            </w:tcBorders>
            <w:shd w:val="clear" w:color="auto" w:fill="auto"/>
            <w:noWrap/>
            <w:vAlign w:val="bottom"/>
            <w:hideMark/>
          </w:tcPr>
          <w:p w14:paraId="6454ED1E" w14:textId="13CD169D"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single" w:sz="4" w:space="0" w:color="auto"/>
              <w:left w:val="nil"/>
              <w:right w:val="single" w:sz="4" w:space="0" w:color="auto"/>
            </w:tcBorders>
            <w:shd w:val="clear" w:color="auto" w:fill="auto"/>
            <w:noWrap/>
            <w:vAlign w:val="bottom"/>
            <w:hideMark/>
          </w:tcPr>
          <w:p w14:paraId="2919927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B774317" w14:textId="77777777" w:rsidTr="00C355ED">
        <w:trPr>
          <w:trHeight w:val="840"/>
          <w:jc w:val="center"/>
        </w:trPr>
        <w:tc>
          <w:tcPr>
            <w:tcW w:w="297" w:type="dxa"/>
            <w:tcBorders>
              <w:top w:val="nil"/>
              <w:left w:val="single" w:sz="4" w:space="0" w:color="auto"/>
              <w:bottom w:val="nil"/>
              <w:right w:val="nil"/>
            </w:tcBorders>
            <w:shd w:val="clear" w:color="auto" w:fill="auto"/>
            <w:noWrap/>
            <w:vAlign w:val="bottom"/>
            <w:hideMark/>
          </w:tcPr>
          <w:p w14:paraId="2EFD257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8776" w:type="dxa"/>
            <w:gridSpan w:val="7"/>
            <w:tcBorders>
              <w:top w:val="nil"/>
              <w:left w:val="nil"/>
              <w:bottom w:val="single" w:sz="4" w:space="0" w:color="auto"/>
            </w:tcBorders>
          </w:tcPr>
          <w:p w14:paraId="409404E7" w14:textId="78FCF70B"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D22895">
              <w:rPr>
                <w:rFonts w:ascii="Calibri Light" w:eastAsia="Times New Roman" w:hAnsi="Calibri Light" w:cs="Calibri Light"/>
                <w:b/>
                <w:bCs/>
                <w:color w:val="000000"/>
              </w:rPr>
              <w:t xml:space="preserve">2. </w:t>
            </w:r>
            <w:r w:rsidRPr="00D22895">
              <w:rPr>
                <w:rFonts w:ascii="Calibri Light" w:eastAsia="Times New Roman" w:hAnsi="Calibri Light" w:cs="Calibri Light"/>
                <w:color w:val="000000"/>
              </w:rPr>
              <w:t>Table of tissue type and storage method of sampled delta smelt from four sampling events. Included are the names referred to in the text. T= trip, F= female, M=male, BM = back muscle, SC = scales, IO = internal organ, FF = flash frozen, and PG = propylene glycol.</w:t>
            </w:r>
          </w:p>
        </w:tc>
        <w:tc>
          <w:tcPr>
            <w:tcW w:w="277" w:type="dxa"/>
            <w:tcBorders>
              <w:top w:val="nil"/>
              <w:bottom w:val="nil"/>
              <w:right w:val="single" w:sz="4" w:space="0" w:color="auto"/>
            </w:tcBorders>
            <w:shd w:val="clear" w:color="auto" w:fill="auto"/>
            <w:noWrap/>
            <w:vAlign w:val="bottom"/>
            <w:hideMark/>
          </w:tcPr>
          <w:p w14:paraId="098CD9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5D8B929" w14:textId="77777777" w:rsidTr="00C355ED">
        <w:trPr>
          <w:trHeight w:val="580"/>
          <w:jc w:val="center"/>
        </w:trPr>
        <w:tc>
          <w:tcPr>
            <w:tcW w:w="297" w:type="dxa"/>
            <w:tcBorders>
              <w:top w:val="nil"/>
              <w:left w:val="single" w:sz="4" w:space="0" w:color="auto"/>
              <w:bottom w:val="nil"/>
              <w:right w:val="nil"/>
            </w:tcBorders>
            <w:shd w:val="clear" w:color="auto" w:fill="auto"/>
            <w:noWrap/>
            <w:vAlign w:val="bottom"/>
            <w:hideMark/>
          </w:tcPr>
          <w:p w14:paraId="2955B73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single" w:sz="4" w:space="0" w:color="auto"/>
              <w:bottom w:val="single" w:sz="4" w:space="0" w:color="auto"/>
              <w:right w:val="single" w:sz="4" w:space="0" w:color="auto"/>
            </w:tcBorders>
            <w:shd w:val="clear" w:color="000000" w:fill="D9D9D9"/>
            <w:vAlign w:val="center"/>
            <w:hideMark/>
          </w:tcPr>
          <w:p w14:paraId="58620474"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Sex</w:t>
            </w:r>
          </w:p>
        </w:tc>
        <w:tc>
          <w:tcPr>
            <w:tcW w:w="1617" w:type="dxa"/>
            <w:tcBorders>
              <w:top w:val="nil"/>
              <w:left w:val="nil"/>
              <w:bottom w:val="single" w:sz="4" w:space="0" w:color="auto"/>
              <w:right w:val="single" w:sz="4" w:space="0" w:color="auto"/>
            </w:tcBorders>
            <w:shd w:val="clear" w:color="000000" w:fill="D9D9D9"/>
            <w:vAlign w:val="center"/>
            <w:hideMark/>
          </w:tcPr>
          <w:p w14:paraId="4351C9AE"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Sample ID</w:t>
            </w:r>
          </w:p>
        </w:tc>
        <w:tc>
          <w:tcPr>
            <w:tcW w:w="1445" w:type="dxa"/>
            <w:tcBorders>
              <w:top w:val="nil"/>
              <w:left w:val="nil"/>
              <w:bottom w:val="single" w:sz="4" w:space="0" w:color="auto"/>
              <w:right w:val="single" w:sz="4" w:space="0" w:color="auto"/>
            </w:tcBorders>
            <w:shd w:val="clear" w:color="000000" w:fill="D9D9D9"/>
            <w:vAlign w:val="center"/>
            <w:hideMark/>
          </w:tcPr>
          <w:p w14:paraId="33B2F57F"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Tissue Type</w:t>
            </w:r>
          </w:p>
        </w:tc>
        <w:tc>
          <w:tcPr>
            <w:tcW w:w="1620" w:type="dxa"/>
            <w:tcBorders>
              <w:top w:val="nil"/>
              <w:left w:val="nil"/>
              <w:bottom w:val="single" w:sz="4" w:space="0" w:color="auto"/>
              <w:right w:val="single" w:sz="4" w:space="0" w:color="auto"/>
            </w:tcBorders>
            <w:shd w:val="clear" w:color="000000" w:fill="D9D9D9"/>
            <w:vAlign w:val="center"/>
            <w:hideMark/>
          </w:tcPr>
          <w:p w14:paraId="7380E871" w14:textId="77777777"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Storage Solution</w:t>
            </w:r>
          </w:p>
        </w:tc>
        <w:tc>
          <w:tcPr>
            <w:tcW w:w="1218" w:type="dxa"/>
            <w:tcBorders>
              <w:top w:val="nil"/>
              <w:left w:val="nil"/>
              <w:bottom w:val="single" w:sz="4" w:space="0" w:color="auto"/>
              <w:right w:val="single" w:sz="4" w:space="0" w:color="auto"/>
            </w:tcBorders>
            <w:shd w:val="clear" w:color="000000" w:fill="D9D9D9"/>
          </w:tcPr>
          <w:p w14:paraId="032E3DFD" w14:textId="77777777" w:rsidR="00C355ED" w:rsidRDefault="00C355ED" w:rsidP="0011235A">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14651A9E" w14:textId="47C49CA7" w:rsidR="00C355ED" w:rsidRPr="00D22895" w:rsidRDefault="00C355ED" w:rsidP="0011235A">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260/280</w:t>
            </w:r>
          </w:p>
        </w:tc>
        <w:tc>
          <w:tcPr>
            <w:tcW w:w="1046" w:type="dxa"/>
            <w:tcBorders>
              <w:top w:val="nil"/>
              <w:left w:val="single" w:sz="4" w:space="0" w:color="auto"/>
              <w:bottom w:val="single" w:sz="4" w:space="0" w:color="auto"/>
              <w:right w:val="single" w:sz="4" w:space="0" w:color="auto"/>
            </w:tcBorders>
            <w:shd w:val="clear" w:color="000000" w:fill="D9D9D9"/>
          </w:tcPr>
          <w:p w14:paraId="5CF453F2" w14:textId="77777777" w:rsidR="00C355ED" w:rsidRDefault="00C355ED" w:rsidP="00C355ED">
            <w:pPr>
              <w:spacing w:after="0" w:line="240" w:lineRule="auto"/>
              <w:jc w:val="center"/>
              <w:rPr>
                <w:rFonts w:ascii="Calibri Light" w:eastAsia="Times New Roman" w:hAnsi="Calibri Light" w:cs="Calibri Light"/>
                <w:b/>
                <w:bCs/>
                <w:color w:val="000000"/>
              </w:rPr>
            </w:pPr>
            <w:proofErr w:type="spellStart"/>
            <w:r>
              <w:rPr>
                <w:rFonts w:ascii="Calibri Light" w:eastAsia="Times New Roman" w:hAnsi="Calibri Light" w:cs="Calibri Light"/>
                <w:b/>
                <w:bCs/>
                <w:color w:val="000000"/>
              </w:rPr>
              <w:t>NanoDrop</w:t>
            </w:r>
            <w:proofErr w:type="spellEnd"/>
          </w:p>
          <w:p w14:paraId="0F44E519" w14:textId="51D81F9A" w:rsidR="00C355ED" w:rsidRPr="00D22895" w:rsidRDefault="00C355ED" w:rsidP="00C355ED">
            <w:pPr>
              <w:spacing w:after="0" w:line="240" w:lineRule="auto"/>
              <w:jc w:val="center"/>
              <w:rPr>
                <w:rFonts w:ascii="Calibri Light" w:eastAsia="Times New Roman" w:hAnsi="Calibri Light" w:cs="Calibri Light"/>
                <w:b/>
                <w:bCs/>
                <w:color w:val="000000"/>
              </w:rPr>
            </w:pPr>
            <w:r>
              <w:rPr>
                <w:rFonts w:ascii="Calibri Light" w:eastAsia="Times New Roman" w:hAnsi="Calibri Light" w:cs="Calibri Light"/>
                <w:b/>
                <w:bCs/>
                <w:color w:val="000000"/>
              </w:rPr>
              <w:t>260/230</w:t>
            </w:r>
          </w:p>
        </w:tc>
        <w:tc>
          <w:tcPr>
            <w:tcW w:w="1144" w:type="dxa"/>
            <w:tcBorders>
              <w:top w:val="nil"/>
              <w:left w:val="single" w:sz="4" w:space="0" w:color="auto"/>
              <w:bottom w:val="single" w:sz="4" w:space="0" w:color="auto"/>
              <w:right w:val="single" w:sz="4" w:space="0" w:color="auto"/>
            </w:tcBorders>
            <w:shd w:val="clear" w:color="000000" w:fill="D9D9D9"/>
            <w:vAlign w:val="center"/>
            <w:hideMark/>
          </w:tcPr>
          <w:p w14:paraId="3362390D" w14:textId="3403C261" w:rsidR="00C355ED" w:rsidRPr="00D22895" w:rsidRDefault="00C355ED" w:rsidP="0011235A">
            <w:pPr>
              <w:spacing w:after="0" w:line="240" w:lineRule="auto"/>
              <w:jc w:val="center"/>
              <w:rPr>
                <w:rFonts w:ascii="Calibri Light" w:eastAsia="Times New Roman" w:hAnsi="Calibri Light" w:cs="Calibri Light"/>
                <w:b/>
                <w:bCs/>
                <w:color w:val="000000"/>
              </w:rPr>
            </w:pPr>
            <w:r w:rsidRPr="00D22895">
              <w:rPr>
                <w:rFonts w:ascii="Calibri Light" w:eastAsia="Times New Roman" w:hAnsi="Calibri Light" w:cs="Calibri Light"/>
                <w:b/>
                <w:bCs/>
                <w:color w:val="000000"/>
              </w:rPr>
              <w:t>Used for Sequencing</w:t>
            </w:r>
          </w:p>
        </w:tc>
        <w:tc>
          <w:tcPr>
            <w:tcW w:w="277" w:type="dxa"/>
            <w:tcBorders>
              <w:top w:val="nil"/>
              <w:left w:val="nil"/>
              <w:bottom w:val="nil"/>
              <w:right w:val="single" w:sz="4" w:space="0" w:color="auto"/>
            </w:tcBorders>
            <w:shd w:val="clear" w:color="auto" w:fill="auto"/>
            <w:noWrap/>
            <w:vAlign w:val="bottom"/>
            <w:hideMark/>
          </w:tcPr>
          <w:p w14:paraId="5A33874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7412C4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64406A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5ABF12D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6F41F54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T1F01_BM_FF</w:t>
            </w:r>
          </w:p>
        </w:tc>
        <w:tc>
          <w:tcPr>
            <w:tcW w:w="1445" w:type="dxa"/>
            <w:tcBorders>
              <w:top w:val="nil"/>
              <w:left w:val="nil"/>
              <w:bottom w:val="single" w:sz="4" w:space="0" w:color="auto"/>
              <w:right w:val="single" w:sz="4" w:space="0" w:color="auto"/>
            </w:tcBorders>
            <w:shd w:val="clear" w:color="auto" w:fill="auto"/>
            <w:vAlign w:val="center"/>
            <w:hideMark/>
          </w:tcPr>
          <w:p w14:paraId="506C843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E18BB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6A3038F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827E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5D2541E" w14:textId="6115AC1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0F1CC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34A6EA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A4C0DE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2BD877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C03D8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T1F02_BM_FF</w:t>
            </w:r>
          </w:p>
        </w:tc>
        <w:tc>
          <w:tcPr>
            <w:tcW w:w="1445" w:type="dxa"/>
            <w:tcBorders>
              <w:top w:val="nil"/>
              <w:left w:val="nil"/>
              <w:bottom w:val="single" w:sz="4" w:space="0" w:color="auto"/>
              <w:right w:val="single" w:sz="4" w:space="0" w:color="auto"/>
            </w:tcBorders>
            <w:shd w:val="clear" w:color="auto" w:fill="auto"/>
            <w:vAlign w:val="center"/>
            <w:hideMark/>
          </w:tcPr>
          <w:p w14:paraId="3A8DA8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677A057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6C58753" w14:textId="3CE6AF88"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046" w:type="dxa"/>
            <w:tcBorders>
              <w:top w:val="nil"/>
              <w:left w:val="single" w:sz="4" w:space="0" w:color="auto"/>
              <w:bottom w:val="single" w:sz="4" w:space="0" w:color="auto"/>
              <w:right w:val="single" w:sz="4" w:space="0" w:color="auto"/>
            </w:tcBorders>
          </w:tcPr>
          <w:p w14:paraId="1E39DC83" w14:textId="5BDD873D"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1.73</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F317443" w14:textId="779EB2A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3745FE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476FF3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984D0C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749DAF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7617D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T1F03_BM_FF</w:t>
            </w:r>
          </w:p>
        </w:tc>
        <w:tc>
          <w:tcPr>
            <w:tcW w:w="1445" w:type="dxa"/>
            <w:tcBorders>
              <w:top w:val="nil"/>
              <w:left w:val="nil"/>
              <w:bottom w:val="single" w:sz="4" w:space="0" w:color="auto"/>
              <w:right w:val="single" w:sz="4" w:space="0" w:color="auto"/>
            </w:tcBorders>
            <w:shd w:val="clear" w:color="auto" w:fill="auto"/>
            <w:vAlign w:val="center"/>
            <w:hideMark/>
          </w:tcPr>
          <w:p w14:paraId="122261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FEA1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DADA2F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A42EF7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27DEEDF" w14:textId="2CCD47A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4419ED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71BE9B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2A97E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1137E5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03E1E92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T1M01_BM_FF</w:t>
            </w:r>
          </w:p>
        </w:tc>
        <w:tc>
          <w:tcPr>
            <w:tcW w:w="1445" w:type="dxa"/>
            <w:tcBorders>
              <w:top w:val="nil"/>
              <w:left w:val="nil"/>
              <w:bottom w:val="single" w:sz="4" w:space="0" w:color="auto"/>
              <w:right w:val="single" w:sz="4" w:space="0" w:color="auto"/>
            </w:tcBorders>
            <w:shd w:val="clear" w:color="auto" w:fill="auto"/>
            <w:vAlign w:val="center"/>
            <w:hideMark/>
          </w:tcPr>
          <w:p w14:paraId="0CBB57F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A295DF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B474DB"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435AC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05B287" w14:textId="54E99699"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59EC5E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1F8EFA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4E107E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F962F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55678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T1M02_BM_FF</w:t>
            </w:r>
          </w:p>
        </w:tc>
        <w:tc>
          <w:tcPr>
            <w:tcW w:w="1445" w:type="dxa"/>
            <w:tcBorders>
              <w:top w:val="nil"/>
              <w:left w:val="nil"/>
              <w:bottom w:val="single" w:sz="4" w:space="0" w:color="auto"/>
              <w:right w:val="single" w:sz="4" w:space="0" w:color="auto"/>
            </w:tcBorders>
            <w:shd w:val="clear" w:color="auto" w:fill="auto"/>
            <w:vAlign w:val="center"/>
            <w:hideMark/>
          </w:tcPr>
          <w:p w14:paraId="014A0CC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0DA1D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C2ED0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0DEAD8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B3D2E0" w14:textId="52FE4D0C"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FAD99F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124252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60F14E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A22BC7"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77631C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T1M03_BM_FF</w:t>
            </w:r>
          </w:p>
        </w:tc>
        <w:tc>
          <w:tcPr>
            <w:tcW w:w="1445" w:type="dxa"/>
            <w:tcBorders>
              <w:top w:val="nil"/>
              <w:left w:val="nil"/>
              <w:bottom w:val="single" w:sz="4" w:space="0" w:color="auto"/>
              <w:right w:val="single" w:sz="4" w:space="0" w:color="auto"/>
            </w:tcBorders>
            <w:shd w:val="clear" w:color="auto" w:fill="auto"/>
            <w:vAlign w:val="center"/>
            <w:hideMark/>
          </w:tcPr>
          <w:p w14:paraId="3C6194B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693D58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413B48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CBE34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0735EBA" w14:textId="79B3407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505F8BD"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58E7B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B32A3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E67EF1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44B9D5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T2M01_BM_FF</w:t>
            </w:r>
          </w:p>
        </w:tc>
        <w:tc>
          <w:tcPr>
            <w:tcW w:w="1445" w:type="dxa"/>
            <w:tcBorders>
              <w:top w:val="nil"/>
              <w:left w:val="nil"/>
              <w:bottom w:val="single" w:sz="4" w:space="0" w:color="auto"/>
              <w:right w:val="single" w:sz="4" w:space="0" w:color="auto"/>
            </w:tcBorders>
            <w:shd w:val="clear" w:color="auto" w:fill="auto"/>
            <w:vAlign w:val="center"/>
            <w:hideMark/>
          </w:tcPr>
          <w:p w14:paraId="43E029F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9B698E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8B8A44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3BD27F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D14F49E" w14:textId="57DF11DD"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7F9204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604591DD"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CBE24BA"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593FE3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98B52C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T2M02_BM_FF</w:t>
            </w:r>
          </w:p>
        </w:tc>
        <w:tc>
          <w:tcPr>
            <w:tcW w:w="1445" w:type="dxa"/>
            <w:tcBorders>
              <w:top w:val="nil"/>
              <w:left w:val="nil"/>
              <w:bottom w:val="single" w:sz="4" w:space="0" w:color="auto"/>
              <w:right w:val="single" w:sz="4" w:space="0" w:color="auto"/>
            </w:tcBorders>
            <w:shd w:val="clear" w:color="auto" w:fill="auto"/>
            <w:vAlign w:val="center"/>
            <w:hideMark/>
          </w:tcPr>
          <w:p w14:paraId="30F35FE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3B20E7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0EB73F5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B130AD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0E08E0A" w14:textId="2AB3496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1B60E0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0522460"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7F9AB4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2C43B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D2DBE0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T2M03_BM_FF</w:t>
            </w:r>
          </w:p>
        </w:tc>
        <w:tc>
          <w:tcPr>
            <w:tcW w:w="1445" w:type="dxa"/>
            <w:tcBorders>
              <w:top w:val="nil"/>
              <w:left w:val="nil"/>
              <w:bottom w:val="single" w:sz="4" w:space="0" w:color="auto"/>
              <w:right w:val="single" w:sz="4" w:space="0" w:color="auto"/>
            </w:tcBorders>
            <w:shd w:val="clear" w:color="auto" w:fill="auto"/>
            <w:vAlign w:val="center"/>
            <w:hideMark/>
          </w:tcPr>
          <w:p w14:paraId="0EE025E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81BDA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D762C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8F75D9"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6F880BB7" w14:textId="6493DCE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1366F2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7832389"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4A331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6B97E1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F</w:t>
            </w:r>
          </w:p>
        </w:tc>
        <w:tc>
          <w:tcPr>
            <w:tcW w:w="1617" w:type="dxa"/>
            <w:tcBorders>
              <w:top w:val="nil"/>
              <w:left w:val="nil"/>
              <w:bottom w:val="single" w:sz="4" w:space="0" w:color="auto"/>
              <w:right w:val="single" w:sz="4" w:space="0" w:color="auto"/>
            </w:tcBorders>
            <w:shd w:val="clear" w:color="auto" w:fill="auto"/>
            <w:vAlign w:val="center"/>
            <w:hideMark/>
          </w:tcPr>
          <w:p w14:paraId="3CA8A4B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T3F01_BM_PG</w:t>
            </w:r>
          </w:p>
        </w:tc>
        <w:tc>
          <w:tcPr>
            <w:tcW w:w="1445" w:type="dxa"/>
            <w:tcBorders>
              <w:top w:val="nil"/>
              <w:left w:val="nil"/>
              <w:bottom w:val="single" w:sz="4" w:space="0" w:color="auto"/>
              <w:right w:val="single" w:sz="4" w:space="0" w:color="auto"/>
            </w:tcBorders>
            <w:shd w:val="clear" w:color="auto" w:fill="auto"/>
            <w:vAlign w:val="center"/>
            <w:hideMark/>
          </w:tcPr>
          <w:p w14:paraId="2CC5073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DB346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40A4EB0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62A2E3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194AA2A" w14:textId="75A8C21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F50BD8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2831145"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CF6EEA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82E32C4"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F5E689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T3F01_BM_FF</w:t>
            </w:r>
          </w:p>
        </w:tc>
        <w:tc>
          <w:tcPr>
            <w:tcW w:w="1445" w:type="dxa"/>
            <w:tcBorders>
              <w:top w:val="nil"/>
              <w:left w:val="nil"/>
              <w:bottom w:val="single" w:sz="4" w:space="0" w:color="auto"/>
              <w:right w:val="single" w:sz="4" w:space="0" w:color="auto"/>
            </w:tcBorders>
            <w:shd w:val="clear" w:color="auto" w:fill="auto"/>
            <w:vAlign w:val="center"/>
            <w:hideMark/>
          </w:tcPr>
          <w:p w14:paraId="53DF251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29F0B6C"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9F6935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53F19B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85F1D3" w14:textId="7B3CC42E"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F9AD8F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CFC60CE"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493A2FC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846AE9E"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AA5C36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T3F01_IO_FF</w:t>
            </w:r>
          </w:p>
        </w:tc>
        <w:tc>
          <w:tcPr>
            <w:tcW w:w="1445" w:type="dxa"/>
            <w:tcBorders>
              <w:top w:val="nil"/>
              <w:left w:val="nil"/>
              <w:bottom w:val="single" w:sz="4" w:space="0" w:color="auto"/>
              <w:right w:val="single" w:sz="4" w:space="0" w:color="auto"/>
            </w:tcBorders>
            <w:shd w:val="clear" w:color="auto" w:fill="auto"/>
            <w:vAlign w:val="center"/>
            <w:hideMark/>
          </w:tcPr>
          <w:p w14:paraId="3445543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62BD15C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9A506F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F662B2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AFA466C" w14:textId="40CB396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E6C54C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63DC696"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91A9FD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6D73EA1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2E8DB3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T3F01_SC_FF</w:t>
            </w:r>
          </w:p>
        </w:tc>
        <w:tc>
          <w:tcPr>
            <w:tcW w:w="1445" w:type="dxa"/>
            <w:tcBorders>
              <w:top w:val="nil"/>
              <w:left w:val="nil"/>
              <w:bottom w:val="single" w:sz="4" w:space="0" w:color="auto"/>
              <w:right w:val="single" w:sz="4" w:space="0" w:color="auto"/>
            </w:tcBorders>
            <w:shd w:val="clear" w:color="auto" w:fill="auto"/>
            <w:vAlign w:val="center"/>
            <w:hideMark/>
          </w:tcPr>
          <w:p w14:paraId="0A2E728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2EC323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4899F6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7D9FAD3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A4FDA13" w14:textId="1D91CE2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46DE02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D701B77"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5AF830B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E7206F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7812E4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T3F02_BM_PG</w:t>
            </w:r>
          </w:p>
        </w:tc>
        <w:tc>
          <w:tcPr>
            <w:tcW w:w="1445" w:type="dxa"/>
            <w:tcBorders>
              <w:top w:val="nil"/>
              <w:left w:val="nil"/>
              <w:bottom w:val="single" w:sz="4" w:space="0" w:color="auto"/>
              <w:right w:val="single" w:sz="4" w:space="0" w:color="auto"/>
            </w:tcBorders>
            <w:shd w:val="clear" w:color="auto" w:fill="auto"/>
            <w:vAlign w:val="center"/>
            <w:hideMark/>
          </w:tcPr>
          <w:p w14:paraId="31DA4F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1F32B5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53CE8D1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177D5EB0"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775E1255" w14:textId="71C46C58"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EF2388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CBAC0D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0DA7E8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4934896F"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F894E5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T3F02_BM_FF</w:t>
            </w:r>
          </w:p>
        </w:tc>
        <w:tc>
          <w:tcPr>
            <w:tcW w:w="1445" w:type="dxa"/>
            <w:tcBorders>
              <w:top w:val="nil"/>
              <w:left w:val="nil"/>
              <w:bottom w:val="single" w:sz="4" w:space="0" w:color="auto"/>
              <w:right w:val="single" w:sz="4" w:space="0" w:color="auto"/>
            </w:tcBorders>
            <w:shd w:val="clear" w:color="auto" w:fill="auto"/>
            <w:vAlign w:val="center"/>
            <w:hideMark/>
          </w:tcPr>
          <w:p w14:paraId="518FA32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0E7385C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37542B06"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77F62F8"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0DF34DA" w14:textId="3FA63D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DFB4CB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B5A5A4C"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3845AC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79B20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05367A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T3F02_IO_FF</w:t>
            </w:r>
          </w:p>
        </w:tc>
        <w:tc>
          <w:tcPr>
            <w:tcW w:w="1445" w:type="dxa"/>
            <w:tcBorders>
              <w:top w:val="nil"/>
              <w:left w:val="nil"/>
              <w:bottom w:val="single" w:sz="4" w:space="0" w:color="auto"/>
              <w:right w:val="single" w:sz="4" w:space="0" w:color="auto"/>
            </w:tcBorders>
            <w:shd w:val="clear" w:color="auto" w:fill="auto"/>
            <w:vAlign w:val="center"/>
            <w:hideMark/>
          </w:tcPr>
          <w:p w14:paraId="1609B9A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0E247B3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1FFCFB8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9F4346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969E68" w14:textId="1D04BDD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3547B79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238039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446CB8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5AFBFE65"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105B539E"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T3F02_SC_FF</w:t>
            </w:r>
          </w:p>
        </w:tc>
        <w:tc>
          <w:tcPr>
            <w:tcW w:w="1445" w:type="dxa"/>
            <w:tcBorders>
              <w:top w:val="nil"/>
              <w:left w:val="nil"/>
              <w:bottom w:val="single" w:sz="4" w:space="0" w:color="auto"/>
              <w:right w:val="single" w:sz="4" w:space="0" w:color="auto"/>
            </w:tcBorders>
            <w:shd w:val="clear" w:color="auto" w:fill="auto"/>
            <w:vAlign w:val="center"/>
            <w:hideMark/>
          </w:tcPr>
          <w:p w14:paraId="1AA38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0FC880B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0926177" w14:textId="6CD95FC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5FA17FA5" w14:textId="4264D63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2.22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FF367D" w14:textId="088B35F4"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6EDA27D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1D41D25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9EE2AE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40F05CC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6023D9C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T3M01_BM_PG</w:t>
            </w:r>
          </w:p>
        </w:tc>
        <w:tc>
          <w:tcPr>
            <w:tcW w:w="1445" w:type="dxa"/>
            <w:tcBorders>
              <w:top w:val="nil"/>
              <w:left w:val="nil"/>
              <w:bottom w:val="single" w:sz="4" w:space="0" w:color="auto"/>
              <w:right w:val="single" w:sz="4" w:space="0" w:color="auto"/>
            </w:tcBorders>
            <w:shd w:val="clear" w:color="auto" w:fill="auto"/>
            <w:vAlign w:val="center"/>
            <w:hideMark/>
          </w:tcPr>
          <w:p w14:paraId="5A670D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E82748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0305AAE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203B056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DBD9B90" w14:textId="51AACB0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5E05BD7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EF970D1"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12E83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066A62C"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D01CA04"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T3M01_BM_FF</w:t>
            </w:r>
          </w:p>
        </w:tc>
        <w:tc>
          <w:tcPr>
            <w:tcW w:w="1445" w:type="dxa"/>
            <w:tcBorders>
              <w:top w:val="nil"/>
              <w:left w:val="nil"/>
              <w:bottom w:val="single" w:sz="4" w:space="0" w:color="auto"/>
              <w:right w:val="single" w:sz="4" w:space="0" w:color="auto"/>
            </w:tcBorders>
            <w:shd w:val="clear" w:color="auto" w:fill="auto"/>
            <w:vAlign w:val="center"/>
            <w:hideMark/>
          </w:tcPr>
          <w:p w14:paraId="38AFCD5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4B65BDA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568B850A"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EA3A441"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9288B5A" w14:textId="134B6663"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4376C89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39EA089B"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0269CB5C"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FAB3C3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573137B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T3M01_SC_FF</w:t>
            </w:r>
          </w:p>
        </w:tc>
        <w:tc>
          <w:tcPr>
            <w:tcW w:w="1445" w:type="dxa"/>
            <w:tcBorders>
              <w:top w:val="nil"/>
              <w:left w:val="nil"/>
              <w:bottom w:val="single" w:sz="4" w:space="0" w:color="auto"/>
              <w:right w:val="single" w:sz="4" w:space="0" w:color="auto"/>
            </w:tcBorders>
            <w:shd w:val="clear" w:color="auto" w:fill="auto"/>
            <w:vAlign w:val="center"/>
            <w:hideMark/>
          </w:tcPr>
          <w:p w14:paraId="1633210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4286D033"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34C96D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366C9CE7"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48EE1961" w14:textId="76E1259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71508ACF"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7A36854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6259013E"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0B9186B0"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68E8B546"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T3M02_BM_PG</w:t>
            </w:r>
          </w:p>
        </w:tc>
        <w:tc>
          <w:tcPr>
            <w:tcW w:w="1445" w:type="dxa"/>
            <w:tcBorders>
              <w:top w:val="nil"/>
              <w:left w:val="nil"/>
              <w:bottom w:val="single" w:sz="4" w:space="0" w:color="auto"/>
              <w:right w:val="single" w:sz="4" w:space="0" w:color="auto"/>
            </w:tcBorders>
            <w:shd w:val="clear" w:color="auto" w:fill="auto"/>
            <w:vAlign w:val="center"/>
            <w:hideMark/>
          </w:tcPr>
          <w:p w14:paraId="427F262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2E6A8D1"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propylene glycol</w:t>
            </w:r>
          </w:p>
        </w:tc>
        <w:tc>
          <w:tcPr>
            <w:tcW w:w="1218" w:type="dxa"/>
            <w:tcBorders>
              <w:top w:val="nil"/>
              <w:left w:val="nil"/>
              <w:bottom w:val="single" w:sz="4" w:space="0" w:color="auto"/>
              <w:right w:val="single" w:sz="4" w:space="0" w:color="auto"/>
            </w:tcBorders>
          </w:tcPr>
          <w:p w14:paraId="65ED6CC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1E1450D"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05E711D3" w14:textId="7FCC0B7A"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0CA39277"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4C0D18A"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8A47294"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CC53A1"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74B14CB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T3M02_BM_FF</w:t>
            </w:r>
          </w:p>
        </w:tc>
        <w:tc>
          <w:tcPr>
            <w:tcW w:w="1445" w:type="dxa"/>
            <w:tcBorders>
              <w:top w:val="nil"/>
              <w:left w:val="nil"/>
              <w:bottom w:val="single" w:sz="4" w:space="0" w:color="auto"/>
              <w:right w:val="single" w:sz="4" w:space="0" w:color="auto"/>
            </w:tcBorders>
            <w:shd w:val="clear" w:color="auto" w:fill="auto"/>
            <w:vAlign w:val="center"/>
            <w:hideMark/>
          </w:tcPr>
          <w:p w14:paraId="50D8BA75"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2575FA5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2D35B79A" w14:textId="3BCCDF05"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1.91</w:t>
            </w:r>
          </w:p>
        </w:tc>
        <w:tc>
          <w:tcPr>
            <w:tcW w:w="1046" w:type="dxa"/>
            <w:tcBorders>
              <w:top w:val="nil"/>
              <w:left w:val="single" w:sz="4" w:space="0" w:color="auto"/>
              <w:bottom w:val="single" w:sz="4" w:space="0" w:color="auto"/>
              <w:right w:val="single" w:sz="4" w:space="0" w:color="auto"/>
            </w:tcBorders>
          </w:tcPr>
          <w:p w14:paraId="356FBC6F" w14:textId="431F3C57"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2.02</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3A119B4C" w14:textId="4A22D5C5"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507F753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45D1957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34338010"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36C4B2FD"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3137132"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T3M02_SC_FF</w:t>
            </w:r>
          </w:p>
        </w:tc>
        <w:tc>
          <w:tcPr>
            <w:tcW w:w="1445" w:type="dxa"/>
            <w:tcBorders>
              <w:top w:val="nil"/>
              <w:left w:val="nil"/>
              <w:bottom w:val="single" w:sz="4" w:space="0" w:color="auto"/>
              <w:right w:val="single" w:sz="4" w:space="0" w:color="auto"/>
            </w:tcBorders>
            <w:shd w:val="clear" w:color="auto" w:fill="auto"/>
            <w:vAlign w:val="center"/>
            <w:hideMark/>
          </w:tcPr>
          <w:p w14:paraId="0BEA6A7A"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B037F98"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7B6BC72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0CA37A54"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042C9AE" w14:textId="1A9CCE4F"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6D3FDB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6130574"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145F471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val="restart"/>
            <w:tcBorders>
              <w:top w:val="nil"/>
              <w:left w:val="single" w:sz="4" w:space="0" w:color="auto"/>
              <w:bottom w:val="single" w:sz="4" w:space="0" w:color="auto"/>
              <w:right w:val="single" w:sz="4" w:space="0" w:color="auto"/>
            </w:tcBorders>
            <w:shd w:val="clear" w:color="auto" w:fill="auto"/>
            <w:vAlign w:val="center"/>
            <w:hideMark/>
          </w:tcPr>
          <w:p w14:paraId="2637809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M</w:t>
            </w:r>
          </w:p>
        </w:tc>
        <w:tc>
          <w:tcPr>
            <w:tcW w:w="1617" w:type="dxa"/>
            <w:tcBorders>
              <w:top w:val="nil"/>
              <w:left w:val="nil"/>
              <w:bottom w:val="single" w:sz="4" w:space="0" w:color="auto"/>
              <w:right w:val="single" w:sz="4" w:space="0" w:color="auto"/>
            </w:tcBorders>
            <w:shd w:val="clear" w:color="auto" w:fill="auto"/>
            <w:vAlign w:val="center"/>
            <w:hideMark/>
          </w:tcPr>
          <w:p w14:paraId="3A4E14E0"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T4M01_BM_FF</w:t>
            </w:r>
          </w:p>
        </w:tc>
        <w:tc>
          <w:tcPr>
            <w:tcW w:w="1445" w:type="dxa"/>
            <w:tcBorders>
              <w:top w:val="nil"/>
              <w:left w:val="nil"/>
              <w:bottom w:val="single" w:sz="4" w:space="0" w:color="auto"/>
              <w:right w:val="single" w:sz="4" w:space="0" w:color="auto"/>
            </w:tcBorders>
            <w:shd w:val="clear" w:color="auto" w:fill="auto"/>
            <w:vAlign w:val="center"/>
            <w:hideMark/>
          </w:tcPr>
          <w:p w14:paraId="6083A94B"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back muscle</w:t>
            </w:r>
          </w:p>
        </w:tc>
        <w:tc>
          <w:tcPr>
            <w:tcW w:w="1620" w:type="dxa"/>
            <w:tcBorders>
              <w:top w:val="nil"/>
              <w:left w:val="nil"/>
              <w:bottom w:val="single" w:sz="4" w:space="0" w:color="auto"/>
              <w:right w:val="single" w:sz="4" w:space="0" w:color="auto"/>
            </w:tcBorders>
            <w:shd w:val="clear" w:color="auto" w:fill="auto"/>
            <w:vAlign w:val="center"/>
            <w:hideMark/>
          </w:tcPr>
          <w:p w14:paraId="36028CD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C69446E"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58ADA50C"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1AE30CB3" w14:textId="7698A2E2"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136ADFA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291702F8"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22C4E95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77378869"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287928F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T4M01_IO_FF</w:t>
            </w:r>
          </w:p>
        </w:tc>
        <w:tc>
          <w:tcPr>
            <w:tcW w:w="1445" w:type="dxa"/>
            <w:tcBorders>
              <w:top w:val="nil"/>
              <w:left w:val="nil"/>
              <w:bottom w:val="single" w:sz="4" w:space="0" w:color="auto"/>
              <w:right w:val="single" w:sz="4" w:space="0" w:color="auto"/>
            </w:tcBorders>
            <w:shd w:val="clear" w:color="auto" w:fill="auto"/>
            <w:vAlign w:val="center"/>
            <w:hideMark/>
          </w:tcPr>
          <w:p w14:paraId="4B26740F"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internal organ</w:t>
            </w:r>
          </w:p>
        </w:tc>
        <w:tc>
          <w:tcPr>
            <w:tcW w:w="1620" w:type="dxa"/>
            <w:tcBorders>
              <w:top w:val="nil"/>
              <w:left w:val="nil"/>
              <w:bottom w:val="single" w:sz="4" w:space="0" w:color="auto"/>
              <w:right w:val="single" w:sz="4" w:space="0" w:color="auto"/>
            </w:tcBorders>
            <w:shd w:val="clear" w:color="auto" w:fill="auto"/>
            <w:vAlign w:val="center"/>
            <w:hideMark/>
          </w:tcPr>
          <w:p w14:paraId="1D3F50D9"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1B34A7D" w14:textId="0F2361C2"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1.84</w:t>
            </w:r>
          </w:p>
        </w:tc>
        <w:tc>
          <w:tcPr>
            <w:tcW w:w="1046" w:type="dxa"/>
            <w:tcBorders>
              <w:top w:val="nil"/>
              <w:left w:val="single" w:sz="4" w:space="0" w:color="auto"/>
              <w:bottom w:val="single" w:sz="4" w:space="0" w:color="auto"/>
              <w:right w:val="single" w:sz="4" w:space="0" w:color="auto"/>
            </w:tcBorders>
          </w:tcPr>
          <w:p w14:paraId="0AD349F6" w14:textId="0646AE24" w:rsidR="00C355ED" w:rsidRPr="00D22895" w:rsidRDefault="00C355ED" w:rsidP="0011235A">
            <w:pPr>
              <w:spacing w:after="0" w:line="240" w:lineRule="auto"/>
              <w:jc w:val="center"/>
              <w:rPr>
                <w:rFonts w:ascii="Calibri Light" w:eastAsia="Times New Roman" w:hAnsi="Calibri Light" w:cs="Calibri Light"/>
                <w:color w:val="000000"/>
              </w:rPr>
            </w:pPr>
            <w:r>
              <w:rPr>
                <w:rFonts w:ascii="Calibri Light" w:eastAsia="Times New Roman" w:hAnsi="Calibri Light" w:cs="Calibri Light"/>
                <w:color w:val="000000"/>
              </w:rPr>
              <w:t>1.8</w:t>
            </w: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10D4FCE" w14:textId="18A19B66"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yes</w:t>
            </w:r>
          </w:p>
        </w:tc>
        <w:tc>
          <w:tcPr>
            <w:tcW w:w="277" w:type="dxa"/>
            <w:tcBorders>
              <w:top w:val="nil"/>
              <w:left w:val="nil"/>
              <w:bottom w:val="nil"/>
              <w:right w:val="single" w:sz="4" w:space="0" w:color="auto"/>
            </w:tcBorders>
            <w:shd w:val="clear" w:color="auto" w:fill="auto"/>
            <w:noWrap/>
            <w:vAlign w:val="bottom"/>
            <w:hideMark/>
          </w:tcPr>
          <w:p w14:paraId="16BB4371"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0715F7C3" w14:textId="77777777" w:rsidTr="00C355ED">
        <w:trPr>
          <w:trHeight w:val="260"/>
          <w:jc w:val="center"/>
        </w:trPr>
        <w:tc>
          <w:tcPr>
            <w:tcW w:w="297" w:type="dxa"/>
            <w:tcBorders>
              <w:top w:val="nil"/>
              <w:left w:val="single" w:sz="4" w:space="0" w:color="auto"/>
              <w:bottom w:val="nil"/>
              <w:right w:val="nil"/>
            </w:tcBorders>
            <w:shd w:val="clear" w:color="auto" w:fill="auto"/>
            <w:noWrap/>
            <w:vAlign w:val="bottom"/>
            <w:hideMark/>
          </w:tcPr>
          <w:p w14:paraId="72D9B16B"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vMerge/>
            <w:tcBorders>
              <w:top w:val="nil"/>
              <w:left w:val="single" w:sz="4" w:space="0" w:color="auto"/>
              <w:bottom w:val="single" w:sz="4" w:space="0" w:color="auto"/>
              <w:right w:val="single" w:sz="4" w:space="0" w:color="auto"/>
            </w:tcBorders>
            <w:vAlign w:val="center"/>
            <w:hideMark/>
          </w:tcPr>
          <w:p w14:paraId="24784118"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617" w:type="dxa"/>
            <w:tcBorders>
              <w:top w:val="nil"/>
              <w:left w:val="nil"/>
              <w:bottom w:val="single" w:sz="4" w:space="0" w:color="auto"/>
              <w:right w:val="single" w:sz="4" w:space="0" w:color="auto"/>
            </w:tcBorders>
            <w:shd w:val="clear" w:color="auto" w:fill="auto"/>
            <w:vAlign w:val="center"/>
            <w:hideMark/>
          </w:tcPr>
          <w:p w14:paraId="34660CDD"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T4M01_SC_FF</w:t>
            </w:r>
          </w:p>
        </w:tc>
        <w:tc>
          <w:tcPr>
            <w:tcW w:w="1445" w:type="dxa"/>
            <w:tcBorders>
              <w:top w:val="nil"/>
              <w:left w:val="nil"/>
              <w:bottom w:val="single" w:sz="4" w:space="0" w:color="auto"/>
              <w:right w:val="single" w:sz="4" w:space="0" w:color="auto"/>
            </w:tcBorders>
            <w:shd w:val="clear" w:color="auto" w:fill="auto"/>
            <w:vAlign w:val="center"/>
            <w:hideMark/>
          </w:tcPr>
          <w:p w14:paraId="4A08374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scales</w:t>
            </w:r>
          </w:p>
        </w:tc>
        <w:tc>
          <w:tcPr>
            <w:tcW w:w="1620" w:type="dxa"/>
            <w:tcBorders>
              <w:top w:val="nil"/>
              <w:left w:val="nil"/>
              <w:bottom w:val="single" w:sz="4" w:space="0" w:color="auto"/>
              <w:right w:val="single" w:sz="4" w:space="0" w:color="auto"/>
            </w:tcBorders>
            <w:shd w:val="clear" w:color="auto" w:fill="auto"/>
            <w:vAlign w:val="center"/>
            <w:hideMark/>
          </w:tcPr>
          <w:p w14:paraId="383D7317" w14:textId="77777777"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no solution</w:t>
            </w:r>
          </w:p>
        </w:tc>
        <w:tc>
          <w:tcPr>
            <w:tcW w:w="1218" w:type="dxa"/>
            <w:tcBorders>
              <w:top w:val="nil"/>
              <w:left w:val="nil"/>
              <w:bottom w:val="single" w:sz="4" w:space="0" w:color="auto"/>
              <w:right w:val="single" w:sz="4" w:space="0" w:color="auto"/>
            </w:tcBorders>
          </w:tcPr>
          <w:p w14:paraId="4FCC9BA5"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4B2F92F3" w14:textId="77777777" w:rsidR="00C355ED" w:rsidRPr="00D22895" w:rsidRDefault="00C355ED" w:rsidP="0011235A">
            <w:pPr>
              <w:spacing w:after="0" w:line="240" w:lineRule="auto"/>
              <w:jc w:val="center"/>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single" w:sz="4" w:space="0" w:color="auto"/>
            </w:tcBorders>
            <w:shd w:val="clear" w:color="auto" w:fill="auto"/>
            <w:vAlign w:val="center"/>
            <w:hideMark/>
          </w:tcPr>
          <w:p w14:paraId="2874FA18" w14:textId="66C914CB" w:rsidR="00C355ED" w:rsidRPr="00D22895" w:rsidRDefault="00C355ED" w:rsidP="0011235A">
            <w:pPr>
              <w:spacing w:after="0" w:line="240" w:lineRule="auto"/>
              <w:jc w:val="center"/>
              <w:rPr>
                <w:rFonts w:ascii="Calibri Light" w:eastAsia="Times New Roman" w:hAnsi="Calibri Light" w:cs="Calibri Light"/>
                <w:color w:val="000000"/>
              </w:rPr>
            </w:pPr>
            <w:r w:rsidRPr="00D22895">
              <w:rPr>
                <w:rFonts w:ascii="Calibri Light" w:eastAsia="Times New Roman" w:hAnsi="Calibri Light" w:cs="Calibri Light"/>
                <w:color w:val="000000"/>
              </w:rPr>
              <w:t>-</w:t>
            </w:r>
          </w:p>
        </w:tc>
        <w:tc>
          <w:tcPr>
            <w:tcW w:w="277" w:type="dxa"/>
            <w:tcBorders>
              <w:top w:val="nil"/>
              <w:left w:val="nil"/>
              <w:bottom w:val="nil"/>
              <w:right w:val="single" w:sz="4" w:space="0" w:color="auto"/>
            </w:tcBorders>
            <w:shd w:val="clear" w:color="auto" w:fill="auto"/>
            <w:noWrap/>
            <w:vAlign w:val="bottom"/>
            <w:hideMark/>
          </w:tcPr>
          <w:p w14:paraId="2AAB4229"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r w:rsidR="00C355ED" w:rsidRPr="00D22895" w14:paraId="5BA5912D" w14:textId="77777777" w:rsidTr="00C355ED">
        <w:trPr>
          <w:trHeight w:val="280"/>
          <w:jc w:val="center"/>
        </w:trPr>
        <w:tc>
          <w:tcPr>
            <w:tcW w:w="297" w:type="dxa"/>
            <w:tcBorders>
              <w:top w:val="nil"/>
              <w:left w:val="single" w:sz="4" w:space="0" w:color="auto"/>
              <w:bottom w:val="single" w:sz="4" w:space="0" w:color="auto"/>
              <w:right w:val="nil"/>
            </w:tcBorders>
            <w:shd w:val="clear" w:color="auto" w:fill="auto"/>
            <w:noWrap/>
            <w:vAlign w:val="bottom"/>
            <w:hideMark/>
          </w:tcPr>
          <w:p w14:paraId="70CEB7A6"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686" w:type="dxa"/>
            <w:tcBorders>
              <w:top w:val="nil"/>
              <w:left w:val="nil"/>
              <w:bottom w:val="single" w:sz="4" w:space="0" w:color="auto"/>
              <w:right w:val="nil"/>
            </w:tcBorders>
            <w:shd w:val="clear" w:color="auto" w:fill="auto"/>
            <w:noWrap/>
            <w:vAlign w:val="bottom"/>
            <w:hideMark/>
          </w:tcPr>
          <w:p w14:paraId="456843E8"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17" w:type="dxa"/>
            <w:tcBorders>
              <w:top w:val="nil"/>
              <w:left w:val="nil"/>
              <w:bottom w:val="single" w:sz="4" w:space="0" w:color="auto"/>
              <w:right w:val="nil"/>
            </w:tcBorders>
            <w:shd w:val="clear" w:color="auto" w:fill="auto"/>
            <w:noWrap/>
            <w:vAlign w:val="bottom"/>
            <w:hideMark/>
          </w:tcPr>
          <w:p w14:paraId="4C01E4A3"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445" w:type="dxa"/>
            <w:tcBorders>
              <w:top w:val="nil"/>
              <w:left w:val="nil"/>
              <w:bottom w:val="single" w:sz="4" w:space="0" w:color="auto"/>
              <w:right w:val="nil"/>
            </w:tcBorders>
            <w:shd w:val="clear" w:color="auto" w:fill="auto"/>
            <w:noWrap/>
            <w:vAlign w:val="bottom"/>
            <w:hideMark/>
          </w:tcPr>
          <w:p w14:paraId="7FAD146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620" w:type="dxa"/>
            <w:tcBorders>
              <w:top w:val="nil"/>
              <w:left w:val="nil"/>
              <w:bottom w:val="single" w:sz="4" w:space="0" w:color="auto"/>
              <w:right w:val="nil"/>
            </w:tcBorders>
            <w:shd w:val="clear" w:color="auto" w:fill="auto"/>
            <w:noWrap/>
            <w:vAlign w:val="bottom"/>
            <w:hideMark/>
          </w:tcPr>
          <w:p w14:paraId="2DF3E545"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1218" w:type="dxa"/>
            <w:tcBorders>
              <w:top w:val="nil"/>
              <w:left w:val="nil"/>
              <w:bottom w:val="single" w:sz="4" w:space="0" w:color="auto"/>
              <w:right w:val="single" w:sz="4" w:space="0" w:color="auto"/>
            </w:tcBorders>
          </w:tcPr>
          <w:p w14:paraId="675E9CD3"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046" w:type="dxa"/>
            <w:tcBorders>
              <w:top w:val="nil"/>
              <w:left w:val="single" w:sz="4" w:space="0" w:color="auto"/>
              <w:bottom w:val="single" w:sz="4" w:space="0" w:color="auto"/>
              <w:right w:val="single" w:sz="4" w:space="0" w:color="auto"/>
            </w:tcBorders>
          </w:tcPr>
          <w:p w14:paraId="640705FA" w14:textId="77777777" w:rsidR="00C355ED" w:rsidRPr="00D22895" w:rsidRDefault="00C355ED" w:rsidP="0011235A">
            <w:pPr>
              <w:spacing w:after="0" w:line="240" w:lineRule="auto"/>
              <w:jc w:val="left"/>
              <w:rPr>
                <w:rFonts w:ascii="Calibri Light" w:eastAsia="Times New Roman" w:hAnsi="Calibri Light" w:cs="Calibri Light"/>
                <w:color w:val="000000"/>
              </w:rPr>
            </w:pPr>
          </w:p>
        </w:tc>
        <w:tc>
          <w:tcPr>
            <w:tcW w:w="1144" w:type="dxa"/>
            <w:tcBorders>
              <w:top w:val="nil"/>
              <w:left w:val="single" w:sz="4" w:space="0" w:color="auto"/>
              <w:bottom w:val="single" w:sz="4" w:space="0" w:color="auto"/>
              <w:right w:val="nil"/>
            </w:tcBorders>
            <w:shd w:val="clear" w:color="auto" w:fill="auto"/>
            <w:noWrap/>
            <w:vAlign w:val="bottom"/>
            <w:hideMark/>
          </w:tcPr>
          <w:p w14:paraId="00AF50AD" w14:textId="7B2560FF"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c>
          <w:tcPr>
            <w:tcW w:w="277" w:type="dxa"/>
            <w:tcBorders>
              <w:top w:val="nil"/>
              <w:left w:val="nil"/>
              <w:bottom w:val="single" w:sz="4" w:space="0" w:color="auto"/>
              <w:right w:val="single" w:sz="4" w:space="0" w:color="auto"/>
            </w:tcBorders>
            <w:shd w:val="clear" w:color="auto" w:fill="auto"/>
            <w:noWrap/>
            <w:vAlign w:val="bottom"/>
            <w:hideMark/>
          </w:tcPr>
          <w:p w14:paraId="60B6B0B2" w14:textId="77777777" w:rsidR="00C355ED" w:rsidRPr="00D22895" w:rsidRDefault="00C355ED" w:rsidP="0011235A">
            <w:pPr>
              <w:spacing w:after="0" w:line="240" w:lineRule="auto"/>
              <w:jc w:val="left"/>
              <w:rPr>
                <w:rFonts w:ascii="Calibri Light" w:eastAsia="Times New Roman" w:hAnsi="Calibri Light" w:cs="Calibri Light"/>
                <w:color w:val="000000"/>
              </w:rPr>
            </w:pPr>
            <w:r w:rsidRPr="00D22895">
              <w:rPr>
                <w:rFonts w:ascii="Calibri Light" w:eastAsia="Times New Roman" w:hAnsi="Calibri Light" w:cs="Calibri Light"/>
                <w:color w:val="000000"/>
              </w:rPr>
              <w:t> </w:t>
            </w:r>
          </w:p>
        </w:tc>
      </w:tr>
    </w:tbl>
    <w:p w14:paraId="27C2ECD6" w14:textId="3675B214" w:rsidR="003F5039" w:rsidRDefault="003F5039" w:rsidP="0011235A">
      <w:pPr>
        <w:spacing w:line="240" w:lineRule="auto"/>
      </w:pPr>
    </w:p>
    <w:p w14:paraId="4AA37E42" w14:textId="343F3526" w:rsidR="000E70AC" w:rsidRDefault="000E70AC" w:rsidP="0011235A">
      <w:pPr>
        <w:spacing w:line="240" w:lineRule="auto"/>
      </w:pPr>
      <w:r>
        <w:br w:type="page"/>
      </w:r>
    </w:p>
    <w:p w14:paraId="3066F7BA" w14:textId="77777777" w:rsidR="000E70AC" w:rsidRDefault="000E70AC" w:rsidP="0011235A">
      <w:pPr>
        <w:spacing w:after="0" w:line="240" w:lineRule="auto"/>
        <w:jc w:val="left"/>
        <w:rPr>
          <w:rFonts w:ascii="Calibri Light" w:eastAsia="Times New Roman" w:hAnsi="Calibri Light" w:cs="Calibri Light"/>
          <w:color w:val="000000"/>
        </w:rPr>
        <w:sectPr w:rsidR="000E70AC" w:rsidSect="000E70AC">
          <w:pgSz w:w="12240" w:h="15840"/>
          <w:pgMar w:top="1440" w:right="1440" w:bottom="1440" w:left="1440" w:header="720" w:footer="720" w:gutter="0"/>
          <w:cols w:space="720"/>
          <w:docGrid w:linePitch="360"/>
        </w:sectPr>
      </w:pPr>
    </w:p>
    <w:tbl>
      <w:tblPr>
        <w:tblW w:w="13700" w:type="dxa"/>
        <w:jc w:val="center"/>
        <w:tblLook w:val="04A0" w:firstRow="1" w:lastRow="0" w:firstColumn="1" w:lastColumn="0" w:noHBand="0" w:noVBand="1"/>
      </w:tblPr>
      <w:tblGrid>
        <w:gridCol w:w="262"/>
        <w:gridCol w:w="490"/>
        <w:gridCol w:w="2107"/>
        <w:gridCol w:w="2571"/>
        <w:gridCol w:w="1709"/>
        <w:gridCol w:w="1740"/>
        <w:gridCol w:w="1878"/>
        <w:gridCol w:w="591"/>
        <w:gridCol w:w="2259"/>
        <w:gridCol w:w="262"/>
        <w:gridCol w:w="262"/>
      </w:tblGrid>
      <w:tr w:rsidR="007E7567" w:rsidRPr="007E7567" w14:paraId="02E1A725" w14:textId="77777777" w:rsidTr="007E7567">
        <w:trPr>
          <w:gridAfter w:val="1"/>
          <w:wAfter w:w="93" w:type="dxa"/>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50EE8E2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lastRenderedPageBreak/>
              <w:t> </w:t>
            </w:r>
          </w:p>
        </w:tc>
        <w:tc>
          <w:tcPr>
            <w:tcW w:w="13127" w:type="dxa"/>
            <w:gridSpan w:val="8"/>
            <w:tcBorders>
              <w:top w:val="single" w:sz="4" w:space="0" w:color="auto"/>
              <w:left w:val="nil"/>
              <w:bottom w:val="nil"/>
              <w:right w:val="nil"/>
            </w:tcBorders>
            <w:shd w:val="clear" w:color="auto" w:fill="auto"/>
            <w:noWrap/>
            <w:vAlign w:val="bottom"/>
            <w:hideMark/>
          </w:tcPr>
          <w:p w14:paraId="6ACFAB5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3BECB4D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4A31DBE4"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D5FB8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8497" w:type="dxa"/>
            <w:gridSpan w:val="5"/>
            <w:tcBorders>
              <w:top w:val="nil"/>
              <w:left w:val="nil"/>
              <w:bottom w:val="nil"/>
              <w:right w:val="nil"/>
            </w:tcBorders>
            <w:shd w:val="clear" w:color="auto" w:fill="auto"/>
            <w:noWrap/>
            <w:vAlign w:val="bottom"/>
            <w:hideMark/>
          </w:tcPr>
          <w:p w14:paraId="1D1F2FA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b/>
                <w:bCs/>
                <w:color w:val="000000"/>
              </w:rPr>
              <w:t xml:space="preserve">Table 2.3. </w:t>
            </w:r>
            <w:r w:rsidRPr="007E7567">
              <w:rPr>
                <w:rFonts w:ascii="Calibri Light" w:eastAsia="Times New Roman" w:hAnsi="Calibri Light" w:cs="Calibri Light"/>
                <w:color w:val="000000"/>
              </w:rPr>
              <w:t>Raw sequencing data metrics for the delta smelt genome assembly.</w:t>
            </w:r>
          </w:p>
        </w:tc>
        <w:tc>
          <w:tcPr>
            <w:tcW w:w="1878" w:type="dxa"/>
            <w:tcBorders>
              <w:top w:val="nil"/>
              <w:left w:val="nil"/>
              <w:bottom w:val="nil"/>
              <w:right w:val="nil"/>
            </w:tcBorders>
            <w:shd w:val="clear" w:color="auto" w:fill="auto"/>
            <w:noWrap/>
            <w:vAlign w:val="bottom"/>
            <w:hideMark/>
          </w:tcPr>
          <w:p w14:paraId="507400B2" w14:textId="77777777" w:rsidR="007E7567" w:rsidRPr="007E7567" w:rsidRDefault="007E7567" w:rsidP="0011235A">
            <w:pPr>
              <w:spacing w:after="0" w:line="240" w:lineRule="auto"/>
              <w:jc w:val="left"/>
              <w:rPr>
                <w:rFonts w:ascii="Calibri Light" w:eastAsia="Times New Roman" w:hAnsi="Calibri Light" w:cs="Calibri Light"/>
                <w:color w:val="000000"/>
              </w:rPr>
            </w:pPr>
          </w:p>
        </w:tc>
        <w:tc>
          <w:tcPr>
            <w:tcW w:w="493" w:type="dxa"/>
            <w:tcBorders>
              <w:top w:val="nil"/>
              <w:left w:val="nil"/>
              <w:bottom w:val="nil"/>
              <w:right w:val="nil"/>
            </w:tcBorders>
            <w:shd w:val="clear" w:color="auto" w:fill="auto"/>
            <w:noWrap/>
            <w:vAlign w:val="bottom"/>
            <w:hideMark/>
          </w:tcPr>
          <w:p w14:paraId="0D4B7D2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259" w:type="dxa"/>
            <w:tcBorders>
              <w:top w:val="nil"/>
              <w:left w:val="nil"/>
              <w:bottom w:val="nil"/>
              <w:right w:val="nil"/>
            </w:tcBorders>
            <w:shd w:val="clear" w:color="auto" w:fill="auto"/>
            <w:noWrap/>
            <w:vAlign w:val="bottom"/>
            <w:hideMark/>
          </w:tcPr>
          <w:p w14:paraId="240C84B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240" w:type="dxa"/>
            <w:tcBorders>
              <w:top w:val="nil"/>
              <w:left w:val="nil"/>
              <w:bottom w:val="nil"/>
              <w:right w:val="nil"/>
            </w:tcBorders>
            <w:shd w:val="clear" w:color="auto" w:fill="auto"/>
            <w:noWrap/>
            <w:vAlign w:val="bottom"/>
            <w:hideMark/>
          </w:tcPr>
          <w:p w14:paraId="0F4BB0D4" w14:textId="77777777" w:rsidR="007E7567" w:rsidRPr="007E7567" w:rsidRDefault="007E7567" w:rsidP="0011235A">
            <w:pPr>
              <w:spacing w:after="0" w:line="240" w:lineRule="auto"/>
              <w:jc w:val="left"/>
              <w:rPr>
                <w:rFonts w:ascii="Times New Roman" w:eastAsia="Times New Roman" w:hAnsi="Times New Roman" w:cs="Times New Roman"/>
              </w:rPr>
            </w:pPr>
          </w:p>
        </w:tc>
        <w:tc>
          <w:tcPr>
            <w:tcW w:w="93" w:type="dxa"/>
            <w:tcBorders>
              <w:top w:val="nil"/>
              <w:left w:val="nil"/>
              <w:bottom w:val="nil"/>
              <w:right w:val="single" w:sz="4" w:space="0" w:color="auto"/>
            </w:tcBorders>
            <w:shd w:val="clear" w:color="auto" w:fill="auto"/>
            <w:noWrap/>
            <w:vAlign w:val="bottom"/>
            <w:hideMark/>
          </w:tcPr>
          <w:p w14:paraId="65CB7A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r>
      <w:tr w:rsidR="007E7567" w:rsidRPr="007E7567" w14:paraId="75D51B5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CD8B1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95F278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Sex</w:t>
            </w:r>
          </w:p>
        </w:tc>
        <w:tc>
          <w:tcPr>
            <w:tcW w:w="2107" w:type="dxa"/>
            <w:tcBorders>
              <w:top w:val="single" w:sz="4" w:space="0" w:color="auto"/>
              <w:left w:val="nil"/>
              <w:bottom w:val="single" w:sz="4" w:space="0" w:color="auto"/>
              <w:right w:val="single" w:sz="4" w:space="0" w:color="auto"/>
            </w:tcBorders>
            <w:shd w:val="clear" w:color="000000" w:fill="D9D9D9"/>
            <w:noWrap/>
            <w:vAlign w:val="bottom"/>
            <w:hideMark/>
          </w:tcPr>
          <w:p w14:paraId="027C959B"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proofErr w:type="spellStart"/>
            <w:r w:rsidRPr="007E7567">
              <w:rPr>
                <w:rFonts w:ascii="Calibri Light" w:eastAsia="Times New Roman" w:hAnsi="Calibri Light" w:cs="Calibri Light"/>
                <w:b/>
                <w:bCs/>
                <w:color w:val="000000"/>
              </w:rPr>
              <w:t>Sequening</w:t>
            </w:r>
            <w:proofErr w:type="spellEnd"/>
            <w:r w:rsidRPr="007E7567">
              <w:rPr>
                <w:rFonts w:ascii="Calibri Light" w:eastAsia="Times New Roman" w:hAnsi="Calibri Light" w:cs="Calibri Light"/>
                <w:b/>
                <w:bCs/>
                <w:color w:val="000000"/>
              </w:rPr>
              <w:t xml:space="preserve"> Company</w:t>
            </w:r>
          </w:p>
        </w:tc>
        <w:tc>
          <w:tcPr>
            <w:tcW w:w="2571" w:type="dxa"/>
            <w:tcBorders>
              <w:top w:val="single" w:sz="4" w:space="0" w:color="auto"/>
              <w:left w:val="nil"/>
              <w:bottom w:val="single" w:sz="4" w:space="0" w:color="auto"/>
              <w:right w:val="single" w:sz="4" w:space="0" w:color="auto"/>
            </w:tcBorders>
            <w:shd w:val="clear" w:color="000000" w:fill="D9D9D9"/>
            <w:noWrap/>
            <w:vAlign w:val="bottom"/>
            <w:hideMark/>
          </w:tcPr>
          <w:p w14:paraId="0083FED4"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Run ID</w:t>
            </w:r>
          </w:p>
        </w:tc>
        <w:tc>
          <w:tcPr>
            <w:tcW w:w="1709" w:type="dxa"/>
            <w:tcBorders>
              <w:top w:val="single" w:sz="4" w:space="0" w:color="auto"/>
              <w:left w:val="nil"/>
              <w:bottom w:val="single" w:sz="4" w:space="0" w:color="auto"/>
              <w:right w:val="single" w:sz="4" w:space="0" w:color="auto"/>
            </w:tcBorders>
            <w:shd w:val="clear" w:color="000000" w:fill="D9D9D9"/>
            <w:noWrap/>
            <w:vAlign w:val="bottom"/>
            <w:hideMark/>
          </w:tcPr>
          <w:p w14:paraId="62D3C23D"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Bases</w:t>
            </w:r>
          </w:p>
        </w:tc>
        <w:tc>
          <w:tcPr>
            <w:tcW w:w="1740" w:type="dxa"/>
            <w:tcBorders>
              <w:top w:val="single" w:sz="4" w:space="0" w:color="auto"/>
              <w:left w:val="nil"/>
              <w:bottom w:val="single" w:sz="4" w:space="0" w:color="auto"/>
              <w:right w:val="single" w:sz="4" w:space="0" w:color="auto"/>
            </w:tcBorders>
            <w:shd w:val="clear" w:color="000000" w:fill="D9D9D9"/>
            <w:noWrap/>
            <w:vAlign w:val="bottom"/>
            <w:hideMark/>
          </w:tcPr>
          <w:p w14:paraId="70CF89F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Number of Reads</w:t>
            </w:r>
          </w:p>
        </w:tc>
        <w:tc>
          <w:tcPr>
            <w:tcW w:w="1878" w:type="dxa"/>
            <w:tcBorders>
              <w:top w:val="single" w:sz="4" w:space="0" w:color="auto"/>
              <w:left w:val="nil"/>
              <w:bottom w:val="single" w:sz="4" w:space="0" w:color="auto"/>
              <w:right w:val="single" w:sz="4" w:space="0" w:color="auto"/>
            </w:tcBorders>
            <w:shd w:val="clear" w:color="000000" w:fill="D9D9D9"/>
            <w:noWrap/>
            <w:vAlign w:val="bottom"/>
            <w:hideMark/>
          </w:tcPr>
          <w:p w14:paraId="64ED1129"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Mean Read Length</w:t>
            </w:r>
          </w:p>
        </w:tc>
        <w:tc>
          <w:tcPr>
            <w:tcW w:w="493" w:type="dxa"/>
            <w:tcBorders>
              <w:top w:val="single" w:sz="4" w:space="0" w:color="auto"/>
              <w:left w:val="nil"/>
              <w:bottom w:val="single" w:sz="4" w:space="0" w:color="auto"/>
              <w:right w:val="single" w:sz="4" w:space="0" w:color="auto"/>
            </w:tcBorders>
            <w:shd w:val="clear" w:color="000000" w:fill="D9D9D9"/>
            <w:noWrap/>
            <w:vAlign w:val="bottom"/>
            <w:hideMark/>
          </w:tcPr>
          <w:p w14:paraId="75B84DE6"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GC%</w:t>
            </w:r>
          </w:p>
        </w:tc>
        <w:tc>
          <w:tcPr>
            <w:tcW w:w="2259" w:type="dxa"/>
            <w:tcBorders>
              <w:top w:val="single" w:sz="4" w:space="0" w:color="auto"/>
              <w:left w:val="nil"/>
              <w:bottom w:val="single" w:sz="4" w:space="0" w:color="auto"/>
              <w:right w:val="single" w:sz="4" w:space="0" w:color="auto"/>
            </w:tcBorders>
            <w:shd w:val="clear" w:color="000000" w:fill="D9D9D9"/>
            <w:noWrap/>
            <w:vAlign w:val="bottom"/>
            <w:hideMark/>
          </w:tcPr>
          <w:p w14:paraId="3A9161FF" w14:textId="77777777" w:rsidR="007E7567" w:rsidRPr="007E7567" w:rsidRDefault="007E7567" w:rsidP="0011235A">
            <w:pPr>
              <w:spacing w:after="0" w:line="240" w:lineRule="auto"/>
              <w:jc w:val="center"/>
              <w:rPr>
                <w:rFonts w:ascii="Calibri Light" w:eastAsia="Times New Roman" w:hAnsi="Calibri Light" w:cs="Calibri Light"/>
                <w:b/>
                <w:bCs/>
                <w:color w:val="000000"/>
              </w:rPr>
            </w:pPr>
            <w:r w:rsidRPr="007E7567">
              <w:rPr>
                <w:rFonts w:ascii="Calibri Light" w:eastAsia="Times New Roman" w:hAnsi="Calibri Light" w:cs="Calibri Light"/>
                <w:b/>
                <w:bCs/>
                <w:color w:val="000000"/>
              </w:rPr>
              <w:t>Average Read Quality*</w:t>
            </w:r>
          </w:p>
        </w:tc>
        <w:tc>
          <w:tcPr>
            <w:tcW w:w="240" w:type="dxa"/>
            <w:tcBorders>
              <w:top w:val="nil"/>
              <w:left w:val="nil"/>
              <w:bottom w:val="nil"/>
              <w:right w:val="single" w:sz="4" w:space="0" w:color="auto"/>
            </w:tcBorders>
            <w:shd w:val="clear" w:color="auto" w:fill="auto"/>
            <w:noWrap/>
            <w:vAlign w:val="bottom"/>
            <w:hideMark/>
          </w:tcPr>
          <w:p w14:paraId="76694DC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0D9927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0CA1A96"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0B880F8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7DC8D6B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CE1B2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19923C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m64069_201002_215024</w:t>
            </w:r>
          </w:p>
        </w:tc>
        <w:tc>
          <w:tcPr>
            <w:tcW w:w="1709" w:type="dxa"/>
            <w:tcBorders>
              <w:top w:val="nil"/>
              <w:left w:val="nil"/>
              <w:bottom w:val="single" w:sz="4" w:space="0" w:color="auto"/>
              <w:right w:val="single" w:sz="4" w:space="0" w:color="auto"/>
            </w:tcBorders>
            <w:shd w:val="clear" w:color="auto" w:fill="auto"/>
            <w:noWrap/>
            <w:vAlign w:val="bottom"/>
            <w:hideMark/>
          </w:tcPr>
          <w:p w14:paraId="1A25C81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7,617,422,156</w:t>
            </w:r>
          </w:p>
        </w:tc>
        <w:tc>
          <w:tcPr>
            <w:tcW w:w="1740" w:type="dxa"/>
            <w:tcBorders>
              <w:top w:val="nil"/>
              <w:left w:val="nil"/>
              <w:bottom w:val="single" w:sz="4" w:space="0" w:color="auto"/>
              <w:right w:val="single" w:sz="4" w:space="0" w:color="auto"/>
            </w:tcBorders>
            <w:shd w:val="clear" w:color="auto" w:fill="auto"/>
            <w:noWrap/>
            <w:vAlign w:val="bottom"/>
            <w:hideMark/>
          </w:tcPr>
          <w:p w14:paraId="3679082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1,275,836</w:t>
            </w:r>
          </w:p>
        </w:tc>
        <w:tc>
          <w:tcPr>
            <w:tcW w:w="1878" w:type="dxa"/>
            <w:tcBorders>
              <w:top w:val="nil"/>
              <w:left w:val="nil"/>
              <w:bottom w:val="single" w:sz="4" w:space="0" w:color="auto"/>
              <w:right w:val="single" w:sz="4" w:space="0" w:color="auto"/>
            </w:tcBorders>
            <w:shd w:val="clear" w:color="auto" w:fill="auto"/>
            <w:noWrap/>
            <w:vAlign w:val="bottom"/>
            <w:hideMark/>
          </w:tcPr>
          <w:p w14:paraId="5C3B4B3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5,970</w:t>
            </w:r>
          </w:p>
        </w:tc>
        <w:tc>
          <w:tcPr>
            <w:tcW w:w="493" w:type="dxa"/>
            <w:tcBorders>
              <w:top w:val="nil"/>
              <w:left w:val="nil"/>
              <w:bottom w:val="single" w:sz="4" w:space="0" w:color="auto"/>
              <w:right w:val="single" w:sz="4" w:space="0" w:color="auto"/>
            </w:tcBorders>
            <w:shd w:val="clear" w:color="auto" w:fill="auto"/>
            <w:noWrap/>
            <w:vAlign w:val="bottom"/>
            <w:hideMark/>
          </w:tcPr>
          <w:p w14:paraId="69C13E8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58931D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6B4ABD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D487C0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599B7AA"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46ADFB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315F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3BC03F9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595597D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m64069_200830_055940</w:t>
            </w:r>
          </w:p>
        </w:tc>
        <w:tc>
          <w:tcPr>
            <w:tcW w:w="1709" w:type="dxa"/>
            <w:tcBorders>
              <w:top w:val="nil"/>
              <w:left w:val="nil"/>
              <w:bottom w:val="single" w:sz="4" w:space="0" w:color="auto"/>
              <w:right w:val="single" w:sz="4" w:space="0" w:color="auto"/>
            </w:tcBorders>
            <w:shd w:val="clear" w:color="auto" w:fill="auto"/>
            <w:noWrap/>
            <w:vAlign w:val="bottom"/>
            <w:hideMark/>
          </w:tcPr>
          <w:p w14:paraId="43B0091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6,404,937,329</w:t>
            </w:r>
          </w:p>
        </w:tc>
        <w:tc>
          <w:tcPr>
            <w:tcW w:w="1740" w:type="dxa"/>
            <w:tcBorders>
              <w:top w:val="nil"/>
              <w:left w:val="nil"/>
              <w:bottom w:val="single" w:sz="4" w:space="0" w:color="auto"/>
              <w:right w:val="single" w:sz="4" w:space="0" w:color="auto"/>
            </w:tcBorders>
            <w:shd w:val="clear" w:color="auto" w:fill="auto"/>
            <w:noWrap/>
            <w:vAlign w:val="bottom"/>
            <w:hideMark/>
          </w:tcPr>
          <w:p w14:paraId="5358E7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624,944</w:t>
            </w:r>
          </w:p>
        </w:tc>
        <w:tc>
          <w:tcPr>
            <w:tcW w:w="1878" w:type="dxa"/>
            <w:tcBorders>
              <w:top w:val="nil"/>
              <w:left w:val="nil"/>
              <w:bottom w:val="single" w:sz="4" w:space="0" w:color="auto"/>
              <w:right w:val="single" w:sz="4" w:space="0" w:color="auto"/>
            </w:tcBorders>
            <w:shd w:val="clear" w:color="auto" w:fill="auto"/>
            <w:noWrap/>
            <w:vAlign w:val="bottom"/>
            <w:hideMark/>
          </w:tcPr>
          <w:p w14:paraId="14A9C24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10,248</w:t>
            </w:r>
          </w:p>
        </w:tc>
        <w:tc>
          <w:tcPr>
            <w:tcW w:w="493" w:type="dxa"/>
            <w:tcBorders>
              <w:top w:val="nil"/>
              <w:left w:val="nil"/>
              <w:bottom w:val="single" w:sz="4" w:space="0" w:color="auto"/>
              <w:right w:val="single" w:sz="4" w:space="0" w:color="auto"/>
            </w:tcBorders>
            <w:shd w:val="clear" w:color="auto" w:fill="auto"/>
            <w:noWrap/>
            <w:vAlign w:val="bottom"/>
            <w:hideMark/>
          </w:tcPr>
          <w:p w14:paraId="4F8EED3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92F458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658A164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7D85159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B4D389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527D9F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04E281A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095774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010CD54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m64069_200603_183739</w:t>
            </w:r>
          </w:p>
        </w:tc>
        <w:tc>
          <w:tcPr>
            <w:tcW w:w="1709" w:type="dxa"/>
            <w:tcBorders>
              <w:top w:val="nil"/>
              <w:left w:val="nil"/>
              <w:bottom w:val="single" w:sz="4" w:space="0" w:color="auto"/>
              <w:right w:val="single" w:sz="4" w:space="0" w:color="auto"/>
            </w:tcBorders>
            <w:shd w:val="clear" w:color="auto" w:fill="auto"/>
            <w:noWrap/>
            <w:vAlign w:val="bottom"/>
            <w:hideMark/>
          </w:tcPr>
          <w:p w14:paraId="645FB8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13,962,511,851</w:t>
            </w:r>
          </w:p>
        </w:tc>
        <w:tc>
          <w:tcPr>
            <w:tcW w:w="1740" w:type="dxa"/>
            <w:tcBorders>
              <w:top w:val="nil"/>
              <w:left w:val="nil"/>
              <w:bottom w:val="single" w:sz="4" w:space="0" w:color="auto"/>
              <w:right w:val="single" w:sz="4" w:space="0" w:color="auto"/>
            </w:tcBorders>
            <w:shd w:val="clear" w:color="auto" w:fill="auto"/>
            <w:noWrap/>
            <w:vAlign w:val="bottom"/>
            <w:hideMark/>
          </w:tcPr>
          <w:p w14:paraId="4745314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840,724</w:t>
            </w:r>
          </w:p>
        </w:tc>
        <w:tc>
          <w:tcPr>
            <w:tcW w:w="1878" w:type="dxa"/>
            <w:tcBorders>
              <w:top w:val="nil"/>
              <w:left w:val="nil"/>
              <w:bottom w:val="single" w:sz="4" w:space="0" w:color="auto"/>
              <w:right w:val="single" w:sz="4" w:space="0" w:color="auto"/>
            </w:tcBorders>
            <w:shd w:val="clear" w:color="auto" w:fill="auto"/>
            <w:noWrap/>
            <w:vAlign w:val="bottom"/>
            <w:hideMark/>
          </w:tcPr>
          <w:p w14:paraId="448104C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16,607</w:t>
            </w:r>
          </w:p>
        </w:tc>
        <w:tc>
          <w:tcPr>
            <w:tcW w:w="493" w:type="dxa"/>
            <w:tcBorders>
              <w:top w:val="nil"/>
              <w:left w:val="nil"/>
              <w:bottom w:val="single" w:sz="4" w:space="0" w:color="auto"/>
              <w:right w:val="single" w:sz="4" w:space="0" w:color="auto"/>
            </w:tcBorders>
            <w:shd w:val="clear" w:color="auto" w:fill="auto"/>
            <w:noWrap/>
            <w:vAlign w:val="bottom"/>
            <w:hideMark/>
          </w:tcPr>
          <w:p w14:paraId="24A039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45%</w:t>
            </w:r>
          </w:p>
        </w:tc>
        <w:tc>
          <w:tcPr>
            <w:tcW w:w="2259" w:type="dxa"/>
            <w:tcBorders>
              <w:top w:val="nil"/>
              <w:left w:val="nil"/>
              <w:bottom w:val="single" w:sz="4" w:space="0" w:color="auto"/>
              <w:right w:val="single" w:sz="4" w:space="0" w:color="auto"/>
            </w:tcBorders>
            <w:shd w:val="clear" w:color="auto" w:fill="auto"/>
            <w:noWrap/>
            <w:vAlign w:val="bottom"/>
            <w:hideMark/>
          </w:tcPr>
          <w:p w14:paraId="31C238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30</w:t>
            </w:r>
          </w:p>
        </w:tc>
        <w:tc>
          <w:tcPr>
            <w:tcW w:w="240" w:type="dxa"/>
            <w:tcBorders>
              <w:top w:val="nil"/>
              <w:left w:val="nil"/>
              <w:bottom w:val="nil"/>
              <w:right w:val="single" w:sz="4" w:space="0" w:color="auto"/>
            </w:tcBorders>
            <w:shd w:val="clear" w:color="auto" w:fill="auto"/>
            <w:noWrap/>
            <w:vAlign w:val="bottom"/>
            <w:hideMark/>
          </w:tcPr>
          <w:p w14:paraId="02FD787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1022B8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59CD4041"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C8088B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2A0AA7F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5DB22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72C930F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m64069_200220_045555</w:t>
            </w:r>
          </w:p>
        </w:tc>
        <w:tc>
          <w:tcPr>
            <w:tcW w:w="1709" w:type="dxa"/>
            <w:tcBorders>
              <w:top w:val="nil"/>
              <w:left w:val="nil"/>
              <w:bottom w:val="single" w:sz="4" w:space="0" w:color="auto"/>
              <w:right w:val="single" w:sz="4" w:space="0" w:color="auto"/>
            </w:tcBorders>
            <w:shd w:val="clear" w:color="auto" w:fill="auto"/>
            <w:noWrap/>
            <w:vAlign w:val="bottom"/>
            <w:hideMark/>
          </w:tcPr>
          <w:p w14:paraId="2B6796E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23,993,220,246</w:t>
            </w:r>
          </w:p>
        </w:tc>
        <w:tc>
          <w:tcPr>
            <w:tcW w:w="1740" w:type="dxa"/>
            <w:tcBorders>
              <w:top w:val="nil"/>
              <w:left w:val="nil"/>
              <w:bottom w:val="single" w:sz="4" w:space="0" w:color="auto"/>
              <w:right w:val="single" w:sz="4" w:space="0" w:color="auto"/>
            </w:tcBorders>
            <w:shd w:val="clear" w:color="auto" w:fill="auto"/>
            <w:noWrap/>
            <w:vAlign w:val="bottom"/>
            <w:hideMark/>
          </w:tcPr>
          <w:p w14:paraId="4014A71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2,054,534</w:t>
            </w:r>
          </w:p>
        </w:tc>
        <w:tc>
          <w:tcPr>
            <w:tcW w:w="1878" w:type="dxa"/>
            <w:tcBorders>
              <w:top w:val="nil"/>
              <w:left w:val="nil"/>
              <w:bottom w:val="single" w:sz="4" w:space="0" w:color="auto"/>
              <w:right w:val="single" w:sz="4" w:space="0" w:color="auto"/>
            </w:tcBorders>
            <w:shd w:val="clear" w:color="auto" w:fill="auto"/>
            <w:noWrap/>
            <w:vAlign w:val="bottom"/>
            <w:hideMark/>
          </w:tcPr>
          <w:p w14:paraId="735AAC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11,678</w:t>
            </w:r>
          </w:p>
        </w:tc>
        <w:tc>
          <w:tcPr>
            <w:tcW w:w="493" w:type="dxa"/>
            <w:tcBorders>
              <w:top w:val="nil"/>
              <w:left w:val="nil"/>
              <w:bottom w:val="single" w:sz="4" w:space="0" w:color="auto"/>
              <w:right w:val="single" w:sz="4" w:space="0" w:color="auto"/>
            </w:tcBorders>
            <w:shd w:val="clear" w:color="auto" w:fill="auto"/>
            <w:noWrap/>
            <w:vAlign w:val="bottom"/>
            <w:hideMark/>
          </w:tcPr>
          <w:p w14:paraId="78A96AF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single" w:sz="4" w:space="0" w:color="auto"/>
            </w:tcBorders>
            <w:shd w:val="clear" w:color="auto" w:fill="auto"/>
            <w:noWrap/>
            <w:vAlign w:val="bottom"/>
            <w:hideMark/>
          </w:tcPr>
          <w:p w14:paraId="167AA39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35</w:t>
            </w:r>
          </w:p>
        </w:tc>
        <w:tc>
          <w:tcPr>
            <w:tcW w:w="240" w:type="dxa"/>
            <w:tcBorders>
              <w:top w:val="nil"/>
              <w:left w:val="nil"/>
              <w:bottom w:val="nil"/>
              <w:right w:val="single" w:sz="4" w:space="0" w:color="auto"/>
            </w:tcBorders>
            <w:shd w:val="clear" w:color="auto" w:fill="auto"/>
            <w:noWrap/>
            <w:vAlign w:val="bottom"/>
            <w:hideMark/>
          </w:tcPr>
          <w:p w14:paraId="79E18694"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BF4CF9A"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007767D"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226DA6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79469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33AA7C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PacBio HiFi</w:t>
            </w:r>
          </w:p>
        </w:tc>
        <w:tc>
          <w:tcPr>
            <w:tcW w:w="2571" w:type="dxa"/>
            <w:tcBorders>
              <w:top w:val="nil"/>
              <w:left w:val="nil"/>
              <w:bottom w:val="single" w:sz="4" w:space="0" w:color="auto"/>
              <w:right w:val="single" w:sz="4" w:space="0" w:color="auto"/>
            </w:tcBorders>
            <w:shd w:val="clear" w:color="auto" w:fill="auto"/>
            <w:noWrap/>
            <w:vAlign w:val="bottom"/>
            <w:hideMark/>
          </w:tcPr>
          <w:p w14:paraId="2E7E48C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m64069_200211_020731</w:t>
            </w:r>
          </w:p>
        </w:tc>
        <w:tc>
          <w:tcPr>
            <w:tcW w:w="1709" w:type="dxa"/>
            <w:tcBorders>
              <w:top w:val="nil"/>
              <w:left w:val="nil"/>
              <w:bottom w:val="single" w:sz="4" w:space="0" w:color="auto"/>
              <w:right w:val="single" w:sz="4" w:space="0" w:color="auto"/>
            </w:tcBorders>
            <w:shd w:val="clear" w:color="auto" w:fill="auto"/>
            <w:noWrap/>
            <w:vAlign w:val="bottom"/>
            <w:hideMark/>
          </w:tcPr>
          <w:p w14:paraId="3DBAAF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11,151,984,598</w:t>
            </w:r>
          </w:p>
        </w:tc>
        <w:tc>
          <w:tcPr>
            <w:tcW w:w="1740" w:type="dxa"/>
            <w:tcBorders>
              <w:top w:val="nil"/>
              <w:left w:val="nil"/>
              <w:bottom w:val="single" w:sz="4" w:space="0" w:color="auto"/>
              <w:right w:val="single" w:sz="4" w:space="0" w:color="auto"/>
            </w:tcBorders>
            <w:shd w:val="clear" w:color="auto" w:fill="auto"/>
            <w:noWrap/>
            <w:vAlign w:val="bottom"/>
            <w:hideMark/>
          </w:tcPr>
          <w:p w14:paraId="3DF6CCB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1,040,599</w:t>
            </w:r>
          </w:p>
        </w:tc>
        <w:tc>
          <w:tcPr>
            <w:tcW w:w="1878" w:type="dxa"/>
            <w:tcBorders>
              <w:top w:val="nil"/>
              <w:left w:val="nil"/>
              <w:bottom w:val="single" w:sz="4" w:space="0" w:color="auto"/>
              <w:right w:val="single" w:sz="4" w:space="0" w:color="auto"/>
            </w:tcBorders>
            <w:shd w:val="clear" w:color="auto" w:fill="auto"/>
            <w:noWrap/>
            <w:vAlign w:val="bottom"/>
            <w:hideMark/>
          </w:tcPr>
          <w:p w14:paraId="4019989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10,716</w:t>
            </w:r>
          </w:p>
        </w:tc>
        <w:tc>
          <w:tcPr>
            <w:tcW w:w="493" w:type="dxa"/>
            <w:tcBorders>
              <w:top w:val="nil"/>
              <w:left w:val="nil"/>
              <w:bottom w:val="single" w:sz="4" w:space="0" w:color="auto"/>
              <w:right w:val="single" w:sz="4" w:space="0" w:color="auto"/>
            </w:tcBorders>
            <w:shd w:val="clear" w:color="auto" w:fill="auto"/>
            <w:noWrap/>
            <w:vAlign w:val="bottom"/>
            <w:hideMark/>
          </w:tcPr>
          <w:p w14:paraId="30FFFDE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44%</w:t>
            </w:r>
          </w:p>
        </w:tc>
        <w:tc>
          <w:tcPr>
            <w:tcW w:w="2259" w:type="dxa"/>
            <w:tcBorders>
              <w:top w:val="nil"/>
              <w:left w:val="nil"/>
              <w:bottom w:val="single" w:sz="4" w:space="0" w:color="auto"/>
              <w:right w:val="single" w:sz="4" w:space="0" w:color="auto"/>
            </w:tcBorders>
            <w:shd w:val="clear" w:color="auto" w:fill="auto"/>
            <w:noWrap/>
            <w:vAlign w:val="bottom"/>
            <w:hideMark/>
          </w:tcPr>
          <w:p w14:paraId="67BD267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5E7A8EDB"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EC754A8"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8543CA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95981DD"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D7B6B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0388F2CF"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37D7936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10X_R1_F</w:t>
            </w:r>
          </w:p>
        </w:tc>
        <w:tc>
          <w:tcPr>
            <w:tcW w:w="1709" w:type="dxa"/>
            <w:tcBorders>
              <w:top w:val="nil"/>
              <w:left w:val="nil"/>
              <w:bottom w:val="single" w:sz="4" w:space="0" w:color="auto"/>
              <w:right w:val="single" w:sz="4" w:space="0" w:color="auto"/>
            </w:tcBorders>
            <w:shd w:val="clear" w:color="auto" w:fill="auto"/>
            <w:noWrap/>
            <w:vAlign w:val="bottom"/>
            <w:hideMark/>
          </w:tcPr>
          <w:p w14:paraId="643E32E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41339E0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441A79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15C819A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388D4A5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33</w:t>
            </w:r>
          </w:p>
        </w:tc>
        <w:tc>
          <w:tcPr>
            <w:tcW w:w="240" w:type="dxa"/>
            <w:tcBorders>
              <w:top w:val="nil"/>
              <w:left w:val="nil"/>
              <w:bottom w:val="nil"/>
              <w:right w:val="single" w:sz="4" w:space="0" w:color="auto"/>
            </w:tcBorders>
            <w:shd w:val="clear" w:color="auto" w:fill="auto"/>
            <w:noWrap/>
            <w:vAlign w:val="bottom"/>
            <w:hideMark/>
          </w:tcPr>
          <w:p w14:paraId="1F693B81"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31C862D"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68ACA02"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2A86188"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0B2907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1D5C50F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999D3C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10X_R2_F</w:t>
            </w:r>
          </w:p>
        </w:tc>
        <w:tc>
          <w:tcPr>
            <w:tcW w:w="1709" w:type="dxa"/>
            <w:tcBorders>
              <w:top w:val="nil"/>
              <w:left w:val="nil"/>
              <w:bottom w:val="single" w:sz="4" w:space="0" w:color="auto"/>
              <w:right w:val="single" w:sz="4" w:space="0" w:color="auto"/>
            </w:tcBorders>
            <w:shd w:val="clear" w:color="auto" w:fill="auto"/>
            <w:noWrap/>
            <w:vAlign w:val="bottom"/>
            <w:hideMark/>
          </w:tcPr>
          <w:p w14:paraId="1D5DD21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94,825,601,818</w:t>
            </w:r>
          </w:p>
        </w:tc>
        <w:tc>
          <w:tcPr>
            <w:tcW w:w="1740" w:type="dxa"/>
            <w:tcBorders>
              <w:top w:val="nil"/>
              <w:left w:val="nil"/>
              <w:bottom w:val="single" w:sz="4" w:space="0" w:color="auto"/>
              <w:right w:val="single" w:sz="4" w:space="0" w:color="auto"/>
            </w:tcBorders>
            <w:shd w:val="clear" w:color="auto" w:fill="auto"/>
            <w:noWrap/>
            <w:vAlign w:val="bottom"/>
            <w:hideMark/>
          </w:tcPr>
          <w:p w14:paraId="33522FC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627,984,118</w:t>
            </w:r>
          </w:p>
        </w:tc>
        <w:tc>
          <w:tcPr>
            <w:tcW w:w="1878" w:type="dxa"/>
            <w:tcBorders>
              <w:top w:val="nil"/>
              <w:left w:val="nil"/>
              <w:bottom w:val="single" w:sz="4" w:space="0" w:color="auto"/>
              <w:right w:val="single" w:sz="4" w:space="0" w:color="auto"/>
            </w:tcBorders>
            <w:shd w:val="clear" w:color="auto" w:fill="auto"/>
            <w:noWrap/>
            <w:vAlign w:val="bottom"/>
            <w:hideMark/>
          </w:tcPr>
          <w:p w14:paraId="730084B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5F057F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w:t>
            </w:r>
          </w:p>
        </w:tc>
        <w:tc>
          <w:tcPr>
            <w:tcW w:w="2259" w:type="dxa"/>
            <w:tcBorders>
              <w:top w:val="nil"/>
              <w:left w:val="nil"/>
              <w:bottom w:val="single" w:sz="4" w:space="0" w:color="auto"/>
              <w:right w:val="single" w:sz="4" w:space="0" w:color="auto"/>
            </w:tcBorders>
            <w:shd w:val="clear" w:color="auto" w:fill="auto"/>
            <w:noWrap/>
            <w:vAlign w:val="bottom"/>
            <w:hideMark/>
          </w:tcPr>
          <w:p w14:paraId="206C7A5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7C9D8DE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359C942"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1C51675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574912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3F2857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59F7653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02F315A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10X_R1_M</w:t>
            </w:r>
          </w:p>
        </w:tc>
        <w:tc>
          <w:tcPr>
            <w:tcW w:w="1709" w:type="dxa"/>
            <w:tcBorders>
              <w:top w:val="nil"/>
              <w:left w:val="nil"/>
              <w:bottom w:val="single" w:sz="4" w:space="0" w:color="auto"/>
              <w:right w:val="single" w:sz="4" w:space="0" w:color="auto"/>
            </w:tcBorders>
            <w:shd w:val="clear" w:color="auto" w:fill="auto"/>
            <w:noWrap/>
            <w:vAlign w:val="bottom"/>
            <w:hideMark/>
          </w:tcPr>
          <w:p w14:paraId="42914D6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5B533DB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3726E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780789A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5438F6F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2866D17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0B7ED8D7"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2355FC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79F5D65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72C6C6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E473FB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 Illumina</w:t>
            </w:r>
          </w:p>
        </w:tc>
        <w:tc>
          <w:tcPr>
            <w:tcW w:w="2571" w:type="dxa"/>
            <w:tcBorders>
              <w:top w:val="nil"/>
              <w:left w:val="nil"/>
              <w:bottom w:val="single" w:sz="4" w:space="0" w:color="auto"/>
              <w:right w:val="single" w:sz="4" w:space="0" w:color="auto"/>
            </w:tcBorders>
            <w:shd w:val="clear" w:color="auto" w:fill="auto"/>
            <w:noWrap/>
            <w:vAlign w:val="bottom"/>
            <w:hideMark/>
          </w:tcPr>
          <w:p w14:paraId="7E647EA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10X_R2_M</w:t>
            </w:r>
          </w:p>
        </w:tc>
        <w:tc>
          <w:tcPr>
            <w:tcW w:w="1709" w:type="dxa"/>
            <w:tcBorders>
              <w:top w:val="nil"/>
              <w:left w:val="nil"/>
              <w:bottom w:val="single" w:sz="4" w:space="0" w:color="auto"/>
              <w:right w:val="single" w:sz="4" w:space="0" w:color="auto"/>
            </w:tcBorders>
            <w:shd w:val="clear" w:color="auto" w:fill="auto"/>
            <w:noWrap/>
            <w:vAlign w:val="bottom"/>
            <w:hideMark/>
          </w:tcPr>
          <w:p w14:paraId="705C0D2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65,806,680,934</w:t>
            </w:r>
          </w:p>
        </w:tc>
        <w:tc>
          <w:tcPr>
            <w:tcW w:w="1740" w:type="dxa"/>
            <w:tcBorders>
              <w:top w:val="nil"/>
              <w:left w:val="nil"/>
              <w:bottom w:val="single" w:sz="4" w:space="0" w:color="auto"/>
              <w:right w:val="single" w:sz="4" w:space="0" w:color="auto"/>
            </w:tcBorders>
            <w:shd w:val="clear" w:color="auto" w:fill="auto"/>
            <w:noWrap/>
            <w:vAlign w:val="bottom"/>
            <w:hideMark/>
          </w:tcPr>
          <w:p w14:paraId="1671A9C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435,805,834</w:t>
            </w:r>
          </w:p>
        </w:tc>
        <w:tc>
          <w:tcPr>
            <w:tcW w:w="1878" w:type="dxa"/>
            <w:tcBorders>
              <w:top w:val="nil"/>
              <w:left w:val="nil"/>
              <w:bottom w:val="single" w:sz="4" w:space="0" w:color="auto"/>
              <w:right w:val="single" w:sz="4" w:space="0" w:color="auto"/>
            </w:tcBorders>
            <w:shd w:val="clear" w:color="auto" w:fill="auto"/>
            <w:noWrap/>
            <w:vAlign w:val="bottom"/>
            <w:hideMark/>
          </w:tcPr>
          <w:p w14:paraId="218BD11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151</w:t>
            </w:r>
          </w:p>
        </w:tc>
        <w:tc>
          <w:tcPr>
            <w:tcW w:w="493" w:type="dxa"/>
            <w:tcBorders>
              <w:top w:val="nil"/>
              <w:left w:val="nil"/>
              <w:bottom w:val="single" w:sz="4" w:space="0" w:color="auto"/>
              <w:right w:val="single" w:sz="4" w:space="0" w:color="auto"/>
            </w:tcBorders>
            <w:shd w:val="clear" w:color="auto" w:fill="auto"/>
            <w:noWrap/>
            <w:vAlign w:val="bottom"/>
            <w:hideMark/>
          </w:tcPr>
          <w:p w14:paraId="0BE18BB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49%</w:t>
            </w:r>
          </w:p>
        </w:tc>
        <w:tc>
          <w:tcPr>
            <w:tcW w:w="2259" w:type="dxa"/>
            <w:tcBorders>
              <w:top w:val="nil"/>
              <w:left w:val="nil"/>
              <w:bottom w:val="single" w:sz="4" w:space="0" w:color="auto"/>
              <w:right w:val="single" w:sz="4" w:space="0" w:color="auto"/>
            </w:tcBorders>
            <w:shd w:val="clear" w:color="auto" w:fill="auto"/>
            <w:noWrap/>
            <w:vAlign w:val="bottom"/>
            <w:hideMark/>
          </w:tcPr>
          <w:p w14:paraId="66B8D67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32</w:t>
            </w:r>
          </w:p>
        </w:tc>
        <w:tc>
          <w:tcPr>
            <w:tcW w:w="240" w:type="dxa"/>
            <w:tcBorders>
              <w:top w:val="nil"/>
              <w:left w:val="nil"/>
              <w:bottom w:val="nil"/>
              <w:right w:val="single" w:sz="4" w:space="0" w:color="auto"/>
            </w:tcBorders>
            <w:shd w:val="clear" w:color="auto" w:fill="auto"/>
            <w:noWrap/>
            <w:vAlign w:val="bottom"/>
            <w:hideMark/>
          </w:tcPr>
          <w:p w14:paraId="5C07C8C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31AD58D3"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C05D348"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34A8604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3A82A83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417B00D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26DC3C48"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hic_R1_F</w:t>
            </w:r>
          </w:p>
        </w:tc>
        <w:tc>
          <w:tcPr>
            <w:tcW w:w="1709" w:type="dxa"/>
            <w:tcBorders>
              <w:top w:val="nil"/>
              <w:left w:val="nil"/>
              <w:bottom w:val="single" w:sz="4" w:space="0" w:color="auto"/>
              <w:right w:val="single" w:sz="4" w:space="0" w:color="auto"/>
            </w:tcBorders>
            <w:shd w:val="clear" w:color="auto" w:fill="auto"/>
            <w:noWrap/>
            <w:vAlign w:val="bottom"/>
            <w:hideMark/>
          </w:tcPr>
          <w:p w14:paraId="6A01598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50D402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7061A7E3"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6D72A6C0"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273F42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38</w:t>
            </w:r>
          </w:p>
        </w:tc>
        <w:tc>
          <w:tcPr>
            <w:tcW w:w="240" w:type="dxa"/>
            <w:tcBorders>
              <w:top w:val="nil"/>
              <w:left w:val="nil"/>
              <w:bottom w:val="nil"/>
              <w:right w:val="single" w:sz="4" w:space="0" w:color="auto"/>
            </w:tcBorders>
            <w:shd w:val="clear" w:color="auto" w:fill="auto"/>
            <w:noWrap/>
            <w:vAlign w:val="bottom"/>
            <w:hideMark/>
          </w:tcPr>
          <w:p w14:paraId="156B803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822D9AE"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6C58B3E5"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168760A7"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6293A4E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F</w:t>
            </w:r>
          </w:p>
        </w:tc>
        <w:tc>
          <w:tcPr>
            <w:tcW w:w="2107" w:type="dxa"/>
            <w:tcBorders>
              <w:top w:val="nil"/>
              <w:left w:val="nil"/>
              <w:bottom w:val="single" w:sz="4" w:space="0" w:color="auto"/>
              <w:right w:val="single" w:sz="4" w:space="0" w:color="auto"/>
            </w:tcBorders>
            <w:shd w:val="clear" w:color="auto" w:fill="auto"/>
            <w:noWrap/>
            <w:vAlign w:val="bottom"/>
            <w:hideMark/>
          </w:tcPr>
          <w:p w14:paraId="552B3C7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Phase Genomics Hi-C</w:t>
            </w:r>
          </w:p>
        </w:tc>
        <w:tc>
          <w:tcPr>
            <w:tcW w:w="2571" w:type="dxa"/>
            <w:tcBorders>
              <w:top w:val="nil"/>
              <w:left w:val="nil"/>
              <w:bottom w:val="single" w:sz="4" w:space="0" w:color="auto"/>
              <w:right w:val="single" w:sz="4" w:space="0" w:color="auto"/>
            </w:tcBorders>
            <w:shd w:val="clear" w:color="auto" w:fill="auto"/>
            <w:noWrap/>
            <w:vAlign w:val="bottom"/>
            <w:hideMark/>
          </w:tcPr>
          <w:p w14:paraId="76BC752D"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hic_R2_F</w:t>
            </w:r>
          </w:p>
        </w:tc>
        <w:tc>
          <w:tcPr>
            <w:tcW w:w="1709" w:type="dxa"/>
            <w:tcBorders>
              <w:top w:val="nil"/>
              <w:left w:val="nil"/>
              <w:bottom w:val="single" w:sz="4" w:space="0" w:color="auto"/>
              <w:right w:val="single" w:sz="4" w:space="0" w:color="auto"/>
            </w:tcBorders>
            <w:shd w:val="clear" w:color="auto" w:fill="auto"/>
            <w:noWrap/>
            <w:vAlign w:val="bottom"/>
            <w:hideMark/>
          </w:tcPr>
          <w:p w14:paraId="36E8438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13,116,671,550</w:t>
            </w:r>
          </w:p>
        </w:tc>
        <w:tc>
          <w:tcPr>
            <w:tcW w:w="1740" w:type="dxa"/>
            <w:tcBorders>
              <w:top w:val="nil"/>
              <w:left w:val="nil"/>
              <w:bottom w:val="single" w:sz="4" w:space="0" w:color="auto"/>
              <w:right w:val="single" w:sz="4" w:space="0" w:color="auto"/>
            </w:tcBorders>
            <w:shd w:val="clear" w:color="auto" w:fill="auto"/>
            <w:noWrap/>
            <w:vAlign w:val="bottom"/>
            <w:hideMark/>
          </w:tcPr>
          <w:p w14:paraId="07732F0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87,444,477</w:t>
            </w:r>
          </w:p>
        </w:tc>
        <w:tc>
          <w:tcPr>
            <w:tcW w:w="1878" w:type="dxa"/>
            <w:tcBorders>
              <w:top w:val="nil"/>
              <w:left w:val="nil"/>
              <w:bottom w:val="single" w:sz="4" w:space="0" w:color="auto"/>
              <w:right w:val="single" w:sz="4" w:space="0" w:color="auto"/>
            </w:tcBorders>
            <w:shd w:val="clear" w:color="auto" w:fill="auto"/>
            <w:noWrap/>
            <w:vAlign w:val="bottom"/>
            <w:hideMark/>
          </w:tcPr>
          <w:p w14:paraId="68E077C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06603C1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34EE825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36</w:t>
            </w:r>
          </w:p>
        </w:tc>
        <w:tc>
          <w:tcPr>
            <w:tcW w:w="240" w:type="dxa"/>
            <w:tcBorders>
              <w:top w:val="nil"/>
              <w:left w:val="nil"/>
              <w:bottom w:val="nil"/>
              <w:right w:val="single" w:sz="4" w:space="0" w:color="auto"/>
            </w:tcBorders>
            <w:shd w:val="clear" w:color="auto" w:fill="auto"/>
            <w:noWrap/>
            <w:vAlign w:val="bottom"/>
            <w:hideMark/>
          </w:tcPr>
          <w:p w14:paraId="3D0C309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7B09534"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849AEC"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1FA476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199169B9"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7A919FF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FB3BF8C"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hic_R1_M</w:t>
            </w:r>
          </w:p>
        </w:tc>
        <w:tc>
          <w:tcPr>
            <w:tcW w:w="1709" w:type="dxa"/>
            <w:tcBorders>
              <w:top w:val="nil"/>
              <w:left w:val="nil"/>
              <w:bottom w:val="single" w:sz="4" w:space="0" w:color="auto"/>
              <w:right w:val="single" w:sz="4" w:space="0" w:color="auto"/>
            </w:tcBorders>
            <w:shd w:val="clear" w:color="auto" w:fill="auto"/>
            <w:noWrap/>
            <w:vAlign w:val="bottom"/>
            <w:hideMark/>
          </w:tcPr>
          <w:p w14:paraId="6DC82377"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3205829E"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1870C0F1"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38A6935A"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696FA73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7B6E68F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55BE3F06"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4B87888F"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4038567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single" w:sz="4" w:space="0" w:color="auto"/>
              <w:bottom w:val="single" w:sz="4" w:space="0" w:color="auto"/>
              <w:right w:val="single" w:sz="4" w:space="0" w:color="auto"/>
            </w:tcBorders>
            <w:shd w:val="clear" w:color="auto" w:fill="auto"/>
            <w:noWrap/>
            <w:vAlign w:val="bottom"/>
            <w:hideMark/>
          </w:tcPr>
          <w:p w14:paraId="4C5990C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M</w:t>
            </w:r>
          </w:p>
        </w:tc>
        <w:tc>
          <w:tcPr>
            <w:tcW w:w="2107" w:type="dxa"/>
            <w:tcBorders>
              <w:top w:val="nil"/>
              <w:left w:val="nil"/>
              <w:bottom w:val="single" w:sz="4" w:space="0" w:color="auto"/>
              <w:right w:val="single" w:sz="4" w:space="0" w:color="auto"/>
            </w:tcBorders>
            <w:shd w:val="clear" w:color="auto" w:fill="auto"/>
            <w:noWrap/>
            <w:vAlign w:val="bottom"/>
            <w:hideMark/>
          </w:tcPr>
          <w:p w14:paraId="23133C8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VGP Hi-C</w:t>
            </w:r>
          </w:p>
        </w:tc>
        <w:tc>
          <w:tcPr>
            <w:tcW w:w="2571" w:type="dxa"/>
            <w:tcBorders>
              <w:top w:val="nil"/>
              <w:left w:val="nil"/>
              <w:bottom w:val="single" w:sz="4" w:space="0" w:color="auto"/>
              <w:right w:val="single" w:sz="4" w:space="0" w:color="auto"/>
            </w:tcBorders>
            <w:shd w:val="clear" w:color="auto" w:fill="auto"/>
            <w:noWrap/>
            <w:vAlign w:val="bottom"/>
            <w:hideMark/>
          </w:tcPr>
          <w:p w14:paraId="340660B6"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hic_R2_M</w:t>
            </w:r>
          </w:p>
        </w:tc>
        <w:tc>
          <w:tcPr>
            <w:tcW w:w="1709" w:type="dxa"/>
            <w:tcBorders>
              <w:top w:val="nil"/>
              <w:left w:val="nil"/>
              <w:bottom w:val="single" w:sz="4" w:space="0" w:color="auto"/>
              <w:right w:val="single" w:sz="4" w:space="0" w:color="auto"/>
            </w:tcBorders>
            <w:shd w:val="clear" w:color="auto" w:fill="auto"/>
            <w:noWrap/>
            <w:vAlign w:val="bottom"/>
            <w:hideMark/>
          </w:tcPr>
          <w:p w14:paraId="73B8F324"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77,212,809,900</w:t>
            </w:r>
          </w:p>
        </w:tc>
        <w:tc>
          <w:tcPr>
            <w:tcW w:w="1740" w:type="dxa"/>
            <w:tcBorders>
              <w:top w:val="nil"/>
              <w:left w:val="nil"/>
              <w:bottom w:val="single" w:sz="4" w:space="0" w:color="auto"/>
              <w:right w:val="single" w:sz="4" w:space="0" w:color="auto"/>
            </w:tcBorders>
            <w:shd w:val="clear" w:color="auto" w:fill="auto"/>
            <w:noWrap/>
            <w:vAlign w:val="bottom"/>
            <w:hideMark/>
          </w:tcPr>
          <w:p w14:paraId="1954A1CB"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514,752,066</w:t>
            </w:r>
          </w:p>
        </w:tc>
        <w:tc>
          <w:tcPr>
            <w:tcW w:w="1878" w:type="dxa"/>
            <w:tcBorders>
              <w:top w:val="nil"/>
              <w:left w:val="nil"/>
              <w:bottom w:val="single" w:sz="4" w:space="0" w:color="auto"/>
              <w:right w:val="single" w:sz="4" w:space="0" w:color="auto"/>
            </w:tcBorders>
            <w:shd w:val="clear" w:color="auto" w:fill="auto"/>
            <w:noWrap/>
            <w:vAlign w:val="bottom"/>
            <w:hideMark/>
          </w:tcPr>
          <w:p w14:paraId="5ECFAA0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150</w:t>
            </w:r>
          </w:p>
        </w:tc>
        <w:tc>
          <w:tcPr>
            <w:tcW w:w="493" w:type="dxa"/>
            <w:tcBorders>
              <w:top w:val="nil"/>
              <w:left w:val="nil"/>
              <w:bottom w:val="single" w:sz="4" w:space="0" w:color="auto"/>
              <w:right w:val="single" w:sz="4" w:space="0" w:color="auto"/>
            </w:tcBorders>
            <w:shd w:val="clear" w:color="auto" w:fill="auto"/>
            <w:noWrap/>
            <w:vAlign w:val="bottom"/>
            <w:hideMark/>
          </w:tcPr>
          <w:p w14:paraId="5FB9F095"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46%</w:t>
            </w:r>
          </w:p>
        </w:tc>
        <w:tc>
          <w:tcPr>
            <w:tcW w:w="2259" w:type="dxa"/>
            <w:tcBorders>
              <w:top w:val="nil"/>
              <w:left w:val="nil"/>
              <w:bottom w:val="single" w:sz="4" w:space="0" w:color="auto"/>
              <w:right w:val="single" w:sz="4" w:space="0" w:color="auto"/>
            </w:tcBorders>
            <w:shd w:val="clear" w:color="auto" w:fill="auto"/>
            <w:noWrap/>
            <w:vAlign w:val="bottom"/>
            <w:hideMark/>
          </w:tcPr>
          <w:p w14:paraId="7B4F6682" w14:textId="77777777" w:rsidR="007E7567" w:rsidRPr="007E7567" w:rsidRDefault="007E7567" w:rsidP="0011235A">
            <w:pPr>
              <w:spacing w:after="0" w:line="240" w:lineRule="auto"/>
              <w:jc w:val="center"/>
              <w:rPr>
                <w:rFonts w:ascii="Calibri Light" w:eastAsia="Times New Roman" w:hAnsi="Calibri Light" w:cs="Calibri Light"/>
                <w:color w:val="000000"/>
              </w:rPr>
            </w:pPr>
            <w:r w:rsidRPr="007E7567">
              <w:rPr>
                <w:rFonts w:ascii="Calibri Light" w:eastAsia="Times New Roman" w:hAnsi="Calibri Light" w:cs="Calibri Light"/>
                <w:color w:val="000000"/>
              </w:rPr>
              <w:t>34</w:t>
            </w:r>
          </w:p>
        </w:tc>
        <w:tc>
          <w:tcPr>
            <w:tcW w:w="240" w:type="dxa"/>
            <w:tcBorders>
              <w:top w:val="nil"/>
              <w:left w:val="nil"/>
              <w:bottom w:val="nil"/>
              <w:right w:val="single" w:sz="4" w:space="0" w:color="auto"/>
            </w:tcBorders>
            <w:shd w:val="clear" w:color="auto" w:fill="auto"/>
            <w:noWrap/>
            <w:vAlign w:val="bottom"/>
            <w:hideMark/>
          </w:tcPr>
          <w:p w14:paraId="301C7606"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4EE89421"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7ED4727E" w14:textId="77777777" w:rsidTr="007E7567">
        <w:trPr>
          <w:trHeight w:val="280"/>
          <w:jc w:val="center"/>
        </w:trPr>
        <w:tc>
          <w:tcPr>
            <w:tcW w:w="240" w:type="dxa"/>
            <w:tcBorders>
              <w:top w:val="nil"/>
              <w:left w:val="single" w:sz="4" w:space="0" w:color="auto"/>
              <w:bottom w:val="nil"/>
              <w:right w:val="nil"/>
            </w:tcBorders>
            <w:shd w:val="clear" w:color="auto" w:fill="auto"/>
            <w:noWrap/>
            <w:vAlign w:val="bottom"/>
            <w:hideMark/>
          </w:tcPr>
          <w:p w14:paraId="298EB63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3127" w:type="dxa"/>
            <w:gridSpan w:val="8"/>
            <w:tcBorders>
              <w:top w:val="single" w:sz="4" w:space="0" w:color="auto"/>
              <w:left w:val="nil"/>
              <w:bottom w:val="nil"/>
              <w:right w:val="nil"/>
            </w:tcBorders>
            <w:shd w:val="clear" w:color="auto" w:fill="auto"/>
            <w:noWrap/>
            <w:vAlign w:val="bottom"/>
            <w:hideMark/>
          </w:tcPr>
          <w:p w14:paraId="62F1DEEE" w14:textId="0D37D9B9"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*Illumina based sequencing (</w:t>
            </w:r>
            <w:r w:rsidR="00AB2E55">
              <w:rPr>
                <w:rFonts w:ascii="Calibri Light" w:eastAsia="Times New Roman" w:hAnsi="Calibri Light" w:cs="Calibri Light"/>
                <w:color w:val="000000"/>
              </w:rPr>
              <w:t>linked read</w:t>
            </w:r>
            <w:r w:rsidRPr="007E7567">
              <w:rPr>
                <w:rFonts w:ascii="Calibri Light" w:eastAsia="Times New Roman" w:hAnsi="Calibri Light" w:cs="Calibri Light"/>
                <w:color w:val="000000"/>
              </w:rPr>
              <w:t xml:space="preserve"> and hi-c) calculated from the output of </w:t>
            </w:r>
            <w:proofErr w:type="spellStart"/>
            <w:r w:rsidRPr="007E7567">
              <w:rPr>
                <w:rFonts w:ascii="Calibri Light" w:eastAsia="Times New Roman" w:hAnsi="Calibri Light" w:cs="Calibri Light"/>
                <w:color w:val="000000"/>
              </w:rPr>
              <w:t>fastqc</w:t>
            </w:r>
            <w:proofErr w:type="spellEnd"/>
            <w:r w:rsidRPr="007E7567">
              <w:rPr>
                <w:rFonts w:ascii="Calibri Light" w:eastAsia="Times New Roman" w:hAnsi="Calibri Light" w:cs="Calibri Light"/>
                <w:color w:val="000000"/>
              </w:rPr>
              <w:t xml:space="preserve"> (Supplemental Table 1).</w:t>
            </w:r>
          </w:p>
        </w:tc>
        <w:tc>
          <w:tcPr>
            <w:tcW w:w="240" w:type="dxa"/>
            <w:tcBorders>
              <w:top w:val="nil"/>
              <w:left w:val="nil"/>
              <w:bottom w:val="nil"/>
              <w:right w:val="single" w:sz="4" w:space="0" w:color="auto"/>
            </w:tcBorders>
            <w:shd w:val="clear" w:color="auto" w:fill="auto"/>
            <w:noWrap/>
            <w:vAlign w:val="bottom"/>
            <w:hideMark/>
          </w:tcPr>
          <w:p w14:paraId="7402471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166D6BFC" w14:textId="77777777" w:rsidR="007E7567" w:rsidRPr="007E7567" w:rsidRDefault="007E7567" w:rsidP="0011235A">
            <w:pPr>
              <w:spacing w:after="0" w:line="240" w:lineRule="auto"/>
              <w:jc w:val="left"/>
              <w:rPr>
                <w:rFonts w:ascii="Times New Roman" w:eastAsia="Times New Roman" w:hAnsi="Times New Roman" w:cs="Times New Roman"/>
              </w:rPr>
            </w:pPr>
          </w:p>
        </w:tc>
      </w:tr>
      <w:tr w:rsidR="007E7567" w:rsidRPr="007E7567" w14:paraId="34ED5EB9" w14:textId="77777777" w:rsidTr="007E7567">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73944B5"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370" w:type="dxa"/>
            <w:tcBorders>
              <w:top w:val="nil"/>
              <w:left w:val="nil"/>
              <w:bottom w:val="single" w:sz="4" w:space="0" w:color="auto"/>
              <w:right w:val="nil"/>
            </w:tcBorders>
            <w:shd w:val="clear" w:color="auto" w:fill="auto"/>
            <w:noWrap/>
            <w:vAlign w:val="bottom"/>
            <w:hideMark/>
          </w:tcPr>
          <w:p w14:paraId="2B0DB430"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107" w:type="dxa"/>
            <w:tcBorders>
              <w:top w:val="nil"/>
              <w:left w:val="nil"/>
              <w:bottom w:val="single" w:sz="4" w:space="0" w:color="auto"/>
              <w:right w:val="nil"/>
            </w:tcBorders>
            <w:shd w:val="clear" w:color="auto" w:fill="auto"/>
            <w:noWrap/>
            <w:vAlign w:val="bottom"/>
            <w:hideMark/>
          </w:tcPr>
          <w:p w14:paraId="47C66682"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571" w:type="dxa"/>
            <w:tcBorders>
              <w:top w:val="nil"/>
              <w:left w:val="nil"/>
              <w:bottom w:val="single" w:sz="4" w:space="0" w:color="auto"/>
              <w:right w:val="nil"/>
            </w:tcBorders>
            <w:shd w:val="clear" w:color="auto" w:fill="auto"/>
            <w:noWrap/>
            <w:vAlign w:val="bottom"/>
            <w:hideMark/>
          </w:tcPr>
          <w:p w14:paraId="21577799"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09" w:type="dxa"/>
            <w:tcBorders>
              <w:top w:val="nil"/>
              <w:left w:val="nil"/>
              <w:bottom w:val="single" w:sz="4" w:space="0" w:color="auto"/>
              <w:right w:val="nil"/>
            </w:tcBorders>
            <w:shd w:val="clear" w:color="auto" w:fill="auto"/>
            <w:noWrap/>
            <w:vAlign w:val="bottom"/>
            <w:hideMark/>
          </w:tcPr>
          <w:p w14:paraId="3393F16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740" w:type="dxa"/>
            <w:tcBorders>
              <w:top w:val="nil"/>
              <w:left w:val="nil"/>
              <w:bottom w:val="single" w:sz="4" w:space="0" w:color="auto"/>
              <w:right w:val="nil"/>
            </w:tcBorders>
            <w:shd w:val="clear" w:color="auto" w:fill="auto"/>
            <w:noWrap/>
            <w:vAlign w:val="bottom"/>
            <w:hideMark/>
          </w:tcPr>
          <w:p w14:paraId="4DA13843"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1878" w:type="dxa"/>
            <w:tcBorders>
              <w:top w:val="nil"/>
              <w:left w:val="nil"/>
              <w:bottom w:val="single" w:sz="4" w:space="0" w:color="auto"/>
              <w:right w:val="nil"/>
            </w:tcBorders>
            <w:shd w:val="clear" w:color="auto" w:fill="auto"/>
            <w:noWrap/>
            <w:vAlign w:val="bottom"/>
            <w:hideMark/>
          </w:tcPr>
          <w:p w14:paraId="3CF84A7E"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493" w:type="dxa"/>
            <w:tcBorders>
              <w:top w:val="nil"/>
              <w:left w:val="nil"/>
              <w:bottom w:val="single" w:sz="4" w:space="0" w:color="auto"/>
              <w:right w:val="nil"/>
            </w:tcBorders>
            <w:shd w:val="clear" w:color="auto" w:fill="auto"/>
            <w:noWrap/>
            <w:vAlign w:val="bottom"/>
            <w:hideMark/>
          </w:tcPr>
          <w:p w14:paraId="1C4E89AF"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259" w:type="dxa"/>
            <w:tcBorders>
              <w:top w:val="nil"/>
              <w:left w:val="nil"/>
              <w:bottom w:val="single" w:sz="4" w:space="0" w:color="auto"/>
              <w:right w:val="nil"/>
            </w:tcBorders>
            <w:shd w:val="clear" w:color="auto" w:fill="auto"/>
            <w:noWrap/>
            <w:vAlign w:val="bottom"/>
            <w:hideMark/>
          </w:tcPr>
          <w:p w14:paraId="0C04C41C"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2DE42F3A" w14:textId="77777777" w:rsidR="007E7567" w:rsidRPr="007E7567" w:rsidRDefault="007E7567" w:rsidP="0011235A">
            <w:pPr>
              <w:spacing w:after="0" w:line="240" w:lineRule="auto"/>
              <w:jc w:val="left"/>
              <w:rPr>
                <w:rFonts w:ascii="Calibri Light" w:eastAsia="Times New Roman" w:hAnsi="Calibri Light" w:cs="Calibri Light"/>
                <w:color w:val="000000"/>
              </w:rPr>
            </w:pPr>
            <w:r w:rsidRPr="007E7567">
              <w:rPr>
                <w:rFonts w:ascii="Calibri Light" w:eastAsia="Times New Roman" w:hAnsi="Calibri Light" w:cs="Calibri Light"/>
                <w:color w:val="000000"/>
              </w:rPr>
              <w:t> </w:t>
            </w:r>
          </w:p>
        </w:tc>
        <w:tc>
          <w:tcPr>
            <w:tcW w:w="93" w:type="dxa"/>
            <w:vAlign w:val="center"/>
            <w:hideMark/>
          </w:tcPr>
          <w:p w14:paraId="25F4A1BC" w14:textId="77777777" w:rsidR="007E7567" w:rsidRPr="007E7567" w:rsidRDefault="007E7567" w:rsidP="0011235A">
            <w:pPr>
              <w:spacing w:after="0" w:line="240" w:lineRule="auto"/>
              <w:jc w:val="left"/>
              <w:rPr>
                <w:rFonts w:ascii="Times New Roman" w:eastAsia="Times New Roman" w:hAnsi="Times New Roman" w:cs="Times New Roman"/>
              </w:rPr>
            </w:pPr>
          </w:p>
        </w:tc>
      </w:tr>
    </w:tbl>
    <w:p w14:paraId="511822C2" w14:textId="041AD48B" w:rsidR="000E70AC" w:rsidRDefault="000E70AC" w:rsidP="0011235A">
      <w:pPr>
        <w:spacing w:line="240" w:lineRule="auto"/>
        <w:jc w:val="center"/>
        <w:sectPr w:rsidR="000E70AC" w:rsidSect="00317A9B">
          <w:pgSz w:w="20160" w:h="12240" w:orient="landscape"/>
          <w:pgMar w:top="1440" w:right="1440" w:bottom="1440" w:left="1440" w:header="720" w:footer="720" w:gutter="0"/>
          <w:cols w:space="720"/>
          <w:docGrid w:linePitch="360"/>
        </w:sectPr>
      </w:pPr>
    </w:p>
    <w:tbl>
      <w:tblPr>
        <w:tblpPr w:leftFromText="180" w:rightFromText="180" w:vertAnchor="text" w:tblpXSpec="center" w:tblpY="41"/>
        <w:tblW w:w="15852" w:type="dxa"/>
        <w:tblLook w:val="04A0" w:firstRow="1" w:lastRow="0" w:firstColumn="1" w:lastColumn="0" w:noHBand="0" w:noVBand="1"/>
      </w:tblPr>
      <w:tblGrid>
        <w:gridCol w:w="280"/>
        <w:gridCol w:w="1240"/>
        <w:gridCol w:w="1280"/>
        <w:gridCol w:w="1478"/>
        <w:gridCol w:w="1227"/>
        <w:gridCol w:w="1227"/>
        <w:gridCol w:w="1227"/>
        <w:gridCol w:w="1227"/>
        <w:gridCol w:w="1478"/>
        <w:gridCol w:w="1227"/>
        <w:gridCol w:w="1227"/>
        <w:gridCol w:w="1227"/>
        <w:gridCol w:w="1227"/>
        <w:gridCol w:w="280"/>
      </w:tblGrid>
      <w:tr w:rsidR="000E70AC" w:rsidRPr="002338D3" w14:paraId="624B6805" w14:textId="77777777" w:rsidTr="00317A9B">
        <w:trPr>
          <w:trHeight w:val="320"/>
        </w:trPr>
        <w:tc>
          <w:tcPr>
            <w:tcW w:w="280" w:type="dxa"/>
            <w:tcBorders>
              <w:top w:val="single" w:sz="4" w:space="0" w:color="auto"/>
              <w:left w:val="single" w:sz="4" w:space="0" w:color="auto"/>
              <w:bottom w:val="nil"/>
              <w:right w:val="nil"/>
            </w:tcBorders>
            <w:shd w:val="clear" w:color="auto" w:fill="auto"/>
            <w:noWrap/>
            <w:vAlign w:val="bottom"/>
            <w:hideMark/>
          </w:tcPr>
          <w:p w14:paraId="145895D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lastRenderedPageBreak/>
              <w:t> </w:t>
            </w:r>
          </w:p>
        </w:tc>
        <w:tc>
          <w:tcPr>
            <w:tcW w:w="1240" w:type="dxa"/>
            <w:tcBorders>
              <w:top w:val="single" w:sz="4" w:space="0" w:color="auto"/>
              <w:left w:val="nil"/>
              <w:bottom w:val="nil"/>
              <w:right w:val="nil"/>
            </w:tcBorders>
            <w:shd w:val="clear" w:color="auto" w:fill="auto"/>
            <w:noWrap/>
            <w:vAlign w:val="bottom"/>
            <w:hideMark/>
          </w:tcPr>
          <w:p w14:paraId="257A100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single" w:sz="4" w:space="0" w:color="auto"/>
              <w:left w:val="nil"/>
              <w:bottom w:val="nil"/>
              <w:right w:val="nil"/>
            </w:tcBorders>
            <w:shd w:val="clear" w:color="auto" w:fill="auto"/>
            <w:noWrap/>
            <w:vAlign w:val="bottom"/>
            <w:hideMark/>
          </w:tcPr>
          <w:p w14:paraId="56C6E1F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26D6DA3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B7ED0B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18E62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354317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9FAA9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single" w:sz="4" w:space="0" w:color="auto"/>
              <w:left w:val="nil"/>
              <w:bottom w:val="nil"/>
              <w:right w:val="nil"/>
            </w:tcBorders>
            <w:shd w:val="clear" w:color="auto" w:fill="auto"/>
            <w:noWrap/>
            <w:vAlign w:val="bottom"/>
            <w:hideMark/>
          </w:tcPr>
          <w:p w14:paraId="504F413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0B855DE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167043F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6BECBE9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single" w:sz="4" w:space="0" w:color="auto"/>
              <w:left w:val="nil"/>
              <w:bottom w:val="nil"/>
              <w:right w:val="nil"/>
            </w:tcBorders>
            <w:shd w:val="clear" w:color="auto" w:fill="auto"/>
            <w:noWrap/>
            <w:vAlign w:val="bottom"/>
            <w:hideMark/>
          </w:tcPr>
          <w:p w14:paraId="7458687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single" w:sz="4" w:space="0" w:color="auto"/>
              <w:left w:val="nil"/>
              <w:bottom w:val="nil"/>
              <w:right w:val="single" w:sz="4" w:space="0" w:color="auto"/>
            </w:tcBorders>
            <w:shd w:val="clear" w:color="auto" w:fill="auto"/>
            <w:noWrap/>
            <w:vAlign w:val="bottom"/>
            <w:hideMark/>
          </w:tcPr>
          <w:p w14:paraId="7EAD881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64410650" w14:textId="77777777" w:rsidTr="00317A9B">
        <w:trPr>
          <w:trHeight w:val="1260"/>
        </w:trPr>
        <w:tc>
          <w:tcPr>
            <w:tcW w:w="280" w:type="dxa"/>
            <w:tcBorders>
              <w:top w:val="nil"/>
              <w:left w:val="single" w:sz="4" w:space="0" w:color="auto"/>
              <w:bottom w:val="nil"/>
              <w:right w:val="nil"/>
            </w:tcBorders>
            <w:shd w:val="clear" w:color="auto" w:fill="auto"/>
            <w:noWrap/>
            <w:vAlign w:val="bottom"/>
            <w:hideMark/>
          </w:tcPr>
          <w:p w14:paraId="01E27D8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5292" w:type="dxa"/>
            <w:gridSpan w:val="12"/>
            <w:tcBorders>
              <w:top w:val="nil"/>
              <w:left w:val="nil"/>
              <w:bottom w:val="single" w:sz="8" w:space="0" w:color="auto"/>
              <w:right w:val="nil"/>
            </w:tcBorders>
            <w:shd w:val="clear" w:color="auto" w:fill="auto"/>
            <w:vAlign w:val="center"/>
            <w:hideMark/>
          </w:tcPr>
          <w:p w14:paraId="68F68B97" w14:textId="38F152D2" w:rsidR="000E70AC" w:rsidRPr="002338D3" w:rsidRDefault="000E70AC" w:rsidP="0011235A">
            <w:pPr>
              <w:spacing w:after="0" w:line="240" w:lineRule="auto"/>
              <w:jc w:val="left"/>
              <w:rPr>
                <w:rFonts w:ascii="Calibri Light" w:eastAsia="Times New Roman" w:hAnsi="Calibri Light" w:cs="Calibri Light"/>
                <w:b/>
                <w:bCs/>
                <w:color w:val="000000"/>
              </w:rPr>
            </w:pPr>
            <w:r w:rsidRPr="002338D3">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2338D3">
              <w:rPr>
                <w:rFonts w:ascii="Calibri Light" w:eastAsia="Times New Roman" w:hAnsi="Calibri Light" w:cs="Calibri Light"/>
                <w:b/>
                <w:bCs/>
                <w:color w:val="000000"/>
              </w:rPr>
              <w:t xml:space="preserve">4. </w:t>
            </w:r>
            <w:r w:rsidRPr="002338D3">
              <w:rPr>
                <w:rFonts w:ascii="Calibri Light" w:eastAsia="Times New Roman" w:hAnsi="Calibri Light" w:cs="Calibri Light"/>
                <w:color w:val="000000"/>
              </w:rPr>
              <w:t>Table of assembly steps with corresponding metrics. A</w:t>
            </w:r>
            <w:r w:rsidRPr="007E7567">
              <w:rPr>
                <w:rFonts w:ascii="Calibri Light" w:eastAsia="Times New Roman" w:hAnsi="Calibri Light" w:cs="Calibri Light"/>
                <w:color w:val="000000"/>
                <w:vertAlign w:val="subscript"/>
              </w:rPr>
              <w:t>0</w:t>
            </w:r>
            <w:r w:rsidRPr="002338D3">
              <w:rPr>
                <w:rFonts w:ascii="Calibri Light" w:eastAsia="Times New Roman" w:hAnsi="Calibri Light" w:cs="Calibri Light"/>
                <w:color w:val="000000"/>
              </w:rPr>
              <w:t xml:space="preserve"> = Metrics for unassembled, filtered PacBio HiFi reads;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 draft resulting from initial long-read assembly step; A</w:t>
            </w:r>
            <w:r w:rsidRPr="007E7567">
              <w:rPr>
                <w:rFonts w:ascii="Calibri Light" w:eastAsia="Times New Roman" w:hAnsi="Calibri Light" w:cs="Calibri Light"/>
                <w:color w:val="000000"/>
                <w:vertAlign w:val="subscript"/>
              </w:rPr>
              <w:t>2</w:t>
            </w:r>
            <w:r w:rsidRPr="002338D3">
              <w:rPr>
                <w:rFonts w:ascii="Calibri Light" w:eastAsia="Times New Roman" w:hAnsi="Calibri Light" w:cs="Calibri Light"/>
                <w:color w:val="000000"/>
              </w:rPr>
              <w:t xml:space="preserve"> = draft resulting from scaffolding A</w:t>
            </w:r>
            <w:r w:rsidRPr="007E7567">
              <w:rPr>
                <w:rFonts w:ascii="Calibri Light" w:eastAsia="Times New Roman" w:hAnsi="Calibri Light" w:cs="Calibri Light"/>
                <w:color w:val="000000"/>
                <w:vertAlign w:val="subscript"/>
              </w:rPr>
              <w:t>1</w:t>
            </w:r>
            <w:r w:rsidRPr="002338D3">
              <w:rPr>
                <w:rFonts w:ascii="Calibri Light" w:eastAsia="Times New Roman" w:hAnsi="Calibri Light" w:cs="Calibri Light"/>
                <w:color w:val="000000"/>
              </w:rPr>
              <w:t xml:space="preserve"> assembly using linked-reads; A</w:t>
            </w:r>
            <w:r w:rsidRPr="007E7567">
              <w:rPr>
                <w:rFonts w:ascii="Calibri Light" w:eastAsia="Times New Roman" w:hAnsi="Calibri Light" w:cs="Calibri Light"/>
                <w:color w:val="000000"/>
                <w:vertAlign w:val="subscript"/>
              </w:rPr>
              <w:t>3</w:t>
            </w:r>
            <w:r w:rsidRPr="002338D3">
              <w:rPr>
                <w:rFonts w:ascii="Calibri Light" w:eastAsia="Times New Roman" w:hAnsi="Calibri Light" w:cs="Calibri Light"/>
                <w:color w:val="000000"/>
              </w:rPr>
              <w:t xml:space="preserve"> = draft resulting from scaffolding A2 assembly using </w:t>
            </w:r>
            <w:r w:rsidR="00C6769A">
              <w:rPr>
                <w:rFonts w:ascii="Calibri Light" w:eastAsia="Times New Roman" w:hAnsi="Calibri Light" w:cs="Calibri Light"/>
                <w:color w:val="000000"/>
              </w:rPr>
              <w:t>H</w:t>
            </w:r>
            <w:r w:rsidRPr="002338D3">
              <w:rPr>
                <w:rFonts w:ascii="Calibri Light" w:eastAsia="Times New Roman" w:hAnsi="Calibri Light" w:cs="Calibri Light"/>
                <w:color w:val="000000"/>
              </w:rPr>
              <w:t>i-</w:t>
            </w:r>
            <w:r w:rsidR="00C6769A">
              <w:rPr>
                <w:rFonts w:ascii="Calibri Light" w:eastAsia="Times New Roman" w:hAnsi="Calibri Light" w:cs="Calibri Light"/>
                <w:color w:val="000000"/>
              </w:rPr>
              <w:t>C</w:t>
            </w:r>
            <w:r w:rsidRPr="002338D3">
              <w:rPr>
                <w:rFonts w:ascii="Calibri Light" w:eastAsia="Times New Roman" w:hAnsi="Calibri Light" w:cs="Calibri Light"/>
                <w:color w:val="000000"/>
              </w:rPr>
              <w:t xml:space="preserve"> data; A</w:t>
            </w:r>
            <w:r w:rsidRPr="007E7567">
              <w:rPr>
                <w:rFonts w:ascii="Calibri Light" w:eastAsia="Times New Roman" w:hAnsi="Calibri Light" w:cs="Calibri Light"/>
                <w:color w:val="000000"/>
                <w:vertAlign w:val="subscript"/>
              </w:rPr>
              <w:t>4</w:t>
            </w:r>
            <w:r w:rsidRPr="002338D3">
              <w:rPr>
                <w:rFonts w:ascii="Calibri Light" w:eastAsia="Times New Roman" w:hAnsi="Calibri Light" w:cs="Calibri Light"/>
                <w:color w:val="000000"/>
              </w:rPr>
              <w:t xml:space="preserve"> = final assembly metrics resulting from anchoring chromosomes with a linkage map. Continuity metrics created from </w:t>
            </w:r>
            <w:proofErr w:type="spellStart"/>
            <w:r w:rsidRPr="002338D3">
              <w:rPr>
                <w:rFonts w:ascii="Calibri Light" w:eastAsia="Times New Roman" w:hAnsi="Calibri Light" w:cs="Calibri Light"/>
                <w:color w:val="000000"/>
              </w:rPr>
              <w:t>genometools</w:t>
            </w:r>
            <w:proofErr w:type="spellEnd"/>
            <w:r w:rsidRPr="002338D3">
              <w:rPr>
                <w:rFonts w:ascii="Calibri Light" w:eastAsia="Times New Roman" w:hAnsi="Calibri Light" w:cs="Calibri Light"/>
                <w:color w:val="000000"/>
              </w:rPr>
              <w:t xml:space="preserve">, BUSCO scores from comparison to August 05, </w:t>
            </w:r>
            <w:proofErr w:type="gramStart"/>
            <w:r w:rsidRPr="002338D3">
              <w:rPr>
                <w:rFonts w:ascii="Calibri Light" w:eastAsia="Times New Roman" w:hAnsi="Calibri Light" w:cs="Calibri Light"/>
                <w:color w:val="000000"/>
              </w:rPr>
              <w:t>2020</w:t>
            </w:r>
            <w:proofErr w:type="gramEnd"/>
            <w:r w:rsidRPr="002338D3">
              <w:rPr>
                <w:rFonts w:ascii="Calibri Light" w:eastAsia="Times New Roman" w:hAnsi="Calibri Light" w:cs="Calibri Light"/>
                <w:color w:val="000000"/>
              </w:rPr>
              <w:t xml:space="preserve"> Actinopterygii </w:t>
            </w:r>
            <w:r w:rsidR="007E7567">
              <w:rPr>
                <w:rFonts w:ascii="Calibri Light" w:eastAsia="Times New Roman" w:hAnsi="Calibri Light" w:cs="Calibri Light"/>
                <w:color w:val="000000"/>
              </w:rPr>
              <w:t xml:space="preserve">lineage </w:t>
            </w:r>
            <w:r w:rsidRPr="002338D3">
              <w:rPr>
                <w:rFonts w:ascii="Calibri Light" w:eastAsia="Times New Roman" w:hAnsi="Calibri Light" w:cs="Calibri Light"/>
                <w:color w:val="000000"/>
              </w:rPr>
              <w:t>gene (n=3640) dataset.</w:t>
            </w:r>
          </w:p>
        </w:tc>
        <w:tc>
          <w:tcPr>
            <w:tcW w:w="280" w:type="dxa"/>
            <w:tcBorders>
              <w:top w:val="nil"/>
              <w:left w:val="nil"/>
              <w:bottom w:val="nil"/>
              <w:right w:val="single" w:sz="4" w:space="0" w:color="auto"/>
            </w:tcBorders>
            <w:shd w:val="clear" w:color="auto" w:fill="auto"/>
            <w:noWrap/>
            <w:vAlign w:val="bottom"/>
            <w:hideMark/>
          </w:tcPr>
          <w:p w14:paraId="5556211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12353FB" w14:textId="77777777" w:rsidTr="00AB2E55">
        <w:trPr>
          <w:trHeight w:val="320"/>
        </w:trPr>
        <w:tc>
          <w:tcPr>
            <w:tcW w:w="280" w:type="dxa"/>
            <w:tcBorders>
              <w:top w:val="nil"/>
              <w:left w:val="single" w:sz="4" w:space="0" w:color="auto"/>
              <w:bottom w:val="nil"/>
              <w:right w:val="nil"/>
            </w:tcBorders>
            <w:shd w:val="clear" w:color="auto" w:fill="auto"/>
            <w:noWrap/>
            <w:vAlign w:val="bottom"/>
            <w:hideMark/>
          </w:tcPr>
          <w:p w14:paraId="2D9C0E6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val="restart"/>
            <w:tcBorders>
              <w:top w:val="single" w:sz="8" w:space="0" w:color="auto"/>
              <w:left w:val="single" w:sz="8" w:space="0" w:color="auto"/>
              <w:bottom w:val="single" w:sz="4" w:space="0" w:color="auto"/>
              <w:right w:val="single" w:sz="8" w:space="0" w:color="000000"/>
            </w:tcBorders>
            <w:shd w:val="clear" w:color="000000" w:fill="D9D9D9"/>
            <w:vAlign w:val="center"/>
            <w:hideMark/>
          </w:tcPr>
          <w:p w14:paraId="56E1F32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Metrics</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353A795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Male</w:t>
            </w:r>
          </w:p>
        </w:tc>
        <w:tc>
          <w:tcPr>
            <w:tcW w:w="6386" w:type="dxa"/>
            <w:gridSpan w:val="5"/>
            <w:tcBorders>
              <w:top w:val="single" w:sz="8" w:space="0" w:color="auto"/>
              <w:left w:val="nil"/>
              <w:bottom w:val="single" w:sz="4" w:space="0" w:color="auto"/>
              <w:right w:val="single" w:sz="8" w:space="0" w:color="000000"/>
            </w:tcBorders>
            <w:shd w:val="clear" w:color="000000" w:fill="D9D9D9"/>
            <w:vAlign w:val="center"/>
            <w:hideMark/>
          </w:tcPr>
          <w:p w14:paraId="1F4E95D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rPr>
              <w:t>Female</w:t>
            </w:r>
          </w:p>
        </w:tc>
        <w:tc>
          <w:tcPr>
            <w:tcW w:w="280" w:type="dxa"/>
            <w:tcBorders>
              <w:top w:val="nil"/>
              <w:left w:val="nil"/>
              <w:bottom w:val="nil"/>
              <w:right w:val="single" w:sz="4" w:space="0" w:color="auto"/>
            </w:tcBorders>
            <w:shd w:val="clear" w:color="auto" w:fill="auto"/>
            <w:noWrap/>
            <w:vAlign w:val="bottom"/>
            <w:hideMark/>
          </w:tcPr>
          <w:p w14:paraId="24D8182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42F6680E" w14:textId="77777777" w:rsidTr="00AB2E55">
        <w:trPr>
          <w:trHeight w:val="340"/>
        </w:trPr>
        <w:tc>
          <w:tcPr>
            <w:tcW w:w="280" w:type="dxa"/>
            <w:tcBorders>
              <w:top w:val="nil"/>
              <w:left w:val="single" w:sz="4" w:space="0" w:color="auto"/>
              <w:bottom w:val="nil"/>
              <w:right w:val="nil"/>
            </w:tcBorders>
            <w:shd w:val="clear" w:color="auto" w:fill="auto"/>
            <w:noWrap/>
            <w:vAlign w:val="bottom"/>
            <w:hideMark/>
          </w:tcPr>
          <w:p w14:paraId="1359866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520" w:type="dxa"/>
            <w:gridSpan w:val="2"/>
            <w:vMerge/>
            <w:tcBorders>
              <w:top w:val="single" w:sz="8" w:space="0" w:color="000000"/>
              <w:left w:val="single" w:sz="4" w:space="0" w:color="auto"/>
              <w:bottom w:val="single" w:sz="4" w:space="0" w:color="auto"/>
              <w:right w:val="single" w:sz="4" w:space="0" w:color="auto"/>
            </w:tcBorders>
            <w:vAlign w:val="center"/>
            <w:hideMark/>
          </w:tcPr>
          <w:p w14:paraId="6C86A69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478" w:type="dxa"/>
            <w:tcBorders>
              <w:top w:val="nil"/>
              <w:left w:val="single" w:sz="4" w:space="0" w:color="auto"/>
              <w:bottom w:val="single" w:sz="8" w:space="0" w:color="auto"/>
              <w:right w:val="single" w:sz="4" w:space="0" w:color="auto"/>
            </w:tcBorders>
            <w:shd w:val="clear" w:color="000000" w:fill="D9D9D9"/>
            <w:noWrap/>
            <w:vAlign w:val="center"/>
            <w:hideMark/>
          </w:tcPr>
          <w:p w14:paraId="04B1C20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326D51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26EF7A1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4C2C28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5526869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1478" w:type="dxa"/>
            <w:tcBorders>
              <w:top w:val="nil"/>
              <w:left w:val="nil"/>
              <w:bottom w:val="single" w:sz="8" w:space="0" w:color="auto"/>
              <w:right w:val="single" w:sz="4" w:space="0" w:color="auto"/>
            </w:tcBorders>
            <w:shd w:val="clear" w:color="000000" w:fill="D9D9D9"/>
            <w:noWrap/>
            <w:vAlign w:val="center"/>
            <w:hideMark/>
          </w:tcPr>
          <w:p w14:paraId="4205E5D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0</w:t>
            </w:r>
          </w:p>
        </w:tc>
        <w:tc>
          <w:tcPr>
            <w:tcW w:w="1227" w:type="dxa"/>
            <w:tcBorders>
              <w:top w:val="nil"/>
              <w:left w:val="nil"/>
              <w:bottom w:val="single" w:sz="8" w:space="0" w:color="auto"/>
              <w:right w:val="single" w:sz="4" w:space="0" w:color="auto"/>
            </w:tcBorders>
            <w:shd w:val="clear" w:color="000000" w:fill="D9D9D9"/>
            <w:noWrap/>
            <w:vAlign w:val="center"/>
            <w:hideMark/>
          </w:tcPr>
          <w:p w14:paraId="774FF9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1</w:t>
            </w:r>
          </w:p>
        </w:tc>
        <w:tc>
          <w:tcPr>
            <w:tcW w:w="1227" w:type="dxa"/>
            <w:tcBorders>
              <w:top w:val="nil"/>
              <w:left w:val="nil"/>
              <w:bottom w:val="single" w:sz="8" w:space="0" w:color="auto"/>
              <w:right w:val="single" w:sz="4" w:space="0" w:color="auto"/>
            </w:tcBorders>
            <w:shd w:val="clear" w:color="000000" w:fill="D9D9D9"/>
            <w:noWrap/>
            <w:vAlign w:val="center"/>
            <w:hideMark/>
          </w:tcPr>
          <w:p w14:paraId="522AF4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2</w:t>
            </w:r>
          </w:p>
        </w:tc>
        <w:tc>
          <w:tcPr>
            <w:tcW w:w="1227" w:type="dxa"/>
            <w:tcBorders>
              <w:top w:val="nil"/>
              <w:left w:val="nil"/>
              <w:bottom w:val="single" w:sz="8" w:space="0" w:color="auto"/>
              <w:right w:val="single" w:sz="4" w:space="0" w:color="auto"/>
            </w:tcBorders>
            <w:shd w:val="clear" w:color="000000" w:fill="D9D9D9"/>
            <w:noWrap/>
            <w:vAlign w:val="center"/>
            <w:hideMark/>
          </w:tcPr>
          <w:p w14:paraId="54E5A2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3</w:t>
            </w:r>
          </w:p>
        </w:tc>
        <w:tc>
          <w:tcPr>
            <w:tcW w:w="1227" w:type="dxa"/>
            <w:tcBorders>
              <w:top w:val="nil"/>
              <w:left w:val="nil"/>
              <w:bottom w:val="single" w:sz="8" w:space="0" w:color="auto"/>
              <w:right w:val="single" w:sz="8" w:space="0" w:color="auto"/>
            </w:tcBorders>
            <w:shd w:val="clear" w:color="000000" w:fill="D9D9D9"/>
            <w:noWrap/>
            <w:vAlign w:val="center"/>
            <w:hideMark/>
          </w:tcPr>
          <w:p w14:paraId="088F98C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A</w:t>
            </w:r>
            <w:r w:rsidRPr="002338D3">
              <w:rPr>
                <w:rFonts w:ascii="Calibri Light" w:eastAsia="Times New Roman" w:hAnsi="Calibri Light" w:cs="Calibri Light"/>
                <w:color w:val="000000"/>
                <w:vertAlign w:val="subscript"/>
              </w:rPr>
              <w:t>4</w:t>
            </w:r>
          </w:p>
        </w:tc>
        <w:tc>
          <w:tcPr>
            <w:tcW w:w="280" w:type="dxa"/>
            <w:tcBorders>
              <w:top w:val="nil"/>
              <w:left w:val="nil"/>
              <w:bottom w:val="nil"/>
              <w:right w:val="single" w:sz="4" w:space="0" w:color="auto"/>
            </w:tcBorders>
            <w:shd w:val="clear" w:color="auto" w:fill="auto"/>
            <w:noWrap/>
            <w:vAlign w:val="bottom"/>
            <w:hideMark/>
          </w:tcPr>
          <w:p w14:paraId="07E3A32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E328080" w14:textId="77777777" w:rsidTr="00AB2E55">
        <w:trPr>
          <w:trHeight w:val="320"/>
        </w:trPr>
        <w:tc>
          <w:tcPr>
            <w:tcW w:w="280" w:type="dxa"/>
            <w:tcBorders>
              <w:top w:val="nil"/>
              <w:left w:val="single" w:sz="4" w:space="0" w:color="auto"/>
              <w:bottom w:val="nil"/>
              <w:right w:val="nil"/>
            </w:tcBorders>
            <w:shd w:val="clear" w:color="auto" w:fill="auto"/>
            <w:noWrap/>
            <w:vAlign w:val="center"/>
            <w:hideMark/>
          </w:tcPr>
          <w:p w14:paraId="0202C1F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3ED81B9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Continuity</w:t>
            </w:r>
            <w:r w:rsidRPr="002338D3">
              <w:rPr>
                <w:rFonts w:ascii="Calibri Light" w:eastAsia="Times New Roman" w:hAnsi="Calibri Light" w:cs="Calibri Light"/>
                <w:color w:val="000000"/>
              </w:rPr>
              <w:br/>
              <w:t>Metrics</w:t>
            </w:r>
          </w:p>
        </w:tc>
        <w:tc>
          <w:tcPr>
            <w:tcW w:w="1280" w:type="dxa"/>
            <w:tcBorders>
              <w:top w:val="single" w:sz="4" w:space="0" w:color="auto"/>
              <w:left w:val="nil"/>
              <w:bottom w:val="single" w:sz="4" w:space="0" w:color="auto"/>
              <w:right w:val="single" w:sz="8" w:space="0" w:color="auto"/>
            </w:tcBorders>
            <w:shd w:val="clear" w:color="auto" w:fill="auto"/>
            <w:vAlign w:val="center"/>
            <w:hideMark/>
          </w:tcPr>
          <w:p w14:paraId="03A82BA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N50 (bp)</w:t>
            </w:r>
          </w:p>
        </w:tc>
        <w:tc>
          <w:tcPr>
            <w:tcW w:w="1478" w:type="dxa"/>
            <w:tcBorders>
              <w:top w:val="nil"/>
              <w:left w:val="nil"/>
              <w:bottom w:val="single" w:sz="4" w:space="0" w:color="auto"/>
              <w:right w:val="single" w:sz="4" w:space="0" w:color="auto"/>
            </w:tcBorders>
            <w:shd w:val="clear" w:color="auto" w:fill="auto"/>
            <w:vAlign w:val="center"/>
            <w:hideMark/>
          </w:tcPr>
          <w:p w14:paraId="65A094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11,604</w:t>
            </w:r>
          </w:p>
        </w:tc>
        <w:tc>
          <w:tcPr>
            <w:tcW w:w="1227" w:type="dxa"/>
            <w:tcBorders>
              <w:top w:val="nil"/>
              <w:left w:val="nil"/>
              <w:bottom w:val="single" w:sz="4" w:space="0" w:color="auto"/>
              <w:right w:val="single" w:sz="4" w:space="0" w:color="auto"/>
            </w:tcBorders>
            <w:shd w:val="clear" w:color="auto" w:fill="auto"/>
            <w:vAlign w:val="center"/>
            <w:hideMark/>
          </w:tcPr>
          <w:p w14:paraId="5C65D22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353,581</w:t>
            </w:r>
          </w:p>
        </w:tc>
        <w:tc>
          <w:tcPr>
            <w:tcW w:w="1227" w:type="dxa"/>
            <w:tcBorders>
              <w:top w:val="nil"/>
              <w:left w:val="nil"/>
              <w:bottom w:val="single" w:sz="4" w:space="0" w:color="auto"/>
              <w:right w:val="single" w:sz="4" w:space="0" w:color="auto"/>
            </w:tcBorders>
            <w:shd w:val="clear" w:color="auto" w:fill="auto"/>
            <w:vAlign w:val="center"/>
            <w:hideMark/>
          </w:tcPr>
          <w:p w14:paraId="493C9C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1,188,596</w:t>
            </w:r>
          </w:p>
        </w:tc>
        <w:tc>
          <w:tcPr>
            <w:tcW w:w="1227" w:type="dxa"/>
            <w:tcBorders>
              <w:top w:val="nil"/>
              <w:left w:val="nil"/>
              <w:bottom w:val="single" w:sz="4" w:space="0" w:color="auto"/>
              <w:right w:val="single" w:sz="4" w:space="0" w:color="auto"/>
            </w:tcBorders>
            <w:shd w:val="clear" w:color="auto" w:fill="auto"/>
            <w:vAlign w:val="center"/>
            <w:hideMark/>
          </w:tcPr>
          <w:p w14:paraId="353B96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2,749,144</w:t>
            </w:r>
          </w:p>
        </w:tc>
        <w:tc>
          <w:tcPr>
            <w:tcW w:w="1227" w:type="dxa"/>
            <w:tcBorders>
              <w:top w:val="nil"/>
              <w:left w:val="nil"/>
              <w:bottom w:val="single" w:sz="4" w:space="0" w:color="auto"/>
              <w:right w:val="single" w:sz="8" w:space="0" w:color="auto"/>
            </w:tcBorders>
            <w:shd w:val="clear" w:color="auto" w:fill="auto"/>
            <w:vAlign w:val="center"/>
            <w:hideMark/>
          </w:tcPr>
          <w:p w14:paraId="49FC6AE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12,200,365</w:t>
            </w:r>
          </w:p>
        </w:tc>
        <w:tc>
          <w:tcPr>
            <w:tcW w:w="1478" w:type="dxa"/>
            <w:tcBorders>
              <w:top w:val="nil"/>
              <w:left w:val="nil"/>
              <w:bottom w:val="single" w:sz="4" w:space="0" w:color="auto"/>
              <w:right w:val="single" w:sz="4" w:space="0" w:color="auto"/>
            </w:tcBorders>
            <w:shd w:val="clear" w:color="auto" w:fill="auto"/>
            <w:vAlign w:val="center"/>
            <w:hideMark/>
          </w:tcPr>
          <w:p w14:paraId="739DE8B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15,048</w:t>
            </w:r>
          </w:p>
        </w:tc>
        <w:tc>
          <w:tcPr>
            <w:tcW w:w="1227" w:type="dxa"/>
            <w:tcBorders>
              <w:top w:val="nil"/>
              <w:left w:val="nil"/>
              <w:bottom w:val="single" w:sz="4" w:space="0" w:color="auto"/>
              <w:right w:val="single" w:sz="4" w:space="0" w:color="auto"/>
            </w:tcBorders>
            <w:shd w:val="clear" w:color="auto" w:fill="auto"/>
            <w:vAlign w:val="center"/>
            <w:hideMark/>
          </w:tcPr>
          <w:p w14:paraId="0BF6D68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418,614</w:t>
            </w:r>
          </w:p>
        </w:tc>
        <w:tc>
          <w:tcPr>
            <w:tcW w:w="1227" w:type="dxa"/>
            <w:tcBorders>
              <w:top w:val="nil"/>
              <w:left w:val="nil"/>
              <w:bottom w:val="single" w:sz="4" w:space="0" w:color="auto"/>
              <w:right w:val="single" w:sz="4" w:space="0" w:color="auto"/>
            </w:tcBorders>
            <w:shd w:val="clear" w:color="auto" w:fill="auto"/>
            <w:vAlign w:val="center"/>
            <w:hideMark/>
          </w:tcPr>
          <w:p w14:paraId="178FFB1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1,392,224</w:t>
            </w:r>
          </w:p>
        </w:tc>
        <w:tc>
          <w:tcPr>
            <w:tcW w:w="1227" w:type="dxa"/>
            <w:tcBorders>
              <w:top w:val="nil"/>
              <w:left w:val="nil"/>
              <w:bottom w:val="single" w:sz="4" w:space="0" w:color="auto"/>
              <w:right w:val="single" w:sz="4" w:space="0" w:color="auto"/>
            </w:tcBorders>
            <w:shd w:val="clear" w:color="auto" w:fill="auto"/>
            <w:vAlign w:val="center"/>
            <w:hideMark/>
          </w:tcPr>
          <w:p w14:paraId="09A06E3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4,383,157</w:t>
            </w:r>
          </w:p>
        </w:tc>
        <w:tc>
          <w:tcPr>
            <w:tcW w:w="1227" w:type="dxa"/>
            <w:tcBorders>
              <w:top w:val="nil"/>
              <w:left w:val="nil"/>
              <w:bottom w:val="single" w:sz="4" w:space="0" w:color="auto"/>
              <w:right w:val="single" w:sz="8" w:space="0" w:color="auto"/>
            </w:tcBorders>
            <w:shd w:val="clear" w:color="auto" w:fill="auto"/>
            <w:vAlign w:val="center"/>
            <w:hideMark/>
          </w:tcPr>
          <w:p w14:paraId="6AB1B5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14,850,352</w:t>
            </w:r>
          </w:p>
        </w:tc>
        <w:tc>
          <w:tcPr>
            <w:tcW w:w="280" w:type="dxa"/>
            <w:tcBorders>
              <w:top w:val="nil"/>
              <w:left w:val="nil"/>
              <w:bottom w:val="nil"/>
              <w:right w:val="single" w:sz="4" w:space="0" w:color="auto"/>
            </w:tcBorders>
            <w:shd w:val="clear" w:color="auto" w:fill="auto"/>
            <w:noWrap/>
            <w:vAlign w:val="center"/>
            <w:hideMark/>
          </w:tcPr>
          <w:p w14:paraId="3E81A20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7CAC0A7A"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427875A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2247837B"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2C8BD56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L50</w:t>
            </w:r>
          </w:p>
        </w:tc>
        <w:tc>
          <w:tcPr>
            <w:tcW w:w="1478" w:type="dxa"/>
            <w:tcBorders>
              <w:top w:val="nil"/>
              <w:left w:val="nil"/>
              <w:bottom w:val="single" w:sz="4" w:space="0" w:color="auto"/>
              <w:right w:val="single" w:sz="4" w:space="0" w:color="auto"/>
            </w:tcBorders>
            <w:shd w:val="clear" w:color="auto" w:fill="auto"/>
            <w:vAlign w:val="center"/>
            <w:hideMark/>
          </w:tcPr>
          <w:p w14:paraId="0B86DAD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1,276,120</w:t>
            </w:r>
          </w:p>
        </w:tc>
        <w:tc>
          <w:tcPr>
            <w:tcW w:w="1227" w:type="dxa"/>
            <w:tcBorders>
              <w:top w:val="nil"/>
              <w:left w:val="nil"/>
              <w:bottom w:val="single" w:sz="4" w:space="0" w:color="auto"/>
              <w:right w:val="single" w:sz="4" w:space="0" w:color="auto"/>
            </w:tcBorders>
            <w:shd w:val="clear" w:color="auto" w:fill="auto"/>
            <w:vAlign w:val="center"/>
            <w:hideMark/>
          </w:tcPr>
          <w:p w14:paraId="4F8523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324</w:t>
            </w:r>
          </w:p>
        </w:tc>
        <w:tc>
          <w:tcPr>
            <w:tcW w:w="1227" w:type="dxa"/>
            <w:tcBorders>
              <w:top w:val="nil"/>
              <w:left w:val="nil"/>
              <w:bottom w:val="single" w:sz="4" w:space="0" w:color="auto"/>
              <w:right w:val="single" w:sz="4" w:space="0" w:color="auto"/>
            </w:tcBorders>
            <w:shd w:val="clear" w:color="auto" w:fill="auto"/>
            <w:vAlign w:val="center"/>
            <w:hideMark/>
          </w:tcPr>
          <w:p w14:paraId="41BCFD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106</w:t>
            </w:r>
          </w:p>
        </w:tc>
        <w:tc>
          <w:tcPr>
            <w:tcW w:w="1227" w:type="dxa"/>
            <w:tcBorders>
              <w:top w:val="nil"/>
              <w:left w:val="nil"/>
              <w:bottom w:val="single" w:sz="4" w:space="0" w:color="auto"/>
              <w:right w:val="single" w:sz="4" w:space="0" w:color="auto"/>
            </w:tcBorders>
            <w:shd w:val="clear" w:color="auto" w:fill="auto"/>
            <w:vAlign w:val="center"/>
            <w:hideMark/>
          </w:tcPr>
          <w:p w14:paraId="0A63224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38</w:t>
            </w:r>
          </w:p>
        </w:tc>
        <w:tc>
          <w:tcPr>
            <w:tcW w:w="1227" w:type="dxa"/>
            <w:tcBorders>
              <w:top w:val="nil"/>
              <w:left w:val="nil"/>
              <w:bottom w:val="single" w:sz="4" w:space="0" w:color="auto"/>
              <w:right w:val="single" w:sz="8" w:space="0" w:color="auto"/>
            </w:tcBorders>
            <w:shd w:val="clear" w:color="auto" w:fill="auto"/>
            <w:vAlign w:val="center"/>
            <w:hideMark/>
          </w:tcPr>
          <w:p w14:paraId="182703B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478" w:type="dxa"/>
            <w:tcBorders>
              <w:top w:val="nil"/>
              <w:left w:val="nil"/>
              <w:bottom w:val="single" w:sz="4" w:space="0" w:color="auto"/>
              <w:right w:val="single" w:sz="4" w:space="0" w:color="auto"/>
            </w:tcBorders>
            <w:shd w:val="clear" w:color="auto" w:fill="auto"/>
            <w:vAlign w:val="center"/>
            <w:hideMark/>
          </w:tcPr>
          <w:p w14:paraId="2BC5677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771,808</w:t>
            </w:r>
          </w:p>
        </w:tc>
        <w:tc>
          <w:tcPr>
            <w:tcW w:w="1227" w:type="dxa"/>
            <w:tcBorders>
              <w:top w:val="nil"/>
              <w:left w:val="nil"/>
              <w:bottom w:val="single" w:sz="4" w:space="0" w:color="auto"/>
              <w:right w:val="single" w:sz="4" w:space="0" w:color="auto"/>
            </w:tcBorders>
            <w:shd w:val="clear" w:color="auto" w:fill="auto"/>
            <w:vAlign w:val="center"/>
            <w:hideMark/>
          </w:tcPr>
          <w:p w14:paraId="4F1FACC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264</w:t>
            </w:r>
          </w:p>
        </w:tc>
        <w:tc>
          <w:tcPr>
            <w:tcW w:w="1227" w:type="dxa"/>
            <w:tcBorders>
              <w:top w:val="nil"/>
              <w:left w:val="nil"/>
              <w:bottom w:val="single" w:sz="4" w:space="0" w:color="auto"/>
              <w:right w:val="single" w:sz="4" w:space="0" w:color="auto"/>
            </w:tcBorders>
            <w:shd w:val="clear" w:color="auto" w:fill="auto"/>
            <w:vAlign w:val="center"/>
            <w:hideMark/>
          </w:tcPr>
          <w:p w14:paraId="0D3438F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277B34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26</w:t>
            </w:r>
          </w:p>
        </w:tc>
        <w:tc>
          <w:tcPr>
            <w:tcW w:w="1227" w:type="dxa"/>
            <w:tcBorders>
              <w:top w:val="nil"/>
              <w:left w:val="nil"/>
              <w:bottom w:val="single" w:sz="4" w:space="0" w:color="auto"/>
              <w:right w:val="single" w:sz="8" w:space="0" w:color="auto"/>
            </w:tcBorders>
            <w:shd w:val="clear" w:color="auto" w:fill="auto"/>
            <w:vAlign w:val="center"/>
            <w:hideMark/>
          </w:tcPr>
          <w:p w14:paraId="3CAA3AF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13</w:t>
            </w:r>
          </w:p>
        </w:tc>
        <w:tc>
          <w:tcPr>
            <w:tcW w:w="280" w:type="dxa"/>
            <w:tcBorders>
              <w:top w:val="nil"/>
              <w:left w:val="nil"/>
              <w:bottom w:val="nil"/>
              <w:right w:val="single" w:sz="4" w:space="0" w:color="auto"/>
            </w:tcBorders>
            <w:shd w:val="clear" w:color="auto" w:fill="auto"/>
            <w:noWrap/>
            <w:vAlign w:val="center"/>
            <w:hideMark/>
          </w:tcPr>
          <w:p w14:paraId="69A511E2"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212A961"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F1AE26E"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756D7664"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363D1D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 contigs (bp)</w:t>
            </w:r>
          </w:p>
        </w:tc>
        <w:tc>
          <w:tcPr>
            <w:tcW w:w="1478" w:type="dxa"/>
            <w:tcBorders>
              <w:top w:val="nil"/>
              <w:left w:val="nil"/>
              <w:bottom w:val="single" w:sz="4" w:space="0" w:color="auto"/>
              <w:right w:val="single" w:sz="4" w:space="0" w:color="auto"/>
            </w:tcBorders>
            <w:shd w:val="clear" w:color="auto" w:fill="auto"/>
            <w:noWrap/>
            <w:vAlign w:val="center"/>
            <w:hideMark/>
          </w:tcPr>
          <w:p w14:paraId="2775F42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3,095,133</w:t>
            </w:r>
          </w:p>
        </w:tc>
        <w:tc>
          <w:tcPr>
            <w:tcW w:w="1227" w:type="dxa"/>
            <w:tcBorders>
              <w:top w:val="nil"/>
              <w:left w:val="nil"/>
              <w:bottom w:val="single" w:sz="4" w:space="0" w:color="auto"/>
              <w:right w:val="single" w:sz="4" w:space="0" w:color="auto"/>
            </w:tcBorders>
            <w:shd w:val="clear" w:color="auto" w:fill="auto"/>
            <w:vAlign w:val="center"/>
            <w:hideMark/>
          </w:tcPr>
          <w:p w14:paraId="73246E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2,086</w:t>
            </w:r>
          </w:p>
        </w:tc>
        <w:tc>
          <w:tcPr>
            <w:tcW w:w="1227" w:type="dxa"/>
            <w:tcBorders>
              <w:top w:val="nil"/>
              <w:left w:val="nil"/>
              <w:bottom w:val="single" w:sz="4" w:space="0" w:color="auto"/>
              <w:right w:val="single" w:sz="4" w:space="0" w:color="auto"/>
            </w:tcBorders>
            <w:shd w:val="clear" w:color="auto" w:fill="auto"/>
            <w:vAlign w:val="center"/>
            <w:hideMark/>
          </w:tcPr>
          <w:p w14:paraId="57A4D2A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1,106</w:t>
            </w:r>
          </w:p>
        </w:tc>
        <w:tc>
          <w:tcPr>
            <w:tcW w:w="1227" w:type="dxa"/>
            <w:tcBorders>
              <w:top w:val="nil"/>
              <w:left w:val="nil"/>
              <w:bottom w:val="single" w:sz="4" w:space="0" w:color="auto"/>
              <w:right w:val="single" w:sz="4" w:space="0" w:color="auto"/>
            </w:tcBorders>
            <w:shd w:val="clear" w:color="auto" w:fill="auto"/>
            <w:vAlign w:val="center"/>
            <w:hideMark/>
          </w:tcPr>
          <w:p w14:paraId="693129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705</w:t>
            </w:r>
          </w:p>
        </w:tc>
        <w:tc>
          <w:tcPr>
            <w:tcW w:w="1227" w:type="dxa"/>
            <w:tcBorders>
              <w:top w:val="nil"/>
              <w:left w:val="nil"/>
              <w:bottom w:val="single" w:sz="4" w:space="0" w:color="auto"/>
              <w:right w:val="single" w:sz="8" w:space="0" w:color="auto"/>
            </w:tcBorders>
            <w:shd w:val="clear" w:color="auto" w:fill="auto"/>
            <w:vAlign w:val="center"/>
            <w:hideMark/>
          </w:tcPr>
          <w:p w14:paraId="1E068B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549</w:t>
            </w:r>
          </w:p>
        </w:tc>
        <w:tc>
          <w:tcPr>
            <w:tcW w:w="1478" w:type="dxa"/>
            <w:tcBorders>
              <w:top w:val="nil"/>
              <w:left w:val="nil"/>
              <w:bottom w:val="single" w:sz="4" w:space="0" w:color="auto"/>
              <w:right w:val="single" w:sz="4" w:space="0" w:color="auto"/>
            </w:tcBorders>
            <w:shd w:val="clear" w:color="auto" w:fill="auto"/>
            <w:noWrap/>
            <w:vAlign w:val="center"/>
            <w:hideMark/>
          </w:tcPr>
          <w:p w14:paraId="7C0F7A6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2,741,504</w:t>
            </w:r>
          </w:p>
        </w:tc>
        <w:tc>
          <w:tcPr>
            <w:tcW w:w="1227" w:type="dxa"/>
            <w:tcBorders>
              <w:top w:val="nil"/>
              <w:left w:val="nil"/>
              <w:bottom w:val="single" w:sz="4" w:space="0" w:color="auto"/>
              <w:right w:val="single" w:sz="4" w:space="0" w:color="auto"/>
            </w:tcBorders>
            <w:shd w:val="clear" w:color="auto" w:fill="auto"/>
            <w:vAlign w:val="center"/>
            <w:hideMark/>
          </w:tcPr>
          <w:p w14:paraId="78D7C7D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1,805</w:t>
            </w:r>
          </w:p>
        </w:tc>
        <w:tc>
          <w:tcPr>
            <w:tcW w:w="1227" w:type="dxa"/>
            <w:tcBorders>
              <w:top w:val="nil"/>
              <w:left w:val="nil"/>
              <w:bottom w:val="single" w:sz="4" w:space="0" w:color="auto"/>
              <w:right w:val="single" w:sz="4" w:space="0" w:color="auto"/>
            </w:tcBorders>
            <w:shd w:val="clear" w:color="auto" w:fill="auto"/>
            <w:vAlign w:val="center"/>
            <w:hideMark/>
          </w:tcPr>
          <w:p w14:paraId="091A57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1,012</w:t>
            </w:r>
          </w:p>
        </w:tc>
        <w:tc>
          <w:tcPr>
            <w:tcW w:w="1227" w:type="dxa"/>
            <w:tcBorders>
              <w:top w:val="nil"/>
              <w:left w:val="nil"/>
              <w:bottom w:val="single" w:sz="4" w:space="0" w:color="auto"/>
              <w:right w:val="single" w:sz="4" w:space="0" w:color="auto"/>
            </w:tcBorders>
            <w:shd w:val="clear" w:color="auto" w:fill="auto"/>
            <w:vAlign w:val="center"/>
            <w:hideMark/>
          </w:tcPr>
          <w:p w14:paraId="52A90A7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515</w:t>
            </w:r>
          </w:p>
        </w:tc>
        <w:tc>
          <w:tcPr>
            <w:tcW w:w="1227" w:type="dxa"/>
            <w:tcBorders>
              <w:top w:val="nil"/>
              <w:left w:val="nil"/>
              <w:bottom w:val="single" w:sz="4" w:space="0" w:color="auto"/>
              <w:right w:val="single" w:sz="8" w:space="0" w:color="auto"/>
            </w:tcBorders>
            <w:shd w:val="clear" w:color="auto" w:fill="auto"/>
            <w:vAlign w:val="center"/>
            <w:hideMark/>
          </w:tcPr>
          <w:p w14:paraId="3A02F0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376</w:t>
            </w:r>
          </w:p>
        </w:tc>
        <w:tc>
          <w:tcPr>
            <w:tcW w:w="280" w:type="dxa"/>
            <w:tcBorders>
              <w:top w:val="nil"/>
              <w:left w:val="nil"/>
              <w:bottom w:val="nil"/>
              <w:right w:val="single" w:sz="4" w:space="0" w:color="auto"/>
            </w:tcBorders>
            <w:shd w:val="clear" w:color="auto" w:fill="auto"/>
            <w:noWrap/>
            <w:vAlign w:val="center"/>
            <w:hideMark/>
          </w:tcPr>
          <w:p w14:paraId="1DC5386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B64BD80"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10F8CAC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4" w:space="0" w:color="auto"/>
              <w:right w:val="single" w:sz="4" w:space="0" w:color="auto"/>
            </w:tcBorders>
            <w:vAlign w:val="center"/>
            <w:hideMark/>
          </w:tcPr>
          <w:p w14:paraId="3387F448"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01B34CA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total length</w:t>
            </w:r>
          </w:p>
        </w:tc>
        <w:tc>
          <w:tcPr>
            <w:tcW w:w="1478" w:type="dxa"/>
            <w:tcBorders>
              <w:top w:val="nil"/>
              <w:left w:val="nil"/>
              <w:bottom w:val="nil"/>
              <w:right w:val="nil"/>
            </w:tcBorders>
            <w:shd w:val="clear" w:color="auto" w:fill="auto"/>
            <w:noWrap/>
            <w:vAlign w:val="center"/>
            <w:hideMark/>
          </w:tcPr>
          <w:p w14:paraId="56900B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35,145,204,844</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6F0DFC4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471,831,811</w:t>
            </w:r>
          </w:p>
        </w:tc>
        <w:tc>
          <w:tcPr>
            <w:tcW w:w="1227" w:type="dxa"/>
            <w:tcBorders>
              <w:top w:val="nil"/>
              <w:left w:val="nil"/>
              <w:bottom w:val="single" w:sz="4" w:space="0" w:color="auto"/>
              <w:right w:val="single" w:sz="4" w:space="0" w:color="auto"/>
            </w:tcBorders>
            <w:shd w:val="clear" w:color="auto" w:fill="auto"/>
            <w:vAlign w:val="center"/>
            <w:hideMark/>
          </w:tcPr>
          <w:p w14:paraId="06955F29"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471,929,811</w:t>
            </w:r>
          </w:p>
        </w:tc>
        <w:tc>
          <w:tcPr>
            <w:tcW w:w="1227" w:type="dxa"/>
            <w:tcBorders>
              <w:top w:val="nil"/>
              <w:left w:val="nil"/>
              <w:bottom w:val="single" w:sz="4" w:space="0" w:color="auto"/>
              <w:right w:val="single" w:sz="4" w:space="0" w:color="auto"/>
            </w:tcBorders>
            <w:shd w:val="clear" w:color="auto" w:fill="auto"/>
            <w:vAlign w:val="center"/>
            <w:hideMark/>
          </w:tcPr>
          <w:p w14:paraId="2B70502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472,145,811</w:t>
            </w:r>
          </w:p>
        </w:tc>
        <w:tc>
          <w:tcPr>
            <w:tcW w:w="1227" w:type="dxa"/>
            <w:tcBorders>
              <w:top w:val="nil"/>
              <w:left w:val="nil"/>
              <w:bottom w:val="single" w:sz="4" w:space="0" w:color="auto"/>
              <w:right w:val="single" w:sz="8" w:space="0" w:color="auto"/>
            </w:tcBorders>
            <w:shd w:val="clear" w:color="auto" w:fill="auto"/>
            <w:vAlign w:val="center"/>
            <w:hideMark/>
          </w:tcPr>
          <w:p w14:paraId="0EBEF096"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472,157,411</w:t>
            </w:r>
          </w:p>
        </w:tc>
        <w:tc>
          <w:tcPr>
            <w:tcW w:w="1478" w:type="dxa"/>
            <w:tcBorders>
              <w:top w:val="nil"/>
              <w:left w:val="nil"/>
              <w:bottom w:val="nil"/>
              <w:right w:val="nil"/>
            </w:tcBorders>
            <w:shd w:val="clear" w:color="auto" w:fill="auto"/>
            <w:noWrap/>
            <w:vAlign w:val="center"/>
            <w:hideMark/>
          </w:tcPr>
          <w:p w14:paraId="4E2061D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27,984,871,336</w:t>
            </w:r>
          </w:p>
        </w:tc>
        <w:tc>
          <w:tcPr>
            <w:tcW w:w="1227" w:type="dxa"/>
            <w:tcBorders>
              <w:top w:val="nil"/>
              <w:left w:val="single" w:sz="4" w:space="0" w:color="auto"/>
              <w:bottom w:val="single" w:sz="4" w:space="0" w:color="auto"/>
              <w:right w:val="single" w:sz="4" w:space="0" w:color="auto"/>
            </w:tcBorders>
            <w:shd w:val="clear" w:color="auto" w:fill="auto"/>
            <w:vAlign w:val="center"/>
            <w:hideMark/>
          </w:tcPr>
          <w:p w14:paraId="4B573E0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436,920,153</w:t>
            </w:r>
          </w:p>
        </w:tc>
        <w:tc>
          <w:tcPr>
            <w:tcW w:w="1227" w:type="dxa"/>
            <w:tcBorders>
              <w:top w:val="nil"/>
              <w:left w:val="nil"/>
              <w:bottom w:val="single" w:sz="4" w:space="0" w:color="auto"/>
              <w:right w:val="single" w:sz="4" w:space="0" w:color="auto"/>
            </w:tcBorders>
            <w:shd w:val="clear" w:color="auto" w:fill="auto"/>
            <w:vAlign w:val="center"/>
            <w:hideMark/>
          </w:tcPr>
          <w:p w14:paraId="6CF3EEE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436,999,453</w:t>
            </w:r>
          </w:p>
        </w:tc>
        <w:tc>
          <w:tcPr>
            <w:tcW w:w="1227" w:type="dxa"/>
            <w:tcBorders>
              <w:top w:val="nil"/>
              <w:left w:val="nil"/>
              <w:bottom w:val="single" w:sz="4" w:space="0" w:color="auto"/>
              <w:right w:val="single" w:sz="4" w:space="0" w:color="auto"/>
            </w:tcBorders>
            <w:shd w:val="clear" w:color="auto" w:fill="auto"/>
            <w:vAlign w:val="center"/>
            <w:hideMark/>
          </w:tcPr>
          <w:p w14:paraId="65211BF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437,264,453</w:t>
            </w:r>
          </w:p>
        </w:tc>
        <w:tc>
          <w:tcPr>
            <w:tcW w:w="1227" w:type="dxa"/>
            <w:tcBorders>
              <w:top w:val="nil"/>
              <w:left w:val="nil"/>
              <w:bottom w:val="single" w:sz="4" w:space="0" w:color="auto"/>
              <w:right w:val="single" w:sz="8" w:space="0" w:color="auto"/>
            </w:tcBorders>
            <w:shd w:val="clear" w:color="auto" w:fill="auto"/>
            <w:vAlign w:val="center"/>
            <w:hideMark/>
          </w:tcPr>
          <w:p w14:paraId="423B8D5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437,273,953</w:t>
            </w:r>
          </w:p>
        </w:tc>
        <w:tc>
          <w:tcPr>
            <w:tcW w:w="280" w:type="dxa"/>
            <w:tcBorders>
              <w:top w:val="nil"/>
              <w:left w:val="nil"/>
              <w:bottom w:val="nil"/>
              <w:right w:val="single" w:sz="4" w:space="0" w:color="auto"/>
            </w:tcBorders>
            <w:shd w:val="clear" w:color="auto" w:fill="auto"/>
            <w:noWrap/>
            <w:vAlign w:val="center"/>
            <w:hideMark/>
          </w:tcPr>
          <w:p w14:paraId="01AAAABD"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13644567"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32C68AC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val="restart"/>
            <w:tcBorders>
              <w:top w:val="nil"/>
              <w:left w:val="single" w:sz="8" w:space="0" w:color="auto"/>
              <w:bottom w:val="single" w:sz="8" w:space="0" w:color="000000"/>
              <w:right w:val="single" w:sz="4" w:space="0" w:color="auto"/>
            </w:tcBorders>
            <w:shd w:val="clear" w:color="auto" w:fill="auto"/>
            <w:vAlign w:val="center"/>
            <w:hideMark/>
          </w:tcPr>
          <w:p w14:paraId="05C5E1E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BUSCO</w:t>
            </w:r>
            <w:r w:rsidRPr="002338D3">
              <w:rPr>
                <w:rFonts w:ascii="Calibri Light" w:eastAsia="Times New Roman" w:hAnsi="Calibri Light" w:cs="Calibri Light"/>
                <w:color w:val="000000"/>
              </w:rPr>
              <w:br/>
              <w:t>Scores</w:t>
            </w:r>
          </w:p>
        </w:tc>
        <w:tc>
          <w:tcPr>
            <w:tcW w:w="1280" w:type="dxa"/>
            <w:tcBorders>
              <w:top w:val="nil"/>
              <w:left w:val="nil"/>
              <w:bottom w:val="single" w:sz="4" w:space="0" w:color="auto"/>
              <w:right w:val="single" w:sz="8" w:space="0" w:color="auto"/>
            </w:tcBorders>
            <w:shd w:val="clear" w:color="auto" w:fill="auto"/>
            <w:vAlign w:val="center"/>
            <w:hideMark/>
          </w:tcPr>
          <w:p w14:paraId="13771BD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complete</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5B72DD0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90.4%</w:t>
            </w:r>
          </w:p>
        </w:tc>
        <w:tc>
          <w:tcPr>
            <w:tcW w:w="1227" w:type="dxa"/>
            <w:tcBorders>
              <w:top w:val="nil"/>
              <w:left w:val="nil"/>
              <w:bottom w:val="single" w:sz="4" w:space="0" w:color="auto"/>
              <w:right w:val="single" w:sz="4" w:space="0" w:color="auto"/>
            </w:tcBorders>
            <w:shd w:val="clear" w:color="auto" w:fill="auto"/>
            <w:vAlign w:val="center"/>
            <w:hideMark/>
          </w:tcPr>
          <w:p w14:paraId="609746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4" w:space="0" w:color="auto"/>
            </w:tcBorders>
            <w:shd w:val="clear" w:color="auto" w:fill="auto"/>
            <w:vAlign w:val="center"/>
            <w:hideMark/>
          </w:tcPr>
          <w:p w14:paraId="266B231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88.5%</w:t>
            </w:r>
          </w:p>
        </w:tc>
        <w:tc>
          <w:tcPr>
            <w:tcW w:w="1227" w:type="dxa"/>
            <w:tcBorders>
              <w:top w:val="nil"/>
              <w:left w:val="nil"/>
              <w:bottom w:val="single" w:sz="4" w:space="0" w:color="auto"/>
              <w:right w:val="single" w:sz="4" w:space="0" w:color="auto"/>
            </w:tcBorders>
            <w:shd w:val="clear" w:color="auto" w:fill="auto"/>
            <w:vAlign w:val="center"/>
            <w:hideMark/>
          </w:tcPr>
          <w:p w14:paraId="772D991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88.2%</w:t>
            </w:r>
          </w:p>
        </w:tc>
        <w:tc>
          <w:tcPr>
            <w:tcW w:w="1227" w:type="dxa"/>
            <w:tcBorders>
              <w:top w:val="nil"/>
              <w:left w:val="nil"/>
              <w:bottom w:val="single" w:sz="4" w:space="0" w:color="auto"/>
              <w:right w:val="single" w:sz="8" w:space="0" w:color="auto"/>
            </w:tcBorders>
            <w:shd w:val="clear" w:color="auto" w:fill="auto"/>
            <w:vAlign w:val="center"/>
            <w:hideMark/>
          </w:tcPr>
          <w:p w14:paraId="2B571DF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88.4%</w:t>
            </w:r>
          </w:p>
        </w:tc>
        <w:tc>
          <w:tcPr>
            <w:tcW w:w="1478" w:type="dxa"/>
            <w:tcBorders>
              <w:top w:val="single" w:sz="4" w:space="0" w:color="auto"/>
              <w:left w:val="nil"/>
              <w:bottom w:val="single" w:sz="4" w:space="0" w:color="auto"/>
              <w:right w:val="single" w:sz="4" w:space="0" w:color="auto"/>
            </w:tcBorders>
            <w:shd w:val="clear" w:color="auto" w:fill="auto"/>
            <w:vAlign w:val="center"/>
            <w:hideMark/>
          </w:tcPr>
          <w:p w14:paraId="4825441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92.6%</w:t>
            </w:r>
          </w:p>
        </w:tc>
        <w:tc>
          <w:tcPr>
            <w:tcW w:w="1227" w:type="dxa"/>
            <w:tcBorders>
              <w:top w:val="nil"/>
              <w:left w:val="nil"/>
              <w:bottom w:val="single" w:sz="4" w:space="0" w:color="auto"/>
              <w:right w:val="single" w:sz="4" w:space="0" w:color="auto"/>
            </w:tcBorders>
            <w:shd w:val="clear" w:color="auto" w:fill="auto"/>
            <w:vAlign w:val="center"/>
            <w:hideMark/>
          </w:tcPr>
          <w:p w14:paraId="58B27C33"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89.0%</w:t>
            </w:r>
          </w:p>
        </w:tc>
        <w:tc>
          <w:tcPr>
            <w:tcW w:w="1227" w:type="dxa"/>
            <w:tcBorders>
              <w:top w:val="nil"/>
              <w:left w:val="nil"/>
              <w:bottom w:val="single" w:sz="4" w:space="0" w:color="auto"/>
              <w:right w:val="single" w:sz="4" w:space="0" w:color="auto"/>
            </w:tcBorders>
            <w:shd w:val="clear" w:color="auto" w:fill="auto"/>
            <w:vAlign w:val="center"/>
            <w:hideMark/>
          </w:tcPr>
          <w:p w14:paraId="525399C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85.9%</w:t>
            </w:r>
          </w:p>
        </w:tc>
        <w:tc>
          <w:tcPr>
            <w:tcW w:w="1227" w:type="dxa"/>
            <w:tcBorders>
              <w:top w:val="nil"/>
              <w:left w:val="nil"/>
              <w:bottom w:val="single" w:sz="4" w:space="0" w:color="auto"/>
              <w:right w:val="single" w:sz="4" w:space="0" w:color="auto"/>
            </w:tcBorders>
            <w:shd w:val="clear" w:color="auto" w:fill="auto"/>
            <w:vAlign w:val="center"/>
            <w:hideMark/>
          </w:tcPr>
          <w:p w14:paraId="6C402F2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89.5%</w:t>
            </w:r>
          </w:p>
        </w:tc>
        <w:tc>
          <w:tcPr>
            <w:tcW w:w="1227" w:type="dxa"/>
            <w:tcBorders>
              <w:top w:val="nil"/>
              <w:left w:val="nil"/>
              <w:bottom w:val="single" w:sz="4" w:space="0" w:color="auto"/>
              <w:right w:val="single" w:sz="8" w:space="0" w:color="auto"/>
            </w:tcBorders>
            <w:shd w:val="clear" w:color="auto" w:fill="auto"/>
            <w:vAlign w:val="center"/>
            <w:hideMark/>
          </w:tcPr>
          <w:p w14:paraId="755ECC2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280" w:type="dxa"/>
            <w:tcBorders>
              <w:top w:val="nil"/>
              <w:left w:val="nil"/>
              <w:bottom w:val="nil"/>
              <w:right w:val="single" w:sz="4" w:space="0" w:color="auto"/>
            </w:tcBorders>
            <w:shd w:val="clear" w:color="auto" w:fill="auto"/>
            <w:noWrap/>
            <w:vAlign w:val="center"/>
            <w:hideMark/>
          </w:tcPr>
          <w:p w14:paraId="50CAE948"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6042622"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08C7368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5D83455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1007D6D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single</w:t>
            </w:r>
          </w:p>
        </w:tc>
        <w:tc>
          <w:tcPr>
            <w:tcW w:w="1478" w:type="dxa"/>
            <w:tcBorders>
              <w:top w:val="nil"/>
              <w:left w:val="nil"/>
              <w:bottom w:val="single" w:sz="4" w:space="0" w:color="auto"/>
              <w:right w:val="single" w:sz="4" w:space="0" w:color="auto"/>
            </w:tcBorders>
            <w:shd w:val="clear" w:color="auto" w:fill="auto"/>
            <w:vAlign w:val="center"/>
            <w:hideMark/>
          </w:tcPr>
          <w:p w14:paraId="17CA1E2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3.4%</w:t>
            </w:r>
          </w:p>
        </w:tc>
        <w:tc>
          <w:tcPr>
            <w:tcW w:w="1227" w:type="dxa"/>
            <w:tcBorders>
              <w:top w:val="nil"/>
              <w:left w:val="nil"/>
              <w:bottom w:val="single" w:sz="4" w:space="0" w:color="auto"/>
              <w:right w:val="single" w:sz="4" w:space="0" w:color="auto"/>
            </w:tcBorders>
            <w:shd w:val="clear" w:color="auto" w:fill="auto"/>
            <w:vAlign w:val="center"/>
            <w:hideMark/>
          </w:tcPr>
          <w:p w14:paraId="3FF4419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79.5%</w:t>
            </w:r>
          </w:p>
        </w:tc>
        <w:tc>
          <w:tcPr>
            <w:tcW w:w="1227" w:type="dxa"/>
            <w:tcBorders>
              <w:top w:val="nil"/>
              <w:left w:val="nil"/>
              <w:bottom w:val="single" w:sz="4" w:space="0" w:color="auto"/>
              <w:right w:val="single" w:sz="4" w:space="0" w:color="auto"/>
            </w:tcBorders>
            <w:shd w:val="clear" w:color="auto" w:fill="auto"/>
            <w:vAlign w:val="center"/>
            <w:hideMark/>
          </w:tcPr>
          <w:p w14:paraId="188451B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4" w:space="0" w:color="auto"/>
            </w:tcBorders>
            <w:shd w:val="clear" w:color="auto" w:fill="auto"/>
            <w:vAlign w:val="center"/>
            <w:hideMark/>
          </w:tcPr>
          <w:p w14:paraId="27406F0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80.5%</w:t>
            </w:r>
          </w:p>
        </w:tc>
        <w:tc>
          <w:tcPr>
            <w:tcW w:w="1227" w:type="dxa"/>
            <w:tcBorders>
              <w:top w:val="nil"/>
              <w:left w:val="nil"/>
              <w:bottom w:val="single" w:sz="4" w:space="0" w:color="auto"/>
              <w:right w:val="single" w:sz="8" w:space="0" w:color="auto"/>
            </w:tcBorders>
            <w:shd w:val="clear" w:color="auto" w:fill="auto"/>
            <w:vAlign w:val="center"/>
            <w:hideMark/>
          </w:tcPr>
          <w:p w14:paraId="6DEFBE7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81.2%</w:t>
            </w:r>
          </w:p>
        </w:tc>
        <w:tc>
          <w:tcPr>
            <w:tcW w:w="1478" w:type="dxa"/>
            <w:tcBorders>
              <w:top w:val="nil"/>
              <w:left w:val="nil"/>
              <w:bottom w:val="single" w:sz="4" w:space="0" w:color="auto"/>
              <w:right w:val="single" w:sz="4" w:space="0" w:color="auto"/>
            </w:tcBorders>
            <w:shd w:val="clear" w:color="auto" w:fill="auto"/>
            <w:vAlign w:val="center"/>
            <w:hideMark/>
          </w:tcPr>
          <w:p w14:paraId="216C0A5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3.3%</w:t>
            </w:r>
          </w:p>
        </w:tc>
        <w:tc>
          <w:tcPr>
            <w:tcW w:w="1227" w:type="dxa"/>
            <w:tcBorders>
              <w:top w:val="nil"/>
              <w:left w:val="nil"/>
              <w:bottom w:val="single" w:sz="4" w:space="0" w:color="auto"/>
              <w:right w:val="single" w:sz="4" w:space="0" w:color="auto"/>
            </w:tcBorders>
            <w:shd w:val="clear" w:color="auto" w:fill="auto"/>
            <w:vAlign w:val="center"/>
            <w:hideMark/>
          </w:tcPr>
          <w:p w14:paraId="48D698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87.4%</w:t>
            </w:r>
          </w:p>
        </w:tc>
        <w:tc>
          <w:tcPr>
            <w:tcW w:w="1227" w:type="dxa"/>
            <w:tcBorders>
              <w:top w:val="nil"/>
              <w:left w:val="nil"/>
              <w:bottom w:val="single" w:sz="4" w:space="0" w:color="auto"/>
              <w:right w:val="single" w:sz="4" w:space="0" w:color="auto"/>
            </w:tcBorders>
            <w:shd w:val="clear" w:color="auto" w:fill="auto"/>
            <w:vAlign w:val="center"/>
            <w:hideMark/>
          </w:tcPr>
          <w:p w14:paraId="6B9CDDB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84.4%</w:t>
            </w:r>
          </w:p>
        </w:tc>
        <w:tc>
          <w:tcPr>
            <w:tcW w:w="1227" w:type="dxa"/>
            <w:tcBorders>
              <w:top w:val="nil"/>
              <w:left w:val="nil"/>
              <w:bottom w:val="single" w:sz="4" w:space="0" w:color="auto"/>
              <w:right w:val="single" w:sz="4" w:space="0" w:color="auto"/>
            </w:tcBorders>
            <w:shd w:val="clear" w:color="auto" w:fill="auto"/>
            <w:vAlign w:val="center"/>
            <w:hideMark/>
          </w:tcPr>
          <w:p w14:paraId="7BF2B45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88.0%</w:t>
            </w:r>
          </w:p>
        </w:tc>
        <w:tc>
          <w:tcPr>
            <w:tcW w:w="1227" w:type="dxa"/>
            <w:tcBorders>
              <w:top w:val="nil"/>
              <w:left w:val="nil"/>
              <w:bottom w:val="single" w:sz="4" w:space="0" w:color="auto"/>
              <w:right w:val="single" w:sz="8" w:space="0" w:color="auto"/>
            </w:tcBorders>
            <w:shd w:val="clear" w:color="auto" w:fill="auto"/>
            <w:vAlign w:val="center"/>
            <w:hideMark/>
          </w:tcPr>
          <w:p w14:paraId="28FD0EA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87.7%</w:t>
            </w:r>
          </w:p>
        </w:tc>
        <w:tc>
          <w:tcPr>
            <w:tcW w:w="280" w:type="dxa"/>
            <w:tcBorders>
              <w:top w:val="nil"/>
              <w:left w:val="nil"/>
              <w:bottom w:val="nil"/>
              <w:right w:val="single" w:sz="4" w:space="0" w:color="auto"/>
            </w:tcBorders>
            <w:shd w:val="clear" w:color="auto" w:fill="auto"/>
            <w:noWrap/>
            <w:vAlign w:val="center"/>
            <w:hideMark/>
          </w:tcPr>
          <w:p w14:paraId="0F27D43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3E5F2FD" w14:textId="77777777" w:rsidTr="00317A9B">
        <w:trPr>
          <w:trHeight w:val="320"/>
        </w:trPr>
        <w:tc>
          <w:tcPr>
            <w:tcW w:w="280" w:type="dxa"/>
            <w:tcBorders>
              <w:top w:val="nil"/>
              <w:left w:val="single" w:sz="4" w:space="0" w:color="auto"/>
              <w:bottom w:val="nil"/>
              <w:right w:val="nil"/>
            </w:tcBorders>
            <w:shd w:val="clear" w:color="auto" w:fill="auto"/>
            <w:noWrap/>
            <w:vAlign w:val="center"/>
            <w:hideMark/>
          </w:tcPr>
          <w:p w14:paraId="6837A105"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39291F46"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4" w:space="0" w:color="auto"/>
              <w:right w:val="single" w:sz="8" w:space="0" w:color="auto"/>
            </w:tcBorders>
            <w:shd w:val="clear" w:color="auto" w:fill="auto"/>
            <w:vAlign w:val="center"/>
            <w:hideMark/>
          </w:tcPr>
          <w:p w14:paraId="79A18DD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double</w:t>
            </w:r>
          </w:p>
        </w:tc>
        <w:tc>
          <w:tcPr>
            <w:tcW w:w="1478" w:type="dxa"/>
            <w:tcBorders>
              <w:top w:val="nil"/>
              <w:left w:val="nil"/>
              <w:bottom w:val="single" w:sz="4" w:space="0" w:color="auto"/>
              <w:right w:val="single" w:sz="4" w:space="0" w:color="auto"/>
            </w:tcBorders>
            <w:shd w:val="clear" w:color="auto" w:fill="auto"/>
            <w:vAlign w:val="center"/>
            <w:hideMark/>
          </w:tcPr>
          <w:p w14:paraId="45CAF03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87.0%</w:t>
            </w:r>
          </w:p>
        </w:tc>
        <w:tc>
          <w:tcPr>
            <w:tcW w:w="1227" w:type="dxa"/>
            <w:tcBorders>
              <w:top w:val="nil"/>
              <w:left w:val="nil"/>
              <w:bottom w:val="single" w:sz="4" w:space="0" w:color="auto"/>
              <w:right w:val="single" w:sz="4" w:space="0" w:color="auto"/>
            </w:tcBorders>
            <w:shd w:val="clear" w:color="auto" w:fill="auto"/>
            <w:vAlign w:val="center"/>
            <w:hideMark/>
          </w:tcPr>
          <w:p w14:paraId="156DF434"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8.5%</w:t>
            </w:r>
          </w:p>
        </w:tc>
        <w:tc>
          <w:tcPr>
            <w:tcW w:w="1227" w:type="dxa"/>
            <w:tcBorders>
              <w:top w:val="nil"/>
              <w:left w:val="nil"/>
              <w:bottom w:val="single" w:sz="4" w:space="0" w:color="auto"/>
              <w:right w:val="single" w:sz="4" w:space="0" w:color="auto"/>
            </w:tcBorders>
            <w:shd w:val="clear" w:color="auto" w:fill="auto"/>
            <w:vAlign w:val="center"/>
            <w:hideMark/>
          </w:tcPr>
          <w:p w14:paraId="363E254A"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8.0%</w:t>
            </w:r>
          </w:p>
        </w:tc>
        <w:tc>
          <w:tcPr>
            <w:tcW w:w="1227" w:type="dxa"/>
            <w:tcBorders>
              <w:top w:val="nil"/>
              <w:left w:val="nil"/>
              <w:bottom w:val="single" w:sz="4" w:space="0" w:color="auto"/>
              <w:right w:val="single" w:sz="4" w:space="0" w:color="auto"/>
            </w:tcBorders>
            <w:shd w:val="clear" w:color="auto" w:fill="auto"/>
            <w:vAlign w:val="center"/>
            <w:hideMark/>
          </w:tcPr>
          <w:p w14:paraId="09295CC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7.7%</w:t>
            </w:r>
          </w:p>
        </w:tc>
        <w:tc>
          <w:tcPr>
            <w:tcW w:w="1227" w:type="dxa"/>
            <w:tcBorders>
              <w:top w:val="nil"/>
              <w:left w:val="nil"/>
              <w:bottom w:val="single" w:sz="4" w:space="0" w:color="auto"/>
              <w:right w:val="single" w:sz="8" w:space="0" w:color="auto"/>
            </w:tcBorders>
            <w:shd w:val="clear" w:color="auto" w:fill="auto"/>
            <w:vAlign w:val="center"/>
            <w:hideMark/>
          </w:tcPr>
          <w:p w14:paraId="12D9106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7.2%</w:t>
            </w:r>
          </w:p>
        </w:tc>
        <w:tc>
          <w:tcPr>
            <w:tcW w:w="1478" w:type="dxa"/>
            <w:tcBorders>
              <w:top w:val="nil"/>
              <w:left w:val="nil"/>
              <w:bottom w:val="single" w:sz="4" w:space="0" w:color="auto"/>
              <w:right w:val="single" w:sz="4" w:space="0" w:color="auto"/>
            </w:tcBorders>
            <w:shd w:val="clear" w:color="auto" w:fill="auto"/>
            <w:vAlign w:val="center"/>
            <w:hideMark/>
          </w:tcPr>
          <w:p w14:paraId="2C578F5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89.3%</w:t>
            </w:r>
          </w:p>
        </w:tc>
        <w:tc>
          <w:tcPr>
            <w:tcW w:w="1227" w:type="dxa"/>
            <w:tcBorders>
              <w:top w:val="nil"/>
              <w:left w:val="nil"/>
              <w:bottom w:val="single" w:sz="4" w:space="0" w:color="auto"/>
              <w:right w:val="single" w:sz="4" w:space="0" w:color="auto"/>
            </w:tcBorders>
            <w:shd w:val="clear" w:color="auto" w:fill="auto"/>
            <w:vAlign w:val="center"/>
            <w:hideMark/>
          </w:tcPr>
          <w:p w14:paraId="3622FED5"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1227" w:type="dxa"/>
            <w:tcBorders>
              <w:top w:val="nil"/>
              <w:left w:val="nil"/>
              <w:bottom w:val="single" w:sz="4" w:space="0" w:color="auto"/>
              <w:right w:val="single" w:sz="4" w:space="0" w:color="auto"/>
            </w:tcBorders>
            <w:shd w:val="clear" w:color="auto" w:fill="auto"/>
            <w:vAlign w:val="center"/>
            <w:hideMark/>
          </w:tcPr>
          <w:p w14:paraId="7796FF6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4" w:space="0" w:color="auto"/>
            </w:tcBorders>
            <w:shd w:val="clear" w:color="auto" w:fill="auto"/>
            <w:vAlign w:val="center"/>
            <w:hideMark/>
          </w:tcPr>
          <w:p w14:paraId="76D0097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4" w:space="0" w:color="auto"/>
              <w:right w:val="single" w:sz="8" w:space="0" w:color="auto"/>
            </w:tcBorders>
            <w:shd w:val="clear" w:color="auto" w:fill="auto"/>
            <w:vAlign w:val="center"/>
            <w:hideMark/>
          </w:tcPr>
          <w:p w14:paraId="2607591F"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1.6%</w:t>
            </w:r>
          </w:p>
        </w:tc>
        <w:tc>
          <w:tcPr>
            <w:tcW w:w="280" w:type="dxa"/>
            <w:tcBorders>
              <w:top w:val="nil"/>
              <w:left w:val="nil"/>
              <w:bottom w:val="nil"/>
              <w:right w:val="single" w:sz="4" w:space="0" w:color="auto"/>
            </w:tcBorders>
            <w:shd w:val="clear" w:color="auto" w:fill="auto"/>
            <w:noWrap/>
            <w:vAlign w:val="center"/>
            <w:hideMark/>
          </w:tcPr>
          <w:p w14:paraId="02F2B3B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0C8E3E5A" w14:textId="77777777" w:rsidTr="00317A9B">
        <w:trPr>
          <w:trHeight w:val="340"/>
        </w:trPr>
        <w:tc>
          <w:tcPr>
            <w:tcW w:w="280" w:type="dxa"/>
            <w:tcBorders>
              <w:top w:val="nil"/>
              <w:left w:val="single" w:sz="4" w:space="0" w:color="auto"/>
              <w:bottom w:val="nil"/>
              <w:right w:val="nil"/>
            </w:tcBorders>
            <w:shd w:val="clear" w:color="auto" w:fill="auto"/>
            <w:noWrap/>
            <w:vAlign w:val="center"/>
            <w:hideMark/>
          </w:tcPr>
          <w:p w14:paraId="17A7968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vMerge/>
            <w:tcBorders>
              <w:top w:val="nil"/>
              <w:left w:val="single" w:sz="8" w:space="0" w:color="auto"/>
              <w:bottom w:val="single" w:sz="8" w:space="0" w:color="000000"/>
              <w:right w:val="single" w:sz="4" w:space="0" w:color="auto"/>
            </w:tcBorders>
            <w:vAlign w:val="center"/>
            <w:hideMark/>
          </w:tcPr>
          <w:p w14:paraId="13466F85" w14:textId="77777777" w:rsidR="000E70AC" w:rsidRPr="002338D3" w:rsidRDefault="000E70AC" w:rsidP="0011235A">
            <w:pPr>
              <w:spacing w:after="0" w:line="240" w:lineRule="auto"/>
              <w:jc w:val="left"/>
              <w:rPr>
                <w:rFonts w:ascii="Calibri Light" w:eastAsia="Times New Roman" w:hAnsi="Calibri Light" w:cs="Calibri Light"/>
                <w:color w:val="000000"/>
              </w:rPr>
            </w:pPr>
          </w:p>
        </w:tc>
        <w:tc>
          <w:tcPr>
            <w:tcW w:w="1280" w:type="dxa"/>
            <w:tcBorders>
              <w:top w:val="nil"/>
              <w:left w:val="nil"/>
              <w:bottom w:val="single" w:sz="8" w:space="0" w:color="auto"/>
              <w:right w:val="single" w:sz="8" w:space="0" w:color="auto"/>
            </w:tcBorders>
            <w:shd w:val="clear" w:color="auto" w:fill="auto"/>
            <w:vAlign w:val="center"/>
            <w:hideMark/>
          </w:tcPr>
          <w:p w14:paraId="1030F6D2"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fragmented</w:t>
            </w:r>
          </w:p>
        </w:tc>
        <w:tc>
          <w:tcPr>
            <w:tcW w:w="1478" w:type="dxa"/>
            <w:tcBorders>
              <w:top w:val="nil"/>
              <w:left w:val="nil"/>
              <w:bottom w:val="single" w:sz="8" w:space="0" w:color="auto"/>
              <w:right w:val="single" w:sz="4" w:space="0" w:color="auto"/>
            </w:tcBorders>
            <w:shd w:val="clear" w:color="auto" w:fill="auto"/>
            <w:vAlign w:val="center"/>
            <w:hideMark/>
          </w:tcPr>
          <w:p w14:paraId="41797DED"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4.0%</w:t>
            </w:r>
          </w:p>
        </w:tc>
        <w:tc>
          <w:tcPr>
            <w:tcW w:w="1227" w:type="dxa"/>
            <w:tcBorders>
              <w:top w:val="nil"/>
              <w:left w:val="nil"/>
              <w:bottom w:val="single" w:sz="8" w:space="0" w:color="auto"/>
              <w:right w:val="single" w:sz="4" w:space="0" w:color="auto"/>
            </w:tcBorders>
            <w:shd w:val="clear" w:color="auto" w:fill="auto"/>
            <w:vAlign w:val="center"/>
            <w:hideMark/>
          </w:tcPr>
          <w:p w14:paraId="6CE0CA4E"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1.5%</w:t>
            </w:r>
          </w:p>
        </w:tc>
        <w:tc>
          <w:tcPr>
            <w:tcW w:w="1227" w:type="dxa"/>
            <w:tcBorders>
              <w:top w:val="nil"/>
              <w:left w:val="nil"/>
              <w:bottom w:val="single" w:sz="8" w:space="0" w:color="auto"/>
              <w:right w:val="single" w:sz="4" w:space="0" w:color="auto"/>
            </w:tcBorders>
            <w:shd w:val="clear" w:color="auto" w:fill="auto"/>
            <w:vAlign w:val="center"/>
            <w:hideMark/>
          </w:tcPr>
          <w:p w14:paraId="06BE110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44A08C77"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8" w:space="0" w:color="auto"/>
            </w:tcBorders>
            <w:shd w:val="clear" w:color="auto" w:fill="auto"/>
            <w:vAlign w:val="center"/>
            <w:hideMark/>
          </w:tcPr>
          <w:p w14:paraId="5E399748"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1.0%</w:t>
            </w:r>
          </w:p>
        </w:tc>
        <w:tc>
          <w:tcPr>
            <w:tcW w:w="1478" w:type="dxa"/>
            <w:tcBorders>
              <w:top w:val="nil"/>
              <w:left w:val="nil"/>
              <w:bottom w:val="single" w:sz="8" w:space="0" w:color="auto"/>
              <w:right w:val="single" w:sz="4" w:space="0" w:color="auto"/>
            </w:tcBorders>
            <w:shd w:val="clear" w:color="auto" w:fill="auto"/>
            <w:vAlign w:val="center"/>
            <w:hideMark/>
          </w:tcPr>
          <w:p w14:paraId="626D8E2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3.0%</w:t>
            </w:r>
          </w:p>
        </w:tc>
        <w:tc>
          <w:tcPr>
            <w:tcW w:w="1227" w:type="dxa"/>
            <w:tcBorders>
              <w:top w:val="nil"/>
              <w:left w:val="nil"/>
              <w:bottom w:val="single" w:sz="8" w:space="0" w:color="auto"/>
              <w:right w:val="single" w:sz="4" w:space="0" w:color="auto"/>
            </w:tcBorders>
            <w:shd w:val="clear" w:color="auto" w:fill="auto"/>
            <w:vAlign w:val="center"/>
            <w:hideMark/>
          </w:tcPr>
          <w:p w14:paraId="1FF27430"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1.1%</w:t>
            </w:r>
          </w:p>
        </w:tc>
        <w:tc>
          <w:tcPr>
            <w:tcW w:w="1227" w:type="dxa"/>
            <w:tcBorders>
              <w:top w:val="nil"/>
              <w:left w:val="nil"/>
              <w:bottom w:val="single" w:sz="8" w:space="0" w:color="auto"/>
              <w:right w:val="single" w:sz="4" w:space="0" w:color="auto"/>
            </w:tcBorders>
            <w:shd w:val="clear" w:color="auto" w:fill="auto"/>
            <w:vAlign w:val="center"/>
            <w:hideMark/>
          </w:tcPr>
          <w:p w14:paraId="33601401"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3.1%</w:t>
            </w:r>
          </w:p>
        </w:tc>
        <w:tc>
          <w:tcPr>
            <w:tcW w:w="1227" w:type="dxa"/>
            <w:tcBorders>
              <w:top w:val="nil"/>
              <w:left w:val="nil"/>
              <w:bottom w:val="single" w:sz="8" w:space="0" w:color="auto"/>
              <w:right w:val="single" w:sz="4" w:space="0" w:color="auto"/>
            </w:tcBorders>
            <w:shd w:val="clear" w:color="auto" w:fill="auto"/>
            <w:vAlign w:val="center"/>
            <w:hideMark/>
          </w:tcPr>
          <w:p w14:paraId="07EC378B"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1227" w:type="dxa"/>
            <w:tcBorders>
              <w:top w:val="nil"/>
              <w:left w:val="nil"/>
              <w:bottom w:val="single" w:sz="8" w:space="0" w:color="auto"/>
              <w:right w:val="single" w:sz="8" w:space="0" w:color="auto"/>
            </w:tcBorders>
            <w:shd w:val="clear" w:color="auto" w:fill="auto"/>
            <w:vAlign w:val="center"/>
            <w:hideMark/>
          </w:tcPr>
          <w:p w14:paraId="0C1B866C" w14:textId="77777777" w:rsidR="000E70AC" w:rsidRPr="002338D3" w:rsidRDefault="000E70AC" w:rsidP="0011235A">
            <w:pPr>
              <w:spacing w:after="0" w:line="240" w:lineRule="auto"/>
              <w:jc w:val="center"/>
              <w:rPr>
                <w:rFonts w:ascii="Calibri Light" w:eastAsia="Times New Roman" w:hAnsi="Calibri Light" w:cs="Calibri Light"/>
                <w:color w:val="000000"/>
              </w:rPr>
            </w:pPr>
            <w:r w:rsidRPr="002338D3">
              <w:rPr>
                <w:rFonts w:ascii="Calibri Light" w:eastAsia="Times New Roman" w:hAnsi="Calibri Light" w:cs="Calibri Light"/>
                <w:color w:val="000000"/>
              </w:rPr>
              <w:t>0.8%</w:t>
            </w:r>
          </w:p>
        </w:tc>
        <w:tc>
          <w:tcPr>
            <w:tcW w:w="280" w:type="dxa"/>
            <w:tcBorders>
              <w:top w:val="nil"/>
              <w:left w:val="nil"/>
              <w:bottom w:val="nil"/>
              <w:right w:val="single" w:sz="4" w:space="0" w:color="auto"/>
            </w:tcBorders>
            <w:shd w:val="clear" w:color="auto" w:fill="auto"/>
            <w:noWrap/>
            <w:vAlign w:val="center"/>
            <w:hideMark/>
          </w:tcPr>
          <w:p w14:paraId="1700962F"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r w:rsidR="000E70AC" w:rsidRPr="002338D3" w14:paraId="394DCFD6" w14:textId="77777777" w:rsidTr="00317A9B">
        <w:trPr>
          <w:trHeight w:val="320"/>
        </w:trPr>
        <w:tc>
          <w:tcPr>
            <w:tcW w:w="280" w:type="dxa"/>
            <w:tcBorders>
              <w:top w:val="nil"/>
              <w:left w:val="single" w:sz="4" w:space="0" w:color="auto"/>
              <w:bottom w:val="single" w:sz="4" w:space="0" w:color="auto"/>
              <w:right w:val="nil"/>
            </w:tcBorders>
            <w:shd w:val="clear" w:color="auto" w:fill="auto"/>
            <w:noWrap/>
            <w:vAlign w:val="bottom"/>
            <w:hideMark/>
          </w:tcPr>
          <w:p w14:paraId="47FABBC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40" w:type="dxa"/>
            <w:tcBorders>
              <w:top w:val="nil"/>
              <w:left w:val="nil"/>
              <w:bottom w:val="single" w:sz="4" w:space="0" w:color="auto"/>
              <w:right w:val="nil"/>
            </w:tcBorders>
            <w:shd w:val="clear" w:color="auto" w:fill="auto"/>
            <w:noWrap/>
            <w:vAlign w:val="bottom"/>
            <w:hideMark/>
          </w:tcPr>
          <w:p w14:paraId="79031DF4"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80" w:type="dxa"/>
            <w:tcBorders>
              <w:top w:val="nil"/>
              <w:left w:val="nil"/>
              <w:bottom w:val="single" w:sz="4" w:space="0" w:color="auto"/>
              <w:right w:val="nil"/>
            </w:tcBorders>
            <w:shd w:val="clear" w:color="auto" w:fill="auto"/>
            <w:noWrap/>
            <w:vAlign w:val="bottom"/>
            <w:hideMark/>
          </w:tcPr>
          <w:p w14:paraId="07A1173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4A04A9AB"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FEDD54C"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521C85B9"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2B42DE2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F505C4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478" w:type="dxa"/>
            <w:tcBorders>
              <w:top w:val="nil"/>
              <w:left w:val="nil"/>
              <w:bottom w:val="single" w:sz="4" w:space="0" w:color="auto"/>
              <w:right w:val="nil"/>
            </w:tcBorders>
            <w:shd w:val="clear" w:color="auto" w:fill="auto"/>
            <w:noWrap/>
            <w:vAlign w:val="bottom"/>
            <w:hideMark/>
          </w:tcPr>
          <w:p w14:paraId="08EFC8F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1FC4FD0"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778EDA57"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3E5B3E81"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1227" w:type="dxa"/>
            <w:tcBorders>
              <w:top w:val="nil"/>
              <w:left w:val="nil"/>
              <w:bottom w:val="single" w:sz="4" w:space="0" w:color="auto"/>
              <w:right w:val="nil"/>
            </w:tcBorders>
            <w:shd w:val="clear" w:color="auto" w:fill="auto"/>
            <w:noWrap/>
            <w:vAlign w:val="bottom"/>
            <w:hideMark/>
          </w:tcPr>
          <w:p w14:paraId="4D79C14A"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c>
          <w:tcPr>
            <w:tcW w:w="280" w:type="dxa"/>
            <w:tcBorders>
              <w:top w:val="nil"/>
              <w:left w:val="nil"/>
              <w:bottom w:val="single" w:sz="4" w:space="0" w:color="auto"/>
              <w:right w:val="single" w:sz="4" w:space="0" w:color="auto"/>
            </w:tcBorders>
            <w:shd w:val="clear" w:color="auto" w:fill="auto"/>
            <w:noWrap/>
            <w:vAlign w:val="bottom"/>
            <w:hideMark/>
          </w:tcPr>
          <w:p w14:paraId="52F91956" w14:textId="77777777" w:rsidR="000E70AC" w:rsidRPr="002338D3" w:rsidRDefault="000E70AC" w:rsidP="0011235A">
            <w:pPr>
              <w:spacing w:after="0" w:line="240" w:lineRule="auto"/>
              <w:jc w:val="left"/>
              <w:rPr>
                <w:rFonts w:ascii="Calibri Light" w:eastAsia="Times New Roman" w:hAnsi="Calibri Light" w:cs="Calibri Light"/>
                <w:color w:val="000000"/>
              </w:rPr>
            </w:pPr>
            <w:r w:rsidRPr="002338D3">
              <w:rPr>
                <w:rFonts w:ascii="Calibri Light" w:eastAsia="Times New Roman" w:hAnsi="Calibri Light" w:cs="Calibri Light"/>
                <w:color w:val="000000"/>
              </w:rPr>
              <w:t> </w:t>
            </w:r>
          </w:p>
        </w:tc>
      </w:tr>
    </w:tbl>
    <w:p w14:paraId="632EBC1F" w14:textId="6945B76E" w:rsidR="000E70AC" w:rsidRDefault="000E70AC" w:rsidP="0011235A">
      <w:pPr>
        <w:spacing w:line="240" w:lineRule="auto"/>
      </w:pPr>
    </w:p>
    <w:p w14:paraId="1764BBF9" w14:textId="43318B65" w:rsidR="000E70AC" w:rsidRDefault="000E70AC" w:rsidP="0011235A">
      <w:pPr>
        <w:spacing w:line="240" w:lineRule="auto"/>
      </w:pPr>
    </w:p>
    <w:p w14:paraId="5EBD7011" w14:textId="248115DE" w:rsidR="000E70AC" w:rsidRDefault="000E70AC" w:rsidP="0011235A">
      <w:pPr>
        <w:spacing w:line="240" w:lineRule="auto"/>
      </w:pPr>
    </w:p>
    <w:p w14:paraId="0730A963" w14:textId="70DEF63B" w:rsidR="000E70AC" w:rsidRDefault="000E70AC" w:rsidP="0011235A">
      <w:pPr>
        <w:spacing w:line="240" w:lineRule="auto"/>
      </w:pPr>
    </w:p>
    <w:p w14:paraId="34992946" w14:textId="72D1355F" w:rsidR="000E70AC" w:rsidRDefault="000E70AC" w:rsidP="0011235A">
      <w:pPr>
        <w:spacing w:line="240" w:lineRule="auto"/>
      </w:pPr>
    </w:p>
    <w:p w14:paraId="5EF980A2" w14:textId="24C8C243" w:rsidR="000E70AC" w:rsidRDefault="000E70AC" w:rsidP="0011235A">
      <w:pPr>
        <w:spacing w:line="240" w:lineRule="auto"/>
      </w:pPr>
    </w:p>
    <w:p w14:paraId="44D13E09" w14:textId="2A45B3DD" w:rsidR="000E70AC" w:rsidRDefault="000E70AC" w:rsidP="0011235A">
      <w:pPr>
        <w:spacing w:line="240" w:lineRule="auto"/>
      </w:pPr>
    </w:p>
    <w:p w14:paraId="4F1201E5" w14:textId="00DF9B84" w:rsidR="000E70AC" w:rsidRDefault="000E70AC" w:rsidP="0011235A">
      <w:pPr>
        <w:spacing w:line="240" w:lineRule="auto"/>
      </w:pPr>
    </w:p>
    <w:p w14:paraId="1D5DCAF5" w14:textId="77777777" w:rsidR="000E70AC" w:rsidRDefault="000E70AC" w:rsidP="0011235A">
      <w:pPr>
        <w:spacing w:line="240" w:lineRule="auto"/>
      </w:pPr>
    </w:p>
    <w:p w14:paraId="137F0557" w14:textId="0AFC9820" w:rsidR="000E70AC" w:rsidRDefault="000E70AC" w:rsidP="0011235A">
      <w:pPr>
        <w:spacing w:line="240" w:lineRule="auto"/>
        <w:sectPr w:rsidR="000E70AC" w:rsidSect="000E70AC">
          <w:pgSz w:w="20160" w:h="12240" w:orient="landscape"/>
          <w:pgMar w:top="1440" w:right="1440" w:bottom="1440" w:left="1440" w:header="720" w:footer="720" w:gutter="0"/>
          <w:cols w:space="720"/>
          <w:docGrid w:linePitch="360"/>
        </w:sectPr>
      </w:pPr>
    </w:p>
    <w:tbl>
      <w:tblPr>
        <w:tblW w:w="6980" w:type="dxa"/>
        <w:jc w:val="center"/>
        <w:tblLook w:val="04A0" w:firstRow="1" w:lastRow="0" w:firstColumn="1" w:lastColumn="0" w:noHBand="0" w:noVBand="1"/>
      </w:tblPr>
      <w:tblGrid>
        <w:gridCol w:w="262"/>
        <w:gridCol w:w="1300"/>
        <w:gridCol w:w="1300"/>
        <w:gridCol w:w="1300"/>
        <w:gridCol w:w="1300"/>
        <w:gridCol w:w="1300"/>
        <w:gridCol w:w="262"/>
      </w:tblGrid>
      <w:tr w:rsidR="000E70AC" w:rsidRPr="00740C3E" w14:paraId="4F449549" w14:textId="77777777" w:rsidTr="00317A9B">
        <w:trPr>
          <w:trHeight w:val="240"/>
          <w:jc w:val="center"/>
        </w:trPr>
        <w:tc>
          <w:tcPr>
            <w:tcW w:w="240" w:type="dxa"/>
            <w:tcBorders>
              <w:top w:val="single" w:sz="4" w:space="0" w:color="auto"/>
              <w:left w:val="single" w:sz="4" w:space="0" w:color="auto"/>
              <w:bottom w:val="nil"/>
              <w:right w:val="nil"/>
            </w:tcBorders>
            <w:shd w:val="clear" w:color="auto" w:fill="auto"/>
            <w:noWrap/>
            <w:vAlign w:val="bottom"/>
            <w:hideMark/>
          </w:tcPr>
          <w:p w14:paraId="1E8AF95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lastRenderedPageBreak/>
              <w:t> </w:t>
            </w:r>
          </w:p>
        </w:tc>
        <w:tc>
          <w:tcPr>
            <w:tcW w:w="1300" w:type="dxa"/>
            <w:tcBorders>
              <w:top w:val="single" w:sz="4" w:space="0" w:color="auto"/>
              <w:left w:val="nil"/>
              <w:bottom w:val="nil"/>
              <w:right w:val="nil"/>
            </w:tcBorders>
            <w:shd w:val="clear" w:color="auto" w:fill="auto"/>
            <w:noWrap/>
            <w:vAlign w:val="bottom"/>
            <w:hideMark/>
          </w:tcPr>
          <w:p w14:paraId="548C564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26D682D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E66298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0054EFF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nil"/>
              <w:right w:val="nil"/>
            </w:tcBorders>
            <w:shd w:val="clear" w:color="auto" w:fill="auto"/>
            <w:noWrap/>
            <w:vAlign w:val="bottom"/>
            <w:hideMark/>
          </w:tcPr>
          <w:p w14:paraId="5585FC11"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single" w:sz="4" w:space="0" w:color="auto"/>
              <w:left w:val="nil"/>
              <w:bottom w:val="nil"/>
              <w:right w:val="single" w:sz="4" w:space="0" w:color="auto"/>
            </w:tcBorders>
            <w:shd w:val="clear" w:color="auto" w:fill="auto"/>
            <w:noWrap/>
            <w:vAlign w:val="bottom"/>
            <w:hideMark/>
          </w:tcPr>
          <w:p w14:paraId="1023FA4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4BA83943" w14:textId="77777777" w:rsidTr="00317A9B">
        <w:trPr>
          <w:trHeight w:val="340"/>
          <w:jc w:val="center"/>
        </w:trPr>
        <w:tc>
          <w:tcPr>
            <w:tcW w:w="240" w:type="dxa"/>
            <w:tcBorders>
              <w:top w:val="nil"/>
              <w:left w:val="single" w:sz="4" w:space="0" w:color="auto"/>
              <w:bottom w:val="nil"/>
              <w:right w:val="nil"/>
            </w:tcBorders>
            <w:shd w:val="clear" w:color="auto" w:fill="auto"/>
            <w:noWrap/>
            <w:vAlign w:val="bottom"/>
            <w:hideMark/>
          </w:tcPr>
          <w:p w14:paraId="151FED2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6500" w:type="dxa"/>
            <w:gridSpan w:val="5"/>
            <w:tcBorders>
              <w:top w:val="nil"/>
              <w:left w:val="nil"/>
              <w:bottom w:val="single" w:sz="8" w:space="0" w:color="auto"/>
              <w:right w:val="nil"/>
            </w:tcBorders>
            <w:shd w:val="clear" w:color="auto" w:fill="auto"/>
            <w:vAlign w:val="center"/>
            <w:hideMark/>
          </w:tcPr>
          <w:p w14:paraId="04D9F6FE" w14:textId="77777777" w:rsidR="000E70AC" w:rsidRPr="00740C3E" w:rsidRDefault="000E70AC" w:rsidP="0011235A">
            <w:pPr>
              <w:spacing w:after="0" w:line="240" w:lineRule="auto"/>
              <w:jc w:val="left"/>
              <w:rPr>
                <w:rFonts w:ascii="Calibri Light" w:eastAsia="Times New Roman" w:hAnsi="Calibri Light" w:cs="Calibri Light"/>
                <w:b/>
                <w:bCs/>
                <w:color w:val="000000"/>
              </w:rPr>
            </w:pPr>
            <w:r w:rsidRPr="00740C3E">
              <w:rPr>
                <w:rFonts w:ascii="Calibri Light" w:eastAsia="Times New Roman" w:hAnsi="Calibri Light" w:cs="Calibri Light"/>
                <w:b/>
                <w:bCs/>
                <w:color w:val="000000"/>
              </w:rPr>
              <w:t xml:space="preserve">Table </w:t>
            </w:r>
            <w:r>
              <w:rPr>
                <w:rFonts w:ascii="Calibri Light" w:eastAsia="Times New Roman" w:hAnsi="Calibri Light" w:cs="Calibri Light"/>
                <w:b/>
                <w:bCs/>
                <w:color w:val="000000"/>
              </w:rPr>
              <w:t>2.</w:t>
            </w:r>
            <w:r w:rsidRPr="00740C3E">
              <w:rPr>
                <w:rFonts w:ascii="Calibri Light" w:eastAsia="Times New Roman" w:hAnsi="Calibri Light" w:cs="Calibri Light"/>
                <w:b/>
                <w:bCs/>
                <w:color w:val="000000"/>
              </w:rPr>
              <w:t>5.</w:t>
            </w:r>
            <w:r w:rsidRPr="00740C3E">
              <w:rPr>
                <w:rFonts w:ascii="Calibri Light" w:eastAsia="Times New Roman" w:hAnsi="Calibri Light" w:cs="Calibri Light"/>
                <w:color w:val="000000"/>
              </w:rPr>
              <w:t xml:space="preserve"> Chromosome counts for delta smelt.</w:t>
            </w:r>
          </w:p>
        </w:tc>
        <w:tc>
          <w:tcPr>
            <w:tcW w:w="240" w:type="dxa"/>
            <w:tcBorders>
              <w:top w:val="nil"/>
              <w:left w:val="nil"/>
              <w:bottom w:val="nil"/>
              <w:right w:val="single" w:sz="4" w:space="0" w:color="auto"/>
            </w:tcBorders>
            <w:shd w:val="clear" w:color="auto" w:fill="auto"/>
            <w:noWrap/>
            <w:vAlign w:val="bottom"/>
            <w:hideMark/>
          </w:tcPr>
          <w:p w14:paraId="38E5317C"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763862A1" w14:textId="77777777" w:rsidTr="00317A9B">
        <w:trPr>
          <w:trHeight w:val="320"/>
          <w:jc w:val="center"/>
        </w:trPr>
        <w:tc>
          <w:tcPr>
            <w:tcW w:w="240" w:type="dxa"/>
            <w:tcBorders>
              <w:top w:val="nil"/>
              <w:left w:val="single" w:sz="4" w:space="0" w:color="auto"/>
              <w:bottom w:val="nil"/>
              <w:right w:val="nil"/>
            </w:tcBorders>
            <w:shd w:val="clear" w:color="auto" w:fill="auto"/>
            <w:noWrap/>
            <w:vAlign w:val="bottom"/>
            <w:hideMark/>
          </w:tcPr>
          <w:p w14:paraId="0FA9A9AB"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single" w:sz="4" w:space="0" w:color="auto"/>
              <w:left w:val="nil"/>
              <w:bottom w:val="double" w:sz="6" w:space="0" w:color="auto"/>
              <w:right w:val="nil"/>
            </w:tcBorders>
            <w:shd w:val="clear" w:color="auto" w:fill="auto"/>
            <w:noWrap/>
            <w:vAlign w:val="bottom"/>
            <w:hideMark/>
          </w:tcPr>
          <w:p w14:paraId="7ADEAE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2n Count</w:t>
            </w:r>
          </w:p>
        </w:tc>
        <w:tc>
          <w:tcPr>
            <w:tcW w:w="1300" w:type="dxa"/>
            <w:tcBorders>
              <w:top w:val="single" w:sz="4" w:space="0" w:color="auto"/>
              <w:left w:val="nil"/>
              <w:bottom w:val="double" w:sz="6" w:space="0" w:color="auto"/>
              <w:right w:val="nil"/>
            </w:tcBorders>
            <w:shd w:val="clear" w:color="auto" w:fill="auto"/>
            <w:noWrap/>
            <w:vAlign w:val="bottom"/>
            <w:hideMark/>
          </w:tcPr>
          <w:p w14:paraId="4BE9C7F0"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54</w:t>
            </w:r>
          </w:p>
        </w:tc>
        <w:tc>
          <w:tcPr>
            <w:tcW w:w="1300" w:type="dxa"/>
            <w:tcBorders>
              <w:top w:val="single" w:sz="4" w:space="0" w:color="auto"/>
              <w:left w:val="nil"/>
              <w:bottom w:val="double" w:sz="6" w:space="0" w:color="auto"/>
              <w:right w:val="nil"/>
            </w:tcBorders>
            <w:shd w:val="clear" w:color="auto" w:fill="auto"/>
            <w:noWrap/>
            <w:vAlign w:val="bottom"/>
            <w:hideMark/>
          </w:tcPr>
          <w:p w14:paraId="62A8162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55</w:t>
            </w:r>
          </w:p>
        </w:tc>
        <w:tc>
          <w:tcPr>
            <w:tcW w:w="1300" w:type="dxa"/>
            <w:tcBorders>
              <w:top w:val="single" w:sz="4" w:space="0" w:color="auto"/>
              <w:left w:val="nil"/>
              <w:bottom w:val="double" w:sz="6" w:space="0" w:color="auto"/>
              <w:right w:val="nil"/>
            </w:tcBorders>
            <w:shd w:val="clear" w:color="auto" w:fill="auto"/>
            <w:noWrap/>
            <w:vAlign w:val="bottom"/>
            <w:hideMark/>
          </w:tcPr>
          <w:p w14:paraId="6567D44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56</w:t>
            </w:r>
          </w:p>
        </w:tc>
        <w:tc>
          <w:tcPr>
            <w:tcW w:w="1300" w:type="dxa"/>
            <w:tcBorders>
              <w:top w:val="single" w:sz="4" w:space="0" w:color="auto"/>
              <w:left w:val="nil"/>
              <w:bottom w:val="double" w:sz="6" w:space="0" w:color="auto"/>
              <w:right w:val="nil"/>
            </w:tcBorders>
            <w:shd w:val="clear" w:color="auto" w:fill="auto"/>
            <w:vAlign w:val="bottom"/>
            <w:hideMark/>
          </w:tcPr>
          <w:p w14:paraId="5B4875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Total # of Cells</w:t>
            </w:r>
          </w:p>
        </w:tc>
        <w:tc>
          <w:tcPr>
            <w:tcW w:w="240" w:type="dxa"/>
            <w:tcBorders>
              <w:top w:val="nil"/>
              <w:left w:val="nil"/>
              <w:bottom w:val="nil"/>
              <w:right w:val="single" w:sz="4" w:space="0" w:color="auto"/>
            </w:tcBorders>
            <w:shd w:val="clear" w:color="auto" w:fill="auto"/>
            <w:noWrap/>
            <w:vAlign w:val="bottom"/>
            <w:hideMark/>
          </w:tcPr>
          <w:p w14:paraId="05DFCFED"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5BC538F8" w14:textId="77777777" w:rsidTr="00317A9B">
        <w:trPr>
          <w:trHeight w:val="300"/>
          <w:jc w:val="center"/>
        </w:trPr>
        <w:tc>
          <w:tcPr>
            <w:tcW w:w="240" w:type="dxa"/>
            <w:tcBorders>
              <w:top w:val="nil"/>
              <w:left w:val="single" w:sz="4" w:space="0" w:color="auto"/>
              <w:bottom w:val="nil"/>
              <w:right w:val="nil"/>
            </w:tcBorders>
            <w:shd w:val="clear" w:color="auto" w:fill="auto"/>
            <w:noWrap/>
            <w:vAlign w:val="bottom"/>
            <w:hideMark/>
          </w:tcPr>
          <w:p w14:paraId="6C2CA8C8"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0853E8E3"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Cells</w:t>
            </w:r>
          </w:p>
        </w:tc>
        <w:tc>
          <w:tcPr>
            <w:tcW w:w="1300" w:type="dxa"/>
            <w:tcBorders>
              <w:top w:val="nil"/>
              <w:left w:val="nil"/>
              <w:bottom w:val="single" w:sz="4" w:space="0" w:color="auto"/>
              <w:right w:val="nil"/>
            </w:tcBorders>
            <w:shd w:val="clear" w:color="auto" w:fill="auto"/>
            <w:noWrap/>
            <w:vAlign w:val="bottom"/>
            <w:hideMark/>
          </w:tcPr>
          <w:p w14:paraId="1619F30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w:t>
            </w:r>
          </w:p>
        </w:tc>
        <w:tc>
          <w:tcPr>
            <w:tcW w:w="1300" w:type="dxa"/>
            <w:tcBorders>
              <w:top w:val="nil"/>
              <w:left w:val="nil"/>
              <w:bottom w:val="single" w:sz="4" w:space="0" w:color="auto"/>
              <w:right w:val="nil"/>
            </w:tcBorders>
            <w:shd w:val="clear" w:color="auto" w:fill="auto"/>
            <w:noWrap/>
            <w:vAlign w:val="bottom"/>
            <w:hideMark/>
          </w:tcPr>
          <w:p w14:paraId="7C8E2877"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2</w:t>
            </w:r>
          </w:p>
        </w:tc>
        <w:tc>
          <w:tcPr>
            <w:tcW w:w="1300" w:type="dxa"/>
            <w:tcBorders>
              <w:top w:val="nil"/>
              <w:left w:val="nil"/>
              <w:bottom w:val="single" w:sz="4" w:space="0" w:color="auto"/>
              <w:right w:val="nil"/>
            </w:tcBorders>
            <w:shd w:val="clear" w:color="auto" w:fill="auto"/>
            <w:noWrap/>
            <w:vAlign w:val="bottom"/>
            <w:hideMark/>
          </w:tcPr>
          <w:p w14:paraId="74B348E6"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15</w:t>
            </w:r>
          </w:p>
        </w:tc>
        <w:tc>
          <w:tcPr>
            <w:tcW w:w="1300" w:type="dxa"/>
            <w:tcBorders>
              <w:top w:val="nil"/>
              <w:left w:val="nil"/>
              <w:bottom w:val="single" w:sz="4" w:space="0" w:color="auto"/>
              <w:right w:val="nil"/>
            </w:tcBorders>
            <w:shd w:val="clear" w:color="auto" w:fill="auto"/>
            <w:noWrap/>
            <w:vAlign w:val="bottom"/>
            <w:hideMark/>
          </w:tcPr>
          <w:p w14:paraId="1D00A082"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18</w:t>
            </w:r>
          </w:p>
        </w:tc>
        <w:tc>
          <w:tcPr>
            <w:tcW w:w="240" w:type="dxa"/>
            <w:tcBorders>
              <w:top w:val="nil"/>
              <w:left w:val="nil"/>
              <w:bottom w:val="nil"/>
              <w:right w:val="single" w:sz="4" w:space="0" w:color="auto"/>
            </w:tcBorders>
            <w:shd w:val="clear" w:color="auto" w:fill="auto"/>
            <w:noWrap/>
            <w:vAlign w:val="bottom"/>
            <w:hideMark/>
          </w:tcPr>
          <w:p w14:paraId="3C1A65EE"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r w:rsidR="000E70AC" w:rsidRPr="00740C3E" w14:paraId="0E973E06" w14:textId="77777777" w:rsidTr="00317A9B">
        <w:trPr>
          <w:trHeight w:val="240"/>
          <w:jc w:val="center"/>
        </w:trPr>
        <w:tc>
          <w:tcPr>
            <w:tcW w:w="240" w:type="dxa"/>
            <w:tcBorders>
              <w:top w:val="nil"/>
              <w:left w:val="single" w:sz="4" w:space="0" w:color="auto"/>
              <w:bottom w:val="single" w:sz="4" w:space="0" w:color="auto"/>
              <w:right w:val="nil"/>
            </w:tcBorders>
            <w:shd w:val="clear" w:color="auto" w:fill="auto"/>
            <w:noWrap/>
            <w:vAlign w:val="bottom"/>
            <w:hideMark/>
          </w:tcPr>
          <w:p w14:paraId="3827764F"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CF283F9"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5EBDC80A"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31B006A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48FBA7B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1300" w:type="dxa"/>
            <w:tcBorders>
              <w:top w:val="nil"/>
              <w:left w:val="nil"/>
              <w:bottom w:val="single" w:sz="4" w:space="0" w:color="auto"/>
              <w:right w:val="nil"/>
            </w:tcBorders>
            <w:shd w:val="clear" w:color="auto" w:fill="auto"/>
            <w:noWrap/>
            <w:vAlign w:val="bottom"/>
            <w:hideMark/>
          </w:tcPr>
          <w:p w14:paraId="795D945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c>
          <w:tcPr>
            <w:tcW w:w="240" w:type="dxa"/>
            <w:tcBorders>
              <w:top w:val="nil"/>
              <w:left w:val="nil"/>
              <w:bottom w:val="single" w:sz="4" w:space="0" w:color="auto"/>
              <w:right w:val="single" w:sz="4" w:space="0" w:color="auto"/>
            </w:tcBorders>
            <w:shd w:val="clear" w:color="auto" w:fill="auto"/>
            <w:noWrap/>
            <w:vAlign w:val="bottom"/>
            <w:hideMark/>
          </w:tcPr>
          <w:p w14:paraId="161068F5" w14:textId="77777777" w:rsidR="000E70AC" w:rsidRPr="00740C3E" w:rsidRDefault="000E70AC" w:rsidP="0011235A">
            <w:pPr>
              <w:spacing w:after="0" w:line="240" w:lineRule="auto"/>
              <w:jc w:val="center"/>
              <w:rPr>
                <w:rFonts w:ascii="Calibri" w:eastAsia="Times New Roman" w:hAnsi="Calibri" w:cs="Calibri"/>
                <w:color w:val="000000"/>
              </w:rPr>
            </w:pPr>
            <w:r w:rsidRPr="00740C3E">
              <w:rPr>
                <w:rFonts w:ascii="Calibri" w:eastAsia="Times New Roman" w:hAnsi="Calibri" w:cs="Calibri"/>
                <w:color w:val="000000"/>
              </w:rPr>
              <w:t> </w:t>
            </w:r>
          </w:p>
        </w:tc>
      </w:tr>
    </w:tbl>
    <w:p w14:paraId="329ADCCA" w14:textId="19DA8F3B" w:rsidR="000E70AC" w:rsidRDefault="000E70AC" w:rsidP="0011235A">
      <w:pPr>
        <w:spacing w:line="240" w:lineRule="auto"/>
      </w:pPr>
    </w:p>
    <w:p w14:paraId="06ECE021" w14:textId="66F00B10" w:rsidR="00635F3E" w:rsidRDefault="00635F3E" w:rsidP="0011235A">
      <w:pPr>
        <w:spacing w:after="0" w:line="240" w:lineRule="auto"/>
        <w:jc w:val="left"/>
        <w:rPr>
          <w:rFonts w:asciiTheme="majorHAnsi" w:hAnsiTheme="majorHAnsi" w:cstheme="majorHAnsi"/>
          <w:b/>
          <w:iCs/>
        </w:rPr>
      </w:pPr>
      <w:r>
        <w:rPr>
          <w:rFonts w:asciiTheme="majorHAnsi" w:hAnsiTheme="majorHAnsi" w:cstheme="majorHAnsi"/>
          <w:b/>
          <w:iCs/>
        </w:rPr>
        <w:br w:type="page"/>
      </w:r>
    </w:p>
    <w:p w14:paraId="4BE82DA7"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noProof/>
          <w:sz w:val="24"/>
          <w:szCs w:val="24"/>
        </w:rPr>
        <w:lastRenderedPageBreak/>
        <w:drawing>
          <wp:inline distT="0" distB="0" distL="0" distR="0" wp14:anchorId="2B3FBD88" wp14:editId="4756C5D3">
            <wp:extent cx="5740400" cy="40894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40400" cy="4089400"/>
                    </a:xfrm>
                    <a:prstGeom prst="rect">
                      <a:avLst/>
                    </a:prstGeom>
                  </pic:spPr>
                </pic:pic>
              </a:graphicData>
            </a:graphic>
          </wp:inline>
        </w:drawing>
      </w:r>
    </w:p>
    <w:p w14:paraId="252C3025" w14:textId="77777777" w:rsidR="00635F3E" w:rsidRPr="00382793" w:rsidRDefault="00635F3E" w:rsidP="0011235A">
      <w:pPr>
        <w:spacing w:line="240" w:lineRule="auto"/>
        <w:rPr>
          <w:rFonts w:asciiTheme="majorHAnsi" w:hAnsiTheme="majorHAnsi" w:cstheme="majorHAnsi"/>
          <w:sz w:val="24"/>
          <w:szCs w:val="24"/>
        </w:rPr>
      </w:pPr>
      <w:r w:rsidRPr="00382793">
        <w:rPr>
          <w:rFonts w:asciiTheme="majorHAnsi" w:hAnsiTheme="majorHAnsi" w:cstheme="majorHAnsi"/>
          <w:b/>
          <w:bCs/>
          <w:sz w:val="24"/>
          <w:szCs w:val="24"/>
        </w:rPr>
        <w:t>Figure 1.1.</w:t>
      </w:r>
      <w:r w:rsidRPr="00382793">
        <w:rPr>
          <w:rFonts w:asciiTheme="majorHAnsi" w:hAnsiTheme="majorHAnsi" w:cstheme="majorHAnsi"/>
          <w:sz w:val="24"/>
          <w:szCs w:val="24"/>
        </w:rPr>
        <w:t xml:space="preserve"> </w:t>
      </w:r>
      <w:r w:rsidRPr="00382793">
        <w:rPr>
          <w:rFonts w:asciiTheme="majorHAnsi" w:hAnsiTheme="majorHAnsi" w:cstheme="majorHAnsi"/>
          <w:bCs/>
          <w:sz w:val="24"/>
          <w:szCs w:val="24"/>
        </w:rPr>
        <w:t>CDFW annual Fall Midwater Trawl delta smelt catch numbers (indices) from 1967 to 2021. CDFW did not sample in 1974 and 1979. Indices taken from CDFW publicly hosted dataset (https://www.dfg.ca.gov/delta/data/fmwt/indices.asp).</w:t>
      </w:r>
    </w:p>
    <w:p w14:paraId="0072B721" w14:textId="77777777" w:rsidR="00635F3E" w:rsidRDefault="00635F3E" w:rsidP="0011235A">
      <w:pPr>
        <w:spacing w:line="240" w:lineRule="auto"/>
        <w:ind w:right="270"/>
        <w:jc w:val="center"/>
        <w:rPr>
          <w:rFonts w:asciiTheme="majorHAnsi" w:hAnsiTheme="majorHAnsi" w:cstheme="majorHAnsi"/>
          <w:b/>
          <w:iCs/>
        </w:rPr>
      </w:pPr>
    </w:p>
    <w:p w14:paraId="4C6648D9" w14:textId="485F05EA" w:rsidR="00644092" w:rsidRPr="002C7062" w:rsidRDefault="00644092" w:rsidP="0011235A">
      <w:pPr>
        <w:spacing w:line="240" w:lineRule="auto"/>
        <w:ind w:right="270"/>
        <w:jc w:val="center"/>
        <w:rPr>
          <w:rFonts w:asciiTheme="majorHAnsi" w:hAnsiTheme="majorHAnsi" w:cstheme="majorHAnsi"/>
          <w:b/>
          <w:iCs/>
        </w:rPr>
      </w:pPr>
      <w:r w:rsidRPr="002C7062">
        <w:rPr>
          <w:rFonts w:asciiTheme="majorHAnsi" w:hAnsiTheme="majorHAnsi" w:cstheme="majorHAnsi"/>
          <w:b/>
          <w:iCs/>
          <w:noProof/>
        </w:rPr>
        <w:lastRenderedPageBreak/>
        <w:drawing>
          <wp:inline distT="0" distB="0" distL="0" distR="0" wp14:anchorId="6DB8E9E7" wp14:editId="69F24717">
            <wp:extent cx="4096789" cy="7141945"/>
            <wp:effectExtent l="0" t="0" r="5715" b="0"/>
            <wp:docPr id="6" name="image4.png" descr="A picture containing text, electronics,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A picture containing text, electronics, computer&#10;&#10;Description automatically generated"/>
                    <pic:cNvPicPr>
                      <a:picLocks noChangeAspect="1" noChangeArrowheads="1"/>
                    </pic:cNvPicPr>
                  </pic:nvPicPr>
                  <pic:blipFill>
                    <a:blip r:embed="rId9"/>
                    <a:stretch>
                      <a:fillRect/>
                    </a:stretch>
                  </pic:blipFill>
                  <pic:spPr bwMode="auto">
                    <a:xfrm>
                      <a:off x="0" y="0"/>
                      <a:ext cx="4106926" cy="7159617"/>
                    </a:xfrm>
                    <a:prstGeom prst="rect">
                      <a:avLst/>
                    </a:prstGeom>
                  </pic:spPr>
                </pic:pic>
              </a:graphicData>
            </a:graphic>
          </wp:inline>
        </w:drawing>
      </w:r>
    </w:p>
    <w:p w14:paraId="70B590F0" w14:textId="1D030E0B" w:rsidR="000E70AC" w:rsidRPr="005549A1" w:rsidRDefault="00644092" w:rsidP="0011235A">
      <w:pPr>
        <w:spacing w:line="240" w:lineRule="auto"/>
        <w:rPr>
          <w:rFonts w:asciiTheme="majorHAnsi" w:hAnsiTheme="majorHAnsi" w:cstheme="majorHAnsi"/>
          <w:bCs/>
          <w:sz w:val="24"/>
          <w:szCs w:val="24"/>
        </w:rPr>
      </w:pPr>
      <w:r w:rsidRPr="005549A1">
        <w:rPr>
          <w:rFonts w:asciiTheme="majorHAnsi" w:hAnsiTheme="majorHAnsi" w:cstheme="majorHAnsi"/>
          <w:b/>
          <w:bCs/>
          <w:sz w:val="24"/>
          <w:szCs w:val="24"/>
        </w:rPr>
        <w:t>Figure 2.1.</w:t>
      </w:r>
      <w:r w:rsidRPr="005549A1">
        <w:rPr>
          <w:rFonts w:asciiTheme="majorHAnsi" w:hAnsiTheme="majorHAnsi" w:cstheme="majorHAnsi"/>
          <w:sz w:val="24"/>
          <w:szCs w:val="24"/>
        </w:rPr>
        <w:t xml:space="preserve"> </w:t>
      </w:r>
      <w:r w:rsidRPr="005549A1">
        <w:rPr>
          <w:rFonts w:asciiTheme="majorHAnsi" w:hAnsiTheme="majorHAnsi" w:cstheme="majorHAnsi"/>
          <w:bCs/>
          <w:sz w:val="24"/>
          <w:szCs w:val="24"/>
        </w:rPr>
        <w:t>Pulse field gel images of extracted HMW gDNA from six rounds (A-F) of extractions. Green boxes surround lanes from extracted samples usable for long-read and linked-read sequencing (extraction distribution centered ~ 50</w:t>
      </w:r>
      <w:ins w:id="57" w:author="Andrea Schreier" w:date="2022-09-07T13:55:00Z">
        <w:r w:rsidR="00C6769A">
          <w:rPr>
            <w:rFonts w:asciiTheme="majorHAnsi" w:hAnsiTheme="majorHAnsi" w:cstheme="majorHAnsi"/>
            <w:bCs/>
            <w:sz w:val="24"/>
            <w:szCs w:val="24"/>
          </w:rPr>
          <w:t xml:space="preserve"> </w:t>
        </w:r>
      </w:ins>
      <w:r w:rsidRPr="005549A1">
        <w:rPr>
          <w:rFonts w:asciiTheme="majorHAnsi" w:hAnsiTheme="majorHAnsi" w:cstheme="majorHAnsi"/>
          <w:bCs/>
          <w:sz w:val="24"/>
          <w:szCs w:val="24"/>
        </w:rPr>
        <w:t xml:space="preserve">kb) by the UC Davis </w:t>
      </w:r>
      <w:r w:rsidR="00C6769A">
        <w:rPr>
          <w:rFonts w:asciiTheme="majorHAnsi" w:hAnsiTheme="majorHAnsi" w:cstheme="majorHAnsi"/>
          <w:bCs/>
          <w:sz w:val="24"/>
          <w:szCs w:val="24"/>
        </w:rPr>
        <w:t>DNA Technologies and Expression Analysis Core</w:t>
      </w:r>
      <w:r w:rsidRPr="005549A1">
        <w:rPr>
          <w:rFonts w:asciiTheme="majorHAnsi" w:hAnsiTheme="majorHAnsi" w:cstheme="majorHAnsi"/>
          <w:bCs/>
          <w:sz w:val="24"/>
          <w:szCs w:val="24"/>
        </w:rPr>
        <w:t>, yellow boxes surround lanes from samples with insufficient extraction lengths or concentration. A) Extraction #1: usable HMW gDNA from female b</w:t>
      </w:r>
      <w:r w:rsidRPr="005549A1">
        <w:rPr>
          <w:rFonts w:asciiTheme="majorHAnsi" w:hAnsiTheme="majorHAnsi" w:cstheme="majorHAnsi"/>
          <w:iCs/>
          <w:sz w:val="24"/>
          <w:szCs w:val="24"/>
        </w:rPr>
        <w:t xml:space="preserve">ack muscle tissue </w:t>
      </w:r>
      <w:r w:rsidRPr="005549A1">
        <w:rPr>
          <w:rFonts w:asciiTheme="majorHAnsi" w:hAnsiTheme="majorHAnsi" w:cstheme="majorHAnsi"/>
          <w:iCs/>
          <w:sz w:val="24"/>
          <w:szCs w:val="24"/>
        </w:rPr>
        <w:lastRenderedPageBreak/>
        <w:t>sample (T1F02_BM_FF</w:t>
      </w:r>
      <w:r w:rsidRPr="005549A1">
        <w:rPr>
          <w:rFonts w:asciiTheme="majorHAnsi" w:hAnsiTheme="majorHAnsi" w:cstheme="majorHAnsi"/>
          <w:bCs/>
          <w:sz w:val="24"/>
          <w:szCs w:val="24"/>
        </w:rPr>
        <w:t>), B) Extraction #2: no usable samples, C) Extraction #3: no usable samples, D) Extraction #4: No usable samples, E) Extraction #5: usable HMW gDNA from male b</w:t>
      </w:r>
      <w:r w:rsidRPr="005549A1">
        <w:rPr>
          <w:rFonts w:asciiTheme="majorHAnsi" w:hAnsiTheme="majorHAnsi" w:cstheme="majorHAnsi"/>
          <w:iCs/>
          <w:sz w:val="24"/>
          <w:szCs w:val="24"/>
        </w:rPr>
        <w:t>ack muscle tissue sample</w:t>
      </w:r>
      <w:r w:rsidRPr="005549A1">
        <w:rPr>
          <w:rFonts w:asciiTheme="majorHAnsi" w:hAnsiTheme="majorHAnsi" w:cstheme="majorHAnsi"/>
          <w:bCs/>
          <w:sz w:val="24"/>
          <w:szCs w:val="24"/>
        </w:rPr>
        <w:t xml:space="preserve"> (T3M02_BM_FF); F) Extraction #6: usable HMW gDNA from female gill</w:t>
      </w:r>
      <w:r w:rsidRPr="005549A1">
        <w:rPr>
          <w:rFonts w:asciiTheme="majorHAnsi" w:hAnsiTheme="majorHAnsi" w:cstheme="majorHAnsi"/>
          <w:iCs/>
          <w:sz w:val="24"/>
          <w:szCs w:val="24"/>
        </w:rPr>
        <w:t xml:space="preserve"> tissue sample</w:t>
      </w:r>
      <w:r w:rsidRPr="005549A1">
        <w:rPr>
          <w:rFonts w:asciiTheme="majorHAnsi" w:hAnsiTheme="majorHAnsi" w:cstheme="majorHAnsi"/>
          <w:bCs/>
          <w:sz w:val="24"/>
          <w:szCs w:val="24"/>
        </w:rPr>
        <w:t xml:space="preserve"> (T3F02_SC_FF).</w:t>
      </w:r>
    </w:p>
    <w:p w14:paraId="533002A2" w14:textId="3E3852C1" w:rsidR="00C1267C" w:rsidRPr="005549A1" w:rsidRDefault="00C1267C" w:rsidP="0011235A">
      <w:pPr>
        <w:spacing w:line="240" w:lineRule="auto"/>
        <w:rPr>
          <w:rFonts w:asciiTheme="majorHAnsi" w:hAnsiTheme="majorHAnsi" w:cstheme="majorHAnsi"/>
          <w:sz w:val="24"/>
          <w:szCs w:val="24"/>
        </w:rPr>
      </w:pPr>
      <w:r w:rsidRPr="005549A1">
        <w:rPr>
          <w:rFonts w:asciiTheme="majorHAnsi" w:hAnsiTheme="majorHAnsi" w:cstheme="majorHAnsi"/>
          <w:sz w:val="24"/>
          <w:szCs w:val="24"/>
        </w:rPr>
        <w:br w:type="page"/>
      </w:r>
    </w:p>
    <w:p w14:paraId="11CB817F" w14:textId="77777777" w:rsidR="00644092" w:rsidRPr="005549A1" w:rsidRDefault="00644092" w:rsidP="0011235A">
      <w:pPr>
        <w:spacing w:line="240" w:lineRule="auto"/>
        <w:rPr>
          <w:rFonts w:asciiTheme="majorHAnsi" w:hAnsiTheme="majorHAnsi" w:cstheme="majorHAnsi"/>
          <w:sz w:val="24"/>
          <w:szCs w:val="24"/>
        </w:rPr>
      </w:pPr>
    </w:p>
    <w:p w14:paraId="67C0ACE0"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drawing>
          <wp:inline distT="0" distB="0" distL="0" distR="0" wp14:anchorId="6ADA1AD6" wp14:editId="4C447329">
            <wp:extent cx="5943600" cy="5966460"/>
            <wp:effectExtent l="0" t="0" r="0" b="254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966460"/>
                    </a:xfrm>
                    <a:prstGeom prst="rect">
                      <a:avLst/>
                    </a:prstGeom>
                  </pic:spPr>
                </pic:pic>
              </a:graphicData>
            </a:graphic>
          </wp:inline>
        </w:drawing>
      </w:r>
    </w:p>
    <w:p w14:paraId="65B4F9A5"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2.2.</w:t>
      </w:r>
      <w:r w:rsidRPr="005549A1">
        <w:rPr>
          <w:rFonts w:asciiTheme="majorHAnsi" w:eastAsia="Times New Roman" w:hAnsiTheme="majorHAnsi" w:cstheme="majorHAnsi"/>
          <w:sz w:val="24"/>
          <w:szCs w:val="24"/>
        </w:rPr>
        <w:t xml:space="preserve"> Electropherograms of male and female samples used for linked-read library prep.</w:t>
      </w:r>
    </w:p>
    <w:p w14:paraId="7697DB82"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66A8B49F" wp14:editId="71261B44">
            <wp:extent cx="5943600" cy="4955540"/>
            <wp:effectExtent l="0" t="0" r="0" b="0"/>
            <wp:docPr id="5"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line chart&#10;&#10;Description automatically generated"/>
                    <pic:cNvPicPr>
                      <a:picLocks noChangeAspect="1" noChangeArrowheads="1"/>
                    </pic:cNvPicPr>
                  </pic:nvPicPr>
                  <pic:blipFill>
                    <a:blip r:embed="rId11"/>
                    <a:stretch>
                      <a:fillRect/>
                    </a:stretch>
                  </pic:blipFill>
                  <pic:spPr bwMode="auto">
                    <a:xfrm>
                      <a:off x="0" y="0"/>
                      <a:ext cx="5943600" cy="4955540"/>
                    </a:xfrm>
                    <a:prstGeom prst="rect">
                      <a:avLst/>
                    </a:prstGeom>
                  </pic:spPr>
                </pic:pic>
              </a:graphicData>
            </a:graphic>
          </wp:inline>
        </w:drawing>
      </w:r>
    </w:p>
    <w:p w14:paraId="142C72B1" w14:textId="5EB16344" w:rsidR="003F5039" w:rsidRPr="005549A1" w:rsidRDefault="00644092" w:rsidP="0011235A">
      <w:pPr>
        <w:spacing w:line="240" w:lineRule="auto"/>
        <w:rPr>
          <w:rFonts w:asciiTheme="majorHAnsi" w:hAnsiTheme="majorHAnsi" w:cstheme="majorHAnsi"/>
          <w:sz w:val="24"/>
          <w:szCs w:val="24"/>
        </w:rPr>
      </w:pPr>
      <w:commentRangeStart w:id="58"/>
      <w:r w:rsidRPr="005549A1">
        <w:rPr>
          <w:rFonts w:asciiTheme="majorHAnsi" w:eastAsia="Times New Roman" w:hAnsiTheme="majorHAnsi" w:cstheme="majorHAnsi"/>
          <w:b/>
          <w:sz w:val="24"/>
          <w:szCs w:val="24"/>
        </w:rPr>
        <w:t>Figure 2.3</w:t>
      </w:r>
      <w:commentRangeEnd w:id="58"/>
      <w:r w:rsidR="00C6769A">
        <w:rPr>
          <w:rStyle w:val="CommentReference"/>
        </w:rPr>
        <w:commentReference w:id="58"/>
      </w:r>
      <w:r w:rsidRPr="005549A1">
        <w:rPr>
          <w:rFonts w:asciiTheme="majorHAnsi" w:eastAsia="Times New Roman" w:hAnsiTheme="majorHAnsi" w:cstheme="majorHAnsi"/>
          <w:b/>
          <w:sz w:val="24"/>
          <w:szCs w:val="24"/>
        </w:rPr>
        <w:t>.</w:t>
      </w:r>
      <w:r w:rsidRPr="005549A1">
        <w:rPr>
          <w:rFonts w:asciiTheme="majorHAnsi" w:eastAsia="Times New Roman" w:hAnsiTheme="majorHAnsi" w:cstheme="majorHAnsi"/>
          <w:sz w:val="24"/>
          <w:szCs w:val="24"/>
        </w:rPr>
        <w:t xml:space="preserve"> Linked-read k-mer spectra histograms created from </w:t>
      </w:r>
      <w:r w:rsidR="005549A1" w:rsidRPr="005549A1">
        <w:rPr>
          <w:rFonts w:ascii="Courier" w:hAnsi="Courier" w:cstheme="majorHAnsi"/>
          <w:sz w:val="24"/>
          <w:szCs w:val="24"/>
        </w:rPr>
        <w:t>kat hist</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Each plot shows the number of distinct k-mers at different frequencies from </w:t>
      </w:r>
      <w:r w:rsidR="007E7567">
        <w:rPr>
          <w:rFonts w:asciiTheme="majorHAnsi" w:eastAsia="Times New Roman" w:hAnsiTheme="majorHAnsi" w:cstheme="majorHAnsi"/>
          <w:sz w:val="24"/>
          <w:szCs w:val="24"/>
        </w:rPr>
        <w:t>fe</w:t>
      </w:r>
      <w:r w:rsidRPr="005549A1">
        <w:rPr>
          <w:rFonts w:asciiTheme="majorHAnsi" w:eastAsia="Times New Roman" w:hAnsiTheme="majorHAnsi" w:cstheme="majorHAnsi"/>
          <w:sz w:val="24"/>
          <w:szCs w:val="24"/>
        </w:rPr>
        <w:t>male (A &amp; B) and male (C &amp; D) sequencing data. Histograms using k=21 (A &amp; C), and k=31 (B &amp; D). The high abundance of low frequency k-mers are expected as a product of sequencing and base calling errors.</w:t>
      </w:r>
    </w:p>
    <w:p w14:paraId="4E59D802" w14:textId="34E49903" w:rsidR="00644092" w:rsidRPr="005549A1" w:rsidRDefault="00644092" w:rsidP="0011235A">
      <w:pPr>
        <w:spacing w:line="240" w:lineRule="auto"/>
        <w:rPr>
          <w:rFonts w:asciiTheme="majorHAnsi" w:hAnsiTheme="majorHAnsi" w:cstheme="majorHAnsi"/>
          <w:sz w:val="24"/>
          <w:szCs w:val="24"/>
        </w:rPr>
      </w:pPr>
    </w:p>
    <w:p w14:paraId="592BF6BF"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269FD6D1" wp14:editId="5D00DC80">
            <wp:extent cx="5943600" cy="4955540"/>
            <wp:effectExtent l="0" t="0" r="0" b="0"/>
            <wp:docPr id="10" name="Picture 10" descr="A picture containing text, printe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printer, screenshot&#10;&#10;Description automatically generated"/>
                    <pic:cNvPicPr>
                      <a:picLocks noChangeAspect="1" noChangeArrowheads="1"/>
                    </pic:cNvPicPr>
                  </pic:nvPicPr>
                  <pic:blipFill>
                    <a:blip r:embed="rId16"/>
                    <a:stretch>
                      <a:fillRect/>
                    </a:stretch>
                  </pic:blipFill>
                  <pic:spPr bwMode="auto">
                    <a:xfrm>
                      <a:off x="0" y="0"/>
                      <a:ext cx="5943600" cy="4955540"/>
                    </a:xfrm>
                    <a:prstGeom prst="rect">
                      <a:avLst/>
                    </a:prstGeom>
                  </pic:spPr>
                </pic:pic>
              </a:graphicData>
            </a:graphic>
          </wp:inline>
        </w:drawing>
      </w:r>
    </w:p>
    <w:p w14:paraId="06A5EDC8" w14:textId="70F53FA3" w:rsidR="00644092" w:rsidRPr="005549A1" w:rsidRDefault="00644092" w:rsidP="0011235A">
      <w:pPr>
        <w:spacing w:line="240" w:lineRule="auto"/>
        <w:rPr>
          <w:rFonts w:asciiTheme="majorHAnsi" w:hAnsiTheme="majorHAnsi" w:cstheme="majorHAnsi"/>
          <w:sz w:val="24"/>
          <w:szCs w:val="24"/>
        </w:rPr>
      </w:pPr>
      <w:r w:rsidRPr="005549A1">
        <w:rPr>
          <w:rFonts w:asciiTheme="majorHAnsi" w:eastAsia="Times New Roman" w:hAnsiTheme="majorHAnsi" w:cstheme="majorHAnsi"/>
          <w:b/>
          <w:sz w:val="24"/>
          <w:szCs w:val="24"/>
        </w:rPr>
        <w:t>Figure 2.4.</w:t>
      </w:r>
      <w:r w:rsidRPr="005549A1">
        <w:rPr>
          <w:rFonts w:asciiTheme="majorHAnsi" w:eastAsia="Times New Roman" w:hAnsiTheme="majorHAnsi" w:cstheme="majorHAnsi"/>
          <w:sz w:val="24"/>
          <w:szCs w:val="24"/>
        </w:rPr>
        <w:t xml:space="preserve"> Heatmaps of k-mer frequency (x-axis) vs GC count (y-axis) colored by the number of distinct k-mers created by with the </w:t>
      </w:r>
      <w:r w:rsidR="005549A1" w:rsidRPr="005549A1">
        <w:rPr>
          <w:rFonts w:ascii="Courier" w:hAnsi="Courier" w:cstheme="majorHAnsi"/>
          <w:sz w:val="24"/>
          <w:szCs w:val="24"/>
        </w:rPr>
        <w:t xml:space="preserve">kat </w:t>
      </w:r>
      <w:proofErr w:type="spellStart"/>
      <w:r w:rsidR="005549A1">
        <w:rPr>
          <w:rFonts w:ascii="Courier" w:hAnsi="Courier" w:cstheme="majorHAnsi"/>
          <w:sz w:val="24"/>
          <w:szCs w:val="24"/>
        </w:rPr>
        <w:t>gcp</w:t>
      </w:r>
      <w:proofErr w:type="spellEnd"/>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function. Blue indicates fewer distinct k-mers with a given GC count and frequency, while yellow indicates more distinct k-mers. Plots using k=21 (A &amp; C), and k=31 (B &amp; D). No indication of contamination was detected in female (A &amp; B) and male (C &amp; D) sequencing data. Low frequency k-mers with a broad distribution of GC content is expected from sequencing and base calling errors</w:t>
      </w:r>
      <w:r w:rsidRPr="005549A1">
        <w:rPr>
          <w:rFonts w:asciiTheme="majorHAnsi" w:hAnsiTheme="majorHAnsi" w:cstheme="majorHAnsi"/>
          <w:sz w:val="24"/>
          <w:szCs w:val="24"/>
        </w:rPr>
        <w:t>.</w:t>
      </w:r>
    </w:p>
    <w:p w14:paraId="40CED0C5" w14:textId="671227F8" w:rsidR="00644092" w:rsidRPr="005549A1" w:rsidRDefault="00644092" w:rsidP="0011235A">
      <w:pPr>
        <w:spacing w:line="240" w:lineRule="auto"/>
        <w:rPr>
          <w:rFonts w:asciiTheme="majorHAnsi" w:hAnsiTheme="majorHAnsi" w:cstheme="majorHAnsi"/>
          <w:sz w:val="24"/>
          <w:szCs w:val="24"/>
        </w:rPr>
      </w:pPr>
    </w:p>
    <w:p w14:paraId="5699EFD5" w14:textId="77777777" w:rsidR="00644092" w:rsidRPr="005549A1" w:rsidRDefault="00644092"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13B2DBDB" wp14:editId="4FA9268A">
            <wp:extent cx="5943600" cy="4955540"/>
            <wp:effectExtent l="0" t="0" r="0" b="0"/>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a:picLocks noChangeAspect="1" noChangeArrowheads="1"/>
                    </pic:cNvPicPr>
                  </pic:nvPicPr>
                  <pic:blipFill>
                    <a:blip r:embed="rId17"/>
                    <a:stretch>
                      <a:fillRect/>
                    </a:stretch>
                  </pic:blipFill>
                  <pic:spPr bwMode="auto">
                    <a:xfrm>
                      <a:off x="0" y="0"/>
                      <a:ext cx="5943600" cy="4955540"/>
                    </a:xfrm>
                    <a:prstGeom prst="rect">
                      <a:avLst/>
                    </a:prstGeom>
                  </pic:spPr>
                </pic:pic>
              </a:graphicData>
            </a:graphic>
          </wp:inline>
        </w:drawing>
      </w:r>
    </w:p>
    <w:p w14:paraId="6A929033" w14:textId="4E1802B8" w:rsidR="00644092" w:rsidRPr="005549A1" w:rsidRDefault="00644092" w:rsidP="0011235A">
      <w:pPr>
        <w:spacing w:line="240" w:lineRule="auto"/>
        <w:ind w:right="270"/>
        <w:rPr>
          <w:rFonts w:asciiTheme="majorHAnsi" w:eastAsia="Times New Roman" w:hAnsiTheme="majorHAnsi" w:cstheme="majorHAnsi"/>
          <w:sz w:val="24"/>
          <w:szCs w:val="24"/>
        </w:rPr>
        <w:sectPr w:rsidR="00644092" w:rsidRPr="005549A1" w:rsidSect="00317A9B">
          <w:pgSz w:w="12240" w:h="15840"/>
          <w:pgMar w:top="1440" w:right="1440" w:bottom="1440" w:left="1440" w:header="0" w:footer="0" w:gutter="0"/>
          <w:pgNumType w:start="1"/>
          <w:cols w:space="720"/>
          <w:formProt w:val="0"/>
          <w:docGrid w:linePitch="299" w:charSpace="-2254"/>
        </w:sectPr>
      </w:pPr>
      <w:r w:rsidRPr="005549A1">
        <w:rPr>
          <w:rFonts w:asciiTheme="majorHAnsi" w:eastAsia="Times New Roman" w:hAnsiTheme="majorHAnsi" w:cstheme="majorHAnsi"/>
          <w:b/>
          <w:sz w:val="24"/>
          <w:szCs w:val="24"/>
        </w:rPr>
        <w:t>Figure 2.5.</w:t>
      </w:r>
      <w:r w:rsidRPr="005549A1">
        <w:rPr>
          <w:rFonts w:asciiTheme="majorHAnsi" w:eastAsia="Times New Roman" w:hAnsiTheme="majorHAnsi" w:cstheme="majorHAnsi"/>
          <w:sz w:val="24"/>
          <w:szCs w:val="24"/>
        </w:rPr>
        <w:t xml:space="preserve"> K-mer comparison plot of the number of distinct k-mers at different frequencies in linked-read sequence data using the </w:t>
      </w:r>
      <w:r w:rsidR="005549A1" w:rsidRPr="005549A1">
        <w:rPr>
          <w:rFonts w:ascii="Courier" w:hAnsi="Courier" w:cstheme="majorHAnsi"/>
          <w:sz w:val="24"/>
          <w:szCs w:val="24"/>
        </w:rPr>
        <w:t xml:space="preserve">kat </w:t>
      </w:r>
      <w:r w:rsidR="005549A1">
        <w:rPr>
          <w:rFonts w:ascii="Courier" w:hAnsi="Courier" w:cstheme="majorHAnsi"/>
          <w:sz w:val="24"/>
          <w:szCs w:val="24"/>
        </w:rPr>
        <w:t>comp</w:t>
      </w:r>
      <w:r w:rsidR="005549A1" w:rsidRPr="005549A1">
        <w:rPr>
          <w:rFonts w:asciiTheme="majorHAnsi" w:eastAsia="Times New Roman" w:hAnsiTheme="majorHAnsi" w:cstheme="majorHAnsi"/>
          <w:sz w:val="24"/>
          <w:szCs w:val="24"/>
        </w:rPr>
        <w:t xml:space="preserve"> </w:t>
      </w:r>
      <w:r w:rsidRPr="005549A1">
        <w:rPr>
          <w:rFonts w:asciiTheme="majorHAnsi" w:eastAsia="Times New Roman" w:hAnsiTheme="majorHAnsi" w:cstheme="majorHAnsi"/>
          <w:sz w:val="24"/>
          <w:szCs w:val="24"/>
        </w:rPr>
        <w:t xml:space="preserve">function with female (A &amp; B) or male (C &amp; D) samples. Plots using k=21 (A &amp; C), and k=31 (B &amp; D). For all plots the R1 (x-axis) and R2 (y-axis) captures a slightly different information, but no major sources of sequencing bias appear to occur. </w:t>
      </w:r>
      <w:r w:rsidRPr="005549A1">
        <w:rPr>
          <w:rFonts w:asciiTheme="majorHAnsi" w:hAnsiTheme="majorHAnsi" w:cstheme="majorHAnsi"/>
          <w:sz w:val="24"/>
          <w:szCs w:val="24"/>
        </w:rPr>
        <w:t>Sequencing bias in either of the two files would result in an irregular pattern in the number of distinct k-mers</w:t>
      </w:r>
    </w:p>
    <w:p w14:paraId="78140EC5"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52DCB5F7" wp14:editId="783D9367">
            <wp:extent cx="5943600" cy="6355715"/>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355715"/>
                    </a:xfrm>
                    <a:prstGeom prst="rect">
                      <a:avLst/>
                    </a:prstGeom>
                  </pic:spPr>
                </pic:pic>
              </a:graphicData>
            </a:graphic>
          </wp:inline>
        </w:drawing>
      </w:r>
    </w:p>
    <w:p w14:paraId="3487A549" w14:textId="5BC1A36C"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hAnsiTheme="majorHAnsi" w:cstheme="majorHAnsi"/>
          <w:b/>
          <w:bCs/>
          <w:sz w:val="24"/>
          <w:szCs w:val="24"/>
        </w:rPr>
        <w:t xml:space="preserve">Figure 2.6. </w:t>
      </w:r>
      <w:r w:rsidRPr="005549A1">
        <w:rPr>
          <w:rFonts w:asciiTheme="majorHAnsi" w:hAnsiTheme="majorHAnsi" w:cstheme="majorHAnsi"/>
          <w:sz w:val="24"/>
          <w:szCs w:val="24"/>
        </w:rPr>
        <w:t>Metrics from each assembly step. A) N50 and L50 metrics and B) The total number of contigs resulting from each assembly step. Metrics show an increase in contiguity after each step of the assembly pipeline. Large raw data (a0) metrics (L50=771,808 and total contig count= 2,741,504 for the female data, and L50=1,276,120 and total contig count=3,095,133 for the male data) have been omitted to better visualize the difference of metrics in the post assembly steps.</w:t>
      </w:r>
    </w:p>
    <w:p w14:paraId="2E51180A" w14:textId="24A42C69" w:rsidR="00644092" w:rsidRPr="005549A1" w:rsidRDefault="00644092" w:rsidP="0011235A">
      <w:pPr>
        <w:spacing w:line="240" w:lineRule="auto"/>
        <w:rPr>
          <w:rFonts w:asciiTheme="majorHAnsi" w:hAnsiTheme="majorHAnsi" w:cstheme="majorHAnsi"/>
          <w:sz w:val="24"/>
          <w:szCs w:val="24"/>
        </w:rPr>
      </w:pPr>
    </w:p>
    <w:p w14:paraId="7E6BD55B" w14:textId="77777777" w:rsidR="00644092" w:rsidRPr="005549A1" w:rsidRDefault="00644092" w:rsidP="0011235A">
      <w:pPr>
        <w:spacing w:line="240" w:lineRule="auto"/>
        <w:ind w:right="270"/>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13A9797" wp14:editId="2FD63EB1">
            <wp:extent cx="5943600" cy="271003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710035"/>
                    </a:xfrm>
                    <a:prstGeom prst="rect">
                      <a:avLst/>
                    </a:prstGeom>
                  </pic:spPr>
                </pic:pic>
              </a:graphicData>
            </a:graphic>
          </wp:inline>
        </w:drawing>
      </w:r>
    </w:p>
    <w:p w14:paraId="09E4FFEB" w14:textId="77777777" w:rsidR="00644092" w:rsidRPr="005549A1" w:rsidRDefault="00644092" w:rsidP="0011235A">
      <w:pPr>
        <w:spacing w:line="240" w:lineRule="auto"/>
        <w:ind w:right="270"/>
        <w:rPr>
          <w:rFonts w:asciiTheme="majorHAnsi"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Cumulative read length plots of each iteration (A</w:t>
      </w:r>
      <w:r w:rsidRPr="005549A1">
        <w:rPr>
          <w:rFonts w:asciiTheme="majorHAnsi" w:eastAsia="Times New Roman" w:hAnsiTheme="majorHAnsi" w:cstheme="majorHAnsi"/>
          <w:sz w:val="24"/>
          <w:szCs w:val="24"/>
          <w:vertAlign w:val="subscript"/>
        </w:rPr>
        <w:t>1</w:t>
      </w:r>
      <w:r w:rsidRPr="005549A1">
        <w:rPr>
          <w:rFonts w:asciiTheme="majorHAnsi" w:eastAsia="Times New Roman" w:hAnsiTheme="majorHAnsi" w:cstheme="majorHAnsi"/>
          <w:sz w:val="24"/>
          <w:szCs w:val="24"/>
        </w:rPr>
        <w:t xml:space="preserve"> – A</w:t>
      </w:r>
      <w:r w:rsidRPr="005549A1">
        <w:rPr>
          <w:rFonts w:asciiTheme="majorHAnsi" w:eastAsia="Times New Roman" w:hAnsiTheme="majorHAnsi" w:cstheme="majorHAnsi"/>
          <w:sz w:val="24"/>
          <w:szCs w:val="24"/>
          <w:vertAlign w:val="subscript"/>
        </w:rPr>
        <w:t>4</w:t>
      </w:r>
      <w:r w:rsidRPr="005549A1">
        <w:rPr>
          <w:rFonts w:asciiTheme="majorHAnsi" w:eastAsia="Times New Roman" w:hAnsiTheme="majorHAnsi" w:cstheme="majorHAnsi"/>
          <w:sz w:val="24"/>
          <w:szCs w:val="24"/>
        </w:rPr>
        <w:t>) of the female and male genome assemblies.</w:t>
      </w:r>
    </w:p>
    <w:p w14:paraId="61164DD2" w14:textId="77777777" w:rsidR="00C1267C" w:rsidRPr="005549A1" w:rsidRDefault="00C1267C" w:rsidP="0011235A">
      <w:pPr>
        <w:spacing w:line="240" w:lineRule="auto"/>
        <w:jc w:val="center"/>
        <w:rPr>
          <w:rFonts w:asciiTheme="majorHAnsi" w:hAnsiTheme="majorHAnsi" w:cstheme="majorHAnsi"/>
          <w:sz w:val="24"/>
          <w:szCs w:val="24"/>
        </w:rPr>
      </w:pPr>
      <w:r w:rsidRPr="005549A1">
        <w:rPr>
          <w:rFonts w:asciiTheme="majorHAnsi" w:hAnsiTheme="majorHAnsi" w:cstheme="majorHAnsi"/>
          <w:noProof/>
          <w:sz w:val="24"/>
          <w:szCs w:val="24"/>
        </w:rPr>
        <w:lastRenderedPageBreak/>
        <w:drawing>
          <wp:inline distT="0" distB="0" distL="0" distR="0" wp14:anchorId="34930D10" wp14:editId="0868FA87">
            <wp:extent cx="3686962" cy="7373923"/>
            <wp:effectExtent l="0" t="0" r="0" b="5080"/>
            <wp:docPr id="8" name="Picture 10" descr="Black dot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descr="Black dots on a white background&#10;&#10;Description automatically generated with medium confidence"/>
                    <pic:cNvPicPr>
                      <a:picLocks noChangeAspect="1" noChangeArrowheads="1"/>
                    </pic:cNvPicPr>
                  </pic:nvPicPr>
                  <pic:blipFill>
                    <a:blip r:embed="rId20"/>
                    <a:stretch>
                      <a:fillRect/>
                    </a:stretch>
                  </pic:blipFill>
                  <pic:spPr bwMode="auto">
                    <a:xfrm>
                      <a:off x="0" y="0"/>
                      <a:ext cx="3721416" cy="7442832"/>
                    </a:xfrm>
                    <a:prstGeom prst="rect">
                      <a:avLst/>
                    </a:prstGeom>
                  </pic:spPr>
                </pic:pic>
              </a:graphicData>
            </a:graphic>
          </wp:inline>
        </w:drawing>
      </w:r>
    </w:p>
    <w:p w14:paraId="5A151E48" w14:textId="0E0078C0" w:rsidR="003F5039" w:rsidRPr="005D23B9" w:rsidRDefault="00C1267C" w:rsidP="0011235A">
      <w:pPr>
        <w:spacing w:line="240" w:lineRule="auto"/>
        <w:rPr>
          <w:rFonts w:asciiTheme="majorHAnsi" w:eastAsia="Times New Roman" w:hAnsiTheme="majorHAnsi" w:cstheme="majorHAnsi"/>
          <w:sz w:val="24"/>
          <w:szCs w:val="24"/>
        </w:rPr>
      </w:pPr>
      <w:r w:rsidRPr="005549A1">
        <w:rPr>
          <w:rFonts w:asciiTheme="majorHAnsi" w:eastAsia="Times New Roman" w:hAnsiTheme="majorHAnsi" w:cstheme="majorHAnsi"/>
          <w:b/>
          <w:sz w:val="24"/>
          <w:szCs w:val="24"/>
        </w:rPr>
        <w:t>Figure 2.7.</w:t>
      </w:r>
      <w:r w:rsidRPr="005549A1">
        <w:rPr>
          <w:rFonts w:asciiTheme="majorHAnsi" w:eastAsia="Times New Roman" w:hAnsiTheme="majorHAnsi" w:cstheme="majorHAnsi"/>
          <w:sz w:val="24"/>
          <w:szCs w:val="24"/>
        </w:rPr>
        <w:t xml:space="preserve"> Karyotype of metaphase stage mitotic cell from a male delta smelt showing 2n = 56 chromosomes. A) unmodified image, no scale bar; B) Adobe Photoshop modified image, plus scale bar; C) Adobe Photoshop focused image, plus scale bar.</w:t>
      </w:r>
    </w:p>
    <w:sectPr w:rsidR="003F5039" w:rsidRPr="005D23B9" w:rsidSect="000E70A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8" w:author="Andrea Schreier" w:date="2022-09-07T13:56:00Z" w:initials="AS">
    <w:p w14:paraId="0E108BCF" w14:textId="0749892A" w:rsidR="00C6769A" w:rsidRDefault="00C6769A">
      <w:pPr>
        <w:pStyle w:val="CommentText"/>
      </w:pPr>
      <w:r>
        <w:rPr>
          <w:rStyle w:val="CommentReference"/>
        </w:rPr>
        <w:annotationRef/>
      </w:r>
      <w:r>
        <w:t>Could the axis labels be made larger?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E108B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32191" w16cex:dateUtc="2022-09-07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E108BCF" w16cid:durableId="26C321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28DD00" w14:textId="77777777" w:rsidR="00EC767F" w:rsidRDefault="00EC767F" w:rsidP="000E70AC">
      <w:pPr>
        <w:spacing w:after="0" w:line="240" w:lineRule="auto"/>
      </w:pPr>
      <w:r>
        <w:separator/>
      </w:r>
    </w:p>
  </w:endnote>
  <w:endnote w:type="continuationSeparator" w:id="0">
    <w:p w14:paraId="54A85FA3" w14:textId="77777777" w:rsidR="00EC767F" w:rsidRDefault="00EC767F" w:rsidP="000E70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8A81A6" w14:textId="77777777" w:rsidR="00EC767F" w:rsidRDefault="00EC767F" w:rsidP="000E70AC">
      <w:pPr>
        <w:spacing w:after="0" w:line="240" w:lineRule="auto"/>
      </w:pPr>
      <w:r>
        <w:separator/>
      </w:r>
    </w:p>
  </w:footnote>
  <w:footnote w:type="continuationSeparator" w:id="0">
    <w:p w14:paraId="2EAFB47E" w14:textId="77777777" w:rsidR="00EC767F" w:rsidRDefault="00EC767F" w:rsidP="000E70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039"/>
    <w:rsid w:val="00012DA6"/>
    <w:rsid w:val="00024DBD"/>
    <w:rsid w:val="00025764"/>
    <w:rsid w:val="00043B95"/>
    <w:rsid w:val="00047A5C"/>
    <w:rsid w:val="00051847"/>
    <w:rsid w:val="00081378"/>
    <w:rsid w:val="000C33D6"/>
    <w:rsid w:val="000C6B61"/>
    <w:rsid w:val="000D219A"/>
    <w:rsid w:val="000D523C"/>
    <w:rsid w:val="000E2152"/>
    <w:rsid w:val="000E70AC"/>
    <w:rsid w:val="00100511"/>
    <w:rsid w:val="00107B19"/>
    <w:rsid w:val="0011235A"/>
    <w:rsid w:val="00135A81"/>
    <w:rsid w:val="00160BAA"/>
    <w:rsid w:val="00167DDB"/>
    <w:rsid w:val="00173782"/>
    <w:rsid w:val="00173AE9"/>
    <w:rsid w:val="0019361B"/>
    <w:rsid w:val="001A31AE"/>
    <w:rsid w:val="001A6E91"/>
    <w:rsid w:val="001B09B1"/>
    <w:rsid w:val="00202A99"/>
    <w:rsid w:val="00217A92"/>
    <w:rsid w:val="00222108"/>
    <w:rsid w:val="00224AC0"/>
    <w:rsid w:val="002335A7"/>
    <w:rsid w:val="00235867"/>
    <w:rsid w:val="00240056"/>
    <w:rsid w:val="00240654"/>
    <w:rsid w:val="002518FE"/>
    <w:rsid w:val="0028698C"/>
    <w:rsid w:val="00287783"/>
    <w:rsid w:val="00291495"/>
    <w:rsid w:val="002B1744"/>
    <w:rsid w:val="002B3395"/>
    <w:rsid w:val="002B588C"/>
    <w:rsid w:val="002C2F3F"/>
    <w:rsid w:val="002C4466"/>
    <w:rsid w:val="002C69E3"/>
    <w:rsid w:val="002F52A4"/>
    <w:rsid w:val="003037E2"/>
    <w:rsid w:val="00307E56"/>
    <w:rsid w:val="00315B1D"/>
    <w:rsid w:val="00315D25"/>
    <w:rsid w:val="00317A2C"/>
    <w:rsid w:val="00317A9B"/>
    <w:rsid w:val="00321C12"/>
    <w:rsid w:val="00345F08"/>
    <w:rsid w:val="00355F91"/>
    <w:rsid w:val="003579EF"/>
    <w:rsid w:val="00387DD6"/>
    <w:rsid w:val="003903DF"/>
    <w:rsid w:val="00394EF8"/>
    <w:rsid w:val="003A09CC"/>
    <w:rsid w:val="003A7D4F"/>
    <w:rsid w:val="003B10C0"/>
    <w:rsid w:val="003B2429"/>
    <w:rsid w:val="003B7B17"/>
    <w:rsid w:val="003D4EBA"/>
    <w:rsid w:val="003E074C"/>
    <w:rsid w:val="003F11BA"/>
    <w:rsid w:val="003F1E60"/>
    <w:rsid w:val="003F5039"/>
    <w:rsid w:val="003F7F9E"/>
    <w:rsid w:val="00403E27"/>
    <w:rsid w:val="00415561"/>
    <w:rsid w:val="00422626"/>
    <w:rsid w:val="00430654"/>
    <w:rsid w:val="004377C9"/>
    <w:rsid w:val="00446DCD"/>
    <w:rsid w:val="00450C5F"/>
    <w:rsid w:val="004673B7"/>
    <w:rsid w:val="00470F64"/>
    <w:rsid w:val="00480C67"/>
    <w:rsid w:val="004B332D"/>
    <w:rsid w:val="004B5697"/>
    <w:rsid w:val="004B6F68"/>
    <w:rsid w:val="004E08BF"/>
    <w:rsid w:val="004E2817"/>
    <w:rsid w:val="004E4858"/>
    <w:rsid w:val="00522930"/>
    <w:rsid w:val="00530CC3"/>
    <w:rsid w:val="005404B5"/>
    <w:rsid w:val="005549A1"/>
    <w:rsid w:val="00570BB9"/>
    <w:rsid w:val="00577B48"/>
    <w:rsid w:val="005910F3"/>
    <w:rsid w:val="00594BE3"/>
    <w:rsid w:val="005A4907"/>
    <w:rsid w:val="005B1B8B"/>
    <w:rsid w:val="005B2580"/>
    <w:rsid w:val="005B7C48"/>
    <w:rsid w:val="005B7C80"/>
    <w:rsid w:val="005C1F2A"/>
    <w:rsid w:val="005C7F13"/>
    <w:rsid w:val="005D14A7"/>
    <w:rsid w:val="005D23B9"/>
    <w:rsid w:val="005D60CF"/>
    <w:rsid w:val="005E1B57"/>
    <w:rsid w:val="006030AE"/>
    <w:rsid w:val="006161D8"/>
    <w:rsid w:val="00626F94"/>
    <w:rsid w:val="00634ADB"/>
    <w:rsid w:val="00635F3E"/>
    <w:rsid w:val="00636378"/>
    <w:rsid w:val="006372E7"/>
    <w:rsid w:val="00644092"/>
    <w:rsid w:val="00645DF5"/>
    <w:rsid w:val="00650EFD"/>
    <w:rsid w:val="006514C3"/>
    <w:rsid w:val="00654E57"/>
    <w:rsid w:val="00685FD6"/>
    <w:rsid w:val="00695F15"/>
    <w:rsid w:val="006B6CB5"/>
    <w:rsid w:val="006C1DD5"/>
    <w:rsid w:val="006C6899"/>
    <w:rsid w:val="006D6AE1"/>
    <w:rsid w:val="006E58E9"/>
    <w:rsid w:val="006F17F9"/>
    <w:rsid w:val="006F591B"/>
    <w:rsid w:val="00735E92"/>
    <w:rsid w:val="007373D1"/>
    <w:rsid w:val="007463BC"/>
    <w:rsid w:val="00750600"/>
    <w:rsid w:val="00757362"/>
    <w:rsid w:val="00764BAE"/>
    <w:rsid w:val="00772735"/>
    <w:rsid w:val="00775A0C"/>
    <w:rsid w:val="007858F9"/>
    <w:rsid w:val="00791715"/>
    <w:rsid w:val="0079787C"/>
    <w:rsid w:val="007A1054"/>
    <w:rsid w:val="007A3A71"/>
    <w:rsid w:val="007D1AB2"/>
    <w:rsid w:val="007D782C"/>
    <w:rsid w:val="007E4664"/>
    <w:rsid w:val="007E7567"/>
    <w:rsid w:val="008142CF"/>
    <w:rsid w:val="008155C0"/>
    <w:rsid w:val="00830624"/>
    <w:rsid w:val="00854A8F"/>
    <w:rsid w:val="008641A8"/>
    <w:rsid w:val="0087338E"/>
    <w:rsid w:val="008739C3"/>
    <w:rsid w:val="00873C0E"/>
    <w:rsid w:val="00874AFC"/>
    <w:rsid w:val="008914E8"/>
    <w:rsid w:val="008A1BAC"/>
    <w:rsid w:val="008C1FB2"/>
    <w:rsid w:val="008C50E8"/>
    <w:rsid w:val="008F288C"/>
    <w:rsid w:val="008F2EB8"/>
    <w:rsid w:val="008F60D9"/>
    <w:rsid w:val="00912247"/>
    <w:rsid w:val="009804EB"/>
    <w:rsid w:val="009C0C92"/>
    <w:rsid w:val="009C7280"/>
    <w:rsid w:val="009D6B98"/>
    <w:rsid w:val="009E004D"/>
    <w:rsid w:val="00A066C0"/>
    <w:rsid w:val="00A3519E"/>
    <w:rsid w:val="00A7543D"/>
    <w:rsid w:val="00A9501C"/>
    <w:rsid w:val="00AA0A58"/>
    <w:rsid w:val="00AA14E0"/>
    <w:rsid w:val="00AB2E55"/>
    <w:rsid w:val="00AC6116"/>
    <w:rsid w:val="00B117DB"/>
    <w:rsid w:val="00B21CD8"/>
    <w:rsid w:val="00B53598"/>
    <w:rsid w:val="00B67D9A"/>
    <w:rsid w:val="00B873B0"/>
    <w:rsid w:val="00B956C7"/>
    <w:rsid w:val="00BA2D88"/>
    <w:rsid w:val="00BA4BFE"/>
    <w:rsid w:val="00BC5BBD"/>
    <w:rsid w:val="00BD07C1"/>
    <w:rsid w:val="00BE0EE0"/>
    <w:rsid w:val="00C1267C"/>
    <w:rsid w:val="00C23BA8"/>
    <w:rsid w:val="00C26B5B"/>
    <w:rsid w:val="00C355ED"/>
    <w:rsid w:val="00C6769A"/>
    <w:rsid w:val="00C81542"/>
    <w:rsid w:val="00C8509D"/>
    <w:rsid w:val="00CA16C1"/>
    <w:rsid w:val="00CC49C4"/>
    <w:rsid w:val="00CC6C44"/>
    <w:rsid w:val="00CD0ACF"/>
    <w:rsid w:val="00D0393C"/>
    <w:rsid w:val="00D072F5"/>
    <w:rsid w:val="00D1105D"/>
    <w:rsid w:val="00D13305"/>
    <w:rsid w:val="00D32D4D"/>
    <w:rsid w:val="00D52380"/>
    <w:rsid w:val="00D57765"/>
    <w:rsid w:val="00D6254C"/>
    <w:rsid w:val="00D86949"/>
    <w:rsid w:val="00DA607C"/>
    <w:rsid w:val="00DD3036"/>
    <w:rsid w:val="00DE4254"/>
    <w:rsid w:val="00DF2390"/>
    <w:rsid w:val="00DF51FF"/>
    <w:rsid w:val="00E176B5"/>
    <w:rsid w:val="00E2467E"/>
    <w:rsid w:val="00E43F86"/>
    <w:rsid w:val="00E502F4"/>
    <w:rsid w:val="00E7195E"/>
    <w:rsid w:val="00E910EE"/>
    <w:rsid w:val="00E9111F"/>
    <w:rsid w:val="00E91A9E"/>
    <w:rsid w:val="00EA074B"/>
    <w:rsid w:val="00EC3367"/>
    <w:rsid w:val="00EC36DE"/>
    <w:rsid w:val="00EC767F"/>
    <w:rsid w:val="00ED58FF"/>
    <w:rsid w:val="00EE4C3F"/>
    <w:rsid w:val="00EF1B5A"/>
    <w:rsid w:val="00EF501E"/>
    <w:rsid w:val="00F43713"/>
    <w:rsid w:val="00F60237"/>
    <w:rsid w:val="00F63C12"/>
    <w:rsid w:val="00FC690B"/>
    <w:rsid w:val="00FD21E9"/>
    <w:rsid w:val="00FF7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A8C6A"/>
  <w15:docId w15:val="{748949B6-6E65-194B-811F-D6138265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qFormat="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EFD"/>
    <w:pPr>
      <w:spacing w:after="200" w:line="276" w:lineRule="auto"/>
      <w:jc w:val="both"/>
    </w:pPr>
    <w:rPr>
      <w:rFonts w:eastAsiaTheme="minorEastAsia"/>
      <w:sz w:val="20"/>
      <w:szCs w:val="20"/>
    </w:rPr>
  </w:style>
  <w:style w:type="paragraph" w:styleId="Heading1">
    <w:name w:val="heading 1"/>
    <w:basedOn w:val="Normal"/>
    <w:next w:val="Normal"/>
    <w:link w:val="Heading1Char"/>
    <w:uiPriority w:val="9"/>
    <w:qFormat/>
    <w:rsid w:val="00F4371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371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5B1B8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aliases w:val="Detail"/>
    <w:basedOn w:val="Heading2"/>
    <w:next w:val="Normal"/>
    <w:autoRedefine/>
    <w:uiPriority w:val="39"/>
    <w:unhideWhenUsed/>
    <w:qFormat/>
    <w:rsid w:val="00F43713"/>
    <w:pPr>
      <w:keepNext w:val="0"/>
      <w:keepLines w:val="0"/>
      <w:spacing w:before="120" w:after="0"/>
      <w:ind w:left="200"/>
      <w:jc w:val="left"/>
      <w:outlineLvl w:val="9"/>
    </w:pPr>
    <w:rPr>
      <w:rFonts w:asciiTheme="minorHAnsi" w:eastAsiaTheme="minorEastAsia" w:hAnsiTheme="minorHAnsi" w:cstheme="minorHAnsi"/>
      <w:b/>
      <w:bCs/>
      <w:color w:val="auto"/>
      <w:sz w:val="22"/>
      <w:szCs w:val="22"/>
    </w:rPr>
  </w:style>
  <w:style w:type="character" w:customStyle="1" w:styleId="Heading2Char">
    <w:name w:val="Heading 2 Char"/>
    <w:basedOn w:val="DefaultParagraphFont"/>
    <w:link w:val="Heading2"/>
    <w:uiPriority w:val="9"/>
    <w:semiHidden/>
    <w:rsid w:val="00F43713"/>
    <w:rPr>
      <w:rFonts w:asciiTheme="majorHAnsi" w:eastAsiaTheme="majorEastAsia" w:hAnsiTheme="majorHAnsi" w:cstheme="majorBidi"/>
      <w:color w:val="2F5496" w:themeColor="accent1" w:themeShade="BF"/>
      <w:sz w:val="26"/>
      <w:szCs w:val="26"/>
    </w:rPr>
  </w:style>
  <w:style w:type="paragraph" w:styleId="TOC1">
    <w:name w:val="toc 1"/>
    <w:aliases w:val="Subheading,TOC - Dissertation"/>
    <w:basedOn w:val="Heading1"/>
    <w:next w:val="Normal"/>
    <w:autoRedefine/>
    <w:uiPriority w:val="39"/>
    <w:unhideWhenUsed/>
    <w:qFormat/>
    <w:rsid w:val="00F43713"/>
    <w:pPr>
      <w:keepNext w:val="0"/>
      <w:keepLines w:val="0"/>
      <w:spacing w:before="120" w:after="0"/>
      <w:jc w:val="left"/>
      <w:outlineLvl w:val="9"/>
    </w:pPr>
    <w:rPr>
      <w:rFonts w:asciiTheme="minorHAnsi" w:eastAsiaTheme="minorEastAsia" w:hAnsiTheme="minorHAnsi" w:cstheme="minorHAnsi"/>
      <w:b/>
      <w:bCs/>
      <w:i/>
      <w:iCs/>
      <w:color w:val="auto"/>
      <w:sz w:val="24"/>
      <w:szCs w:val="24"/>
    </w:rPr>
  </w:style>
  <w:style w:type="character" w:customStyle="1" w:styleId="Heading1Char">
    <w:name w:val="Heading 1 Char"/>
    <w:basedOn w:val="DefaultParagraphFont"/>
    <w:link w:val="Heading1"/>
    <w:uiPriority w:val="9"/>
    <w:rsid w:val="00F43713"/>
    <w:rPr>
      <w:rFonts w:asciiTheme="majorHAnsi" w:eastAsiaTheme="majorEastAsia" w:hAnsiTheme="majorHAnsi" w:cstheme="majorBidi"/>
      <w:color w:val="2F5496" w:themeColor="accent1" w:themeShade="BF"/>
      <w:sz w:val="32"/>
      <w:szCs w:val="32"/>
    </w:rPr>
  </w:style>
  <w:style w:type="paragraph" w:styleId="HTMLAddress">
    <w:name w:val="HTML Address"/>
    <w:basedOn w:val="Normal"/>
    <w:link w:val="HTMLAddressChar"/>
    <w:uiPriority w:val="99"/>
    <w:unhideWhenUsed/>
    <w:qFormat/>
    <w:rsid w:val="00235867"/>
    <w:rPr>
      <w:i/>
      <w:iCs/>
      <w:sz w:val="22"/>
    </w:rPr>
  </w:style>
  <w:style w:type="character" w:customStyle="1" w:styleId="HTMLAddressChar">
    <w:name w:val="HTML Address Char"/>
    <w:basedOn w:val="DefaultParagraphFont"/>
    <w:link w:val="HTMLAddress"/>
    <w:uiPriority w:val="99"/>
    <w:rsid w:val="00235867"/>
    <w:rPr>
      <w:i/>
      <w:iCs/>
      <w:sz w:val="22"/>
    </w:rPr>
  </w:style>
  <w:style w:type="paragraph" w:styleId="TOC4">
    <w:name w:val="toc 4"/>
    <w:aliases w:val="Tables_and_Figures"/>
    <w:basedOn w:val="Heading4"/>
    <w:next w:val="Normal"/>
    <w:autoRedefine/>
    <w:uiPriority w:val="39"/>
    <w:semiHidden/>
    <w:unhideWhenUsed/>
    <w:qFormat/>
    <w:rsid w:val="005B1B8B"/>
    <w:pPr>
      <w:keepNext w:val="0"/>
      <w:keepLines w:val="0"/>
      <w:spacing w:before="0" w:after="0"/>
      <w:ind w:left="600"/>
      <w:jc w:val="left"/>
      <w:outlineLvl w:val="9"/>
    </w:pPr>
    <w:rPr>
      <w:rFonts w:asciiTheme="minorHAnsi" w:eastAsiaTheme="minorEastAsia" w:hAnsiTheme="minorHAnsi" w:cstheme="minorHAnsi"/>
      <w:i w:val="0"/>
      <w:iCs w:val="0"/>
      <w:color w:val="auto"/>
    </w:rPr>
  </w:style>
  <w:style w:type="character" w:customStyle="1" w:styleId="Heading4Char">
    <w:name w:val="Heading 4 Char"/>
    <w:basedOn w:val="DefaultParagraphFont"/>
    <w:link w:val="Heading4"/>
    <w:uiPriority w:val="9"/>
    <w:semiHidden/>
    <w:rsid w:val="005B1B8B"/>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3F5039"/>
    <w:rPr>
      <w:color w:val="0000FF"/>
      <w:u w:val="single"/>
    </w:rPr>
  </w:style>
  <w:style w:type="paragraph" w:styleId="TOCHeading">
    <w:name w:val="TOC Heading"/>
    <w:basedOn w:val="Heading1"/>
    <w:next w:val="Normal"/>
    <w:uiPriority w:val="39"/>
    <w:unhideWhenUsed/>
    <w:qFormat/>
    <w:rsid w:val="003F5039"/>
    <w:pPr>
      <w:keepNext w:val="0"/>
      <w:keepLines w:val="0"/>
      <w:spacing w:before="300" w:after="40"/>
      <w:outlineLvl w:val="9"/>
    </w:pPr>
    <w:rPr>
      <w:rFonts w:ascii="Calibri Light" w:eastAsiaTheme="minorEastAsia" w:hAnsi="Calibri Light" w:cstheme="minorBidi"/>
      <w:smallCaps/>
      <w:color w:val="auto"/>
      <w:spacing w:val="5"/>
    </w:rPr>
  </w:style>
  <w:style w:type="paragraph" w:styleId="Header">
    <w:name w:val="header"/>
    <w:basedOn w:val="Normal"/>
    <w:link w:val="HeaderChar"/>
    <w:uiPriority w:val="99"/>
    <w:unhideWhenUsed/>
    <w:qFormat/>
    <w:rsid w:val="003F5039"/>
    <w:pPr>
      <w:tabs>
        <w:tab w:val="center" w:pos="4680"/>
        <w:tab w:val="right" w:pos="9360"/>
      </w:tabs>
      <w:spacing w:after="0" w:line="240" w:lineRule="auto"/>
    </w:pPr>
    <w:rPr>
      <w:rFonts w:ascii="Calibri Light" w:hAnsi="Calibri Light"/>
      <w:b/>
      <w:sz w:val="24"/>
    </w:rPr>
  </w:style>
  <w:style w:type="character" w:customStyle="1" w:styleId="HeaderChar">
    <w:name w:val="Header Char"/>
    <w:basedOn w:val="DefaultParagraphFont"/>
    <w:link w:val="Header"/>
    <w:uiPriority w:val="99"/>
    <w:rsid w:val="003F5039"/>
    <w:rPr>
      <w:rFonts w:ascii="Calibri Light" w:eastAsiaTheme="minorEastAsia" w:hAnsi="Calibri Light"/>
      <w:b/>
      <w:szCs w:val="20"/>
    </w:rPr>
  </w:style>
  <w:style w:type="paragraph" w:styleId="TOC3">
    <w:name w:val="toc 3"/>
    <w:basedOn w:val="Normal"/>
    <w:next w:val="Normal"/>
    <w:autoRedefine/>
    <w:uiPriority w:val="39"/>
    <w:unhideWhenUsed/>
    <w:rsid w:val="003F5039"/>
    <w:pPr>
      <w:spacing w:after="0"/>
      <w:ind w:left="400"/>
      <w:jc w:val="left"/>
    </w:pPr>
    <w:rPr>
      <w:rFonts w:cstheme="minorHAnsi"/>
    </w:rPr>
  </w:style>
  <w:style w:type="paragraph" w:styleId="Bibliography">
    <w:name w:val="Bibliography"/>
    <w:basedOn w:val="Normal"/>
    <w:next w:val="Normal"/>
    <w:uiPriority w:val="37"/>
    <w:unhideWhenUsed/>
    <w:rsid w:val="003F5039"/>
    <w:pPr>
      <w:tabs>
        <w:tab w:val="left" w:pos="380"/>
      </w:tabs>
      <w:spacing w:after="0" w:line="480" w:lineRule="auto"/>
      <w:ind w:left="720" w:hanging="720"/>
    </w:pPr>
  </w:style>
  <w:style w:type="paragraph" w:styleId="Footer">
    <w:name w:val="footer"/>
    <w:basedOn w:val="Normal"/>
    <w:link w:val="FooterChar"/>
    <w:uiPriority w:val="99"/>
    <w:unhideWhenUsed/>
    <w:rsid w:val="000E70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70AC"/>
    <w:rPr>
      <w:rFonts w:eastAsiaTheme="minorEastAsia"/>
      <w:sz w:val="20"/>
      <w:szCs w:val="20"/>
    </w:rPr>
  </w:style>
  <w:style w:type="paragraph" w:styleId="TOC5">
    <w:name w:val="toc 5"/>
    <w:basedOn w:val="Normal"/>
    <w:next w:val="Normal"/>
    <w:autoRedefine/>
    <w:uiPriority w:val="39"/>
    <w:semiHidden/>
    <w:unhideWhenUsed/>
    <w:rsid w:val="007A1054"/>
    <w:pPr>
      <w:spacing w:after="0"/>
      <w:ind w:left="800"/>
      <w:jc w:val="left"/>
    </w:pPr>
    <w:rPr>
      <w:rFonts w:cstheme="minorHAnsi"/>
    </w:rPr>
  </w:style>
  <w:style w:type="paragraph" w:styleId="TOC6">
    <w:name w:val="toc 6"/>
    <w:basedOn w:val="Normal"/>
    <w:next w:val="Normal"/>
    <w:autoRedefine/>
    <w:uiPriority w:val="39"/>
    <w:semiHidden/>
    <w:unhideWhenUsed/>
    <w:rsid w:val="007A1054"/>
    <w:pPr>
      <w:spacing w:after="0"/>
      <w:ind w:left="1000"/>
      <w:jc w:val="left"/>
    </w:pPr>
    <w:rPr>
      <w:rFonts w:cstheme="minorHAnsi"/>
    </w:rPr>
  </w:style>
  <w:style w:type="paragraph" w:styleId="TOC7">
    <w:name w:val="toc 7"/>
    <w:basedOn w:val="Normal"/>
    <w:next w:val="Normal"/>
    <w:autoRedefine/>
    <w:uiPriority w:val="39"/>
    <w:semiHidden/>
    <w:unhideWhenUsed/>
    <w:rsid w:val="007A1054"/>
    <w:pPr>
      <w:spacing w:after="0"/>
      <w:ind w:left="1200"/>
      <w:jc w:val="left"/>
    </w:pPr>
    <w:rPr>
      <w:rFonts w:cstheme="minorHAnsi"/>
    </w:rPr>
  </w:style>
  <w:style w:type="paragraph" w:styleId="TOC8">
    <w:name w:val="toc 8"/>
    <w:basedOn w:val="Normal"/>
    <w:next w:val="Normal"/>
    <w:autoRedefine/>
    <w:uiPriority w:val="39"/>
    <w:semiHidden/>
    <w:unhideWhenUsed/>
    <w:rsid w:val="007A1054"/>
    <w:pPr>
      <w:spacing w:after="0"/>
      <w:ind w:left="1400"/>
      <w:jc w:val="left"/>
    </w:pPr>
    <w:rPr>
      <w:rFonts w:cstheme="minorHAnsi"/>
    </w:rPr>
  </w:style>
  <w:style w:type="paragraph" w:styleId="TOC9">
    <w:name w:val="toc 9"/>
    <w:basedOn w:val="Normal"/>
    <w:next w:val="Normal"/>
    <w:autoRedefine/>
    <w:uiPriority w:val="39"/>
    <w:semiHidden/>
    <w:unhideWhenUsed/>
    <w:rsid w:val="007A1054"/>
    <w:pPr>
      <w:spacing w:after="0"/>
      <w:ind w:left="1600"/>
      <w:jc w:val="left"/>
    </w:pPr>
    <w:rPr>
      <w:rFonts w:cstheme="minorHAnsi"/>
    </w:rPr>
  </w:style>
  <w:style w:type="character" w:styleId="PlaceholderText">
    <w:name w:val="Placeholder Text"/>
    <w:basedOn w:val="DefaultParagraphFont"/>
    <w:uiPriority w:val="99"/>
    <w:semiHidden/>
    <w:rsid w:val="00317A9B"/>
    <w:rPr>
      <w:color w:val="808080"/>
    </w:rPr>
  </w:style>
  <w:style w:type="paragraph" w:styleId="TOAHeading">
    <w:name w:val="toa heading"/>
    <w:basedOn w:val="Normal"/>
    <w:next w:val="Normal"/>
    <w:uiPriority w:val="99"/>
    <w:unhideWhenUsed/>
    <w:rsid w:val="008914E8"/>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EC3367"/>
    <w:rPr>
      <w:rFonts w:eastAsiaTheme="minorEastAsia"/>
      <w:sz w:val="20"/>
      <w:szCs w:val="20"/>
    </w:rPr>
  </w:style>
  <w:style w:type="character" w:styleId="CommentReference">
    <w:name w:val="annotation reference"/>
    <w:basedOn w:val="DefaultParagraphFont"/>
    <w:uiPriority w:val="99"/>
    <w:semiHidden/>
    <w:unhideWhenUsed/>
    <w:rsid w:val="00EC3367"/>
    <w:rPr>
      <w:sz w:val="16"/>
      <w:szCs w:val="16"/>
    </w:rPr>
  </w:style>
  <w:style w:type="paragraph" w:styleId="CommentText">
    <w:name w:val="annotation text"/>
    <w:basedOn w:val="Normal"/>
    <w:link w:val="CommentTextChar"/>
    <w:uiPriority w:val="99"/>
    <w:semiHidden/>
    <w:unhideWhenUsed/>
    <w:rsid w:val="00EC3367"/>
    <w:pPr>
      <w:spacing w:line="240" w:lineRule="auto"/>
    </w:pPr>
  </w:style>
  <w:style w:type="character" w:customStyle="1" w:styleId="CommentTextChar">
    <w:name w:val="Comment Text Char"/>
    <w:basedOn w:val="DefaultParagraphFont"/>
    <w:link w:val="CommentText"/>
    <w:uiPriority w:val="99"/>
    <w:semiHidden/>
    <w:rsid w:val="00EC336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EC3367"/>
    <w:rPr>
      <w:b/>
      <w:bCs/>
    </w:rPr>
  </w:style>
  <w:style w:type="character" w:customStyle="1" w:styleId="CommentSubjectChar">
    <w:name w:val="Comment Subject Char"/>
    <w:basedOn w:val="CommentTextChar"/>
    <w:link w:val="CommentSubject"/>
    <w:uiPriority w:val="99"/>
    <w:semiHidden/>
    <w:rsid w:val="00EC3367"/>
    <w:rPr>
      <w:rFonts w:eastAsiaTheme="minorEastAs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2034802">
      <w:bodyDiv w:val="1"/>
      <w:marLeft w:val="0"/>
      <w:marRight w:val="0"/>
      <w:marTop w:val="0"/>
      <w:marBottom w:val="0"/>
      <w:divBdr>
        <w:top w:val="none" w:sz="0" w:space="0" w:color="auto"/>
        <w:left w:val="none" w:sz="0" w:space="0" w:color="auto"/>
        <w:bottom w:val="none" w:sz="0" w:space="0" w:color="auto"/>
        <w:right w:val="none" w:sz="0" w:space="0" w:color="auto"/>
      </w:divBdr>
    </w:div>
    <w:div w:id="745953529">
      <w:bodyDiv w:val="1"/>
      <w:marLeft w:val="0"/>
      <w:marRight w:val="0"/>
      <w:marTop w:val="0"/>
      <w:marBottom w:val="0"/>
      <w:divBdr>
        <w:top w:val="none" w:sz="0" w:space="0" w:color="auto"/>
        <w:left w:val="none" w:sz="0" w:space="0" w:color="auto"/>
        <w:bottom w:val="none" w:sz="0" w:space="0" w:color="auto"/>
        <w:right w:val="none" w:sz="0" w:space="0" w:color="auto"/>
      </w:divBdr>
    </w:div>
    <w:div w:id="781848772">
      <w:bodyDiv w:val="1"/>
      <w:marLeft w:val="0"/>
      <w:marRight w:val="0"/>
      <w:marTop w:val="0"/>
      <w:marBottom w:val="0"/>
      <w:divBdr>
        <w:top w:val="none" w:sz="0" w:space="0" w:color="auto"/>
        <w:left w:val="none" w:sz="0" w:space="0" w:color="auto"/>
        <w:bottom w:val="none" w:sz="0" w:space="0" w:color="auto"/>
        <w:right w:val="none" w:sz="0" w:space="0" w:color="auto"/>
      </w:divBdr>
    </w:div>
    <w:div w:id="1144809014">
      <w:bodyDiv w:val="1"/>
      <w:marLeft w:val="0"/>
      <w:marRight w:val="0"/>
      <w:marTop w:val="0"/>
      <w:marBottom w:val="0"/>
      <w:divBdr>
        <w:top w:val="none" w:sz="0" w:space="0" w:color="auto"/>
        <w:left w:val="none" w:sz="0" w:space="0" w:color="auto"/>
        <w:bottom w:val="none" w:sz="0" w:space="0" w:color="auto"/>
        <w:right w:val="none" w:sz="0" w:space="0" w:color="auto"/>
      </w:divBdr>
    </w:div>
    <w:div w:id="1767187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github.com/PacificBiosciences/ccs" TargetMode="External"/><Relationship Id="rId12" Type="http://schemas.openxmlformats.org/officeDocument/2006/relationships/comments" Target="comments.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jpeg"/><Relationship Id="rId14" Type="http://schemas.microsoft.com/office/2016/09/relationships/commentsIds" Target="commentsIds.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1F78E92A1A75E4BA215D542EC769859"/>
        <w:category>
          <w:name w:val="General"/>
          <w:gallery w:val="placeholder"/>
        </w:category>
        <w:types>
          <w:type w:val="bbPlcHdr"/>
        </w:types>
        <w:behaviors>
          <w:behavior w:val="content"/>
        </w:behaviors>
        <w:guid w:val="{724718C8-C6F4-0D4F-B63E-AF7714F36729}"/>
      </w:docPartPr>
      <w:docPartBody>
        <w:p w:rsidR="009C7F14" w:rsidRDefault="00552D74" w:rsidP="00552D74">
          <w:pPr>
            <w:pStyle w:val="71F78E92A1A75E4BA215D542EC769859"/>
          </w:pPr>
          <w:r>
            <w:rPr>
              <w:rStyle w:val="PlaceholderText"/>
            </w:rPr>
            <w:t>Member’s Name</w:t>
          </w:r>
        </w:p>
      </w:docPartBody>
    </w:docPart>
    <w:docPart>
      <w:docPartPr>
        <w:name w:val="38402FDF1F95D84EAD4CF58CF0E22442"/>
        <w:category>
          <w:name w:val="General"/>
          <w:gallery w:val="placeholder"/>
        </w:category>
        <w:types>
          <w:type w:val="bbPlcHdr"/>
        </w:types>
        <w:behaviors>
          <w:behavior w:val="content"/>
        </w:behaviors>
        <w:guid w:val="{2877B933-75ED-E04A-B7FF-1BDBF5C4503B}"/>
      </w:docPartPr>
      <w:docPartBody>
        <w:p w:rsidR="009C7F14" w:rsidRDefault="00552D74" w:rsidP="00552D74">
          <w:pPr>
            <w:pStyle w:val="38402FDF1F95D84EAD4CF58CF0E22442"/>
          </w:pPr>
          <w:r>
            <w:rPr>
              <w:rStyle w:val="PlaceholderText"/>
            </w:rPr>
            <w:t>Member’s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degree">
    <w:altName w:val="Cambria"/>
    <w:panose1 w:val="020B0604020202020204"/>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D74"/>
    <w:rsid w:val="00060F62"/>
    <w:rsid w:val="000F72AA"/>
    <w:rsid w:val="001213B3"/>
    <w:rsid w:val="00552D74"/>
    <w:rsid w:val="006073AC"/>
    <w:rsid w:val="007E2A0B"/>
    <w:rsid w:val="008A796A"/>
    <w:rsid w:val="008F3599"/>
    <w:rsid w:val="00984B74"/>
    <w:rsid w:val="009C7F14"/>
    <w:rsid w:val="009E26FC"/>
    <w:rsid w:val="00A42FB7"/>
    <w:rsid w:val="00A81751"/>
    <w:rsid w:val="00AC042C"/>
    <w:rsid w:val="00D26A0A"/>
    <w:rsid w:val="00E776DC"/>
    <w:rsid w:val="00ED71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2D74"/>
    <w:rPr>
      <w:color w:val="808080"/>
    </w:rPr>
  </w:style>
  <w:style w:type="paragraph" w:customStyle="1" w:styleId="71F78E92A1A75E4BA215D542EC769859">
    <w:name w:val="71F78E92A1A75E4BA215D542EC769859"/>
    <w:rsid w:val="00552D74"/>
  </w:style>
  <w:style w:type="paragraph" w:customStyle="1" w:styleId="38402FDF1F95D84EAD4CF58CF0E22442">
    <w:name w:val="38402FDF1F95D84EAD4CF58CF0E22442"/>
    <w:rsid w:val="00552D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898BDA-E6AA-C74A-9AED-3853B5DCE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37</Pages>
  <Words>25548</Words>
  <Characters>145628</Characters>
  <Application>Microsoft Office Word</Application>
  <DocSecurity>0</DocSecurity>
  <Lines>1213</Lines>
  <Paragraphs>341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Erica Kendal Joslin</dc:creator>
  <cp:keywords/>
  <dc:description/>
  <cp:lastModifiedBy>Shannon Erica Kendal Joslin</cp:lastModifiedBy>
  <cp:revision>15</cp:revision>
  <dcterms:created xsi:type="dcterms:W3CDTF">2023-09-04T17:27:00Z</dcterms:created>
  <dcterms:modified xsi:type="dcterms:W3CDTF">2023-09-05T14:09:00Z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id="Z89L5Dz4"/&gt;&lt;style id="http://www.zotero.org/styles/apa" locale="en-US" hasBibliography="1" bibliographyStyleHasBeenSet="1"/&gt;&lt;prefs&gt;&lt;pref name="fieldType" value="Field"/&gt;&lt;pref name="dontAskDelayCi</vt:lpwstr>
  </property>
  <property fmtid="{D5CDD505-2E9C-101B-9397-08002B2CF9AE}" pid="3" name="ZOTERO_PREF_2">
    <vt:lpwstr>tationUpdates" value="true"/&gt;&lt;/prefs&gt;&lt;/data&gt;</vt:lpwstr>
  </property>
</Properties>
</file>