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8BC7" w14:textId="3A13407D" w:rsidR="00F42C03" w:rsidRDefault="00F42C03" w:rsidP="00F42C03">
      <w:pPr>
        <w:tabs>
          <w:tab w:val="left" w:pos="6448"/>
        </w:tabs>
        <w:spacing w:line="240" w:lineRule="auto"/>
        <w:ind w:right="270"/>
        <w:rPr>
          <w:rFonts w:asciiTheme="majorHAnsi" w:hAnsiTheme="majorHAnsi" w:cstheme="majorHAnsi"/>
          <w:color w:val="00000A"/>
          <w:sz w:val="24"/>
          <w:szCs w:val="24"/>
        </w:rPr>
      </w:pPr>
      <w:r>
        <w:rPr>
          <w:rFonts w:asciiTheme="majorHAnsi" w:hAnsiTheme="majorHAnsi" w:cstheme="majorHAnsi"/>
          <w:color w:val="00000A"/>
          <w:sz w:val="24"/>
          <w:szCs w:val="24"/>
        </w:rPr>
        <w:t>INTRO: Advancement of Sequencing Technologies</w:t>
      </w:r>
      <w:r>
        <w:rPr>
          <w:rFonts w:asciiTheme="majorHAnsi" w:hAnsiTheme="majorHAnsi" w:cstheme="majorHAnsi"/>
          <w:color w:val="00000A"/>
          <w:sz w:val="24"/>
          <w:szCs w:val="24"/>
        </w:rPr>
        <w:tab/>
      </w:r>
    </w:p>
    <w:p w14:paraId="7961D61E" w14:textId="77777777" w:rsidR="00F42C03" w:rsidRDefault="00F42C03" w:rsidP="00F42C03">
      <w:pPr>
        <w:spacing w:line="240" w:lineRule="auto"/>
        <w:ind w:right="270"/>
        <w:rPr>
          <w:rFonts w:asciiTheme="majorHAnsi" w:hAnsiTheme="majorHAnsi" w:cstheme="majorHAnsi"/>
          <w:sz w:val="24"/>
          <w:szCs w:val="24"/>
        </w:rPr>
      </w:pPr>
      <w:commentRangeStart w:id="0"/>
      <w:r w:rsidRPr="00FD21E9">
        <w:rPr>
          <w:rFonts w:asciiTheme="majorHAnsi" w:hAnsiTheme="majorHAnsi" w:cstheme="majorHAnsi"/>
          <w:color w:val="00000A"/>
          <w:sz w:val="24"/>
          <w:szCs w:val="24"/>
        </w:rPr>
        <w:t>Rapid</w:t>
      </w:r>
      <w:commentRangeEnd w:id="0"/>
      <w:r>
        <w:rPr>
          <w:rStyle w:val="CommentReference"/>
        </w:rPr>
        <w:commentReference w:id="0"/>
      </w:r>
      <w:r w:rsidRPr="00FD21E9">
        <w:rPr>
          <w:rFonts w:asciiTheme="majorHAnsi" w:hAnsiTheme="majorHAnsi" w:cstheme="majorHAnsi"/>
          <w:color w:val="00000A"/>
          <w:sz w:val="24"/>
          <w:szCs w:val="24"/>
        </w:rPr>
        <w:t xml:space="preserve"> development of high-throughput sequencing technologies over the past few decades </w:t>
      </w:r>
      <w:r>
        <w:rPr>
          <w:rFonts w:asciiTheme="majorHAnsi" w:hAnsiTheme="majorHAnsi" w:cstheme="majorHAnsi"/>
          <w:color w:val="00000A"/>
          <w:sz w:val="24"/>
          <w:szCs w:val="24"/>
        </w:rPr>
        <w:t>has</w:t>
      </w:r>
      <w:r w:rsidRPr="00FD21E9">
        <w:rPr>
          <w:rFonts w:asciiTheme="majorHAnsi" w:hAnsiTheme="majorHAnsi" w:cstheme="majorHAnsi"/>
          <w:color w:val="00000A"/>
          <w:sz w:val="24"/>
          <w:szCs w:val="24"/>
        </w:rPr>
        <w:t xml:space="preserve"> led to an era of </w:t>
      </w:r>
      <w:r>
        <w:rPr>
          <w:rFonts w:asciiTheme="majorHAnsi" w:hAnsiTheme="majorHAnsi" w:cstheme="majorHAnsi"/>
          <w:color w:val="00000A"/>
          <w:sz w:val="24"/>
          <w:szCs w:val="24"/>
        </w:rPr>
        <w:t>genome-centric research through the ability to assemble high-quality chromosome-level reference genomes across the tree of life. These g</w:t>
      </w:r>
      <w:r w:rsidRPr="00FD21E9">
        <w:rPr>
          <w:rFonts w:asciiTheme="majorHAnsi" w:hAnsiTheme="majorHAnsi" w:cstheme="majorHAnsi"/>
          <w:color w:val="00000A"/>
          <w:sz w:val="24"/>
          <w:szCs w:val="24"/>
        </w:rPr>
        <w:t>enomic resources contribute to two broad categories: medicine</w:t>
      </w:r>
      <w:r>
        <w:rPr>
          <w:rFonts w:asciiTheme="majorHAnsi" w:hAnsiTheme="majorHAnsi" w:cstheme="majorHAnsi"/>
          <w:color w:val="00000A"/>
          <w:sz w:val="24"/>
          <w:szCs w:val="24"/>
        </w:rPr>
        <w:t xml:space="preserve"> development</w:t>
      </w:r>
      <w:r w:rsidRPr="00FD21E9">
        <w:rPr>
          <w:rFonts w:asciiTheme="majorHAnsi" w:hAnsiTheme="majorHAnsi" w:cstheme="majorHAnsi"/>
          <w:color w:val="00000A"/>
          <w:sz w:val="24"/>
          <w:szCs w:val="24"/>
        </w:rPr>
        <w:t xml:space="preserve"> and </w:t>
      </w:r>
      <w:r>
        <w:rPr>
          <w:rFonts w:asciiTheme="majorHAnsi" w:hAnsiTheme="majorHAnsi" w:cstheme="majorHAnsi"/>
          <w:color w:val="00000A"/>
          <w:sz w:val="24"/>
          <w:szCs w:val="24"/>
        </w:rPr>
        <w:t xml:space="preserve">the preservation of </w:t>
      </w:r>
      <w:r w:rsidRPr="00FD21E9">
        <w:rPr>
          <w:rFonts w:asciiTheme="majorHAnsi" w:hAnsiTheme="majorHAnsi" w:cstheme="majorHAnsi"/>
          <w:color w:val="00000A"/>
          <w:sz w:val="24"/>
          <w:szCs w:val="24"/>
        </w:rPr>
        <w:t xml:space="preserve">biodiversity. Medicine </w:t>
      </w:r>
      <w:r>
        <w:rPr>
          <w:rFonts w:asciiTheme="majorHAnsi" w:hAnsiTheme="majorHAnsi" w:cstheme="majorHAnsi"/>
          <w:color w:val="00000A"/>
          <w:sz w:val="24"/>
          <w:szCs w:val="24"/>
        </w:rPr>
        <w:t>leverages</w:t>
      </w:r>
      <w:r w:rsidRPr="00FD21E9">
        <w:rPr>
          <w:rFonts w:asciiTheme="majorHAnsi" w:hAnsiTheme="majorHAnsi" w:cstheme="majorHAnsi"/>
          <w:color w:val="00000A"/>
          <w:sz w:val="24"/>
          <w:szCs w:val="24"/>
        </w:rPr>
        <w:t xml:space="preserve"> </w:t>
      </w:r>
      <w:r>
        <w:rPr>
          <w:rFonts w:asciiTheme="majorHAnsi" w:hAnsiTheme="majorHAnsi" w:cstheme="majorHAnsi"/>
          <w:color w:val="00000A"/>
          <w:sz w:val="24"/>
          <w:szCs w:val="24"/>
        </w:rPr>
        <w:t xml:space="preserve">access to highly contiguous genomes </w:t>
      </w:r>
      <w:r w:rsidRPr="00FD21E9">
        <w:rPr>
          <w:rFonts w:asciiTheme="majorHAnsi" w:hAnsiTheme="majorHAnsi" w:cstheme="majorHAnsi"/>
          <w:color w:val="00000A"/>
          <w:sz w:val="24"/>
          <w:szCs w:val="24"/>
        </w:rPr>
        <w:t xml:space="preserve">using comparative </w:t>
      </w:r>
      <w:r w:rsidRPr="004B6F68">
        <w:rPr>
          <w:rFonts w:asciiTheme="majorHAnsi" w:hAnsiTheme="majorHAnsi" w:cstheme="majorHAnsi"/>
          <w:sz w:val="24"/>
          <w:szCs w:val="24"/>
        </w:rPr>
        <w:t>methods to identify conserved loci essential to life or different classes of organisms</w:t>
      </w:r>
      <w:r>
        <w:rPr>
          <w:rFonts w:asciiTheme="majorHAnsi" w:hAnsiTheme="majorHAnsi" w:cstheme="majorHAnsi"/>
          <w:sz w:val="24"/>
          <w:szCs w:val="24"/>
        </w:rPr>
        <w:t>, understanding individual effects of medicinal treatments,</w:t>
      </w:r>
      <w:r w:rsidRPr="004B6F68">
        <w:rPr>
          <w:rFonts w:asciiTheme="majorHAnsi" w:hAnsiTheme="majorHAnsi" w:cstheme="majorHAnsi"/>
          <w:sz w:val="24"/>
          <w:szCs w:val="24"/>
        </w:rPr>
        <w:t xml:space="preserve"> as well as identify genetic variants associated with disease, disease susceptibility and other phenotypic traits</w:t>
      </w:r>
      <w:r>
        <w:rPr>
          <w:rFonts w:asciiTheme="majorHAnsi" w:hAnsiTheme="majorHAnsi" w:cstheme="majorHAnsi"/>
          <w:sz w:val="24"/>
          <w:szCs w:val="24"/>
        </w:rPr>
        <w:t xml:space="preserve">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{"citationID":"5w9UMziP","properties":{"formattedCitation":"(Claussnitzer et al., 2020)","plainCitation":"(Claussnitzer et al., 2020)","noteIndex":0},"citationItems":[{"id":587,"uris":["http://zotero.org/users/local/3tku6QP0/items/9RLALRYB"],"itemData":{"id":587,"type":"article-journal","container-title":"Nature","DOI":"10.1038/s41586-019-1879-7","ISSN":"0028-0836, 1476-4687","issue":"7789","journalAbbreviation":"Nature","language":"en","page":"179-189","source":"DOI.org (Crossref)","title":"A brief history of human disease genetics","volume":"577","author":[{"family":"Claussnitzer","given":"Melina"},{"family":"Cho","given":"Judy H."},{"family":"Collins","given":"Rory"},{"family":"Cox","given":"Nancy J."},{"family":"Dermitzakis","given":"Emmanouil T."},{"family":"Hurles","given":"Matthew E."},{"family":"Kathiresan","given":"Sekar"},{"family":"Kenny","given":"Eimear E."},{"family":"Lindgren","given":"Cecilia M."},{"family":"MacArthur","given":"Daniel G."},{"family":"North","given":"Kathryn N."},{"family":"Plon","given":"Sharon E."},{"family":"Rehm","given":"Heidi L."},{"family":"Risch","given":"Neil"},{"family":"Rotimi","given":"Charles N."},{"family":"Shendure","given":"Jay"},{"family":"Soranzo","given":"Nicole"},{"family":"McCarthy","given":"Mark I."}],"issued":{"date-parts":[["2020",1,9]]}}}],"schema":"https://github.com/citation-style-language/schema/raw/master/csl-citation.json"} </w:instrText>
      </w:r>
      <w:r w:rsidRPr="004B6F68">
        <w:rPr>
          <w:rFonts w:asciiTheme="majorHAnsi" w:hAnsiTheme="majorHAnsi" w:cstheme="majorHAnsi"/>
          <w:sz w:val="24"/>
          <w:szCs w:val="24"/>
        </w:rPr>
        <w:fldChar w:fldCharType="separate"/>
      </w:r>
      <w:r w:rsidRPr="004B6F68">
        <w:rPr>
          <w:rFonts w:ascii="Calibri Light" w:hAnsiTheme="majorHAnsi" w:cs="Calibri Light"/>
          <w:sz w:val="24"/>
        </w:rPr>
        <w:t>(</w:t>
      </w:r>
      <w:proofErr w:type="spellStart"/>
      <w:r w:rsidRPr="004B6F68">
        <w:rPr>
          <w:rFonts w:ascii="Calibri Light" w:hAnsiTheme="majorHAnsi" w:cs="Calibri Light"/>
          <w:sz w:val="24"/>
        </w:rPr>
        <w:t>Claussnitzer</w:t>
      </w:r>
      <w:proofErr w:type="spellEnd"/>
      <w:r w:rsidRPr="004B6F68">
        <w:rPr>
          <w:rFonts w:ascii="Calibri Light" w:hAnsiTheme="majorHAnsi" w:cs="Calibri Light"/>
          <w:sz w:val="24"/>
        </w:rPr>
        <w:t xml:space="preserve"> et al., 2020)</w:t>
      </w:r>
      <w:r w:rsidRPr="004B6F68">
        <w:rPr>
          <w:rFonts w:asciiTheme="majorHAnsi" w:hAnsiTheme="majorHAnsi" w:cstheme="majorHAnsi"/>
          <w:sz w:val="24"/>
          <w:szCs w:val="24"/>
        </w:rPr>
        <w:fldChar w:fldCharType="end"/>
      </w:r>
      <w:r w:rsidRPr="004B6F68">
        <w:rPr>
          <w:rFonts w:asciiTheme="majorHAnsi" w:hAnsiTheme="majorHAnsi" w:cstheme="majorHAnsi"/>
          <w:sz w:val="24"/>
          <w:szCs w:val="24"/>
        </w:rPr>
        <w:t>.</w:t>
      </w:r>
      <w:r>
        <w:rPr>
          <w:rFonts w:asciiTheme="majorHAnsi" w:hAnsiTheme="majorHAnsi" w:cstheme="majorHAnsi"/>
          <w:sz w:val="24"/>
          <w:szCs w:val="24"/>
        </w:rPr>
        <w:t xml:space="preserve"> </w:t>
      </w:r>
      <w:r>
        <w:rPr>
          <w:rFonts w:asciiTheme="majorHAnsi" w:hAnsiTheme="majorHAnsi" w:cstheme="majorHAnsi"/>
          <w:color w:val="00000A"/>
          <w:sz w:val="24"/>
          <w:szCs w:val="24"/>
        </w:rPr>
        <w:t xml:space="preserve">For wild populations genetic diversity is related to the evolutionary capacity for adaptation to environmental change and is an essential element of biodiversity to which protections focus on preserving. Genomic resources </w:t>
      </w:r>
      <w:r w:rsidRPr="004B6F68">
        <w:rPr>
          <w:rFonts w:asciiTheme="majorHAnsi" w:hAnsiTheme="majorHAnsi" w:cstheme="majorHAnsi"/>
          <w:sz w:val="24"/>
          <w:szCs w:val="24"/>
        </w:rPr>
        <w:t xml:space="preserve">allow for a broad investigation of genomic motifs in endangered animals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{"citationID":"JTaD3rFz","properties":{"formattedCitation":"(Zoonomia Consortium, 2020)","plainCitation":"(Zoonomia Consortium, 2020)","noteIndex":0},"citationItems":[{"id":589,"uris":["http://zotero.org/users/local/3tku6QP0/items/PRDYXQX3"],"itemData":{"id":589,"type":"article-journal","abstract":"Abstract\n            The Zoonomia Project is investigating the genomics of shared and specialized traits in eutherian mammals. Here we provide genome assemblies for 131 species, of which all but 9 are previously uncharacterized, and describe a whole-genome alignment of 240 species of considerable phylogenetic diversity, comprising representatives from more than 80% of mammalian families. We find that regions of reduced genetic diversity are more abundant in species at a high risk of extinction, discern signals of evolutionary selection at high resolution and provide insights from individual reference genomes. By prioritizing phylogenetic diversity and making data available quickly and without restriction, the Zoonomia Project aims to support biological discovery, medical research and the conservation of biodiversity.","container-title":"Nature","DOI":"10.1038/s41586-020-2876-6","ISSN":"0028-0836, 1476-4687","issue":"7833","journalAbbreviation":"Nature","language":"en","page":"240-245","source":"DOI.org (Crossref)","title":"A comparative genomics multitool for scientific discovery and conservation","volume":"587","author":[{"literal":"Zoonomia Consortium"}],"issued":{"date-parts":[["2020",11,12]]}}}],"schema":"https://github.com/citation-style-language/schema/raw/master/csl-citation.json"} </w:instrText>
      </w:r>
      <w:r w:rsidRPr="004B6F68">
        <w:rPr>
          <w:rFonts w:asciiTheme="majorHAnsi" w:hAnsiTheme="majorHAnsi" w:cstheme="majorHAnsi"/>
          <w:sz w:val="24"/>
          <w:szCs w:val="24"/>
        </w:rPr>
        <w:fldChar w:fldCharType="separate"/>
      </w:r>
      <w:r w:rsidRPr="004B6F68">
        <w:rPr>
          <w:rFonts w:ascii="Calibri Light" w:hAnsiTheme="majorHAnsi" w:cs="Calibri Light"/>
          <w:sz w:val="24"/>
        </w:rPr>
        <w:t>(</w:t>
      </w:r>
      <w:proofErr w:type="spellStart"/>
      <w:r w:rsidRPr="004B6F68">
        <w:rPr>
          <w:rFonts w:ascii="Calibri Light" w:hAnsiTheme="majorHAnsi" w:cs="Calibri Light"/>
          <w:sz w:val="24"/>
        </w:rPr>
        <w:t>Zoonomia</w:t>
      </w:r>
      <w:proofErr w:type="spellEnd"/>
      <w:r w:rsidRPr="004B6F68">
        <w:rPr>
          <w:rFonts w:ascii="Calibri Light" w:hAnsiTheme="majorHAnsi" w:cs="Calibri Light"/>
          <w:sz w:val="24"/>
        </w:rPr>
        <w:t xml:space="preserve"> Consortium, 2020)</w:t>
      </w:r>
      <w:r w:rsidRPr="004B6F68">
        <w:rPr>
          <w:rFonts w:asciiTheme="majorHAnsi" w:hAnsiTheme="majorHAnsi" w:cstheme="majorHAnsi"/>
          <w:sz w:val="24"/>
          <w:szCs w:val="24"/>
        </w:rPr>
        <w:fldChar w:fldCharType="end"/>
      </w:r>
      <w:r>
        <w:rPr>
          <w:rFonts w:asciiTheme="majorHAnsi" w:hAnsiTheme="majorHAnsi" w:cstheme="majorHAnsi"/>
          <w:sz w:val="24"/>
          <w:szCs w:val="24"/>
        </w:rPr>
        <w:t>,</w:t>
      </w:r>
      <w:r w:rsidRPr="004B6F68">
        <w:rPr>
          <w:rFonts w:asciiTheme="majorHAnsi" w:hAnsiTheme="majorHAnsi" w:cstheme="majorHAnsi"/>
          <w:sz w:val="24"/>
          <w:szCs w:val="24"/>
        </w:rPr>
        <w:t xml:space="preserve"> the identification of physical threats to endangered species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{"citationID":"CU5vBqNs","properties":{"formattedCitation":"(Wasser et al., 2015; Wright et al., 2015)","plainCitation":"(Wasser et al., 2015; Wright et al., 2015)","noteIndex":0},"citationItems":[{"id":588,"uris":["http://zotero.org/users/local/3tku6QP0/items/M3RGS7U9"],"itemData":{"id":588,"type":"article-journal","abstract":"Focused on protecting a few\n            \n              The illegal ivory trade threatens the persistence of stable wild elephant populations. The underground and covert nature of poaching makes it difficult to police. Wasser\n              et al.\n              used genetic tools to identify the origins of elephant tusks seized during transit (see the Perspective by Hoelzel). The majority of source animals were part of just a few wild elephant populations in Africa—and just two areas since 2006. Increased focus on enforcement in a few such areas could help interrupt poaching activities and restore wild elephant populations.\n            \n            \n              Science\n              , this issue p.\n              84\n              ; see also p.\n              34\n            \n          , \n            \n              Tracing the origins of elephant ivory pinpoints two major poaching areas.\n              \n                [Also see Perspective by\n                Hoelzel\n                ]\n              \n            \n          , \n            Poaching of elephants is now occurring at rates that threaten African populations with extinction. Identifying the number and location of Africa’s major poaching hotspots may assist efforts to end poaching and facilitate recovery of elephant populations. We genetically assign origin to 28 large ivory seizures (≥0.5 metric tons) made between 1996 and 2014, also testing assignment accuracy. Results suggest that the major poaching hotspots in Africa may be currently concentrated in as few as two areas. Increasing law enforcement in these two hotspots could help curtail future elephant losses across Africa and disrupt this organized transnational crime.","container-title":"Science","DOI":"10.1126/science.aaa2457","ISSN":"0036-8075, 1095-9203","issue":"6243","journalAbbreviation":"Science","language":"en","page":"84-87","source":"DOI.org (Crossref)","title":"Genetic assignment of large seizures of elephant ivory reveals Africa’s major poaching hotspots","volume":"349","author":[{"family":"Wasser","given":"S. K."},{"family":"Brown","given":"L."},{"family":"Mailand","given":"C."},{"family":"Mondol","given":"S."},{"family":"Clark","given":"W."},{"family":"Laurie","given":"C."},{"family":"Weir","given":"B. S."}],"issued":{"date-parts":[["2015",7,3]]}}},{"id":591,"uris":["http://zotero.org/users/local/3tku6QP0/items/9RMQLC7W"],"itemData":{"id":591,"type":"article-journal","abstract":"Background: The Tasmanian devil (Sarcophilus harrisii) has undergone a recent, drastic population decline due to the highly contagious devil facial tumor disease. The tumor is one of only two naturally occurring transmissible cancers and is almost inevitably fatal. In 2006 a disease-free insurance population was established to ensure that the Tasmanian devil is protected from extinction. The insurance program is dependent upon preserving as much wild genetic diversity as possible to maximize the success of subsequent reintroductions to the wild. Accurate genotypic data is vital to the success of the program to ensure that loss of genetic diversity does not occur in captivity. Until recently, microsatellite markers have been used to study devil population genetics, however as genetic diversity is low in the devil and potentially decreasing in the captive population, a more sensitive genotyping assay is required.\nMethods: Utilising the devil reference genome and whole genome re-sequencing data, we have identified polymorphic regions for use in a custom genotyping assay. These regions were amplified using PCR and sequenced on the Illumina MiSeq platform to refine a set a markers to genotype the Tasmanian devil insurance population.\nResults: We have developed a set of single nucleotide polymorphic (SNP) markers, assayed by amplicon sequencing, that provide a high-throughput method for monitoring genetic diversity and assessing familial relationships among devils. To date we have used a total of 267 unique SNPs within both putatively neutral and functional loci to genotype 305 individuals in the Tasmanian devil insurance population. We have used these data to assess genetic diversity in the population as well as resolve the parentage of 21 offspring.\nConclusions: Our molecular data has been incorporated with studbook management practices to provide more accurate pedigree information and to inform breeding recommendations. The assay will continue to be used to monitor the genetic diversity of the insurance population of Tasmanian devils with the aim of reducing inbreeding and maximizing success of reintroductions to the wild.","container-title":"BMC Genomics","DOI":"10.1186/s12864-015-2020-4","ISSN":"1471-2164","issue":"1","journalAbbreviation":"BMC Genomics","language":"en","page":"791","source":"DOI.org (Crossref)","title":"Development of a SNP-based assay for measuring genetic diversity in the Tasmanian devil insurance population","volume":"16","author":[{"family":"Wright","given":"Belinda"},{"family":"Morris","given":"Katrina"},{"family":"Grueber","given":"Catherine E."},{"family":"Willet","given":"Cali E."},{"family":"Gooley","given":"Rebecca"},{"family":"Hogg","given":"Carolyn J."},{"family":"O’Meally","given":"Denis"},{"family":"Hamede","given":"Rodrigo"},{"family":"Jones","given":"Menna"},{"family":"Wade","given":"Claire"},{"family":"Belov","given":"Katherine"}],"issued":{"date-parts":[["2015",12]]}}}],"schema":"https://github.com/citation-style-language/schema/raw/master/csl-citation.json"} </w:instrText>
      </w:r>
      <w:r w:rsidRPr="004B6F68">
        <w:rPr>
          <w:rFonts w:asciiTheme="majorHAnsi" w:hAnsiTheme="majorHAnsi" w:cstheme="majorHAnsi"/>
          <w:sz w:val="24"/>
          <w:szCs w:val="24"/>
        </w:rPr>
        <w:fldChar w:fldCharType="separate"/>
      </w:r>
      <w:r w:rsidRPr="004B6F68">
        <w:rPr>
          <w:rFonts w:ascii="Calibri Light" w:hAnsiTheme="majorHAnsi" w:cs="Calibri Light"/>
          <w:sz w:val="24"/>
        </w:rPr>
        <w:t>(Wasser et al., 2015; Wright et al., 2015)</w:t>
      </w:r>
      <w:r w:rsidRPr="004B6F68">
        <w:rPr>
          <w:rFonts w:asciiTheme="majorHAnsi" w:hAnsiTheme="majorHAnsi" w:cstheme="majorHAnsi"/>
          <w:sz w:val="24"/>
          <w:szCs w:val="24"/>
        </w:rPr>
        <w:fldChar w:fldCharType="end"/>
      </w:r>
      <w:r>
        <w:rPr>
          <w:rFonts w:asciiTheme="majorHAnsi" w:hAnsiTheme="majorHAnsi" w:cstheme="majorHAnsi"/>
          <w:sz w:val="24"/>
          <w:szCs w:val="24"/>
        </w:rPr>
        <w:t xml:space="preserve"> and identification of vulnerable populations susceptible to increasingly variable climatic conditions (TKT INSERT RACHEL BAY PAPER)</w:t>
      </w:r>
      <w:r w:rsidRPr="004B6F68">
        <w:rPr>
          <w:rFonts w:asciiTheme="majorHAnsi" w:hAnsiTheme="majorHAnsi" w:cstheme="majorHAnsi"/>
          <w:sz w:val="24"/>
          <w:szCs w:val="24"/>
        </w:rPr>
        <w:t>.</w:t>
      </w:r>
      <w:r>
        <w:rPr>
          <w:rFonts w:asciiTheme="majorHAnsi" w:hAnsiTheme="majorHAnsi" w:cstheme="majorHAnsi"/>
          <w:sz w:val="24"/>
          <w:szCs w:val="24"/>
        </w:rPr>
        <w:t xml:space="preserve"> However</w:t>
      </w:r>
      <w:r w:rsidRPr="004B6F68">
        <w:rPr>
          <w:rFonts w:asciiTheme="majorHAnsi" w:hAnsiTheme="majorHAnsi" w:cstheme="majorHAnsi"/>
          <w:sz w:val="24"/>
          <w:szCs w:val="24"/>
        </w:rPr>
        <w:t xml:space="preserve">, genomic studies involving reference genomes are limited by the completeness of the assembled resource. </w:t>
      </w:r>
    </w:p>
    <w:p w14:paraId="396035FC" w14:textId="77777777" w:rsidR="00F42C03" w:rsidRPr="005B7C80" w:rsidRDefault="00F42C03" w:rsidP="00F42C03">
      <w:pPr>
        <w:spacing w:line="240" w:lineRule="auto"/>
        <w:ind w:right="270"/>
        <w:rPr>
          <w:rFonts w:asciiTheme="majorHAnsi" w:hAnsiTheme="majorHAnsi" w:cstheme="majorHAnsi"/>
          <w:sz w:val="24"/>
          <w:szCs w:val="24"/>
        </w:rPr>
      </w:pPr>
      <w:r>
        <w:rPr>
          <w:rFonts w:asciiTheme="majorHAnsi" w:hAnsiTheme="majorHAnsi" w:cstheme="majorHAnsi"/>
          <w:sz w:val="24"/>
          <w:szCs w:val="24"/>
        </w:rPr>
        <w:t xml:space="preserve">Hybrid genome assembly uses multiple sequencing technologies to assemble genomes through capitalizing on the various strengths of each technology. This combination of creating one assembly from multiple sequencing technologies has led to more contiguous and accurate assemblies [TKTK], and as a result has become the gold standard for </w:t>
      </w:r>
      <w:r>
        <w:rPr>
          <w:rFonts w:asciiTheme="majorHAnsi" w:hAnsiTheme="majorHAnsi" w:cstheme="majorHAnsi"/>
          <w:i/>
          <w:iCs/>
          <w:sz w:val="24"/>
          <w:szCs w:val="24"/>
        </w:rPr>
        <w:t xml:space="preserve">de novo </w:t>
      </w:r>
      <w:r>
        <w:rPr>
          <w:rFonts w:asciiTheme="majorHAnsi" w:hAnsiTheme="majorHAnsi" w:cstheme="majorHAnsi"/>
          <w:sz w:val="24"/>
          <w:szCs w:val="24"/>
        </w:rPr>
        <w:t xml:space="preserve">genome assembly. Hybrid assemblies may use any combination of long-read sequencing, short-read sequencing, optical mapping, and interaction mapping. </w:t>
      </w:r>
      <w:commentRangeStart w:id="1"/>
      <w:r w:rsidRPr="004B6F68">
        <w:rPr>
          <w:rFonts w:asciiTheme="majorHAnsi" w:hAnsiTheme="majorHAnsi" w:cstheme="majorHAnsi"/>
          <w:sz w:val="24"/>
          <w:szCs w:val="24"/>
        </w:rPr>
        <w:t xml:space="preserve">Each technology type </w:t>
      </w:r>
      <w:r>
        <w:rPr>
          <w:rFonts w:asciiTheme="majorHAnsi" w:hAnsiTheme="majorHAnsi" w:cstheme="majorHAnsi"/>
          <w:sz w:val="24"/>
          <w:szCs w:val="24"/>
        </w:rPr>
        <w:t>has</w:t>
      </w:r>
      <w:r w:rsidRPr="004B6F68">
        <w:rPr>
          <w:rFonts w:asciiTheme="majorHAnsi" w:hAnsiTheme="majorHAnsi" w:cstheme="majorHAnsi"/>
          <w:sz w:val="24"/>
          <w:szCs w:val="24"/>
        </w:rPr>
        <w:t xml:space="preserve"> different biases, errors, </w:t>
      </w:r>
      <w:r>
        <w:rPr>
          <w:rFonts w:asciiTheme="majorHAnsi" w:hAnsiTheme="majorHAnsi" w:cstheme="majorHAnsi"/>
          <w:sz w:val="24"/>
          <w:szCs w:val="24"/>
        </w:rPr>
        <w:t xml:space="preserve">costs, </w:t>
      </w:r>
      <w:r w:rsidRPr="004B6F68">
        <w:rPr>
          <w:rFonts w:asciiTheme="majorHAnsi" w:hAnsiTheme="majorHAnsi" w:cstheme="majorHAnsi"/>
          <w:sz w:val="24"/>
          <w:szCs w:val="24"/>
        </w:rPr>
        <w:t xml:space="preserve">and </w:t>
      </w:r>
      <w:r w:rsidRPr="00FD21E9">
        <w:rPr>
          <w:rFonts w:asciiTheme="majorHAnsi" w:hAnsiTheme="majorHAnsi" w:cstheme="majorHAnsi"/>
          <w:color w:val="00000A"/>
          <w:sz w:val="24"/>
          <w:szCs w:val="24"/>
        </w:rPr>
        <w:t>uses. In general, hybrid assemblies use long error prone reads to generate scaffolds, correct base calling errors with short reads which have high accuracy but cannot span highly repetitive sequences, and anchor scaffolds into chromosomes using interaction mapping which shows physical associations to span and link proximal scaffolds</w:t>
      </w:r>
      <w:commentRangeEnd w:id="1"/>
      <w:r>
        <w:rPr>
          <w:rStyle w:val="CommentReference"/>
        </w:rPr>
        <w:commentReference w:id="1"/>
      </w:r>
      <w:r w:rsidRPr="00FD21E9">
        <w:rPr>
          <w:rFonts w:asciiTheme="majorHAnsi" w:hAnsiTheme="majorHAnsi" w:cstheme="majorHAnsi"/>
          <w:color w:val="00000A"/>
          <w:sz w:val="24"/>
          <w:szCs w:val="24"/>
        </w:rPr>
        <w:t>.</w:t>
      </w:r>
      <w:r>
        <w:rPr>
          <w:rFonts w:asciiTheme="majorHAnsi" w:hAnsiTheme="majorHAnsi" w:cstheme="majorHAnsi"/>
          <w:color w:val="00000A"/>
          <w:sz w:val="24"/>
          <w:szCs w:val="24"/>
        </w:rPr>
        <w:t xml:space="preserve"> Biases, </w:t>
      </w:r>
      <w:proofErr w:type="gramStart"/>
      <w:r>
        <w:rPr>
          <w:rFonts w:asciiTheme="majorHAnsi" w:hAnsiTheme="majorHAnsi" w:cstheme="majorHAnsi"/>
          <w:color w:val="00000A"/>
          <w:sz w:val="24"/>
          <w:szCs w:val="24"/>
        </w:rPr>
        <w:t>errors</w:t>
      </w:r>
      <w:proofErr w:type="gramEnd"/>
      <w:r>
        <w:rPr>
          <w:rFonts w:asciiTheme="majorHAnsi" w:hAnsiTheme="majorHAnsi" w:cstheme="majorHAnsi"/>
          <w:color w:val="00000A"/>
          <w:sz w:val="24"/>
          <w:szCs w:val="24"/>
        </w:rPr>
        <w:t xml:space="preserve"> and pricing are consistently being minimized as sequencing research continues to generate more, longer, and increasingly accurate reads from a single sequencing machine. </w:t>
      </w:r>
    </w:p>
    <w:p w14:paraId="3B03CC67" w14:textId="546A9835" w:rsidR="00F42C03" w:rsidRPr="004B6F68" w:rsidRDefault="00F42C03" w:rsidP="00F42C03">
      <w:pPr>
        <w:spacing w:line="240" w:lineRule="auto"/>
        <w:ind w:right="270"/>
        <w:rPr>
          <w:rFonts w:asciiTheme="majorHAnsi" w:hAnsiTheme="majorHAnsi" w:cstheme="majorHAnsi"/>
          <w:sz w:val="24"/>
          <w:szCs w:val="24"/>
        </w:rPr>
      </w:pPr>
      <w:r>
        <w:rPr>
          <w:rFonts w:asciiTheme="majorHAnsi" w:hAnsiTheme="majorHAnsi" w:cstheme="majorHAnsi"/>
          <w:sz w:val="24"/>
          <w:szCs w:val="24"/>
        </w:rPr>
        <w:t>N</w:t>
      </w:r>
      <w:r w:rsidRPr="004B6F68">
        <w:rPr>
          <w:rFonts w:asciiTheme="majorHAnsi" w:hAnsiTheme="majorHAnsi" w:cstheme="majorHAnsi"/>
          <w:sz w:val="24"/>
          <w:szCs w:val="24"/>
        </w:rPr>
        <w:t xml:space="preserve">ext generation sequencing (NGS) and third generation sequencing (TGS) technologies have </w:t>
      </w:r>
      <w:r>
        <w:rPr>
          <w:rFonts w:asciiTheme="majorHAnsi" w:hAnsiTheme="majorHAnsi" w:cstheme="majorHAnsi"/>
          <w:sz w:val="24"/>
          <w:szCs w:val="24"/>
        </w:rPr>
        <w:t>made it</w:t>
      </w:r>
      <w:r w:rsidRPr="004B6F68">
        <w:rPr>
          <w:rFonts w:asciiTheme="majorHAnsi" w:hAnsiTheme="majorHAnsi" w:cstheme="majorHAnsi"/>
          <w:sz w:val="24"/>
          <w:szCs w:val="24"/>
        </w:rPr>
        <w:t xml:space="preserve"> relatively easy to generate low cost, high-throughput sequencing data. Of the numerous new methods to </w:t>
      </w:r>
      <w:r>
        <w:rPr>
          <w:rFonts w:asciiTheme="majorHAnsi" w:hAnsiTheme="majorHAnsi" w:cstheme="majorHAnsi"/>
          <w:sz w:val="24"/>
          <w:szCs w:val="24"/>
        </w:rPr>
        <w:t>obtain</w:t>
      </w:r>
      <w:r w:rsidRPr="004B6F68">
        <w:rPr>
          <w:rFonts w:asciiTheme="majorHAnsi" w:hAnsiTheme="majorHAnsi" w:cstheme="majorHAnsi"/>
          <w:sz w:val="24"/>
          <w:szCs w:val="24"/>
        </w:rPr>
        <w:t xml:space="preserve"> sequencing data for assembly, long-read sequencing, short-read sequencing, and interaction mapping have transformed the quality and contiguity of genome assemblies today. Current </w:t>
      </w:r>
      <w:r w:rsidRPr="004B6F68">
        <w:rPr>
          <w:rFonts w:asciiTheme="majorHAnsi" w:hAnsiTheme="majorHAnsi" w:cstheme="majorHAnsi"/>
          <w:i/>
          <w:iCs/>
          <w:sz w:val="24"/>
          <w:szCs w:val="24"/>
        </w:rPr>
        <w:t>de novo</w:t>
      </w:r>
      <w:r w:rsidRPr="004B6F68">
        <w:rPr>
          <w:rFonts w:asciiTheme="majorHAnsi" w:hAnsiTheme="majorHAnsi" w:cstheme="majorHAnsi"/>
          <w:sz w:val="24"/>
          <w:szCs w:val="24"/>
        </w:rPr>
        <w:t xml:space="preserve"> genomes</w:t>
      </w:r>
      <w:r>
        <w:rPr>
          <w:rFonts w:asciiTheme="majorHAnsi" w:hAnsiTheme="majorHAnsi" w:cstheme="majorHAnsi"/>
          <w:sz w:val="24"/>
          <w:szCs w:val="24"/>
        </w:rPr>
        <w:t xml:space="preserve"> require collaboration between relatively few scientists and</w:t>
      </w:r>
      <w:r w:rsidRPr="004B6F68">
        <w:rPr>
          <w:rFonts w:asciiTheme="majorHAnsi" w:hAnsiTheme="majorHAnsi" w:cstheme="majorHAnsi"/>
          <w:sz w:val="24"/>
          <w:szCs w:val="24"/>
        </w:rPr>
        <w:t xml:space="preserve"> reach completeness standards which took decades for the first human genome to reach at a fraction of the cost and by</w:t>
      </w:r>
      <w:r>
        <w:rPr>
          <w:rFonts w:asciiTheme="majorHAnsi" w:hAnsiTheme="majorHAnsi" w:cstheme="majorHAnsi"/>
          <w:sz w:val="24"/>
          <w:szCs w:val="24"/>
        </w:rPr>
        <w:t xml:space="preserve"> the collaboration</w:t>
      </w:r>
      <w:r w:rsidRPr="004B6F68">
        <w:rPr>
          <w:rFonts w:asciiTheme="majorHAnsi" w:hAnsiTheme="majorHAnsi" w:cstheme="majorHAnsi"/>
          <w:sz w:val="24"/>
          <w:szCs w:val="24"/>
        </w:rPr>
        <w:t xml:space="preserve"> relatively few individuals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{"citationID":"GMjmbx8c","properties":{"formattedCitation":"(International Human Genome Sequencing Consortium et al., 2001)","plainCitation":"(International Human Genome Sequencing Consortium et al., 2001)","noteIndex":0},"citationItems":[{"id":593,"uris":["http://zotero.org/users/local/3tku6QP0/items/9MIGJWAT"],"itemData":{"id":593,"type":"article-journal","container-title":"Nature","DOI":"10.1038/35057062","ISSN":"0028-0836, 1476-4687","issue":"6822","journalAbbreviation":"Nature","language":"en","page":"860-921","source":"DOI.org (Crossref)","title":"Initial sequencing and analysis of the human genome","volume":"409","author":[{"literal":"International Human Genome Sequencing Consortium"},{"literal":"Whitehead Institute for Biomedical Research, Center for Genome Research:"},{"family":"Lander","given":"Eric S."},{"family":"Linton","given":"Lauren M."},{"family":"Birren","given":"Bruce"},{"family":"Nusbaum","given":"Chad"},{"family":"Zody","given":"Michael C."},{"family":"Baldwin","given":"Jennifer"},{"family":"Devon","given":"Keri"},{"family":"Dewar","given":"Ken"},{"family":"Doyle","given":"Michael"},{"family":"FitzHugh","given":"William"},{"family":"Funke","given":"Roel"},{"family":"Gage","given":"Diane"},{"family":"Harris","given":"Katrina"},{"family":"Heaford","given":"Andrew"},{"family":"Howland","given":"John"},{"family":"Kann","given":"Lisa"},{"family":"Lehoczky","given":"Jessica"},{"family":"LeVine","given":"Rosie"},{"family":"McEwan","given":"Paul"},{"family":"McKernan","given":"Kevin"},{"family":"Meldrim","given":"James"},{"family":"Mesirov","given":"Jill P."},{"family":"Miranda","given":"Cher"},{"family":"Morris","given":"William"},{"family":"Naylor","given":"Jerome"},{"family":"Raymond","given":"Christina"},{"family":"Rosetti","given":"Mark"},{"family":"Santos","given":"Ralph"},{"family":"Sheridan","given":"Andrew"},{"family":"Sougnez","given":"Carrie"},{"family":"Stange-Thomann","given":"Nicole"},{"family":"Stojanovic","given":"Nikola"},{"family":"Subramanian","given":"Aravind"},{"family":"Wyman","given":"Dudley"},{"literal":"The Sanger Centre:"},{"family":"Rogers","given":"Jane"},{"family":"Sulston","given":"John"},{"family":"Ainscough","given":"Rachael"},{"family":"Beck","given":"Stephan"},{"family":"Bentley","given":"David"},{"family":"Burton","given":"John"},{"family":"Clee","given":"Christopher"},{"family":"Carter","given":"Nigel"},{"family":"Coulson","given":"Alan"},{"family":"Deadman","given":"Rebecca"},{"family":"Deloukas","given":"Panos"},{"family":"Dunham","given":"Andrew"},{"family":"Dunham","given":"Ian"},{"family":"Durbin","given":"Richard"},{"family":"French","given":"Lisa"},{"family":"Grafham","given":"Darren"},{"family":"Gregory","given":"Simon"},{"family":"Hubbard","given":"Tim"},{"family":"Humphray","given":"Sean"},{"family":"Hunt","given":"Adrienne"},{"family":"Jones","given":"Matthew"},{"family":"Lloyd","given":"Christine"},{"family":"McMurray","given":"Amanda"},{"family":"Matthews","given":"Lucy"},{"family":"Mercer","given":"Simon"},{"family":"Milne","given":"Sarah"},{"family":"Mullikin","given":"James C."},{"family":"Mungall","given":"Andrew"},{"family":"Plumb","given":"Robert"},{"family":"Ross","given":"Mark"},{"family":"Shownkeen","given":"Ratna"},{"family":"Sims","given":"Sarah"},{"literal":"Washington University Genome Sequencing Center"},{"family":"Waterston","given":"Robert H."},{"family":"Wilson","given":"Richard K."},{"family":"Hillier","given":"LaDeana W."},{"family":"McPherson","given":"John D."},{"family":"Marra","given":"Marco A."},{"family":"Mardis","given":"Elaine R."},{"family":"Fulton","given":"Lucinda A."},{"family":"Chinwalla","given":"Asif T."},{"family":"Pepin","given":"Kymberlie H."},{"family":"Gish","given":"Warren R."},{"family":"Chissoe","given":"Stephanie L."},{"family":"Wendl","given":"Michael C."},{"family":"Delehaunty","given":"Kim D."},{"family":"Miner","given":"Tracie L."},{"family":"Delehaunty","given":"Andrew"},{"family":"Kramer","given":"Jason B."},{"family":"Cook","given":"Lisa L."},{"family":"Fulton","given":"Robert S."},{"family":"Johnson","given":"Douglas L."},{"family":"Minx","given":"Patrick J."},{"family":"Clifton","given":"Sandra W."},{"literal":"US DOE Joint Genome Institute:"},{"family":"Hawkins","given":"Trevor"},{"family":"Branscomb","given":"Elbert"},{"family":"Predki","given":"Paul"},{"family":"Richardson","given":"Paul"},{"family":"Wenning","given":"Sarah"},{"family":"Slezak","given":"Tom"},{"family":"Doggett","given":"Norman"},{"family":"Cheng","given":"Jan-Fang"},{"family":"Olsen","given":"Anne"},{"family":"Lucas","given":"Susan"},{"family":"Elkin","given":"Christopher"},{"family":"Uberbacher","given":"Edward"},{"family":"Frazier","given":"Marvin"},{"literal":"Baylor College of Medicine Human Genome Sequencing Center:"},{"family":"Gibbs","given":"Richard A."},{"family":"Muzny","given":"Donna M."},{"family":"Scherer","given":"Steven E."},{"family":"Bouck","given":"John B."},{"family":"Sodergren","given":"Erica J."},{"family":"Worley","given":"Kim C."},{"family":"Rives","given":"Catherine M."},{"family":"Gorrell","given":"James H."},{"family":"Metzker","given":"Michael L."},{"family":"Naylor","given":"Susan L."},{"family":"Kucherlapati","given":"Raju S."},{"family":"Nelson","given":"David L."},{"family":"Weinstock","given":"George M."},{"literal":"RIKEN Genomic Sciences Center:"},{"family":"Sakaki","given":"Yoshiyuki"},{"family":"Fujiyama","given":"Asao"},{"family":"Hattori","given":"Masahira"},{"family":"Yada","given":"Tetsushi"},{"family":"Toyoda","given":"Atsushi"},{"family":"Itoh","given":"Takehiko"},{"family":"Kawagoe","given":"Chiharu"},{"family":"Watanabe","given":"Hidemi"},{"family":"Totoki","given":"Yasushi"},{"family":"Taylor","given":"Todd"},{"literal":"Genoscope and CNRS UMR-8030:"},{"family":"Weissenbach","given":"Jean"},{"family":"Heilig","given":"Roland"},{"family":"Saurin","given":"William"},{"family":"Artiguenave","given":"Francois"},{"family":"Brottier","given":"Philippe"},{"family":"Bruls","given":"Thomas"},{"family":"Pelletier","given":"Eric"},{"family":"Robert","given":"Catherine"},{"family":"Wincker","given":"Patrick"},{"literal":"Department of Genome Analysis, Institute of Molecular Biotechnology:"},{"family":"Rosenthal","given":"André"},{"family":"Platzer","given":"Matthias"},{"family":"Nyakatura","given":"Gerald"},{"family":"Taudien","given":"Stefan"},{"family":"Rump","given":"Andreas"},{"literal":"GTC Sequencing Center:"},{"family":"Smith","given":"Douglas R."},{"family":"Doucette-Stamm","given":"Lynn"},{"family":"Rubenfield","given":"Marc"},{"family":"Weinstock","given":"Keith"},{"family":"Lee","given":"Hong Mei"},{"family":"Dubois","given":"JoAnn"},{"literal":"Beijing Genomics Institute/Human Genome Center:"},{"family":"Yang","given":"Huanming"},{"family":"Yu","given":"Jun"},{"family":"Wang","given":"Jian"},{"family":"Huang","given":"Guyang"},{"family":"Gu","given":"Jun"},{"literal":"Multimegabase Sequencing Center, The Institute for Systems Biology:"},{"family":"Hood","given":"Leroy"},{"family":"Rowen","given":"Lee"},{"family":"Madan","given":"Anup"},{"family":"Qin","given":"Shizen"},{"literal":"Stanford Genome Technology Center:"},{"family":"Davis","given":"Ronald W."},{"family":"Federspiel","given":"Nancy A."},{"family":"Abola","given":"A. Pia"},{"family":"Proctor","given":"Michael J."},{"literal":"University of Oklahoma's Advanced Center for Genome Technology:"},{"family":"Roe","given":"Bruce A."},{"family":"Chen","given":"Feng"},{"family":"Pan","given":"Huaqin"},{"literal":"Max Planck Institute for Molecular Genetics:"},{"family":"Ramser","given":"Juliane"},{"family":"Lehrach","given":"Hans"},{"family":"Reinhardt","given":"Richard"},{"literal":"Cold Spring Harbor Laboratory, Lita Annenberg Hazen Genome Center:"},{"family":"McCombie","given":"W. Richard"},{"family":"Bastide","given":"Melissa","non-dropping-particle":"de la"},{"family":"Dedhia","given":"Neilay"},{"literal":"GBF—German Research Centre for Biotechnology:"},{"family":"Blöcker","given":"Helmut"},{"family":"Hornischer","given":"Klaus"},{"family":"Nordsiek","given":"Gabriele"},{"literal":"*Genome Analysis Group (listed in alphabetical order, also includes individuals listed under other headings):"},{"family":"Agarwala","given":"Richa"},{"family":"Aravind","given":"L."},{"family":"Bailey","given":"Jeffrey A."},{"family":"Bateman","given":"Alex"},{"family":"Batzoglou","given":"Serafim"},{"family":"Birney","given":"Ewan"},{"family":"Bork","given":"Peer"},{"family":"Brown","given":"Daniel G."},{"family":"Burge","given":"Christopher B."},{"family":"Cerutti","given":"Lorenzo"},{"family":"Chen","given":"Hsiu-Chuan"},{"family":"Church","given":"Deanna"},{"family":"Clamp","given":"Michele"},{"family":"Copley","given":"Richard R."},{"family":"Doerks","given":"Tobias"},{"family":"Eddy","given":"Sean R."},{"family":"Eichler","given":"Evan E."},{"family":"Furey","given":"Terrence S."},{"family":"Galagan","given":"James"},{"family":"Gilbert","given":"James G. R."},{"family":"Harmon","given":"Cyrus"},{"family":"Hayashizaki","given":"Yoshihide"},{"family":"Haussler","given":"David"},{"family":"Hermjakob","given":"Henning"},{"family":"Hokamp","given":"Karsten"},{"family":"Jang","given":"Wonhee"},{"family":"Johnson","given":"L. Steven"},{"family":"Jones","given":"Thomas A."},{"family":"Kasif","given":"Simon"},{"family":"Kaspryzk","given":"Arek"},{"family":"Kennedy","given":"Scot"},{"family":"Kent","given":"W. James"},{"family":"Kitts","given":"Paul"},{"family":"Koonin","given":"Eugene V."},{"family":"Korf","given":"Ian"},{"family":"Kulp","given":"David"},{"family":"Lancet","given":"Doron"},{"family":"Lowe","given":"Todd M."},{"family":"McLysaght","given":"Aoife"},{"family":"Mikkelsen","given":"Tarjei"},{"family":"Moran","given":"John V."},{"family":"Mulder","given":"Nicola"},{"family":"Pollara","given":"Victor J."},{"family":"Ponting","given":"Chris P."},{"family":"Schuler","given":"Greg"},{"family":"Schultz","given":"Jörg"},{"family":"Slater","given":"Guy"},{"family":"Smit","given":"Arian F. A."},{"family":"Stupka","given":"Elia"},{"family":"Szustakowki","given":"Joseph"},{"family":"Thierry-Mieg","given":"Danielle"},{"family":"Thierry-Mieg","given":"Jean"},{"family":"Wagner","given":"Lukas"},{"family":"Wallis","given":"John"},{"family":"Wheeler","given":"Raymond"},{"family":"Williams","given":"Alan"},{"family":"Wolf","given":"Yuri I."},{"family":"Wolfe","given":"Kenneth H."},{"family":"Yang","given":"Shiaw-Pyng"},{"family":"Yeh","given":"Ru-Fang"},{"literal":"Scientific management: National Human Genome Research Institute, US National Institutes of Health:"},{"family":"Collins","given":"Francis"},{"family":"Guyer","given":"Mark S."},{"family":"Peterson","given":"Jane"},{"family":"Felsenfeld","given":"Adam"},{"family":"Wetterstrand","given":"Kris A."},{"literal":"Stanford Human Genome Center:"},{"family":"Myers","given":"Richard M."},{"family":"Schmutz","given":"Jeremy"},{"family":"Dickson","given":"Mark"},{"family":"Grimwood","given":"Jane"},{"family":"Cox","given":"David R."},{"literal":"University of Washington Genome Center:"},{"family":"Olson","given":"Maynard V."},{"family":"Kaul","given":"Rajinder"},{"family":"Raymond","given":"Christopher"},{"literal":"Department of Molecular Biology, Keio University School of Medicine:"},{"family":"Shimizu","given":"Nobuyoshi"},{"family":"Kawasaki","given":"Kazuhiko"},{"family":"Minoshima","given":"Shinsei"},{"literal":"University of Texas Southwestern Medical Center at Dallas:"},{"family":"Evans","given":"Glen A."},{"family":"Athanasiou","given":"Maria"},{"family":"Schultz","given":"Roger"},{"literal":"Office of Science, US Department of Energy:"},{"family":"Patrinos","given":"Aristides"},{"literal":"The Wellcome Trust:"},{"family":"Morgan","given":"Michael J."}],"issued":{"date-parts":[["2001",2,15]]}}}],"schema":"https://github.com/citation-style-language/schema/raw/master/csl-citation.json"} </w:instrText>
      </w:r>
      <w:r w:rsidRPr="004B6F68">
        <w:rPr>
          <w:rFonts w:asciiTheme="majorHAnsi" w:hAnsiTheme="majorHAnsi" w:cstheme="majorHAnsi"/>
          <w:sz w:val="24"/>
          <w:szCs w:val="24"/>
        </w:rPr>
        <w:fldChar w:fldCharType="separate"/>
      </w:r>
      <w:r w:rsidRPr="004B6F68">
        <w:rPr>
          <w:rFonts w:ascii="Calibri Light" w:hAnsiTheme="majorHAnsi" w:cs="Calibri Light"/>
          <w:sz w:val="24"/>
        </w:rPr>
        <w:t>(International Human Genome Sequencing Consortium et al., 2001)</w:t>
      </w:r>
      <w:r w:rsidRPr="004B6F68">
        <w:rPr>
          <w:rFonts w:asciiTheme="majorHAnsi" w:hAnsiTheme="majorHAnsi" w:cstheme="majorHAnsi"/>
          <w:sz w:val="24"/>
          <w:szCs w:val="24"/>
        </w:rPr>
        <w:fldChar w:fldCharType="end"/>
      </w:r>
      <w:r w:rsidRPr="004B6F68">
        <w:rPr>
          <w:rFonts w:asciiTheme="majorHAnsi" w:hAnsiTheme="majorHAnsi" w:cstheme="majorHAnsi"/>
          <w:sz w:val="24"/>
          <w:szCs w:val="24"/>
        </w:rPr>
        <w:t xml:space="preserve">. </w:t>
      </w:r>
      <w:r>
        <w:rPr>
          <w:rFonts w:asciiTheme="majorHAnsi" w:hAnsiTheme="majorHAnsi" w:cstheme="majorHAnsi"/>
          <w:sz w:val="24"/>
          <w:szCs w:val="24"/>
        </w:rPr>
        <w:t xml:space="preserve">A recent example showcasing the power of hybrid </w:t>
      </w:r>
      <w:r>
        <w:rPr>
          <w:rFonts w:asciiTheme="majorHAnsi" w:hAnsiTheme="majorHAnsi" w:cstheme="majorHAnsi"/>
          <w:i/>
          <w:iCs/>
          <w:sz w:val="24"/>
          <w:szCs w:val="24"/>
        </w:rPr>
        <w:t xml:space="preserve">de novo </w:t>
      </w:r>
      <w:r>
        <w:rPr>
          <w:rFonts w:asciiTheme="majorHAnsi" w:hAnsiTheme="majorHAnsi" w:cstheme="majorHAnsi"/>
          <w:sz w:val="24"/>
          <w:szCs w:val="24"/>
        </w:rPr>
        <w:t>assembly was the sequencing and assembly of the domestic goat genome in 2017. Through the use of high-quality DNA extraction and combining recently stablished sequencing technologies the</w:t>
      </w:r>
      <w:r w:rsidRPr="004B6F68">
        <w:rPr>
          <w:rFonts w:asciiTheme="majorHAnsi" w:hAnsiTheme="majorHAnsi" w:cstheme="majorHAnsi"/>
          <w:sz w:val="24"/>
          <w:szCs w:val="24"/>
        </w:rPr>
        <w:t xml:space="preserve">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{"citationID":"kGxlro9w","properties":{"formattedCitation":"(Bickhart et al., 2017)","plainCitation":"(Bickhart et al., 2017)","noteIndex":0},"citationItems":[{"id":476,"uris":["http://zotero.org/users/local/3tku6QP0/items/BJS9BBAU"],"itemData":{"id":476,"type":"article-journal","container-title":"Nature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L"}],"issued":{"date-parts":[["2017",4]]}}}],"schema":"https://github.com/citation-style-language/schema/raw/master/csl-citation.json"} </w:instrText>
      </w:r>
      <w:r w:rsidRPr="004B6F68">
        <w:rPr>
          <w:rFonts w:asciiTheme="majorHAnsi" w:hAnsiTheme="majorHAnsi" w:cstheme="majorHAnsi"/>
          <w:sz w:val="24"/>
          <w:szCs w:val="24"/>
        </w:rPr>
        <w:fldChar w:fldCharType="separate"/>
      </w:r>
      <w:r w:rsidR="002C5280">
        <w:rPr>
          <w:rFonts w:ascii="Calibri Light" w:hAnsiTheme="majorHAnsi" w:cs="Calibri Light"/>
          <w:sz w:val="24"/>
        </w:rPr>
        <w:t>(</w:t>
      </w:r>
      <w:proofErr w:type="spellStart"/>
      <w:r w:rsidR="002C5280">
        <w:rPr>
          <w:rFonts w:ascii="Calibri Light" w:hAnsiTheme="majorHAnsi" w:cs="Calibri Light"/>
          <w:sz w:val="24"/>
        </w:rPr>
        <w:t>Bickhart</w:t>
      </w:r>
      <w:proofErr w:type="spellEnd"/>
      <w:r w:rsidR="002C5280">
        <w:rPr>
          <w:rFonts w:ascii="Calibri Light" w:hAnsiTheme="majorHAnsi" w:cs="Calibri Light"/>
          <w:sz w:val="24"/>
        </w:rPr>
        <w:t xml:space="preserve"> et al., 2017)</w:t>
      </w:r>
      <w:r w:rsidRPr="004B6F68">
        <w:rPr>
          <w:rFonts w:asciiTheme="majorHAnsi" w:hAnsiTheme="majorHAnsi" w:cstheme="majorHAnsi"/>
          <w:sz w:val="24"/>
          <w:szCs w:val="24"/>
        </w:rPr>
        <w:fldChar w:fldCharType="end"/>
      </w:r>
      <w:r w:rsidRPr="004B6F68">
        <w:rPr>
          <w:rFonts w:asciiTheme="majorHAnsi" w:hAnsiTheme="majorHAnsi" w:cstheme="majorHAnsi"/>
          <w:sz w:val="24"/>
          <w:szCs w:val="24"/>
        </w:rPr>
        <w:t xml:space="preserve"> used long-read </w:t>
      </w:r>
      <w:r w:rsidRPr="00FD21E9">
        <w:rPr>
          <w:rFonts w:asciiTheme="majorHAnsi" w:hAnsiTheme="majorHAnsi" w:cstheme="majorHAnsi"/>
          <w:color w:val="00000A"/>
          <w:sz w:val="24"/>
          <w:szCs w:val="24"/>
        </w:rPr>
        <w:t xml:space="preserve">sequencing, short-read sequencing, and interaction mapping to </w:t>
      </w:r>
      <w:r>
        <w:rPr>
          <w:rFonts w:asciiTheme="majorHAnsi" w:hAnsiTheme="majorHAnsi" w:cstheme="majorHAnsi"/>
          <w:color w:val="00000A"/>
          <w:sz w:val="24"/>
          <w:szCs w:val="24"/>
        </w:rPr>
        <w:t xml:space="preserve">produce a </w:t>
      </w:r>
      <w:r>
        <w:rPr>
          <w:rFonts w:asciiTheme="majorHAnsi" w:hAnsiTheme="majorHAnsi" w:cstheme="majorHAnsi"/>
          <w:i/>
          <w:iCs/>
          <w:color w:val="00000A"/>
          <w:sz w:val="24"/>
          <w:szCs w:val="24"/>
        </w:rPr>
        <w:t xml:space="preserve">de novo </w:t>
      </w:r>
      <w:r>
        <w:rPr>
          <w:rFonts w:asciiTheme="majorHAnsi" w:hAnsiTheme="majorHAnsi" w:cstheme="majorHAnsi"/>
          <w:color w:val="00000A"/>
          <w:sz w:val="24"/>
          <w:szCs w:val="24"/>
        </w:rPr>
        <w:t xml:space="preserve">assembly that was </w:t>
      </w:r>
      <w:r w:rsidRPr="00FD21E9">
        <w:rPr>
          <w:rFonts w:asciiTheme="majorHAnsi" w:hAnsiTheme="majorHAnsi" w:cstheme="majorHAnsi"/>
          <w:color w:val="00000A"/>
          <w:sz w:val="24"/>
          <w:szCs w:val="24"/>
        </w:rPr>
        <w:t xml:space="preserve">over two orders of magnitude </w:t>
      </w:r>
      <w:r>
        <w:rPr>
          <w:rFonts w:asciiTheme="majorHAnsi" w:hAnsiTheme="majorHAnsi" w:cstheme="majorHAnsi"/>
          <w:color w:val="00000A"/>
          <w:sz w:val="24"/>
          <w:szCs w:val="24"/>
        </w:rPr>
        <w:t xml:space="preserve">more contiguous than </w:t>
      </w:r>
      <w:r w:rsidRPr="00FD21E9">
        <w:rPr>
          <w:rFonts w:asciiTheme="majorHAnsi" w:hAnsiTheme="majorHAnsi" w:cstheme="majorHAnsi"/>
          <w:color w:val="00000A"/>
          <w:sz w:val="24"/>
          <w:szCs w:val="24"/>
        </w:rPr>
        <w:t>the previous</w:t>
      </w:r>
      <w:r>
        <w:rPr>
          <w:rFonts w:asciiTheme="majorHAnsi" w:hAnsiTheme="majorHAnsi" w:cstheme="majorHAnsi"/>
          <w:color w:val="00000A"/>
          <w:sz w:val="24"/>
          <w:szCs w:val="24"/>
        </w:rPr>
        <w:t>ly published</w:t>
      </w:r>
      <w:r w:rsidRPr="00FD21E9">
        <w:rPr>
          <w:rFonts w:asciiTheme="majorHAnsi" w:hAnsiTheme="majorHAnsi" w:cstheme="majorHAnsi"/>
          <w:color w:val="00000A"/>
          <w:sz w:val="24"/>
          <w:szCs w:val="24"/>
        </w:rPr>
        <w:t xml:space="preserve"> goat</w:t>
      </w:r>
      <w:r>
        <w:rPr>
          <w:rFonts w:asciiTheme="majorHAnsi" w:hAnsiTheme="majorHAnsi" w:cstheme="majorHAnsi"/>
          <w:color w:val="00000A"/>
          <w:sz w:val="24"/>
          <w:szCs w:val="24"/>
        </w:rPr>
        <w:t xml:space="preserve">. </w:t>
      </w:r>
      <w:r>
        <w:rPr>
          <w:rFonts w:asciiTheme="majorHAnsi" w:hAnsiTheme="majorHAnsi" w:cstheme="majorHAnsi"/>
          <w:color w:val="00000A"/>
          <w:sz w:val="24"/>
          <w:szCs w:val="24"/>
        </w:rPr>
        <w:lastRenderedPageBreak/>
        <w:t>The paper also</w:t>
      </w:r>
      <w:r w:rsidRPr="00FD21E9">
        <w:rPr>
          <w:rFonts w:asciiTheme="majorHAnsi" w:hAnsiTheme="majorHAnsi" w:cstheme="majorHAnsi"/>
          <w:color w:val="00000A"/>
          <w:sz w:val="24"/>
          <w:szCs w:val="24"/>
        </w:rPr>
        <w:t xml:space="preserve"> proposed it was the most continuous </w:t>
      </w:r>
      <w:r w:rsidRPr="00FD21E9">
        <w:rPr>
          <w:rFonts w:asciiTheme="majorHAnsi" w:hAnsiTheme="majorHAnsi" w:cstheme="majorHAnsi"/>
          <w:i/>
          <w:iCs/>
          <w:color w:val="00000A"/>
          <w:sz w:val="24"/>
          <w:szCs w:val="24"/>
        </w:rPr>
        <w:t xml:space="preserve">de novo </w:t>
      </w:r>
      <w:r w:rsidRPr="00FD21E9">
        <w:rPr>
          <w:rFonts w:asciiTheme="majorHAnsi" w:hAnsiTheme="majorHAnsi" w:cstheme="majorHAnsi"/>
          <w:color w:val="00000A"/>
          <w:sz w:val="24"/>
          <w:szCs w:val="24"/>
        </w:rPr>
        <w:t xml:space="preserve">mammalian assembly of its time. Since the publication of the </w:t>
      </w:r>
      <w:r w:rsidRPr="00FD21E9">
        <w:rPr>
          <w:rFonts w:asciiTheme="majorHAnsi" w:hAnsiTheme="majorHAnsi" w:cstheme="majorHAnsi"/>
          <w:i/>
          <w:iCs/>
          <w:color w:val="00000A"/>
          <w:sz w:val="24"/>
          <w:szCs w:val="24"/>
        </w:rPr>
        <w:t xml:space="preserve">de novo </w:t>
      </w:r>
      <w:r w:rsidRPr="00FD21E9">
        <w:rPr>
          <w:rFonts w:asciiTheme="majorHAnsi" w:hAnsiTheme="majorHAnsi" w:cstheme="majorHAnsi"/>
          <w:color w:val="00000A"/>
          <w:sz w:val="24"/>
          <w:szCs w:val="24"/>
        </w:rPr>
        <w:t>goat assembly</w:t>
      </w:r>
      <w:r>
        <w:rPr>
          <w:rFonts w:asciiTheme="majorHAnsi" w:hAnsiTheme="majorHAnsi" w:cstheme="majorHAnsi"/>
          <w:color w:val="00000A"/>
          <w:sz w:val="24"/>
          <w:szCs w:val="24"/>
        </w:rPr>
        <w:t>,</w:t>
      </w:r>
      <w:r w:rsidRPr="00FD21E9">
        <w:rPr>
          <w:rFonts w:asciiTheme="majorHAnsi" w:hAnsiTheme="majorHAnsi" w:cstheme="majorHAnsi"/>
          <w:color w:val="00000A"/>
          <w:sz w:val="24"/>
          <w:szCs w:val="24"/>
        </w:rPr>
        <w:t xml:space="preserve"> hybrid assembly publications are commonplace. As such, hybrid </w:t>
      </w:r>
      <w:r w:rsidRPr="004B6F68">
        <w:rPr>
          <w:rFonts w:asciiTheme="majorHAnsi" w:hAnsiTheme="majorHAnsi" w:cstheme="majorHAnsi"/>
          <w:sz w:val="24"/>
          <w:szCs w:val="24"/>
        </w:rPr>
        <w:t xml:space="preserve">assembly is an accepted and reliable way to achieve a chromosome-scale high-quality reference genome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{"citationID":"bj9GvkSb","properties":{"formattedCitation":"(Bickhart et al., 2017; Rhie et al., 2021)","plainCitation":"(Bickhart et al., 2017; Rhie et al., 2021)","noteIndex":0},"citationItems":[{"id":476,"uris":["http://zotero.org/users/local/3tku6QP0/items/BJS9BBAU"],"itemData":{"id":476,"type":"article-journal","container-title":"Nature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Pr="004B6F68">
        <w:rPr>
          <w:rFonts w:asciiTheme="majorHAnsi" w:hAnsiTheme="majorHAnsi" w:cstheme="majorHAnsi"/>
          <w:sz w:val="24"/>
          <w:szCs w:val="24"/>
        </w:rPr>
        <w:fldChar w:fldCharType="separate"/>
      </w:r>
      <w:r w:rsidRPr="004B6F68">
        <w:rPr>
          <w:rFonts w:ascii="Calibri Light" w:hAnsiTheme="majorHAnsi" w:cs="Calibri Light"/>
          <w:sz w:val="24"/>
        </w:rPr>
        <w:t>(</w:t>
      </w:r>
      <w:proofErr w:type="spellStart"/>
      <w:r w:rsidRPr="004B6F68">
        <w:rPr>
          <w:rFonts w:ascii="Calibri Light" w:hAnsiTheme="majorHAnsi" w:cs="Calibri Light"/>
          <w:sz w:val="24"/>
        </w:rPr>
        <w:t>Bickhart</w:t>
      </w:r>
      <w:proofErr w:type="spellEnd"/>
      <w:r w:rsidRPr="004B6F68">
        <w:rPr>
          <w:rFonts w:ascii="Calibri Light" w:hAnsiTheme="majorHAnsi" w:cs="Calibri Light"/>
          <w:sz w:val="24"/>
        </w:rPr>
        <w:t xml:space="preserve"> et al., 2017; </w:t>
      </w:r>
      <w:proofErr w:type="spellStart"/>
      <w:r w:rsidRPr="004B6F68">
        <w:rPr>
          <w:rFonts w:ascii="Calibri Light" w:hAnsiTheme="majorHAnsi" w:cs="Calibri Light"/>
          <w:sz w:val="24"/>
        </w:rPr>
        <w:t>Rhie</w:t>
      </w:r>
      <w:proofErr w:type="spellEnd"/>
      <w:r w:rsidRPr="004B6F68">
        <w:rPr>
          <w:rFonts w:ascii="Calibri Light" w:hAnsiTheme="majorHAnsi" w:cs="Calibri Light"/>
          <w:sz w:val="24"/>
        </w:rPr>
        <w:t xml:space="preserve"> et al., 2021)</w:t>
      </w:r>
      <w:r w:rsidRPr="004B6F68">
        <w:rPr>
          <w:rFonts w:asciiTheme="majorHAnsi" w:hAnsiTheme="majorHAnsi" w:cstheme="majorHAnsi"/>
          <w:sz w:val="24"/>
          <w:szCs w:val="24"/>
        </w:rPr>
        <w:fldChar w:fldCharType="end"/>
      </w:r>
      <w:r w:rsidRPr="004B6F68">
        <w:rPr>
          <w:rFonts w:asciiTheme="majorHAnsi" w:hAnsiTheme="majorHAnsi" w:cstheme="majorHAnsi"/>
          <w:sz w:val="24"/>
          <w:szCs w:val="24"/>
        </w:rPr>
        <w:t>. Since 2017, over half of all vertebrate chromosome-level assemblies submit</w:t>
      </w:r>
      <w:r>
        <w:rPr>
          <w:rFonts w:asciiTheme="majorHAnsi" w:hAnsiTheme="majorHAnsi" w:cstheme="majorHAnsi"/>
          <w:sz w:val="24"/>
          <w:szCs w:val="24"/>
        </w:rPr>
        <w:t>ted</w:t>
      </w:r>
      <w:r w:rsidRPr="004B6F68">
        <w:rPr>
          <w:rFonts w:asciiTheme="majorHAnsi" w:hAnsiTheme="majorHAnsi" w:cstheme="majorHAnsi"/>
          <w:sz w:val="24"/>
          <w:szCs w:val="24"/>
        </w:rPr>
        <w:t xml:space="preserve"> to GenBank implemented a hybrid assembly approach to genome assembly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{"citationID":"cuv5cNry","properties":{"formattedCitation":"(Hotaling et al., 2021)","plainCitation":"(Hotaling et al., 2021)","noteIndex":0},"citationItems":[{"id":558,"uris":["http://zotero.org/users/local/3tku6QP0/items/SYV8SXHL"],"itemData":{"id":558,"type":"article-journal","abstract":"In less than 25 y, the field of animal genome science has transformed from a discipline seeking its first glimpses into genome sequences across the Tree of Life to a global enterprise with ambitions to sequence genomes for all of Earth’s eukaryotic diversity [H. A. Lewin\n              et al.\n              ,\n              Proc. Natl. Acad. Sci. U.S.A.\n              115, 4325–4333 (2018)]. As the field rapidly moves forward, it is important to take stock of the progress that has been made to best inform the discipline’s future. In this Perspective, we provide a contemporary, quantitative overview of animal genome sequencing. We identified the best available genome assemblies in GenBank, the world’s most extensive genetic database, for 3,278 unique animal species across 24 phyla. We assessed taxonomic representation, assembly quality, and annotation status for major clades. We show that while tremendous taxonomic progress has occurred, stark disparities in genomic representation exist, highlighted by a systemic overrepresentation of vertebrates and underrepresentation of arthropods. In terms of assembly quality, long-read sequencing has dramatically improved contiguity, whereas gene annotations are available for just 34.3% of taxa. Furthermore, we show that animal genome science has diversified in recent years with an ever-expanding pool of researchers participating. However, the field still appears to be dominated by institutions in the Global North, which have been listed as the submitting institution for 77% of all assemblies. We conclude by offering recommendations for improving genomic resource availability and research value while also broadening global representation.","container-title":"Proceedings of the National Academy of Sciences","DOI":"10.1073/pnas.2109019118","ISSN":"0027-8424, 1091-6490","issue":"52","journalAbbreviation":"Proc. Natl. Acad. Sci. U.S.A.","language":"en","page":"e2109019118","source":"DOI.org (Crossref)","title":"Toward a genome sequence for every animal: Where are we now?","title-short":"Toward a genome sequence for every animal","volume":"118","author":[{"family":"Hotaling","given":"Scott"},{"family":"Kelley","given":"Joanna L."},{"family":"Frandsen","given":"Paul B."}],"issued":{"date-parts":[["2021",12,28]]}}}],"schema":"https://github.com/citation-style-language/schema/raw/master/csl-citation.json"} </w:instrText>
      </w:r>
      <w:r w:rsidRPr="004B6F68">
        <w:rPr>
          <w:rFonts w:asciiTheme="majorHAnsi" w:hAnsiTheme="majorHAnsi" w:cstheme="majorHAnsi"/>
          <w:sz w:val="24"/>
          <w:szCs w:val="24"/>
        </w:rPr>
        <w:fldChar w:fldCharType="separate"/>
      </w:r>
      <w:r w:rsidRPr="004B6F68">
        <w:rPr>
          <w:rFonts w:ascii="Calibri Light" w:hAnsiTheme="majorHAnsi" w:cs="Calibri Light"/>
          <w:sz w:val="24"/>
        </w:rPr>
        <w:t>(</w:t>
      </w:r>
      <w:proofErr w:type="spellStart"/>
      <w:r w:rsidRPr="004B6F68">
        <w:rPr>
          <w:rFonts w:ascii="Calibri Light" w:hAnsiTheme="majorHAnsi" w:cs="Calibri Light"/>
          <w:sz w:val="24"/>
        </w:rPr>
        <w:t>Hotaling</w:t>
      </w:r>
      <w:proofErr w:type="spellEnd"/>
      <w:r w:rsidRPr="004B6F68">
        <w:rPr>
          <w:rFonts w:ascii="Calibri Light" w:hAnsiTheme="majorHAnsi" w:cs="Calibri Light"/>
          <w:sz w:val="24"/>
        </w:rPr>
        <w:t xml:space="preserve"> et al., 2021)</w:t>
      </w:r>
      <w:r w:rsidRPr="004B6F68">
        <w:rPr>
          <w:rFonts w:asciiTheme="majorHAnsi" w:hAnsiTheme="majorHAnsi" w:cstheme="majorHAnsi"/>
          <w:sz w:val="24"/>
          <w:szCs w:val="24"/>
        </w:rPr>
        <w:fldChar w:fldCharType="end"/>
      </w:r>
      <w:r w:rsidRPr="004B6F68">
        <w:rPr>
          <w:rFonts w:asciiTheme="majorHAnsi" w:hAnsiTheme="majorHAnsi" w:cstheme="majorHAnsi"/>
          <w:sz w:val="24"/>
          <w:szCs w:val="24"/>
        </w:rPr>
        <w:t xml:space="preserve">. </w:t>
      </w:r>
    </w:p>
    <w:p w14:paraId="0F9DD15B" w14:textId="7AFFFE5B" w:rsidR="00F42C03" w:rsidRDefault="00F42C03" w:rsidP="00F42C03">
      <w:pPr>
        <w:pBdr>
          <w:bottom w:val="single" w:sz="12" w:space="1" w:color="auto"/>
        </w:pBdr>
        <w:tabs>
          <w:tab w:val="left" w:pos="6448"/>
        </w:tabs>
        <w:spacing w:line="240" w:lineRule="auto"/>
        <w:ind w:right="270"/>
        <w:rPr>
          <w:rFonts w:asciiTheme="majorHAnsi" w:hAnsiTheme="majorHAnsi" w:cstheme="majorHAnsi"/>
          <w:color w:val="00000A"/>
          <w:sz w:val="24"/>
          <w:szCs w:val="24"/>
        </w:rPr>
      </w:pPr>
    </w:p>
    <w:p w14:paraId="2F21E5D7" w14:textId="77777777" w:rsidR="008655C5" w:rsidRDefault="008655C5" w:rsidP="00F42C03">
      <w:pPr>
        <w:tabs>
          <w:tab w:val="left" w:pos="6448"/>
        </w:tabs>
        <w:spacing w:line="240" w:lineRule="auto"/>
        <w:ind w:right="270"/>
        <w:rPr>
          <w:rFonts w:asciiTheme="majorHAnsi" w:hAnsiTheme="majorHAnsi" w:cstheme="majorHAnsi"/>
          <w:color w:val="00000A"/>
          <w:sz w:val="24"/>
          <w:szCs w:val="24"/>
        </w:rPr>
      </w:pPr>
    </w:p>
    <w:p w14:paraId="13A3B9D0" w14:textId="53C7D9B6" w:rsidR="00F42C03" w:rsidRDefault="00F42C03" w:rsidP="00F42C03">
      <w:pPr>
        <w:tabs>
          <w:tab w:val="left" w:pos="6448"/>
        </w:tabs>
        <w:spacing w:line="240" w:lineRule="auto"/>
        <w:ind w:right="270"/>
        <w:rPr>
          <w:rFonts w:asciiTheme="majorHAnsi" w:hAnsiTheme="majorHAnsi" w:cstheme="majorHAnsi"/>
          <w:color w:val="00000A"/>
          <w:sz w:val="24"/>
          <w:szCs w:val="24"/>
        </w:rPr>
      </w:pPr>
      <w:r>
        <w:rPr>
          <w:rFonts w:asciiTheme="majorHAnsi" w:hAnsiTheme="majorHAnsi" w:cstheme="majorHAnsi"/>
          <w:color w:val="00000A"/>
          <w:sz w:val="24"/>
          <w:szCs w:val="24"/>
        </w:rPr>
        <w:t>Chapter 1 – Geno</w:t>
      </w:r>
      <w:r w:rsidR="00A6474A">
        <w:rPr>
          <w:rFonts w:asciiTheme="majorHAnsi" w:hAnsiTheme="majorHAnsi" w:cstheme="majorHAnsi"/>
          <w:color w:val="00000A"/>
          <w:sz w:val="24"/>
          <w:szCs w:val="24"/>
        </w:rPr>
        <w:t>me</w:t>
      </w:r>
    </w:p>
    <w:p w14:paraId="272F1C5B" w14:textId="77777777" w:rsidR="003962A7" w:rsidRDefault="003962A7" w:rsidP="006851CF">
      <w:pPr>
        <w:pBdr>
          <w:bottom w:val="single" w:sz="12" w:space="1" w:color="auto"/>
        </w:pBdr>
        <w:spacing w:line="240" w:lineRule="auto"/>
        <w:ind w:right="270"/>
        <w:rPr>
          <w:rFonts w:asciiTheme="majorHAnsi" w:hAnsiTheme="majorHAnsi" w:cstheme="majorHAnsi"/>
          <w:sz w:val="24"/>
          <w:szCs w:val="24"/>
        </w:rPr>
      </w:pPr>
    </w:p>
    <w:p w14:paraId="328D1EFC" w14:textId="77777777" w:rsidR="00684992" w:rsidRDefault="00684992" w:rsidP="006851CF">
      <w:pPr>
        <w:spacing w:line="240" w:lineRule="auto"/>
        <w:ind w:right="270"/>
        <w:rPr>
          <w:rFonts w:asciiTheme="majorHAnsi" w:hAnsiTheme="majorHAnsi" w:cstheme="majorHAnsi"/>
          <w:sz w:val="24"/>
          <w:szCs w:val="24"/>
        </w:rPr>
      </w:pPr>
    </w:p>
    <w:p w14:paraId="2E40DA88" w14:textId="520E5FD5" w:rsidR="003600B6" w:rsidRDefault="003600B6" w:rsidP="003600B6">
      <w:pPr>
        <w:spacing w:line="240" w:lineRule="auto"/>
        <w:rPr>
          <w:rFonts w:asciiTheme="majorHAnsi" w:hAnsiTheme="majorHAnsi" w:cstheme="majorHAnsi"/>
          <w:sz w:val="24"/>
          <w:szCs w:val="24"/>
        </w:rPr>
      </w:pPr>
      <w:r>
        <w:rPr>
          <w:rFonts w:asciiTheme="majorHAnsi" w:hAnsiTheme="majorHAnsi" w:cstheme="majorHAnsi"/>
          <w:color w:val="00000A"/>
          <w:sz w:val="24"/>
          <w:szCs w:val="24"/>
        </w:rPr>
        <w:t xml:space="preserve">We </w:t>
      </w:r>
      <w:r w:rsidRPr="00FD21E9">
        <w:rPr>
          <w:rFonts w:asciiTheme="majorHAnsi" w:hAnsiTheme="majorHAnsi" w:cstheme="majorHAnsi"/>
          <w:color w:val="00000A"/>
          <w:sz w:val="24"/>
          <w:szCs w:val="24"/>
        </w:rPr>
        <w:t>used PacBio HiFi long-reads, 10X Genomics linked-reads, and Phase Genomics chromatin confirmation capture</w:t>
      </w:r>
      <w:r>
        <w:rPr>
          <w:rFonts w:asciiTheme="majorHAnsi" w:hAnsiTheme="majorHAnsi" w:cstheme="majorHAnsi"/>
          <w:color w:val="00000A"/>
          <w:sz w:val="24"/>
          <w:szCs w:val="24"/>
        </w:rPr>
        <w:t xml:space="preserve"> to assemble one male genome and one female genome</w:t>
      </w:r>
      <w:r w:rsidRPr="00FD21E9">
        <w:rPr>
          <w:rFonts w:asciiTheme="majorHAnsi" w:hAnsiTheme="majorHAnsi" w:cstheme="majorHAnsi"/>
          <w:color w:val="00000A"/>
          <w:sz w:val="24"/>
          <w:szCs w:val="24"/>
        </w:rPr>
        <w:t xml:space="preserve">. In addition to these three sequencing technologies, we sought to further increase the </w:t>
      </w:r>
      <w:r w:rsidRPr="004B6F68">
        <w:rPr>
          <w:rFonts w:asciiTheme="majorHAnsi" w:hAnsiTheme="majorHAnsi" w:cstheme="majorHAnsi"/>
          <w:sz w:val="24"/>
          <w:szCs w:val="24"/>
        </w:rPr>
        <w:t xml:space="preserve">contiguity of the genome by incorporating information from a previously published linkage map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{"citationID":"0O5buVzQ","properties":{"formattedCitation":"(Lew et al., 2015)","plainCitation":"(Lew et al., 2015)","noteIndex":0},"citationItems":[{"id":224,"uris":["http://zotero.org/users/local/3tku6QP0/items/NMRF5PW2"],"itemData":{"id":224,"type":"article-journal","abstract":"AbstractThe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Pr="004B6F68">
        <w:rPr>
          <w:rFonts w:asciiTheme="majorHAnsi" w:hAnsiTheme="majorHAnsi" w:cstheme="majorHAnsi"/>
          <w:sz w:val="24"/>
          <w:szCs w:val="24"/>
        </w:rPr>
        <w:fldChar w:fldCharType="separate"/>
      </w:r>
      <w:r w:rsidRPr="004B6F68">
        <w:rPr>
          <w:rFonts w:ascii="Calibri Light" w:hAnsiTheme="majorHAnsi" w:cs="Calibri Light"/>
          <w:sz w:val="24"/>
        </w:rPr>
        <w:t>(Lew et al., 2015)</w:t>
      </w:r>
      <w:r w:rsidRPr="004B6F68">
        <w:rPr>
          <w:rFonts w:asciiTheme="majorHAnsi" w:hAnsiTheme="majorHAnsi" w:cstheme="majorHAnsi"/>
          <w:sz w:val="24"/>
          <w:szCs w:val="24"/>
        </w:rPr>
        <w:fldChar w:fldCharType="end"/>
      </w:r>
      <w:r w:rsidRPr="004B6F68">
        <w:rPr>
          <w:rFonts w:asciiTheme="majorHAnsi" w:hAnsiTheme="majorHAnsi" w:cstheme="majorHAnsi"/>
          <w:sz w:val="24"/>
          <w:szCs w:val="24"/>
        </w:rPr>
        <w:t xml:space="preserve">. Finally, </w:t>
      </w:r>
      <w:r w:rsidR="00D30AC2">
        <w:rPr>
          <w:rFonts w:asciiTheme="majorHAnsi" w:hAnsiTheme="majorHAnsi" w:cstheme="majorHAnsi"/>
          <w:sz w:val="24"/>
          <w:szCs w:val="24"/>
        </w:rPr>
        <w:t xml:space="preserve">because species with different numbers of chromosomes can hybridize and it is unclear if progeny from a wakasagi and delta smelt cross are fertile, </w:t>
      </w:r>
      <w:r w:rsidRPr="004B6F68">
        <w:rPr>
          <w:rFonts w:asciiTheme="majorHAnsi" w:hAnsiTheme="majorHAnsi" w:cstheme="majorHAnsi"/>
          <w:sz w:val="24"/>
          <w:szCs w:val="24"/>
        </w:rPr>
        <w:t>we independently validated the number of expected chromosomes in the final delta smelt assembly by karyotyping the species.</w:t>
      </w:r>
    </w:p>
    <w:p w14:paraId="7BA226E3" w14:textId="3E714BA2" w:rsidR="004E3E6B" w:rsidRDefault="004E3E6B" w:rsidP="004E3E6B">
      <w:pPr>
        <w:pBdr>
          <w:bottom w:val="single" w:sz="12" w:space="1" w:color="auto"/>
        </w:pBdr>
        <w:spacing w:line="240" w:lineRule="auto"/>
        <w:rPr>
          <w:rFonts w:asciiTheme="majorHAnsi" w:hAnsiTheme="majorHAnsi" w:cstheme="majorHAnsi"/>
          <w:sz w:val="24"/>
          <w:szCs w:val="24"/>
        </w:rPr>
      </w:pPr>
      <w:r w:rsidRPr="00FD21E9">
        <w:rPr>
          <w:rFonts w:asciiTheme="majorHAnsi" w:hAnsiTheme="majorHAnsi" w:cstheme="majorHAnsi"/>
          <w:sz w:val="24"/>
          <w:szCs w:val="24"/>
        </w:rPr>
        <w:t>evolutionary genomic research.</w:t>
      </w:r>
    </w:p>
    <w:p w14:paraId="1B6F6C22" w14:textId="77777777" w:rsidR="004C65E1" w:rsidRPr="00FD21E9" w:rsidRDefault="004C65E1" w:rsidP="004E3E6B">
      <w:pPr>
        <w:pBdr>
          <w:bottom w:val="single" w:sz="12" w:space="1" w:color="auto"/>
        </w:pBdr>
        <w:spacing w:line="240" w:lineRule="auto"/>
        <w:rPr>
          <w:rFonts w:asciiTheme="majorHAnsi" w:hAnsiTheme="majorHAnsi" w:cstheme="majorHAnsi"/>
          <w:sz w:val="24"/>
          <w:szCs w:val="24"/>
        </w:rPr>
      </w:pPr>
    </w:p>
    <w:p w14:paraId="75A405B2" w14:textId="77777777" w:rsidR="004C65E1" w:rsidRDefault="004C65E1" w:rsidP="004C65E1">
      <w:pPr>
        <w:spacing w:line="240" w:lineRule="auto"/>
        <w:ind w:right="270"/>
        <w:rPr>
          <w:rFonts w:asciiTheme="majorHAnsi" w:hAnsiTheme="majorHAnsi" w:cstheme="majorHAnsi"/>
          <w:color w:val="00000A"/>
          <w:sz w:val="24"/>
          <w:szCs w:val="24"/>
        </w:rPr>
      </w:pPr>
    </w:p>
    <w:p w14:paraId="08AD4C9C" w14:textId="375FA6DB" w:rsidR="004C65E1" w:rsidRDefault="004C65E1" w:rsidP="004C65E1">
      <w:pPr>
        <w:spacing w:line="240" w:lineRule="auto"/>
        <w:ind w:right="270"/>
        <w:rPr>
          <w:rFonts w:asciiTheme="majorHAnsi" w:hAnsiTheme="majorHAnsi" w:cstheme="majorHAnsi"/>
          <w:color w:val="00000A"/>
          <w:sz w:val="24"/>
          <w:szCs w:val="24"/>
        </w:rPr>
      </w:pPr>
      <w:r>
        <w:rPr>
          <w:rFonts w:asciiTheme="majorHAnsi" w:hAnsiTheme="majorHAnsi" w:cstheme="majorHAnsi"/>
          <w:color w:val="00000A"/>
          <w:sz w:val="24"/>
          <w:szCs w:val="24"/>
        </w:rPr>
        <w:t>OLD INTRO</w:t>
      </w:r>
    </w:p>
    <w:p w14:paraId="53D9D551" w14:textId="307B63B8" w:rsidR="004C65E1" w:rsidRDefault="004C65E1" w:rsidP="004C65E1">
      <w:pPr>
        <w:spacing w:line="240" w:lineRule="auto"/>
        <w:ind w:right="270"/>
        <w:rPr>
          <w:rFonts w:asciiTheme="majorHAnsi" w:hAnsiTheme="majorHAnsi" w:cstheme="majorHAnsi"/>
          <w:sz w:val="24"/>
          <w:szCs w:val="24"/>
        </w:rPr>
      </w:pPr>
      <w:commentRangeStart w:id="2"/>
      <w:r w:rsidRPr="00FD21E9">
        <w:rPr>
          <w:rFonts w:asciiTheme="majorHAnsi" w:hAnsiTheme="majorHAnsi" w:cstheme="majorHAnsi"/>
          <w:color w:val="00000A"/>
          <w:sz w:val="24"/>
          <w:szCs w:val="24"/>
        </w:rPr>
        <w:t>Rapid</w:t>
      </w:r>
      <w:commentRangeEnd w:id="2"/>
      <w:r>
        <w:rPr>
          <w:rStyle w:val="CommentReference"/>
        </w:rPr>
        <w:commentReference w:id="2"/>
      </w:r>
      <w:r w:rsidRPr="00FD21E9">
        <w:rPr>
          <w:rFonts w:asciiTheme="majorHAnsi" w:hAnsiTheme="majorHAnsi" w:cstheme="majorHAnsi"/>
          <w:color w:val="00000A"/>
          <w:sz w:val="24"/>
          <w:szCs w:val="24"/>
        </w:rPr>
        <w:t xml:space="preserve"> development of high-throughput sequencing technologies over the past few decades </w:t>
      </w:r>
      <w:r>
        <w:rPr>
          <w:rFonts w:asciiTheme="majorHAnsi" w:hAnsiTheme="majorHAnsi" w:cstheme="majorHAnsi"/>
          <w:color w:val="00000A"/>
          <w:sz w:val="24"/>
          <w:szCs w:val="24"/>
        </w:rPr>
        <w:t>has</w:t>
      </w:r>
      <w:r w:rsidRPr="00FD21E9">
        <w:rPr>
          <w:rFonts w:asciiTheme="majorHAnsi" w:hAnsiTheme="majorHAnsi" w:cstheme="majorHAnsi"/>
          <w:color w:val="00000A"/>
          <w:sz w:val="24"/>
          <w:szCs w:val="24"/>
        </w:rPr>
        <w:t xml:space="preserve"> led to an era of </w:t>
      </w:r>
      <w:r>
        <w:rPr>
          <w:rFonts w:asciiTheme="majorHAnsi" w:hAnsiTheme="majorHAnsi" w:cstheme="majorHAnsi"/>
          <w:color w:val="00000A"/>
          <w:sz w:val="24"/>
          <w:szCs w:val="24"/>
        </w:rPr>
        <w:t>genome-centric research through the ability to assemble high-quality chromosome-level reference genomes across the tree of life. These g</w:t>
      </w:r>
      <w:r w:rsidRPr="00FD21E9">
        <w:rPr>
          <w:rFonts w:asciiTheme="majorHAnsi" w:hAnsiTheme="majorHAnsi" w:cstheme="majorHAnsi"/>
          <w:color w:val="00000A"/>
          <w:sz w:val="24"/>
          <w:szCs w:val="24"/>
        </w:rPr>
        <w:t>enomic resources contribute to two broad categories: medicine</w:t>
      </w:r>
      <w:r>
        <w:rPr>
          <w:rFonts w:asciiTheme="majorHAnsi" w:hAnsiTheme="majorHAnsi" w:cstheme="majorHAnsi"/>
          <w:color w:val="00000A"/>
          <w:sz w:val="24"/>
          <w:szCs w:val="24"/>
        </w:rPr>
        <w:t xml:space="preserve"> development</w:t>
      </w:r>
      <w:r w:rsidRPr="00FD21E9">
        <w:rPr>
          <w:rFonts w:asciiTheme="majorHAnsi" w:hAnsiTheme="majorHAnsi" w:cstheme="majorHAnsi"/>
          <w:color w:val="00000A"/>
          <w:sz w:val="24"/>
          <w:szCs w:val="24"/>
        </w:rPr>
        <w:t xml:space="preserve"> and </w:t>
      </w:r>
      <w:r>
        <w:rPr>
          <w:rFonts w:asciiTheme="majorHAnsi" w:hAnsiTheme="majorHAnsi" w:cstheme="majorHAnsi"/>
          <w:color w:val="00000A"/>
          <w:sz w:val="24"/>
          <w:szCs w:val="24"/>
        </w:rPr>
        <w:t xml:space="preserve">the preservation of </w:t>
      </w:r>
      <w:r w:rsidRPr="00FD21E9">
        <w:rPr>
          <w:rFonts w:asciiTheme="majorHAnsi" w:hAnsiTheme="majorHAnsi" w:cstheme="majorHAnsi"/>
          <w:color w:val="00000A"/>
          <w:sz w:val="24"/>
          <w:szCs w:val="24"/>
        </w:rPr>
        <w:t xml:space="preserve">biodiversity. Medicine </w:t>
      </w:r>
      <w:r>
        <w:rPr>
          <w:rFonts w:asciiTheme="majorHAnsi" w:hAnsiTheme="majorHAnsi" w:cstheme="majorHAnsi"/>
          <w:color w:val="00000A"/>
          <w:sz w:val="24"/>
          <w:szCs w:val="24"/>
        </w:rPr>
        <w:t>leverages</w:t>
      </w:r>
      <w:r w:rsidRPr="00FD21E9">
        <w:rPr>
          <w:rFonts w:asciiTheme="majorHAnsi" w:hAnsiTheme="majorHAnsi" w:cstheme="majorHAnsi"/>
          <w:color w:val="00000A"/>
          <w:sz w:val="24"/>
          <w:szCs w:val="24"/>
        </w:rPr>
        <w:t xml:space="preserve"> </w:t>
      </w:r>
      <w:r>
        <w:rPr>
          <w:rFonts w:asciiTheme="majorHAnsi" w:hAnsiTheme="majorHAnsi" w:cstheme="majorHAnsi"/>
          <w:color w:val="00000A"/>
          <w:sz w:val="24"/>
          <w:szCs w:val="24"/>
        </w:rPr>
        <w:t xml:space="preserve">access to highly contiguous genomes </w:t>
      </w:r>
      <w:r w:rsidRPr="00FD21E9">
        <w:rPr>
          <w:rFonts w:asciiTheme="majorHAnsi" w:hAnsiTheme="majorHAnsi" w:cstheme="majorHAnsi"/>
          <w:color w:val="00000A"/>
          <w:sz w:val="24"/>
          <w:szCs w:val="24"/>
        </w:rPr>
        <w:t xml:space="preserve">using comparative </w:t>
      </w:r>
      <w:r w:rsidRPr="004B6F68">
        <w:rPr>
          <w:rFonts w:asciiTheme="majorHAnsi" w:hAnsiTheme="majorHAnsi" w:cstheme="majorHAnsi"/>
          <w:sz w:val="24"/>
          <w:szCs w:val="24"/>
        </w:rPr>
        <w:t>methods to identify conserved loci essential to life or different classes of organisms</w:t>
      </w:r>
      <w:r>
        <w:rPr>
          <w:rFonts w:asciiTheme="majorHAnsi" w:hAnsiTheme="majorHAnsi" w:cstheme="majorHAnsi"/>
          <w:sz w:val="24"/>
          <w:szCs w:val="24"/>
        </w:rPr>
        <w:t>, understanding individual effects of medicinal treatments,</w:t>
      </w:r>
      <w:r w:rsidRPr="004B6F68">
        <w:rPr>
          <w:rFonts w:asciiTheme="majorHAnsi" w:hAnsiTheme="majorHAnsi" w:cstheme="majorHAnsi"/>
          <w:sz w:val="24"/>
          <w:szCs w:val="24"/>
        </w:rPr>
        <w:t xml:space="preserve"> as well as identify genetic variants associated with disease, disease susceptibility and other phenotypic traits</w:t>
      </w:r>
      <w:r>
        <w:rPr>
          <w:rFonts w:asciiTheme="majorHAnsi" w:hAnsiTheme="majorHAnsi" w:cstheme="majorHAnsi"/>
          <w:sz w:val="24"/>
          <w:szCs w:val="24"/>
        </w:rPr>
        <w:t xml:space="preserve">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{"citationID":"5w9UMziP","properties":{"formattedCitation":"(Claussnitzer et al., 2020)","plainCitation":"(Claussnitzer et al., 2020)","noteIndex":0},"citationItems":[{"id":587,"uris":["http://zotero.org/users/local/3tku6QP0/items/9RLALRYB"],"itemData":{"id":587,"type":"article-journal","container-title":"Nature","DOI":"10.1038/s41586-019-1879-7","ISSN":"0028-0836, 1476-4687","issue":"7789","journalAbbreviation":"Nature","language":"en","page":"179-189","source":"DOI.org (Crossref)","title":"A brief history of human disease genetics","volume":"577","author":[{"family":"Claussnitzer","given":"Melina"},{"family":"Cho","given":"Judy H."},{"family":"Collins","given":"Rory"},{"family":"Cox","given":"Nancy J."},{"family":"Dermitzakis","given":"Emmanouil T."},{"family":"Hurles","given":"Matthew E."},{"family":"Kathiresan","given":"Sekar"},{"family":"Kenny","given":"Eimear E."},{"family":"Lindgren","given":"Cecilia M."},{"family":"MacArthur","given":"Daniel G."},{"family":"North","given":"Kathryn N."},{"family":"Plon","given":"Sharon E."},{"family":"Rehm","given":"Heidi L."},{"family":"Risch","given":"Neil"},{"family":"Rotimi","given":"Charles N."},{"family":"Shendure","given":"Jay"},{"family":"Soranzo","given":"Nicole"},{"family":"McCarthy","given":"Mark I."}],"issued":{"date-parts":[["2020",1,9]]}}}],"schema":"https://github.com/citation-style-language/schema/raw/master/csl-citation.json"} </w:instrText>
      </w:r>
      <w:r w:rsidRPr="004B6F68">
        <w:rPr>
          <w:rFonts w:asciiTheme="majorHAnsi" w:hAnsiTheme="majorHAnsi" w:cstheme="majorHAnsi"/>
          <w:sz w:val="24"/>
          <w:szCs w:val="24"/>
        </w:rPr>
        <w:fldChar w:fldCharType="separate"/>
      </w:r>
      <w:r w:rsidRPr="004B6F68">
        <w:rPr>
          <w:rFonts w:ascii="Calibri Light" w:hAnsiTheme="majorHAnsi" w:cs="Calibri Light"/>
          <w:sz w:val="24"/>
        </w:rPr>
        <w:t>(</w:t>
      </w:r>
      <w:proofErr w:type="spellStart"/>
      <w:r w:rsidRPr="004B6F68">
        <w:rPr>
          <w:rFonts w:ascii="Calibri Light" w:hAnsiTheme="majorHAnsi" w:cs="Calibri Light"/>
          <w:sz w:val="24"/>
        </w:rPr>
        <w:t>Claussnitzer</w:t>
      </w:r>
      <w:proofErr w:type="spellEnd"/>
      <w:r w:rsidRPr="004B6F68">
        <w:rPr>
          <w:rFonts w:ascii="Calibri Light" w:hAnsiTheme="majorHAnsi" w:cs="Calibri Light"/>
          <w:sz w:val="24"/>
        </w:rPr>
        <w:t xml:space="preserve"> et al., 2020)</w:t>
      </w:r>
      <w:r w:rsidRPr="004B6F68">
        <w:rPr>
          <w:rFonts w:asciiTheme="majorHAnsi" w:hAnsiTheme="majorHAnsi" w:cstheme="majorHAnsi"/>
          <w:sz w:val="24"/>
          <w:szCs w:val="24"/>
        </w:rPr>
        <w:fldChar w:fldCharType="end"/>
      </w:r>
      <w:r w:rsidRPr="004B6F68">
        <w:rPr>
          <w:rFonts w:asciiTheme="majorHAnsi" w:hAnsiTheme="majorHAnsi" w:cstheme="majorHAnsi"/>
          <w:sz w:val="24"/>
          <w:szCs w:val="24"/>
        </w:rPr>
        <w:t>.</w:t>
      </w:r>
      <w:r>
        <w:rPr>
          <w:rFonts w:asciiTheme="majorHAnsi" w:hAnsiTheme="majorHAnsi" w:cstheme="majorHAnsi"/>
          <w:sz w:val="24"/>
          <w:szCs w:val="24"/>
        </w:rPr>
        <w:t xml:space="preserve"> </w:t>
      </w:r>
      <w:r>
        <w:rPr>
          <w:rFonts w:asciiTheme="majorHAnsi" w:hAnsiTheme="majorHAnsi" w:cstheme="majorHAnsi"/>
          <w:color w:val="00000A"/>
          <w:sz w:val="24"/>
          <w:szCs w:val="24"/>
        </w:rPr>
        <w:t xml:space="preserve">For wild populations genetic diversity is related to the evolutionary capacity for adaptation to environmental </w:t>
      </w:r>
      <w:r w:rsidRPr="0011235A">
        <w:rPr>
          <w:rFonts w:asciiTheme="majorHAnsi" w:hAnsiTheme="majorHAnsi" w:cstheme="majorHAnsi"/>
          <w:color w:val="00000A"/>
          <w:sz w:val="24"/>
          <w:szCs w:val="24"/>
        </w:rPr>
        <w:t xml:space="preserve">change and is an essential element of biodiversity to which protections focus on preserving. Genomic resources </w:t>
      </w:r>
      <w:r w:rsidRPr="0011235A">
        <w:rPr>
          <w:rFonts w:asciiTheme="majorHAnsi" w:hAnsiTheme="majorHAnsi" w:cstheme="majorHAnsi"/>
          <w:sz w:val="24"/>
          <w:szCs w:val="24"/>
        </w:rPr>
        <w:t xml:space="preserve">allow for a broad investigation of genomic motifs in endangered animals </w:t>
      </w:r>
      <w:r w:rsidRPr="0011235A">
        <w:rPr>
          <w:rFonts w:asciiTheme="majorHAnsi" w:hAnsiTheme="majorHAnsi" w:cstheme="majorHAnsi"/>
          <w:sz w:val="24"/>
          <w:szCs w:val="24"/>
        </w:rPr>
        <w:fldChar w:fldCharType="begin"/>
      </w:r>
      <w:r w:rsidRPr="0011235A">
        <w:rPr>
          <w:rFonts w:asciiTheme="majorHAnsi" w:hAnsiTheme="majorHAnsi" w:cstheme="majorHAnsi"/>
          <w:sz w:val="24"/>
          <w:szCs w:val="24"/>
        </w:rPr>
        <w:instrText xml:space="preserve"> ADDIN ZOTERO_ITEM CSL_CITATION {"citationID":"JTaD3rFz","properties":{"formattedCitation":"(Zoonomia Consortium, 2020)","plainCitation":"(Zoonomia Consortium, 2020)","noteIndex":0},"citationItems":[{"id":589,"uris":["http://zotero.org/users/local/3tku6QP0/items/PRDYXQX3"],"itemData":{"id":589,"type":"article-journal","abstract":"Abstract\n            The Zoonomia Project is investigating the genomics of shared and specialized traits in eutherian mammals. Here we provide genome assemblies for 131 species, of which all but 9 are previously uncharacterized, and describe a whole-genome alignment of 240 species of considerable phylogenetic diversity, comprising representatives from more than 80% of mammalian families. We find that regions of reduced genetic diversity are more abundant in species at a high risk of extinction, discern signals of evolutionary selection at high resolution and provide insights from individual reference genomes. By prioritizing phylogenetic diversity and making data available quickly and without restriction, the Zoonomia Project aims to support biological discovery, medical research and the conservation of biodiversity.","container-title":"Nature","DOI":"10.1038/s41586-020-2876-6","ISSN":"0028-0836, 1476-4687","issue":"7833","journalAbbreviation":"Nature","language":"en","page":"240-245","source":"DOI.org (Crossref)","title":"A comparative genomics multitool for scientific discovery and conservation","volume":"587","author":[{"literal":"Zoonomia Consortium"}],"issued":{"date-parts":[["2020",11,12]]}}}],"schema":"https://github.com/citation-style-language/schema/raw/master/csl-citation.json"} </w:instrText>
      </w:r>
      <w:r w:rsidRPr="0011235A">
        <w:rPr>
          <w:rFonts w:asciiTheme="majorHAnsi" w:hAnsiTheme="majorHAnsi" w:cstheme="majorHAnsi"/>
          <w:sz w:val="24"/>
          <w:szCs w:val="24"/>
        </w:rPr>
        <w:fldChar w:fldCharType="separate"/>
      </w:r>
      <w:r w:rsidRPr="0011235A">
        <w:rPr>
          <w:rFonts w:asciiTheme="majorHAnsi" w:hAnsiTheme="majorHAnsi" w:cstheme="majorHAnsi"/>
          <w:sz w:val="24"/>
        </w:rPr>
        <w:t>(</w:t>
      </w:r>
      <w:proofErr w:type="spellStart"/>
      <w:r w:rsidRPr="0011235A">
        <w:rPr>
          <w:rFonts w:asciiTheme="majorHAnsi" w:hAnsiTheme="majorHAnsi" w:cstheme="majorHAnsi"/>
          <w:sz w:val="24"/>
        </w:rPr>
        <w:t>Zoonomia</w:t>
      </w:r>
      <w:proofErr w:type="spellEnd"/>
      <w:r w:rsidRPr="0011235A">
        <w:rPr>
          <w:rFonts w:asciiTheme="majorHAnsi" w:hAnsiTheme="majorHAnsi" w:cstheme="majorHAnsi"/>
          <w:sz w:val="24"/>
        </w:rPr>
        <w:t xml:space="preserve"> Consortium, 2020)</w:t>
      </w:r>
      <w:r w:rsidRPr="0011235A">
        <w:rPr>
          <w:rFonts w:asciiTheme="majorHAnsi" w:hAnsiTheme="majorHAnsi" w:cstheme="majorHAnsi"/>
          <w:sz w:val="24"/>
          <w:szCs w:val="24"/>
        </w:rPr>
        <w:fldChar w:fldCharType="end"/>
      </w:r>
      <w:r w:rsidRPr="0011235A">
        <w:rPr>
          <w:rFonts w:asciiTheme="majorHAnsi" w:hAnsiTheme="majorHAnsi" w:cstheme="majorHAnsi"/>
          <w:sz w:val="24"/>
          <w:szCs w:val="24"/>
        </w:rPr>
        <w:t xml:space="preserve">, the identification of physical threats to endangered species </w:t>
      </w:r>
      <w:r w:rsidRPr="0011235A">
        <w:rPr>
          <w:rFonts w:asciiTheme="majorHAnsi" w:hAnsiTheme="majorHAnsi" w:cstheme="majorHAnsi"/>
          <w:sz w:val="24"/>
          <w:szCs w:val="24"/>
        </w:rPr>
        <w:fldChar w:fldCharType="begin"/>
      </w:r>
      <w:r w:rsidRPr="0011235A">
        <w:rPr>
          <w:rFonts w:asciiTheme="majorHAnsi" w:hAnsiTheme="majorHAnsi" w:cstheme="majorHAnsi"/>
          <w:sz w:val="24"/>
          <w:szCs w:val="24"/>
        </w:rPr>
        <w:instrText xml:space="preserve"> ADDIN ZOTERO_ITEM CSL_CITATION {"citationID":"CU5vBqNs","properties":{"formattedCitation":"(Wasser et al., 2015; Wright et al., 2015)","plainCitation":"(Wasser et al., 2015; Wright et al., 2015)","noteIndex":0},"citationItems":[{"id":588,"uris":["http://zotero.org/users/local/3tku6QP0/items/M3RGS7U9"],"itemData":{"id":588,"type":"article-journal","abstract":"Focused on protecting a few\n            \n              The illegal ivory trade threatens the persistence of stable wild elephant populations. The underground and covert nature of poaching makes it difficult to police. Wasser\n              et al.\n              used genetic tools to identify the origins of elephant tusks seized during transit (see the Perspective by Hoelzel). The majority of source animals were part of just a few wild elephant populations in Africa—and just two areas since 2006. Increased focus on enforcement in a few such areas could help interrupt poaching activities and restore wild elephant populations.\n            \n            \n              Science\n              , this issue p.\n              84\n              ; see also p.\n              34\n            \n          , \n            \n              Tracing the origins of elephant ivory pinpoints two major poaching areas.\n              \n                [Also see Perspective by\n                Hoelzel\n                ]\n              \n            \n          , \n            Poaching of elephants is now occurring at rates that threaten African populations with extinction. Identifying the number and location of Africa’s major poaching hotspots may assist efforts to end poaching and facilitate recovery of elephant populations. We genetically assign origin to 28 large ivory seizures (≥0.5 metric tons) made between 1996 and 2014, also testing assignment accuracy. Results suggest that the major poaching hotspots in Africa may be currently concentrated in as few as two areas. Increasing law enforcement in these two hotspots could help curtail future elephant losses across Africa and disrupt this organized transnational crime.","container-title":"Science","DOI":"10.1126/science.aaa2457","ISSN":"0036-8075, 1095-9203","issue":"6243","journalAbbreviation":"Science","language":"en","page":"84-87","source":"DOI.org (Crossref)","title":"Genetic assignment of large seizures of elephant ivory reveals Africa’s major poaching hotspots","volume":"349","author":[{"family":"Wasser","given":"S. K."},{"family":"Brown","given":"L."},{"family":"Mailand","given":"C."},{"family":"Mondol","given":"S."},{"family":"Clark","given":"W."},{"family":"Laurie","given":"C."},{"family":"Weir","given":"B. S."}],"issued":{"date-parts":[["2015",7,3]]}}},{"id":591,"uris":["http://zotero.org/users/local/3tku6QP0/items/9RMQLC7W"],"itemData":{"id":591,"type":"article-journal","abstract":"Background: The Tasmanian devil (Sarcophilus harrisii) has undergone a recent, drastic population decline due to the highly contagious devil facial tumor disease. The tumor is one of only two naturally occurring transmissible cancers and is almost inevitably fatal. In 2006 a disease-free insurance population was established to ensure that the Tasmanian devil is protected from extinction. The insurance program is dependent upon preserving as much wild genetic diversity as possible to maximize the success of subsequent reintroductions to the wild. Accurate genotypic data is vital to the success of the program to ensure that loss of genetic diversity does not occur in captivity. Until recently, microsatellite markers have been used to study devil population genetics, however as genetic diversity is low in the devil and potentially decreasing in the captive population, a more sensitive genotyping assay is required.\nMethods: Utilising the devil reference genome and whole genome re-sequencing data, we have identified polymorphic regions for use in a custom genotyping assay. These regions were amplified using PCR and sequenced on the Illumina MiSeq platform to refine a set a markers to genotype the Tasmanian devil insurance population.\nResults: We have developed a set of single nucleotide polymorphic (SNP) markers, assayed by amplicon sequencing, that provide a high-throughput method for monitoring genetic diversity and assessing familial relationships among devils. To date we have used a total of 267 unique SNPs within both putatively neutral and functional loci to genotype 305 individuals in the Tasmanian devil insurance population. We have used these data to assess genetic diversity in the population as well as resolve the parentage of 21 offspring.\nConclusions: Our molecular data has been incorporated with studbook management practices to provide more accurate pedigree information and to inform breeding recommendations. The assay will continue to be used to monitor the genetic diversity of the insurance population of Tasmanian devils with the aim of reducing inbreeding and maximizing success of reintroductions to the wild.","container-title":"BMC Genomics","DOI":"10.1186/s12864-015-2020-4","ISSN":"1471-2164","issue":"1","journalAbbreviation":"BMC Genomics","language":"en","page":"791","source":"DOI.org (Crossref)","title":"Development of a SNP-based assay for measuring genetic diversity in the Tasmanian devil insurance population","volume":"16","author":[{"family":"Wright","given":"Belinda"},{"family":"Morris","given":"Katrina"},{"family":"Grueber","given":"Catherine E."},{"family":"Willet","given":"Cali E."},{"family":"Gooley","given":"Rebecca"},{"family":"Hogg","given":"Carolyn J."},{"family":"O’Meally","given":"Denis"},{"family":"Hamede","given":"Rodrigo"},{"family":"Jones","given":"Menna"},{"family":"Wade","given":"Claire"},{"family":"Belov","given":"Katherine"}],"issued":{"date-parts":[["2015",12]]}}}],"schema":"https://github.com/citation-style-language/schema/raw/master/csl-citation.json"} </w:instrText>
      </w:r>
      <w:r w:rsidRPr="0011235A">
        <w:rPr>
          <w:rFonts w:asciiTheme="majorHAnsi" w:hAnsiTheme="majorHAnsi" w:cstheme="majorHAnsi"/>
          <w:sz w:val="24"/>
          <w:szCs w:val="24"/>
        </w:rPr>
        <w:fldChar w:fldCharType="separate"/>
      </w:r>
      <w:r w:rsidRPr="0011235A">
        <w:rPr>
          <w:rFonts w:asciiTheme="majorHAnsi" w:hAnsiTheme="majorHAnsi" w:cstheme="majorHAnsi"/>
          <w:sz w:val="24"/>
        </w:rPr>
        <w:t>(Wasser et al., 2015; Wright et al., 2015)</w:t>
      </w:r>
      <w:r w:rsidRPr="0011235A">
        <w:rPr>
          <w:rFonts w:asciiTheme="majorHAnsi" w:hAnsiTheme="majorHAnsi" w:cstheme="majorHAnsi"/>
          <w:sz w:val="24"/>
          <w:szCs w:val="24"/>
        </w:rPr>
        <w:fldChar w:fldCharType="end"/>
      </w:r>
      <w:r w:rsidRPr="0011235A">
        <w:rPr>
          <w:rFonts w:asciiTheme="majorHAnsi" w:hAnsiTheme="majorHAnsi" w:cstheme="majorHAnsi"/>
          <w:sz w:val="24"/>
          <w:szCs w:val="24"/>
        </w:rPr>
        <w:t xml:space="preserve"> and identification of vulnerable populations susceptible to increasingly variable climatic conditions (TKT INSERT </w:t>
      </w:r>
      <w:r w:rsidRPr="0011235A">
        <w:rPr>
          <w:rFonts w:asciiTheme="majorHAnsi" w:hAnsiTheme="majorHAnsi" w:cstheme="majorHAnsi"/>
          <w:sz w:val="24"/>
          <w:szCs w:val="24"/>
        </w:rPr>
        <w:lastRenderedPageBreak/>
        <w:t>RACHEL BAY PAPER). However, genomic</w:t>
      </w:r>
      <w:r w:rsidRPr="004B6F68">
        <w:rPr>
          <w:rFonts w:asciiTheme="majorHAnsi" w:hAnsiTheme="majorHAnsi" w:cstheme="majorHAnsi"/>
          <w:sz w:val="24"/>
          <w:szCs w:val="24"/>
        </w:rPr>
        <w:t xml:space="preserve"> studies involving reference genomes are limited by the completeness of the assembled resource. </w:t>
      </w:r>
    </w:p>
    <w:p w14:paraId="66D9605C" w14:textId="77777777" w:rsidR="004C65E1" w:rsidRPr="005B7C80" w:rsidRDefault="004C65E1" w:rsidP="004C65E1">
      <w:pPr>
        <w:spacing w:line="240" w:lineRule="auto"/>
        <w:ind w:right="270"/>
        <w:rPr>
          <w:rFonts w:asciiTheme="majorHAnsi" w:hAnsiTheme="majorHAnsi" w:cstheme="majorHAnsi"/>
          <w:sz w:val="24"/>
          <w:szCs w:val="24"/>
        </w:rPr>
      </w:pPr>
      <w:r>
        <w:rPr>
          <w:rFonts w:asciiTheme="majorHAnsi" w:hAnsiTheme="majorHAnsi" w:cstheme="majorHAnsi"/>
          <w:sz w:val="24"/>
          <w:szCs w:val="24"/>
        </w:rPr>
        <w:t xml:space="preserve">Hybrid genome assembly uses multiple sequencing technologies to assemble genomes through capitalizing on the various strengths of each technology. This combination of creating one assembly from multiple sequencing technologies has led to more contiguous and accurate assemblies [TKTK], and as a result has become the gold standard for </w:t>
      </w:r>
      <w:r>
        <w:rPr>
          <w:rFonts w:asciiTheme="majorHAnsi" w:hAnsiTheme="majorHAnsi" w:cstheme="majorHAnsi"/>
          <w:i/>
          <w:iCs/>
          <w:sz w:val="24"/>
          <w:szCs w:val="24"/>
        </w:rPr>
        <w:t xml:space="preserve">de novo </w:t>
      </w:r>
      <w:r>
        <w:rPr>
          <w:rFonts w:asciiTheme="majorHAnsi" w:hAnsiTheme="majorHAnsi" w:cstheme="majorHAnsi"/>
          <w:sz w:val="24"/>
          <w:szCs w:val="24"/>
        </w:rPr>
        <w:t xml:space="preserve">genome assembly. Hybrid assemblies may use any combination of long-read sequencing, short-read sequencing, optical mapping, and interaction mapping. </w:t>
      </w:r>
      <w:commentRangeStart w:id="3"/>
      <w:r w:rsidRPr="004B6F68">
        <w:rPr>
          <w:rFonts w:asciiTheme="majorHAnsi" w:hAnsiTheme="majorHAnsi" w:cstheme="majorHAnsi"/>
          <w:sz w:val="24"/>
          <w:szCs w:val="24"/>
        </w:rPr>
        <w:t xml:space="preserve">Each technology type </w:t>
      </w:r>
      <w:r>
        <w:rPr>
          <w:rFonts w:asciiTheme="majorHAnsi" w:hAnsiTheme="majorHAnsi" w:cstheme="majorHAnsi"/>
          <w:sz w:val="24"/>
          <w:szCs w:val="24"/>
        </w:rPr>
        <w:t>has</w:t>
      </w:r>
      <w:r w:rsidRPr="004B6F68">
        <w:rPr>
          <w:rFonts w:asciiTheme="majorHAnsi" w:hAnsiTheme="majorHAnsi" w:cstheme="majorHAnsi"/>
          <w:sz w:val="24"/>
          <w:szCs w:val="24"/>
        </w:rPr>
        <w:t xml:space="preserve"> different biases, errors, </w:t>
      </w:r>
      <w:r>
        <w:rPr>
          <w:rFonts w:asciiTheme="majorHAnsi" w:hAnsiTheme="majorHAnsi" w:cstheme="majorHAnsi"/>
          <w:sz w:val="24"/>
          <w:szCs w:val="24"/>
        </w:rPr>
        <w:t xml:space="preserve">costs, </w:t>
      </w:r>
      <w:r w:rsidRPr="004B6F68">
        <w:rPr>
          <w:rFonts w:asciiTheme="majorHAnsi" w:hAnsiTheme="majorHAnsi" w:cstheme="majorHAnsi"/>
          <w:sz w:val="24"/>
          <w:szCs w:val="24"/>
        </w:rPr>
        <w:t xml:space="preserve">and </w:t>
      </w:r>
      <w:r w:rsidRPr="00FD21E9">
        <w:rPr>
          <w:rFonts w:asciiTheme="majorHAnsi" w:hAnsiTheme="majorHAnsi" w:cstheme="majorHAnsi"/>
          <w:color w:val="00000A"/>
          <w:sz w:val="24"/>
          <w:szCs w:val="24"/>
        </w:rPr>
        <w:t>uses. In general, hybrid assemblies use long error prone reads to generate scaffolds, correct base calling errors with short reads which have high accuracy but cannot span highly repetitive sequences, and anchor scaffolds into chromosomes using interaction mapping which shows physical associations to span and link proximal scaffolds</w:t>
      </w:r>
      <w:commentRangeEnd w:id="3"/>
      <w:r>
        <w:rPr>
          <w:rStyle w:val="CommentReference"/>
        </w:rPr>
        <w:commentReference w:id="3"/>
      </w:r>
      <w:r w:rsidRPr="00FD21E9">
        <w:rPr>
          <w:rFonts w:asciiTheme="majorHAnsi" w:hAnsiTheme="majorHAnsi" w:cstheme="majorHAnsi"/>
          <w:color w:val="00000A"/>
          <w:sz w:val="24"/>
          <w:szCs w:val="24"/>
        </w:rPr>
        <w:t>.</w:t>
      </w:r>
      <w:r>
        <w:rPr>
          <w:rFonts w:asciiTheme="majorHAnsi" w:hAnsiTheme="majorHAnsi" w:cstheme="majorHAnsi"/>
          <w:color w:val="00000A"/>
          <w:sz w:val="24"/>
          <w:szCs w:val="24"/>
        </w:rPr>
        <w:t xml:space="preserve"> Biases, </w:t>
      </w:r>
      <w:proofErr w:type="gramStart"/>
      <w:r>
        <w:rPr>
          <w:rFonts w:asciiTheme="majorHAnsi" w:hAnsiTheme="majorHAnsi" w:cstheme="majorHAnsi"/>
          <w:color w:val="00000A"/>
          <w:sz w:val="24"/>
          <w:szCs w:val="24"/>
        </w:rPr>
        <w:t>errors</w:t>
      </w:r>
      <w:proofErr w:type="gramEnd"/>
      <w:r>
        <w:rPr>
          <w:rFonts w:asciiTheme="majorHAnsi" w:hAnsiTheme="majorHAnsi" w:cstheme="majorHAnsi"/>
          <w:color w:val="00000A"/>
          <w:sz w:val="24"/>
          <w:szCs w:val="24"/>
        </w:rPr>
        <w:t xml:space="preserve"> and pricing are consistently being minimized as sequencing research continues to generate more, longer, and increasingly accurate reads from a single sequencing machine. </w:t>
      </w:r>
    </w:p>
    <w:p w14:paraId="3C52A4C1" w14:textId="77777777" w:rsidR="004C65E1" w:rsidRPr="004B6F68" w:rsidRDefault="004C65E1" w:rsidP="004C65E1">
      <w:pPr>
        <w:spacing w:line="240" w:lineRule="auto"/>
        <w:ind w:right="270"/>
        <w:rPr>
          <w:rFonts w:asciiTheme="majorHAnsi" w:hAnsiTheme="majorHAnsi" w:cstheme="majorHAnsi"/>
          <w:sz w:val="24"/>
          <w:szCs w:val="24"/>
        </w:rPr>
      </w:pPr>
      <w:r>
        <w:rPr>
          <w:rFonts w:asciiTheme="majorHAnsi" w:hAnsiTheme="majorHAnsi" w:cstheme="majorHAnsi"/>
          <w:sz w:val="24"/>
          <w:szCs w:val="24"/>
        </w:rPr>
        <w:t>N</w:t>
      </w:r>
      <w:r w:rsidRPr="004B6F68">
        <w:rPr>
          <w:rFonts w:asciiTheme="majorHAnsi" w:hAnsiTheme="majorHAnsi" w:cstheme="majorHAnsi"/>
          <w:sz w:val="24"/>
          <w:szCs w:val="24"/>
        </w:rPr>
        <w:t xml:space="preserve">ext generation sequencing (NGS) and third generation sequencing (TGS) technologies have </w:t>
      </w:r>
      <w:r>
        <w:rPr>
          <w:rFonts w:asciiTheme="majorHAnsi" w:hAnsiTheme="majorHAnsi" w:cstheme="majorHAnsi"/>
          <w:sz w:val="24"/>
          <w:szCs w:val="24"/>
        </w:rPr>
        <w:t>made it</w:t>
      </w:r>
      <w:r w:rsidRPr="004B6F68">
        <w:rPr>
          <w:rFonts w:asciiTheme="majorHAnsi" w:hAnsiTheme="majorHAnsi" w:cstheme="majorHAnsi"/>
          <w:sz w:val="24"/>
          <w:szCs w:val="24"/>
        </w:rPr>
        <w:t xml:space="preserve"> relatively easy to generate low cost, high-throughput sequencing data. Of the numerous new methods to </w:t>
      </w:r>
      <w:r>
        <w:rPr>
          <w:rFonts w:asciiTheme="majorHAnsi" w:hAnsiTheme="majorHAnsi" w:cstheme="majorHAnsi"/>
          <w:sz w:val="24"/>
          <w:szCs w:val="24"/>
        </w:rPr>
        <w:t>obtain</w:t>
      </w:r>
      <w:r w:rsidRPr="004B6F68">
        <w:rPr>
          <w:rFonts w:asciiTheme="majorHAnsi" w:hAnsiTheme="majorHAnsi" w:cstheme="majorHAnsi"/>
          <w:sz w:val="24"/>
          <w:szCs w:val="24"/>
        </w:rPr>
        <w:t xml:space="preserve"> sequencing data for assembly, long-read sequencing, short-read sequencing, and interaction mapping have transformed the quality and contiguity of genome assemblies today. Current </w:t>
      </w:r>
      <w:r w:rsidRPr="004B6F68">
        <w:rPr>
          <w:rFonts w:asciiTheme="majorHAnsi" w:hAnsiTheme="majorHAnsi" w:cstheme="majorHAnsi"/>
          <w:i/>
          <w:iCs/>
          <w:sz w:val="24"/>
          <w:szCs w:val="24"/>
        </w:rPr>
        <w:t>de novo</w:t>
      </w:r>
      <w:r w:rsidRPr="004B6F68">
        <w:rPr>
          <w:rFonts w:asciiTheme="majorHAnsi" w:hAnsiTheme="majorHAnsi" w:cstheme="majorHAnsi"/>
          <w:sz w:val="24"/>
          <w:szCs w:val="24"/>
        </w:rPr>
        <w:t xml:space="preserve"> genomes</w:t>
      </w:r>
      <w:r>
        <w:rPr>
          <w:rFonts w:asciiTheme="majorHAnsi" w:hAnsiTheme="majorHAnsi" w:cstheme="majorHAnsi"/>
          <w:sz w:val="24"/>
          <w:szCs w:val="24"/>
        </w:rPr>
        <w:t xml:space="preserve"> require collaboration between relatively few scientists and</w:t>
      </w:r>
      <w:r w:rsidRPr="004B6F68">
        <w:rPr>
          <w:rFonts w:asciiTheme="majorHAnsi" w:hAnsiTheme="majorHAnsi" w:cstheme="majorHAnsi"/>
          <w:sz w:val="24"/>
          <w:szCs w:val="24"/>
        </w:rPr>
        <w:t xml:space="preserve"> reach completeness standards which took decades for the first human genome to reach at a fraction of the cost and by</w:t>
      </w:r>
      <w:r>
        <w:rPr>
          <w:rFonts w:asciiTheme="majorHAnsi" w:hAnsiTheme="majorHAnsi" w:cstheme="majorHAnsi"/>
          <w:sz w:val="24"/>
          <w:szCs w:val="24"/>
        </w:rPr>
        <w:t xml:space="preserve"> the collaboration</w:t>
      </w:r>
      <w:r w:rsidRPr="004B6F68">
        <w:rPr>
          <w:rFonts w:asciiTheme="majorHAnsi" w:hAnsiTheme="majorHAnsi" w:cstheme="majorHAnsi"/>
          <w:sz w:val="24"/>
          <w:szCs w:val="24"/>
        </w:rPr>
        <w:t xml:space="preserve"> relatively few individuals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{"citationID":"GMjmbx8c","properties":{"formattedCitation":"(International Human Genome Sequencing Consortium et al., 2001)","plainCitation":"(International Human Genome Sequencing Consortium et al., 2001)","noteIndex":0},"citationItems":[{"id":593,"uris":["http://zotero.org/users/local/3tku6QP0/items/9MIGJWAT"],"itemData":{"id":593,"type":"article-journal","container-title":"Nature","DOI":"10.1038/35057062","ISSN":"0028-0836, 1476-4687","issue":"6822","journalAbbreviation":"Nature","language":"en","page":"860-921","source":"DOI.org (Crossref)","title":"Initial sequencing and analysis of the human genome","volume":"409","author":[{"literal":"International Human Genome Sequencing Consortium"},{"literal":"Whitehead Institute for Biomedical Research, Center for Genome Research:"},{"family":"Lander","given":"Eric S."},{"family":"Linton","given":"Lauren M."},{"family":"Birren","given":"Bruce"},{"family":"Nusbaum","given":"Chad"},{"family":"Zody","given":"Michael C."},{"family":"Baldwin","given":"Jennifer"},{"family":"Devon","given":"Keri"},{"family":"Dewar","given":"Ken"},{"family":"Doyle","given":"Michael"},{"family":"FitzHugh","given":"William"},{"family":"Funke","given":"Roel"},{"family":"Gage","given":"Diane"},{"family":"Harris","given":"Katrina"},{"family":"Heaford","given":"Andrew"},{"family":"Howland","given":"John"},{"family":"Kann","given":"Lisa"},{"family":"Lehoczky","given":"Jessica"},{"family":"LeVine","given":"Rosie"},{"family":"McEwan","given":"Paul"},{"family":"McKernan","given":"Kevin"},{"family":"Meldrim","given":"James"},{"family":"Mesirov","given":"Jill P."},{"family":"Miranda","given":"Cher"},{"family":"Morris","given":"William"},{"family":"Naylor","given":"Jerome"},{"family":"Raymond","given":"Christina"},{"family":"Rosetti","given":"Mark"},{"family":"Santos","given":"Ralph"},{"family":"Sheridan","given":"Andrew"},{"family":"Sougnez","given":"Carrie"},{"family":"Stange-Thomann","given":"Nicole"},{"family":"Stojanovic","given":"Nikola"},{"family":"Subramanian","given":"Aravind"},{"family":"Wyman","given":"Dudley"},{"literal":"The Sanger Centre:"},{"family":"Rogers","given":"Jane"},{"family":"Sulston","given":"John"},{"family":"Ainscough","given":"Rachael"},{"family":"Beck","given":"Stephan"},{"family":"Bentley","given":"David"},{"family":"Burton","given":"John"},{"family":"Clee","given":"Christopher"},{"family":"Carter","given":"Nigel"},{"family":"Coulson","given":"Alan"},{"family":"Deadman","given":"Rebecca"},{"family":"Deloukas","given":"Panos"},{"family":"Dunham","given":"Andrew"},{"family":"Dunham","given":"Ian"},{"family":"Durbin","given":"Richard"},{"family":"French","given":"Lisa"},{"family":"Grafham","given":"Darren"},{"family":"Gregory","given":"Simon"},{"family":"Hubbard","given":"Tim"},{"family":"Humphray","given":"Sean"},{"family":"Hunt","given":"Adrienne"},{"family":"Jones","given":"Matthew"},{"family":"Lloyd","given":"Christine"},{"family":"McMurray","given":"Amanda"},{"family":"Matthews","given":"Lucy"},{"family":"Mercer","given":"Simon"},{"family":"Milne","given":"Sarah"},{"family":"Mullikin","given":"James C."},{"family":"Mungall","given":"Andrew"},{"family":"Plumb","given":"Robert"},{"family":"Ross","given":"Mark"},{"family":"Shownkeen","given":"Ratna"},{"family":"Sims","given":"Sarah"},{"literal":"Washington University Genome Sequencing Center"},{"family":"Waterston","given":"Robert H."},{"family":"Wilson","given":"Richard K."},{"family":"Hillier","given":"LaDeana W."},{"family":"McPherson","given":"John D."},{"family":"Marra","given":"Marco A."},{"family":"Mardis","given":"Elaine R."},{"family":"Fulton","given":"Lucinda A."},{"family":"Chinwalla","given":"Asif T."},{"family":"Pepin","given":"Kymberlie H."},{"family":"Gish","given":"Warren R."},{"family":"Chissoe","given":"Stephanie L."},{"family":"Wendl","given":"Michael C."},{"family":"Delehaunty","given":"Kim D."},{"family":"Miner","given":"Tracie L."},{"family":"Delehaunty","given":"Andrew"},{"family":"Kramer","given":"Jason B."},{"family":"Cook","given":"Lisa L."},{"family":"Fulton","given":"Robert S."},{"family":"Johnson","given":"Douglas L."},{"family":"Minx","given":"Patrick J."},{"family":"Clifton","given":"Sandra W."},{"literal":"US DOE Joint Genome Institute:"},{"family":"Hawkins","given":"Trevor"},{"family":"Branscomb","given":"Elbert"},{"family":"Predki","given":"Paul"},{"family":"Richardson","given":"Paul"},{"family":"Wenning","given":"Sarah"},{"family":"Slezak","given":"Tom"},{"family":"Doggett","given":"Norman"},{"family":"Cheng","given":"Jan-Fang"},{"family":"Olsen","given":"Anne"},{"family":"Lucas","given":"Susan"},{"family":"Elkin","given":"Christopher"},{"family":"Uberbacher","given":"Edward"},{"family":"Frazier","given":"Marvin"},{"literal":"Baylor College of Medicine Human Genome Sequencing Center:"},{"family":"Gibbs","given":"Richard A."},{"family":"Muzny","given":"Donna M."},{"family":"Scherer","given":"Steven E."},{"family":"Bouck","given":"John B."},{"family":"Sodergren","given":"Erica J."},{"family":"Worley","given":"Kim C."},{"family":"Rives","given":"Catherine M."},{"family":"Gorrell","given":"James H."},{"family":"Metzker","given":"Michael L."},{"family":"Naylor","given":"Susan L."},{"family":"Kucherlapati","given":"Raju S."},{"family":"Nelson","given":"David L."},{"family":"Weinstock","given":"George M."},{"literal":"RIKEN Genomic Sciences Center:"},{"family":"Sakaki","given":"Yoshiyuki"},{"family":"Fujiyama","given":"Asao"},{"family":"Hattori","given":"Masahira"},{"family":"Yada","given":"Tetsushi"},{"family":"Toyoda","given":"Atsushi"},{"family":"Itoh","given":"Takehiko"},{"family":"Kawagoe","given":"Chiharu"},{"family":"Watanabe","given":"Hidemi"},{"family":"Totoki","given":"Yasushi"},{"family":"Taylor","given":"Todd"},{"literal":"Genoscope and CNRS UMR-8030:"},{"family":"Weissenbach","given":"Jean"},{"family":"Heilig","given":"Roland"},{"family":"Saurin","given":"William"},{"family":"Artiguenave","given":"Francois"},{"family":"Brottier","given":"Philippe"},{"family":"Bruls","given":"Thomas"},{"family":"Pelletier","given":"Eric"},{"family":"Robert","given":"Catherine"},{"family":"Wincker","given":"Patrick"},{"literal":"Department of Genome Analysis, Institute of Molecular Biotechnology:"},{"family":"Rosenthal","given":"André"},{"family":"Platzer","given":"Matthias"},{"family":"Nyakatura","given":"Gerald"},{"family":"Taudien","given":"Stefan"},{"family":"Rump","given":"Andreas"},{"literal":"GTC Sequencing Center:"},{"family":"Smith","given":"Douglas R."},{"family":"Doucette-Stamm","given":"Lynn"},{"family":"Rubenfield","given":"Marc"},{"family":"Weinstock","given":"Keith"},{"family":"Lee","given":"Hong Mei"},{"family":"Dubois","given":"JoAnn"},{"literal":"Beijing Genomics Institute/Human Genome Center:"},{"family":"Yang","given":"Huanming"},{"family":"Yu","given":"Jun"},{"family":"Wang","given":"Jian"},{"family":"Huang","given":"Guyang"},{"family":"Gu","given":"Jun"},{"literal":"Multimegabase Sequencing Center, The Institute for Systems Biology:"},{"family":"Hood","given":"Leroy"},{"family":"Rowen","given":"Lee"},{"family":"Madan","given":"Anup"},{"family":"Qin","given":"Shizen"},{"literal":"Stanford Genome Technology Center:"},{"family":"Davis","given":"Ronald W."},{"family":"Federspiel","given":"Nancy A."},{"family":"Abola","given":"A. Pia"},{"family":"Proctor","given":"Michael J."},{"literal":"University of Oklahoma's Advanced Center for Genome Technology:"},{"family":"Roe","given":"Bruce A."},{"family":"Chen","given":"Feng"},{"family":"Pan","given":"Huaqin"},{"literal":"Max Planck Institute for Molecular Genetics:"},{"family":"Ramser","given":"Juliane"},{"family":"Lehrach","given":"Hans"},{"family":"Reinhardt","given":"Richard"},{"literal":"Cold Spring Harbor Laboratory, Lita Annenberg Hazen Genome Center:"},{"family":"McCombie","given":"W. Richard"},{"family":"Bastide","given":"Melissa","non-dropping-particle":"de la"},{"family":"Dedhia","given":"Neilay"},{"literal":"GBF—German Research Centre for Biotechnology:"},{"family":"Blöcker","given":"Helmut"},{"family":"Hornischer","given":"Klaus"},{"family":"Nordsiek","given":"Gabriele"},{"literal":"*Genome Analysis Group (listed in alphabetical order, also includes individuals listed under other headings):"},{"family":"Agarwala","given":"Richa"},{"family":"Aravind","given":"L."},{"family":"Bailey","given":"Jeffrey A."},{"family":"Bateman","given":"Alex"},{"family":"Batzoglou","given":"Serafim"},{"family":"Birney","given":"Ewan"},{"family":"Bork","given":"Peer"},{"family":"Brown","given":"Daniel G."},{"family":"Burge","given":"Christopher B."},{"family":"Cerutti","given":"Lorenzo"},{"family":"Chen","given":"Hsiu-Chuan"},{"family":"Church","given":"Deanna"},{"family":"Clamp","given":"Michele"},{"family":"Copley","given":"Richard R."},{"family":"Doerks","given":"Tobias"},{"family":"Eddy","given":"Sean R."},{"family":"Eichler","given":"Evan E."},{"family":"Furey","given":"Terrence S."},{"family":"Galagan","given":"James"},{"family":"Gilbert","given":"James G. R."},{"family":"Harmon","given":"Cyrus"},{"family":"Hayashizaki","given":"Yoshihide"},{"family":"Haussler","given":"David"},{"family":"Hermjakob","given":"Henning"},{"family":"Hokamp","given":"Karsten"},{"family":"Jang","given":"Wonhee"},{"family":"Johnson","given":"L. Steven"},{"family":"Jones","given":"Thomas A."},{"family":"Kasif","given":"Simon"},{"family":"Kaspryzk","given":"Arek"},{"family":"Kennedy","given":"Scot"},{"family":"Kent","given":"W. James"},{"family":"Kitts","given":"Paul"},{"family":"Koonin","given":"Eugene V."},{"family":"Korf","given":"Ian"},{"family":"Kulp","given":"David"},{"family":"Lancet","given":"Doron"},{"family":"Lowe","given":"Todd M."},{"family":"McLysaght","given":"Aoife"},{"family":"Mikkelsen","given":"Tarjei"},{"family":"Moran","given":"John V."},{"family":"Mulder","given":"Nicola"},{"family":"Pollara","given":"Victor J."},{"family":"Ponting","given":"Chris P."},{"family":"Schuler","given":"Greg"},{"family":"Schultz","given":"Jörg"},{"family":"Slater","given":"Guy"},{"family":"Smit","given":"Arian F. A."},{"family":"Stupka","given":"Elia"},{"family":"Szustakowki","given":"Joseph"},{"family":"Thierry-Mieg","given":"Danielle"},{"family":"Thierry-Mieg","given":"Jean"},{"family":"Wagner","given":"Lukas"},{"family":"Wallis","given":"John"},{"family":"Wheeler","given":"Raymond"},{"family":"Williams","given":"Alan"},{"family":"Wolf","given":"Yuri I."},{"family":"Wolfe","given":"Kenneth H."},{"family":"Yang","given":"Shiaw-Pyng"},{"family":"Yeh","given":"Ru-Fang"},{"literal":"Scientific management: National Human Genome Research Institute, US National Institutes of Health:"},{"family":"Collins","given":"Francis"},{"family":"Guyer","given":"Mark S."},{"family":"Peterson","given":"Jane"},{"family":"Felsenfeld","given":"Adam"},{"family":"Wetterstrand","given":"Kris A."},{"literal":"Stanford Human Genome Center:"},{"family":"Myers","given":"Richard M."},{"family":"Schmutz","given":"Jeremy"},{"family":"Dickson","given":"Mark"},{"family":"Grimwood","given":"Jane"},{"family":"Cox","given":"David R."},{"literal":"University of Washington Genome Center:"},{"family":"Olson","given":"Maynard V."},{"family":"Kaul","given":"Rajinder"},{"family":"Raymond","given":"Christopher"},{"literal":"Department of Molecular Biology, Keio University School of Medicine:"},{"family":"Shimizu","given":"Nobuyoshi"},{"family":"Kawasaki","given":"Kazuhiko"},{"family":"Minoshima","given":"Shinsei"},{"literal":"University of Texas Southwestern Medical Center at Dallas:"},{"family":"Evans","given":"Glen A."},{"family":"Athanasiou","given":"Maria"},{"family":"Schultz","given":"Roger"},{"literal":"Office of Science, US Department of Energy:"},{"family":"Patrinos","given":"Aristides"},{"literal":"The Wellcome Trust:"},{"family":"Morgan","given":"Michael J."}],"issued":{"date-parts":[["2001",2,15]]}}}],"schema":"https://github.com/citation-style-language/schema/raw/master/csl-citation.json"} </w:instrText>
      </w:r>
      <w:r w:rsidRPr="004B6F68">
        <w:rPr>
          <w:rFonts w:asciiTheme="majorHAnsi" w:hAnsiTheme="majorHAnsi" w:cstheme="majorHAnsi"/>
          <w:sz w:val="24"/>
          <w:szCs w:val="24"/>
        </w:rPr>
        <w:fldChar w:fldCharType="separate"/>
      </w:r>
      <w:r w:rsidRPr="004B6F68">
        <w:rPr>
          <w:rFonts w:ascii="Calibri Light" w:hAnsiTheme="majorHAnsi" w:cs="Calibri Light"/>
          <w:sz w:val="24"/>
        </w:rPr>
        <w:t>(International Human Genome Sequencing Consortium et al., 2001)</w:t>
      </w:r>
      <w:r w:rsidRPr="004B6F68">
        <w:rPr>
          <w:rFonts w:asciiTheme="majorHAnsi" w:hAnsiTheme="majorHAnsi" w:cstheme="majorHAnsi"/>
          <w:sz w:val="24"/>
          <w:szCs w:val="24"/>
        </w:rPr>
        <w:fldChar w:fldCharType="end"/>
      </w:r>
      <w:r w:rsidRPr="004B6F68">
        <w:rPr>
          <w:rFonts w:asciiTheme="majorHAnsi" w:hAnsiTheme="majorHAnsi" w:cstheme="majorHAnsi"/>
          <w:sz w:val="24"/>
          <w:szCs w:val="24"/>
        </w:rPr>
        <w:t xml:space="preserve">. </w:t>
      </w:r>
      <w:r>
        <w:rPr>
          <w:rFonts w:asciiTheme="majorHAnsi" w:hAnsiTheme="majorHAnsi" w:cstheme="majorHAnsi"/>
          <w:sz w:val="24"/>
          <w:szCs w:val="24"/>
        </w:rPr>
        <w:t xml:space="preserve">A recent example showcasing the power of hybrid </w:t>
      </w:r>
      <w:r>
        <w:rPr>
          <w:rFonts w:asciiTheme="majorHAnsi" w:hAnsiTheme="majorHAnsi" w:cstheme="majorHAnsi"/>
          <w:i/>
          <w:iCs/>
          <w:sz w:val="24"/>
          <w:szCs w:val="24"/>
        </w:rPr>
        <w:t xml:space="preserve">de novo </w:t>
      </w:r>
      <w:r>
        <w:rPr>
          <w:rFonts w:asciiTheme="majorHAnsi" w:hAnsiTheme="majorHAnsi" w:cstheme="majorHAnsi"/>
          <w:sz w:val="24"/>
          <w:szCs w:val="24"/>
        </w:rPr>
        <w:t>assembly was the sequencing and assembly of the domestic goat genome in 2017. Through the use of high-quality DNA extraction and combining recently stablished sequencing technologies the</w:t>
      </w:r>
      <w:r w:rsidRPr="004B6F68">
        <w:rPr>
          <w:rFonts w:asciiTheme="majorHAnsi" w:hAnsiTheme="majorHAnsi" w:cstheme="majorHAnsi"/>
          <w:sz w:val="24"/>
          <w:szCs w:val="24"/>
        </w:rPr>
        <w:t xml:space="preserve">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{"citationID":"kGxlro9w","properties":{"formattedCitation":"(Bickhart et al., 2017)","plainCitation":"(Bickhart et al., 2017)","noteIndex":0},"citationItems":[{"id":476,"uris":["http://zotero.org/users/local/3tku6QP0/items/BJS9BBAU"],"itemData":{"id":476,"type":"article-journal","container-title":"Nature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L"}],"issued":{"date-parts":[["2017",4]]}}}],"schema":"https://github.com/citation-style-language/schema/raw/master/csl-citation.json"} </w:instrText>
      </w:r>
      <w:r w:rsidRPr="004B6F68">
        <w:rPr>
          <w:rFonts w:asciiTheme="majorHAnsi" w:hAnsiTheme="majorHAnsi" w:cstheme="majorHAnsi"/>
          <w:sz w:val="24"/>
          <w:szCs w:val="24"/>
        </w:rPr>
        <w:fldChar w:fldCharType="separate"/>
      </w:r>
      <w:proofErr w:type="spellStart"/>
      <w:r w:rsidRPr="004B6F68">
        <w:rPr>
          <w:rFonts w:ascii="Calibri Light" w:hAnsiTheme="majorHAnsi" w:cs="Calibri Light"/>
          <w:sz w:val="24"/>
        </w:rPr>
        <w:t>Bickhart</w:t>
      </w:r>
      <w:proofErr w:type="spellEnd"/>
      <w:r w:rsidRPr="004B6F68">
        <w:rPr>
          <w:rFonts w:ascii="Calibri Light" w:hAnsiTheme="majorHAnsi" w:cs="Calibri Light"/>
          <w:sz w:val="24"/>
        </w:rPr>
        <w:t xml:space="preserve"> et al., </w:t>
      </w:r>
      <w:r>
        <w:rPr>
          <w:rFonts w:ascii="Calibri Light" w:hAnsiTheme="majorHAnsi" w:cs="Calibri Light"/>
          <w:sz w:val="24"/>
        </w:rPr>
        <w:t>(</w:t>
      </w:r>
      <w:r w:rsidRPr="004B6F68">
        <w:rPr>
          <w:rFonts w:ascii="Calibri Light" w:hAnsiTheme="majorHAnsi" w:cs="Calibri Light"/>
          <w:sz w:val="24"/>
        </w:rPr>
        <w:t>2017)</w:t>
      </w:r>
      <w:r w:rsidRPr="004B6F68">
        <w:rPr>
          <w:rFonts w:asciiTheme="majorHAnsi" w:hAnsiTheme="majorHAnsi" w:cstheme="majorHAnsi"/>
          <w:sz w:val="24"/>
          <w:szCs w:val="24"/>
        </w:rPr>
        <w:fldChar w:fldCharType="end"/>
      </w:r>
      <w:r w:rsidRPr="004B6F68">
        <w:rPr>
          <w:rFonts w:asciiTheme="majorHAnsi" w:hAnsiTheme="majorHAnsi" w:cstheme="majorHAnsi"/>
          <w:sz w:val="24"/>
          <w:szCs w:val="24"/>
        </w:rPr>
        <w:t xml:space="preserve"> used long-read </w:t>
      </w:r>
      <w:r w:rsidRPr="00FD21E9">
        <w:rPr>
          <w:rFonts w:asciiTheme="majorHAnsi" w:hAnsiTheme="majorHAnsi" w:cstheme="majorHAnsi"/>
          <w:color w:val="00000A"/>
          <w:sz w:val="24"/>
          <w:szCs w:val="24"/>
        </w:rPr>
        <w:t xml:space="preserve">sequencing, short-read sequencing, and interaction mapping to </w:t>
      </w:r>
      <w:r>
        <w:rPr>
          <w:rFonts w:asciiTheme="majorHAnsi" w:hAnsiTheme="majorHAnsi" w:cstheme="majorHAnsi"/>
          <w:color w:val="00000A"/>
          <w:sz w:val="24"/>
          <w:szCs w:val="24"/>
        </w:rPr>
        <w:t xml:space="preserve">produce a </w:t>
      </w:r>
      <w:r>
        <w:rPr>
          <w:rFonts w:asciiTheme="majorHAnsi" w:hAnsiTheme="majorHAnsi" w:cstheme="majorHAnsi"/>
          <w:i/>
          <w:iCs/>
          <w:color w:val="00000A"/>
          <w:sz w:val="24"/>
          <w:szCs w:val="24"/>
        </w:rPr>
        <w:t xml:space="preserve">de novo </w:t>
      </w:r>
      <w:r>
        <w:rPr>
          <w:rFonts w:asciiTheme="majorHAnsi" w:hAnsiTheme="majorHAnsi" w:cstheme="majorHAnsi"/>
          <w:color w:val="00000A"/>
          <w:sz w:val="24"/>
          <w:szCs w:val="24"/>
        </w:rPr>
        <w:t xml:space="preserve">assembly that was </w:t>
      </w:r>
      <w:r w:rsidRPr="00FD21E9">
        <w:rPr>
          <w:rFonts w:asciiTheme="majorHAnsi" w:hAnsiTheme="majorHAnsi" w:cstheme="majorHAnsi"/>
          <w:color w:val="00000A"/>
          <w:sz w:val="24"/>
          <w:szCs w:val="24"/>
        </w:rPr>
        <w:t xml:space="preserve">over two orders of magnitude </w:t>
      </w:r>
      <w:r>
        <w:rPr>
          <w:rFonts w:asciiTheme="majorHAnsi" w:hAnsiTheme="majorHAnsi" w:cstheme="majorHAnsi"/>
          <w:color w:val="00000A"/>
          <w:sz w:val="24"/>
          <w:szCs w:val="24"/>
        </w:rPr>
        <w:t xml:space="preserve">more contiguous than </w:t>
      </w:r>
      <w:r w:rsidRPr="00FD21E9">
        <w:rPr>
          <w:rFonts w:asciiTheme="majorHAnsi" w:hAnsiTheme="majorHAnsi" w:cstheme="majorHAnsi"/>
          <w:color w:val="00000A"/>
          <w:sz w:val="24"/>
          <w:szCs w:val="24"/>
        </w:rPr>
        <w:t>the previous</w:t>
      </w:r>
      <w:r>
        <w:rPr>
          <w:rFonts w:asciiTheme="majorHAnsi" w:hAnsiTheme="majorHAnsi" w:cstheme="majorHAnsi"/>
          <w:color w:val="00000A"/>
          <w:sz w:val="24"/>
          <w:szCs w:val="24"/>
        </w:rPr>
        <w:t>ly published</w:t>
      </w:r>
      <w:r w:rsidRPr="00FD21E9">
        <w:rPr>
          <w:rFonts w:asciiTheme="majorHAnsi" w:hAnsiTheme="majorHAnsi" w:cstheme="majorHAnsi"/>
          <w:color w:val="00000A"/>
          <w:sz w:val="24"/>
          <w:szCs w:val="24"/>
        </w:rPr>
        <w:t xml:space="preserve"> goat</w:t>
      </w:r>
      <w:r>
        <w:rPr>
          <w:rFonts w:asciiTheme="majorHAnsi" w:hAnsiTheme="majorHAnsi" w:cstheme="majorHAnsi"/>
          <w:color w:val="00000A"/>
          <w:sz w:val="24"/>
          <w:szCs w:val="24"/>
        </w:rPr>
        <w:t>. The paper also</w:t>
      </w:r>
      <w:r w:rsidRPr="00FD21E9">
        <w:rPr>
          <w:rFonts w:asciiTheme="majorHAnsi" w:hAnsiTheme="majorHAnsi" w:cstheme="majorHAnsi"/>
          <w:color w:val="00000A"/>
          <w:sz w:val="24"/>
          <w:szCs w:val="24"/>
        </w:rPr>
        <w:t xml:space="preserve"> proposed it was the most continuous </w:t>
      </w:r>
      <w:r w:rsidRPr="00FD21E9">
        <w:rPr>
          <w:rFonts w:asciiTheme="majorHAnsi" w:hAnsiTheme="majorHAnsi" w:cstheme="majorHAnsi"/>
          <w:i/>
          <w:iCs/>
          <w:color w:val="00000A"/>
          <w:sz w:val="24"/>
          <w:szCs w:val="24"/>
        </w:rPr>
        <w:t xml:space="preserve">de novo </w:t>
      </w:r>
      <w:r w:rsidRPr="00FD21E9">
        <w:rPr>
          <w:rFonts w:asciiTheme="majorHAnsi" w:hAnsiTheme="majorHAnsi" w:cstheme="majorHAnsi"/>
          <w:color w:val="00000A"/>
          <w:sz w:val="24"/>
          <w:szCs w:val="24"/>
        </w:rPr>
        <w:t xml:space="preserve">mammalian assembly of its time. Since the publication of the </w:t>
      </w:r>
      <w:r w:rsidRPr="00FD21E9">
        <w:rPr>
          <w:rFonts w:asciiTheme="majorHAnsi" w:hAnsiTheme="majorHAnsi" w:cstheme="majorHAnsi"/>
          <w:i/>
          <w:iCs/>
          <w:color w:val="00000A"/>
          <w:sz w:val="24"/>
          <w:szCs w:val="24"/>
        </w:rPr>
        <w:t xml:space="preserve">de novo </w:t>
      </w:r>
      <w:r w:rsidRPr="00FD21E9">
        <w:rPr>
          <w:rFonts w:asciiTheme="majorHAnsi" w:hAnsiTheme="majorHAnsi" w:cstheme="majorHAnsi"/>
          <w:color w:val="00000A"/>
          <w:sz w:val="24"/>
          <w:szCs w:val="24"/>
        </w:rPr>
        <w:t>goat assembly</w:t>
      </w:r>
      <w:r>
        <w:rPr>
          <w:rFonts w:asciiTheme="majorHAnsi" w:hAnsiTheme="majorHAnsi" w:cstheme="majorHAnsi"/>
          <w:color w:val="00000A"/>
          <w:sz w:val="24"/>
          <w:szCs w:val="24"/>
        </w:rPr>
        <w:t>,</w:t>
      </w:r>
      <w:r w:rsidRPr="00FD21E9">
        <w:rPr>
          <w:rFonts w:asciiTheme="majorHAnsi" w:hAnsiTheme="majorHAnsi" w:cstheme="majorHAnsi"/>
          <w:color w:val="00000A"/>
          <w:sz w:val="24"/>
          <w:szCs w:val="24"/>
        </w:rPr>
        <w:t xml:space="preserve"> hybrid assembly publications are commonplace. As such, hybrid </w:t>
      </w:r>
      <w:r w:rsidRPr="004B6F68">
        <w:rPr>
          <w:rFonts w:asciiTheme="majorHAnsi" w:hAnsiTheme="majorHAnsi" w:cstheme="majorHAnsi"/>
          <w:sz w:val="24"/>
          <w:szCs w:val="24"/>
        </w:rPr>
        <w:t xml:space="preserve">assembly is an accepted and reliable way to achieve a chromosome-scale high-quality reference genome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{"citationID":"bj9GvkSb","properties":{"formattedCitation":"(Bickhart et al., 2017; Rhie et al., 2021)","plainCitation":"(Bickhart et al., 2017; Rhie et al., 2021)","noteIndex":0},"citationItems":[{"id":476,"uris":["http://zotero.org/users/local/3tku6QP0/items/BJS9BBAU"],"itemData":{"id":476,"type":"article-journal","container-title":"Nature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Pr="004B6F68">
        <w:rPr>
          <w:rFonts w:asciiTheme="majorHAnsi" w:hAnsiTheme="majorHAnsi" w:cstheme="majorHAnsi"/>
          <w:sz w:val="24"/>
          <w:szCs w:val="24"/>
        </w:rPr>
        <w:fldChar w:fldCharType="separate"/>
      </w:r>
      <w:r w:rsidRPr="004B6F68">
        <w:rPr>
          <w:rFonts w:ascii="Calibri Light" w:hAnsiTheme="majorHAnsi" w:cs="Calibri Light"/>
          <w:sz w:val="24"/>
        </w:rPr>
        <w:t>(</w:t>
      </w:r>
      <w:proofErr w:type="spellStart"/>
      <w:r w:rsidRPr="004B6F68">
        <w:rPr>
          <w:rFonts w:ascii="Calibri Light" w:hAnsiTheme="majorHAnsi" w:cs="Calibri Light"/>
          <w:sz w:val="24"/>
        </w:rPr>
        <w:t>Bickhart</w:t>
      </w:r>
      <w:proofErr w:type="spellEnd"/>
      <w:r w:rsidRPr="004B6F68">
        <w:rPr>
          <w:rFonts w:ascii="Calibri Light" w:hAnsiTheme="majorHAnsi" w:cs="Calibri Light"/>
          <w:sz w:val="24"/>
        </w:rPr>
        <w:t xml:space="preserve"> et al., 2017; </w:t>
      </w:r>
      <w:proofErr w:type="spellStart"/>
      <w:r w:rsidRPr="004B6F68">
        <w:rPr>
          <w:rFonts w:ascii="Calibri Light" w:hAnsiTheme="majorHAnsi" w:cs="Calibri Light"/>
          <w:sz w:val="24"/>
        </w:rPr>
        <w:t>Rhie</w:t>
      </w:r>
      <w:proofErr w:type="spellEnd"/>
      <w:r w:rsidRPr="004B6F68">
        <w:rPr>
          <w:rFonts w:ascii="Calibri Light" w:hAnsiTheme="majorHAnsi" w:cs="Calibri Light"/>
          <w:sz w:val="24"/>
        </w:rPr>
        <w:t xml:space="preserve"> et al., 2021)</w:t>
      </w:r>
      <w:r w:rsidRPr="004B6F68">
        <w:rPr>
          <w:rFonts w:asciiTheme="majorHAnsi" w:hAnsiTheme="majorHAnsi" w:cstheme="majorHAnsi"/>
          <w:sz w:val="24"/>
          <w:szCs w:val="24"/>
        </w:rPr>
        <w:fldChar w:fldCharType="end"/>
      </w:r>
      <w:r w:rsidRPr="004B6F68">
        <w:rPr>
          <w:rFonts w:asciiTheme="majorHAnsi" w:hAnsiTheme="majorHAnsi" w:cstheme="majorHAnsi"/>
          <w:sz w:val="24"/>
          <w:szCs w:val="24"/>
        </w:rPr>
        <w:t>. Since 2017, over half of all vertebrate chromosome-level assemblies submit</w:t>
      </w:r>
      <w:r>
        <w:rPr>
          <w:rFonts w:asciiTheme="majorHAnsi" w:hAnsiTheme="majorHAnsi" w:cstheme="majorHAnsi"/>
          <w:sz w:val="24"/>
          <w:szCs w:val="24"/>
        </w:rPr>
        <w:t>ted</w:t>
      </w:r>
      <w:r w:rsidRPr="004B6F68">
        <w:rPr>
          <w:rFonts w:asciiTheme="majorHAnsi" w:hAnsiTheme="majorHAnsi" w:cstheme="majorHAnsi"/>
          <w:sz w:val="24"/>
          <w:szCs w:val="24"/>
        </w:rPr>
        <w:t xml:space="preserve"> to GenBank implemented a hybrid assembly approach to genome assembly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{"citationID":"cuv5cNry","properties":{"formattedCitation":"(Hotaling et al., 2021)","plainCitation":"(Hotaling et al., 2021)","noteIndex":0},"citationItems":[{"id":558,"uris":["http://zotero.org/users/local/3tku6QP0/items/SYV8SXHL"],"itemData":{"id":558,"type":"article-journal","abstract":"In less than 25 y, the field of animal genome science has transformed from a discipline seeking its first glimpses into genome sequences across the Tree of Life to a global enterprise with ambitions to sequence genomes for all of Earth’s eukaryotic diversity [H. A. Lewin\n              et al.\n              ,\n              Proc. Natl. Acad. Sci. U.S.A.\n              115, 4325–4333 (2018)]. As the field rapidly moves forward, it is important to take stock of the progress that has been made to best inform the discipline’s future. In this Perspective, we provide a contemporary, quantitative overview of animal genome sequencing. We identified the best available genome assemblies in GenBank, the world’s most extensive genetic database, for 3,278 unique animal species across 24 phyla. We assessed taxonomic representation, assembly quality, and annotation status for major clades. We show that while tremendous taxonomic progress has occurred, stark disparities in genomic representation exist, highlighted by a systemic overrepresentation of vertebrates and underrepresentation of arthropods. In terms of assembly quality, long-read sequencing has dramatically improved contiguity, whereas gene annotations are available for just 34.3% of taxa. Furthermore, we show that animal genome science has diversified in recent years with an ever-expanding pool of researchers participating. However, the field still appears to be dominated by institutions in the Global North, which have been listed as the submitting institution for 77% of all assemblies. We conclude by offering recommendations for improving genomic resource availability and research value while also broadening global representation.","container-title":"Proceedings of the National Academy of Sciences","DOI":"10.1073/pnas.2109019118","ISSN":"0027-8424, 1091-6490","issue":"52","journalAbbreviation":"Proc. Natl. Acad. Sci. U.S.A.","language":"en","page":"e2109019118","source":"DOI.org (Crossref)","title":"Toward a genome sequence for every animal: Where are we now?","title-short":"Toward a genome sequence for every animal","volume":"118","author":[{"family":"Hotaling","given":"Scott"},{"family":"Kelley","given":"Joanna L."},{"family":"Frandsen","given":"Paul B."}],"issued":{"date-parts":[["2021",12,28]]}}}],"schema":"https://github.com/citation-style-language/schema/raw/master/csl-citation.json"} </w:instrText>
      </w:r>
      <w:r w:rsidRPr="004B6F68">
        <w:rPr>
          <w:rFonts w:asciiTheme="majorHAnsi" w:hAnsiTheme="majorHAnsi" w:cstheme="majorHAnsi"/>
          <w:sz w:val="24"/>
          <w:szCs w:val="24"/>
        </w:rPr>
        <w:fldChar w:fldCharType="separate"/>
      </w:r>
      <w:r w:rsidRPr="004B6F68">
        <w:rPr>
          <w:rFonts w:ascii="Calibri Light" w:hAnsiTheme="majorHAnsi" w:cs="Calibri Light"/>
          <w:sz w:val="24"/>
        </w:rPr>
        <w:t>(</w:t>
      </w:r>
      <w:proofErr w:type="spellStart"/>
      <w:r w:rsidRPr="004B6F68">
        <w:rPr>
          <w:rFonts w:ascii="Calibri Light" w:hAnsiTheme="majorHAnsi" w:cs="Calibri Light"/>
          <w:sz w:val="24"/>
        </w:rPr>
        <w:t>Hotaling</w:t>
      </w:r>
      <w:proofErr w:type="spellEnd"/>
      <w:r w:rsidRPr="004B6F68">
        <w:rPr>
          <w:rFonts w:ascii="Calibri Light" w:hAnsiTheme="majorHAnsi" w:cs="Calibri Light"/>
          <w:sz w:val="24"/>
        </w:rPr>
        <w:t xml:space="preserve"> et al., 2021)</w:t>
      </w:r>
      <w:r w:rsidRPr="004B6F68">
        <w:rPr>
          <w:rFonts w:asciiTheme="majorHAnsi" w:hAnsiTheme="majorHAnsi" w:cstheme="majorHAnsi"/>
          <w:sz w:val="24"/>
          <w:szCs w:val="24"/>
        </w:rPr>
        <w:fldChar w:fldCharType="end"/>
      </w:r>
      <w:r w:rsidRPr="004B6F68">
        <w:rPr>
          <w:rFonts w:asciiTheme="majorHAnsi" w:hAnsiTheme="majorHAnsi" w:cstheme="majorHAnsi"/>
          <w:sz w:val="24"/>
          <w:szCs w:val="24"/>
        </w:rPr>
        <w:t xml:space="preserve">. </w:t>
      </w:r>
    </w:p>
    <w:p w14:paraId="49875934" w14:textId="77777777" w:rsidR="004C65E1" w:rsidRPr="00FD21E9" w:rsidRDefault="004C65E1" w:rsidP="004C65E1">
      <w:pPr>
        <w:spacing w:line="240" w:lineRule="auto"/>
        <w:ind w:right="270"/>
        <w:rPr>
          <w:rFonts w:asciiTheme="majorHAnsi" w:hAnsiTheme="majorHAnsi" w:cstheme="majorHAnsi"/>
          <w:color w:val="00000A"/>
          <w:sz w:val="24"/>
          <w:szCs w:val="24"/>
        </w:rPr>
      </w:pPr>
    </w:p>
    <w:p w14:paraId="6875F89B" w14:textId="77777777" w:rsidR="004C65E1" w:rsidRDefault="004C65E1" w:rsidP="004C65E1">
      <w:pPr>
        <w:spacing w:line="240" w:lineRule="auto"/>
        <w:rPr>
          <w:rFonts w:asciiTheme="majorHAnsi" w:hAnsiTheme="majorHAnsi" w:cstheme="majorHAnsi"/>
          <w:sz w:val="24"/>
          <w:szCs w:val="24"/>
        </w:rPr>
      </w:pPr>
      <w:r>
        <w:rPr>
          <w:rFonts w:asciiTheme="majorHAnsi" w:hAnsiTheme="majorHAnsi" w:cstheme="majorHAnsi"/>
          <w:color w:val="00000A"/>
          <w:sz w:val="24"/>
          <w:szCs w:val="24"/>
        </w:rPr>
        <w:t>In our assembly of a male and female delta smelt genome, w</w:t>
      </w:r>
      <w:r w:rsidRPr="00FD21E9">
        <w:rPr>
          <w:rFonts w:asciiTheme="majorHAnsi" w:hAnsiTheme="majorHAnsi" w:cstheme="majorHAnsi"/>
          <w:color w:val="00000A"/>
          <w:sz w:val="24"/>
          <w:szCs w:val="24"/>
        </w:rPr>
        <w:t xml:space="preserve">e used PacBio HiFi long-reads, 10X Genomics linked-reads, and Phase Genomics chromatin confirmation capture. In addition to these three sequencing technologies, we sought to further increase the </w:t>
      </w:r>
      <w:r w:rsidRPr="004B6F68">
        <w:rPr>
          <w:rFonts w:asciiTheme="majorHAnsi" w:hAnsiTheme="majorHAnsi" w:cstheme="majorHAnsi"/>
          <w:sz w:val="24"/>
          <w:szCs w:val="24"/>
        </w:rPr>
        <w:t xml:space="preserve">contiguity of the genome by incorporating information from a previously published linkage map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{"citationID":"0O5buVzQ","properties":{"formattedCitation":"(Lew et al., 2015)","plainCitation":"(Lew et al., 2015)","noteIndex":0},"citationItems":[{"id":224,"uris":["http://zotero.org/users/local/3tku6QP0/items/NMRF5PW2"],"itemData":{"id":224,"type":"article-journal","abstract":"AbstractThe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Pr="004B6F68">
        <w:rPr>
          <w:rFonts w:asciiTheme="majorHAnsi" w:hAnsiTheme="majorHAnsi" w:cstheme="majorHAnsi"/>
          <w:sz w:val="24"/>
          <w:szCs w:val="24"/>
        </w:rPr>
        <w:fldChar w:fldCharType="separate"/>
      </w:r>
      <w:r w:rsidRPr="004B6F68">
        <w:rPr>
          <w:rFonts w:ascii="Calibri Light" w:hAnsiTheme="majorHAnsi" w:cs="Calibri Light"/>
          <w:sz w:val="24"/>
        </w:rPr>
        <w:t>(Lew et al., 2015)</w:t>
      </w:r>
      <w:r w:rsidRPr="004B6F68">
        <w:rPr>
          <w:rFonts w:asciiTheme="majorHAnsi" w:hAnsiTheme="majorHAnsi" w:cstheme="majorHAnsi"/>
          <w:sz w:val="24"/>
          <w:szCs w:val="24"/>
        </w:rPr>
        <w:fldChar w:fldCharType="end"/>
      </w:r>
      <w:r w:rsidRPr="004B6F68">
        <w:rPr>
          <w:rFonts w:asciiTheme="majorHAnsi" w:hAnsiTheme="majorHAnsi" w:cstheme="majorHAnsi"/>
          <w:sz w:val="24"/>
          <w:szCs w:val="24"/>
        </w:rPr>
        <w:t>. Finally, we independently validated the number of expected chromosomes in the final delta smelt assembly by karyotyping the species.</w:t>
      </w:r>
    </w:p>
    <w:p w14:paraId="10CF2E8C" w14:textId="77777777" w:rsidR="004C65E1" w:rsidRPr="004B6F68" w:rsidRDefault="004C65E1" w:rsidP="004C65E1">
      <w:pPr>
        <w:spacing w:line="240" w:lineRule="auto"/>
        <w:rPr>
          <w:rFonts w:asciiTheme="majorHAnsi" w:hAnsiTheme="majorHAnsi" w:cstheme="majorHAnsi"/>
          <w:sz w:val="24"/>
          <w:szCs w:val="24"/>
        </w:rPr>
      </w:pPr>
    </w:p>
    <w:p w14:paraId="77397B56" w14:textId="77777777" w:rsidR="004C65E1" w:rsidRDefault="004C65E1" w:rsidP="004C65E1">
      <w:pPr>
        <w:spacing w:line="240" w:lineRule="auto"/>
        <w:ind w:right="270"/>
        <w:rPr>
          <w:rFonts w:asciiTheme="majorHAnsi" w:hAnsiTheme="majorHAnsi" w:cstheme="majorHAnsi"/>
          <w:color w:val="00000A"/>
          <w:sz w:val="24"/>
          <w:szCs w:val="24"/>
        </w:rPr>
      </w:pPr>
      <w:r w:rsidRPr="004B6F68">
        <w:rPr>
          <w:rFonts w:asciiTheme="majorHAnsi" w:hAnsiTheme="majorHAnsi" w:cstheme="majorHAnsi"/>
          <w:sz w:val="24"/>
          <w:szCs w:val="24"/>
        </w:rPr>
        <w:t>Prior to this work</w:t>
      </w:r>
      <w:r>
        <w:rPr>
          <w:rFonts w:asciiTheme="majorHAnsi" w:hAnsiTheme="majorHAnsi" w:cstheme="majorHAnsi"/>
          <w:sz w:val="24"/>
          <w:szCs w:val="24"/>
        </w:rPr>
        <w:t xml:space="preserve">, only </w:t>
      </w:r>
      <w:r w:rsidRPr="004B6F68">
        <w:rPr>
          <w:rFonts w:asciiTheme="majorHAnsi" w:hAnsiTheme="majorHAnsi" w:cstheme="majorHAnsi"/>
          <w:sz w:val="24"/>
          <w:szCs w:val="24"/>
        </w:rPr>
        <w:t xml:space="preserve">three highly fragmented genome assemblies from the </w:t>
      </w:r>
      <w:proofErr w:type="spellStart"/>
      <w:r w:rsidRPr="004B6F68">
        <w:rPr>
          <w:rFonts w:asciiTheme="majorHAnsi" w:hAnsiTheme="majorHAnsi" w:cstheme="majorHAnsi"/>
          <w:sz w:val="24"/>
          <w:szCs w:val="24"/>
        </w:rPr>
        <w:t>Osmeridae</w:t>
      </w:r>
      <w:proofErr w:type="spellEnd"/>
      <w:r w:rsidRPr="004B6F68">
        <w:rPr>
          <w:rFonts w:asciiTheme="majorHAnsi" w:hAnsiTheme="majorHAnsi" w:cstheme="majorHAnsi"/>
          <w:i/>
          <w:iCs/>
          <w:sz w:val="24"/>
          <w:szCs w:val="24"/>
        </w:rPr>
        <w:t xml:space="preserve"> </w:t>
      </w:r>
      <w:r w:rsidRPr="004B6F68">
        <w:rPr>
          <w:rFonts w:asciiTheme="majorHAnsi" w:hAnsiTheme="majorHAnsi" w:cstheme="majorHAnsi"/>
          <w:sz w:val="24"/>
          <w:szCs w:val="24"/>
        </w:rPr>
        <w:t>(smelt) family were publicly available through GenBank</w:t>
      </w:r>
      <w:r>
        <w:rPr>
          <w:rFonts w:asciiTheme="majorHAnsi" w:hAnsiTheme="majorHAnsi" w:cstheme="majorHAnsi"/>
          <w:sz w:val="24"/>
          <w:szCs w:val="24"/>
        </w:rPr>
        <w:t xml:space="preserve"> and none of these was from endangered species</w:t>
      </w:r>
      <w:r w:rsidRPr="004B6F68">
        <w:rPr>
          <w:rFonts w:asciiTheme="majorHAnsi" w:hAnsiTheme="majorHAnsi" w:cstheme="majorHAnsi"/>
          <w:sz w:val="24"/>
          <w:szCs w:val="24"/>
        </w:rPr>
        <w:t>. These assemblies came from three different genera (</w:t>
      </w:r>
      <w:r w:rsidRPr="004B6F68">
        <w:rPr>
          <w:rFonts w:asciiTheme="majorHAnsi" w:hAnsiTheme="majorHAnsi" w:cstheme="majorHAnsi"/>
          <w:i/>
          <w:iCs/>
          <w:sz w:val="24"/>
          <w:szCs w:val="24"/>
        </w:rPr>
        <w:t xml:space="preserve">Hypomesus, </w:t>
      </w:r>
      <w:proofErr w:type="spellStart"/>
      <w:r w:rsidRPr="004B6F68">
        <w:rPr>
          <w:rFonts w:asciiTheme="majorHAnsi" w:hAnsiTheme="majorHAnsi" w:cstheme="majorHAnsi"/>
          <w:i/>
          <w:iCs/>
          <w:sz w:val="24"/>
          <w:szCs w:val="24"/>
        </w:rPr>
        <w:t>Thaleichthys</w:t>
      </w:r>
      <w:proofErr w:type="spellEnd"/>
      <w:r w:rsidRPr="004B6F68">
        <w:rPr>
          <w:rFonts w:asciiTheme="majorHAnsi" w:hAnsiTheme="majorHAnsi" w:cstheme="majorHAnsi"/>
          <w:sz w:val="24"/>
          <w:szCs w:val="24"/>
        </w:rPr>
        <w:t xml:space="preserve">, and </w:t>
      </w:r>
      <w:r w:rsidRPr="004B6F68">
        <w:rPr>
          <w:rFonts w:asciiTheme="majorHAnsi" w:hAnsiTheme="majorHAnsi" w:cstheme="majorHAnsi"/>
          <w:i/>
          <w:iCs/>
          <w:sz w:val="24"/>
          <w:szCs w:val="24"/>
        </w:rPr>
        <w:t>Osmerus</w:t>
      </w:r>
      <w:r w:rsidRPr="004B6F68">
        <w:rPr>
          <w:rFonts w:asciiTheme="majorHAnsi" w:hAnsiTheme="majorHAnsi" w:cstheme="majorHAnsi"/>
          <w:sz w:val="24"/>
          <w:szCs w:val="24"/>
        </w:rPr>
        <w:t xml:space="preserve">) and the most closely related assembly publicly available was </w:t>
      </w:r>
      <w:r w:rsidRPr="004B6F68">
        <w:rPr>
          <w:rFonts w:asciiTheme="majorHAnsi" w:hAnsiTheme="majorHAnsi" w:cstheme="majorHAnsi"/>
          <w:i/>
          <w:iCs/>
          <w:sz w:val="24"/>
          <w:szCs w:val="24"/>
        </w:rPr>
        <w:t>Hypomesus nipponensis</w:t>
      </w:r>
      <w:r w:rsidRPr="004B6F68">
        <w:rPr>
          <w:rFonts w:asciiTheme="majorHAnsi" w:hAnsiTheme="majorHAnsi" w:cstheme="majorHAnsi"/>
          <w:sz w:val="24"/>
          <w:szCs w:val="24"/>
        </w:rPr>
        <w:t xml:space="preserve"> (wakasagi smelt), a common species of smelt endemic to and used as a food commodity in Japan, introduced into the SFE and known to hybridize with delta smelt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{"citationID":"Vr2t7BYc","properties":{"formattedCitation":"(Dill &amp; Cordone, n.d.)","plainCitation":"(Dill &amp; Cordone, n.d.)","noteIndex":0},"citationItems":[{"id":557,"uris":["http://zotero.org/users/local/3tku6QP0/items/HT5KIB2E"],"itemData":{"id":557,"type":"article-journal","language":"en","page":"415","source":"Zotero","title":"History And Status of Introduced Fishes In California, 1871 – 1996","author":[{"family":"Dill","given":"William A"},{"family":"Cordone","given":"Almo J"}]}}],"schema":"https://github.com/citation-style-language/schema/raw/master/csl-citation.json"} </w:instrText>
      </w:r>
      <w:r w:rsidRPr="004B6F68">
        <w:rPr>
          <w:rFonts w:asciiTheme="majorHAnsi" w:hAnsiTheme="majorHAnsi" w:cstheme="majorHAnsi"/>
          <w:sz w:val="24"/>
          <w:szCs w:val="24"/>
        </w:rPr>
        <w:fldChar w:fldCharType="separate"/>
      </w:r>
      <w:r w:rsidRPr="004B6F68">
        <w:rPr>
          <w:rFonts w:ascii="Calibri Light" w:hAnsiTheme="majorHAnsi" w:cs="Calibri Light"/>
          <w:sz w:val="24"/>
        </w:rPr>
        <w:t xml:space="preserve">(Dill &amp; </w:t>
      </w:r>
      <w:proofErr w:type="spellStart"/>
      <w:r w:rsidRPr="004B6F68">
        <w:rPr>
          <w:rFonts w:ascii="Calibri Light" w:hAnsiTheme="majorHAnsi" w:cs="Calibri Light"/>
          <w:sz w:val="24"/>
        </w:rPr>
        <w:t>Cordone</w:t>
      </w:r>
      <w:proofErr w:type="spellEnd"/>
      <w:r w:rsidRPr="004B6F68">
        <w:rPr>
          <w:rFonts w:ascii="Calibri Light" w:hAnsiTheme="majorHAnsi" w:cs="Calibri Light"/>
          <w:sz w:val="24"/>
        </w:rPr>
        <w:t>, n.d.)</w:t>
      </w:r>
      <w:r w:rsidRPr="004B6F68">
        <w:rPr>
          <w:rFonts w:asciiTheme="majorHAnsi" w:hAnsiTheme="majorHAnsi" w:cstheme="majorHAnsi"/>
          <w:sz w:val="24"/>
          <w:szCs w:val="24"/>
        </w:rPr>
        <w:fldChar w:fldCharType="end"/>
      </w:r>
      <w:r w:rsidRPr="004B6F68">
        <w:rPr>
          <w:rFonts w:asciiTheme="majorHAnsi" w:hAnsiTheme="majorHAnsi" w:cstheme="majorHAnsi"/>
          <w:sz w:val="24"/>
          <w:szCs w:val="24"/>
        </w:rPr>
        <w:t xml:space="preserve">. While the wakasagi smelt genome, estimated to be 464 </w:t>
      </w:r>
      <w:proofErr w:type="spellStart"/>
      <w:r w:rsidRPr="004B6F68">
        <w:rPr>
          <w:rFonts w:asciiTheme="majorHAnsi" w:hAnsiTheme="majorHAnsi" w:cstheme="majorHAnsi"/>
          <w:sz w:val="24"/>
          <w:szCs w:val="24"/>
        </w:rPr>
        <w:t>Mbp</w:t>
      </w:r>
      <w:proofErr w:type="spellEnd"/>
      <w:r w:rsidRPr="004B6F68">
        <w:rPr>
          <w:rFonts w:asciiTheme="majorHAnsi" w:hAnsiTheme="majorHAnsi" w:cstheme="majorHAnsi"/>
          <w:sz w:val="24"/>
          <w:szCs w:val="24"/>
        </w:rPr>
        <w:t xml:space="preserve"> in size with 2n=26, was the most contiguous resource within the Smelt family, the assembly was not a chromosome-level assembly with an N50 of 0.46 </w:t>
      </w:r>
      <w:proofErr w:type="spellStart"/>
      <w:r w:rsidRPr="004B6F68">
        <w:rPr>
          <w:rFonts w:asciiTheme="majorHAnsi" w:hAnsiTheme="majorHAnsi" w:cstheme="majorHAnsi"/>
          <w:sz w:val="24"/>
          <w:szCs w:val="24"/>
        </w:rPr>
        <w:t>Mbp</w:t>
      </w:r>
      <w:proofErr w:type="spellEnd"/>
      <w:r w:rsidRPr="004B6F68">
        <w:rPr>
          <w:rFonts w:asciiTheme="majorHAnsi" w:hAnsiTheme="majorHAnsi" w:cstheme="majorHAnsi"/>
          <w:sz w:val="24"/>
          <w:szCs w:val="24"/>
        </w:rPr>
        <w:t xml:space="preserve"> and L50 of 477 (Table 2.1, </w:t>
      </w:r>
      <w:r w:rsidRPr="004B6F68">
        <w:rPr>
          <w:rFonts w:asciiTheme="majorHAnsi" w:hAnsiTheme="majorHAnsi" w:cstheme="majorHAnsi"/>
          <w:sz w:val="24"/>
          <w:szCs w:val="24"/>
        </w:rPr>
        <w:fldChar w:fldCharType="begin"/>
      </w:r>
      <w:r w:rsidRPr="004B6F68">
        <w:rPr>
          <w:rFonts w:asciiTheme="majorHAnsi" w:hAnsiTheme="majorHAnsi" w:cstheme="majorHAnsi"/>
          <w:sz w:val="24"/>
          <w:szCs w:val="24"/>
        </w:rPr>
        <w:instrText xml:space="preserve"> ADDIN ZOTERO_ITEM CSL_CITATION {"citationID":"W4RHzmgn","properties":{"formattedCitation":"(Kitada et al., 1980; Xuan et al., 2021)","plainCitation":"(Kitada et al., 1980; Xuan et al., 2021)","noteIndex":0},"citationItems":[{"id":493,"uris":["http://zotero.org/users/local/3tku6QP0/items/NSNAJYQZ"],"itemData":{"id":493,"type":"article-journal","container-title":"Chrom. Inform. Serv.","page":"8-9","title":"Chromosomes of the pond smelt Hypomesus transpacificus nipponensis","volume":"28","author":[{"family":"Kitada","given":"J"},{"family":"Tatewaki","given":"R"},{"family":"Tagawa","given":"M"}],"issued":{"date-parts":[["1980"]]}}},{"id":501,"uris":["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 </w:instrText>
      </w:r>
      <w:r w:rsidRPr="004B6F68">
        <w:rPr>
          <w:rFonts w:asciiTheme="majorHAnsi" w:hAnsiTheme="majorHAnsi" w:cstheme="majorHAnsi"/>
          <w:sz w:val="24"/>
          <w:szCs w:val="24"/>
        </w:rPr>
        <w:fldChar w:fldCharType="separate"/>
      </w:r>
      <w:proofErr w:type="spellStart"/>
      <w:r w:rsidRPr="004B6F68">
        <w:rPr>
          <w:rFonts w:ascii="Calibri Light" w:hAnsiTheme="majorHAnsi" w:cs="Calibri Light"/>
          <w:sz w:val="24"/>
        </w:rPr>
        <w:t>Kitada</w:t>
      </w:r>
      <w:proofErr w:type="spellEnd"/>
      <w:r w:rsidRPr="004B6F68">
        <w:rPr>
          <w:rFonts w:ascii="Calibri Light" w:hAnsiTheme="majorHAnsi" w:cs="Calibri Light"/>
          <w:sz w:val="24"/>
        </w:rPr>
        <w:t xml:space="preserve"> et al., 1980; Xuan et al., 2021)</w:t>
      </w:r>
      <w:r w:rsidRPr="004B6F68">
        <w:rPr>
          <w:rFonts w:asciiTheme="majorHAnsi" w:hAnsiTheme="majorHAnsi" w:cstheme="majorHAnsi"/>
          <w:sz w:val="24"/>
          <w:szCs w:val="24"/>
        </w:rPr>
        <w:fldChar w:fldCharType="end"/>
      </w:r>
      <w:r w:rsidRPr="00FD21E9">
        <w:rPr>
          <w:rFonts w:asciiTheme="majorHAnsi" w:hAnsiTheme="majorHAnsi" w:cstheme="majorHAnsi"/>
          <w:color w:val="00000A"/>
          <w:sz w:val="24"/>
          <w:szCs w:val="24"/>
        </w:rPr>
        <w:t xml:space="preserve">. </w:t>
      </w:r>
      <w:r>
        <w:rPr>
          <w:rFonts w:asciiTheme="majorHAnsi" w:hAnsiTheme="majorHAnsi" w:cstheme="majorHAnsi"/>
          <w:color w:val="00000A"/>
          <w:sz w:val="24"/>
          <w:szCs w:val="24"/>
        </w:rPr>
        <w:t>Because of their listing status and the continuous genetic research activity of delta smelt, a highly contiguous reference genome was a necessary next step in investigating migration and genetic diversity in the wild population and domestication in the refuge colony.</w:t>
      </w:r>
    </w:p>
    <w:p w14:paraId="709D0BC7" w14:textId="77777777" w:rsidR="004C65E1" w:rsidRDefault="004C65E1" w:rsidP="00F42C03">
      <w:pPr>
        <w:spacing w:line="240" w:lineRule="auto"/>
      </w:pPr>
    </w:p>
    <w:sectPr w:rsidR="004C65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non Erica Kendal Joslin" w:date="2023-08-13T13:37:00Z" w:initials="SEKJ">
    <w:p w14:paraId="1BC56CAD" w14:textId="77777777" w:rsidR="00F42C03" w:rsidRDefault="00F42C03" w:rsidP="00F42C03">
      <w:pPr>
        <w:pStyle w:val="CommentText"/>
      </w:pPr>
      <w:r>
        <w:rPr>
          <w:rStyle w:val="CommentReference"/>
        </w:rPr>
        <w:annotationRef/>
      </w:r>
      <w:r>
        <w:t>maybe start here?</w:t>
      </w:r>
    </w:p>
  </w:comment>
  <w:comment w:id="1" w:author="Andrea Schreier" w:date="2022-09-07T09:49:00Z" w:initials="AS">
    <w:p w14:paraId="7FE6F9D7" w14:textId="77777777" w:rsidR="00F42C03" w:rsidRDefault="00F42C03" w:rsidP="00F42C03">
      <w:pPr>
        <w:pStyle w:val="CommentText"/>
      </w:pPr>
      <w:r>
        <w:rPr>
          <w:rStyle w:val="CommentReference"/>
        </w:rPr>
        <w:annotationRef/>
      </w:r>
      <w:r>
        <w:t>This text might fit better right after hybrid assembly is introduced as a concept. You could define hybrid assembly as an assembly that uses long read, short read, and interaction mapping and which would nicely introduce this text which explains how the methods complement each other.</w:t>
      </w:r>
    </w:p>
  </w:comment>
  <w:comment w:id="2" w:author="Shannon Erica Kendal Joslin" w:date="2023-08-13T13:37:00Z" w:initials="SEKJ">
    <w:p w14:paraId="733D8135" w14:textId="77777777" w:rsidR="004C65E1" w:rsidRDefault="004C65E1" w:rsidP="004C65E1">
      <w:pPr>
        <w:pStyle w:val="CommentText"/>
      </w:pPr>
      <w:r>
        <w:rPr>
          <w:rStyle w:val="CommentReference"/>
        </w:rPr>
        <w:annotationRef/>
      </w:r>
      <w:r>
        <w:t>maybe start here?</w:t>
      </w:r>
    </w:p>
  </w:comment>
  <w:comment w:id="3" w:author="Andrea Schreier" w:date="2022-09-07T09:49:00Z" w:initials="AS">
    <w:p w14:paraId="1992CEE9" w14:textId="77777777" w:rsidR="004C65E1" w:rsidRDefault="004C65E1" w:rsidP="004C65E1">
      <w:pPr>
        <w:pStyle w:val="CommentText"/>
      </w:pPr>
      <w:r>
        <w:rPr>
          <w:rStyle w:val="CommentReference"/>
        </w:rPr>
        <w:annotationRef/>
      </w:r>
      <w:r>
        <w:t>This text might fit better right after hybrid assembly is introduced as a concept. You could define hybrid assembly as an assembly that uses long read, short read, and interaction mapping and which would nicely introduce this text which explains how the methods complement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C56CAD" w15:done="0"/>
  <w15:commentEx w15:paraId="7FE6F9D7" w15:done="0"/>
  <w15:commentEx w15:paraId="733D8135" w15:done="0"/>
  <w15:commentEx w15:paraId="1992CE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35B36" w16cex:dateUtc="2023-08-13T20:37:00Z"/>
  <w16cex:commentExtensible w16cex:durableId="26C2E7BF" w16cex:dateUtc="2022-09-07T16:49:00Z"/>
  <w16cex:commentExtensible w16cex:durableId="2894B17B" w16cex:dateUtc="2023-08-13T20:37:00Z"/>
  <w16cex:commentExtensible w16cex:durableId="2894B17A" w16cex:dateUtc="2022-09-07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C56CAD" w16cid:durableId="28835B36"/>
  <w16cid:commentId w16cid:paraId="7FE6F9D7" w16cid:durableId="26C2E7BF"/>
  <w16cid:commentId w16cid:paraId="733D8135" w16cid:durableId="2894B17B"/>
  <w16cid:commentId w16cid:paraId="1992CEE9" w16cid:durableId="2894B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03"/>
    <w:rsid w:val="0002685F"/>
    <w:rsid w:val="00026ABB"/>
    <w:rsid w:val="0008322D"/>
    <w:rsid w:val="00121801"/>
    <w:rsid w:val="00165BE8"/>
    <w:rsid w:val="00175F01"/>
    <w:rsid w:val="001B0EFF"/>
    <w:rsid w:val="001E2ED3"/>
    <w:rsid w:val="001E3DB7"/>
    <w:rsid w:val="00235867"/>
    <w:rsid w:val="00282C00"/>
    <w:rsid w:val="002C5280"/>
    <w:rsid w:val="003600B6"/>
    <w:rsid w:val="003962A7"/>
    <w:rsid w:val="003C4AC3"/>
    <w:rsid w:val="00422626"/>
    <w:rsid w:val="004C65E1"/>
    <w:rsid w:val="004E3E6B"/>
    <w:rsid w:val="00501768"/>
    <w:rsid w:val="00507377"/>
    <w:rsid w:val="005871C9"/>
    <w:rsid w:val="005B1B8B"/>
    <w:rsid w:val="005D18AE"/>
    <w:rsid w:val="005F2B7B"/>
    <w:rsid w:val="005F7B55"/>
    <w:rsid w:val="00627DED"/>
    <w:rsid w:val="00684992"/>
    <w:rsid w:val="006851CF"/>
    <w:rsid w:val="006C1618"/>
    <w:rsid w:val="007D12DF"/>
    <w:rsid w:val="008366CB"/>
    <w:rsid w:val="008434B7"/>
    <w:rsid w:val="008655C5"/>
    <w:rsid w:val="00871EF3"/>
    <w:rsid w:val="00932600"/>
    <w:rsid w:val="009D4CF2"/>
    <w:rsid w:val="009D4DFF"/>
    <w:rsid w:val="00A25B1D"/>
    <w:rsid w:val="00A6474A"/>
    <w:rsid w:val="00A909B3"/>
    <w:rsid w:val="00AB54C7"/>
    <w:rsid w:val="00AE02B5"/>
    <w:rsid w:val="00B27AD3"/>
    <w:rsid w:val="00C62891"/>
    <w:rsid w:val="00CD1A20"/>
    <w:rsid w:val="00D30AC2"/>
    <w:rsid w:val="00D72376"/>
    <w:rsid w:val="00E43E55"/>
    <w:rsid w:val="00EB17E6"/>
    <w:rsid w:val="00EE63ED"/>
    <w:rsid w:val="00F42C03"/>
    <w:rsid w:val="00F43713"/>
    <w:rsid w:val="00F91396"/>
    <w:rsid w:val="00FB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29FEE"/>
  <w15:docId w15:val="{9033AC4C-4F77-1146-B3C6-1F16C30F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03"/>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F437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37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B1B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liases w:val="Detail"/>
    <w:basedOn w:val="Heading2"/>
    <w:next w:val="Normal"/>
    <w:autoRedefine/>
    <w:uiPriority w:val="39"/>
    <w:semiHidden/>
    <w:unhideWhenUsed/>
    <w:qFormat/>
    <w:rsid w:val="00F43713"/>
    <w:rPr>
      <w:rFonts w:cstheme="minorHAnsi"/>
      <w:bCs/>
      <w:i/>
      <w:smallCaps/>
      <w:color w:val="000000" w:themeColor="text1"/>
      <w:sz w:val="22"/>
      <w:szCs w:val="22"/>
    </w:rPr>
  </w:style>
  <w:style w:type="character" w:customStyle="1" w:styleId="Heading2Char">
    <w:name w:val="Heading 2 Char"/>
    <w:basedOn w:val="DefaultParagraphFont"/>
    <w:link w:val="Heading2"/>
    <w:uiPriority w:val="9"/>
    <w:semiHidden/>
    <w:rsid w:val="00F43713"/>
    <w:rPr>
      <w:rFonts w:asciiTheme="majorHAnsi" w:eastAsiaTheme="majorEastAsia" w:hAnsiTheme="majorHAnsi" w:cstheme="majorBidi"/>
      <w:color w:val="2F5496" w:themeColor="accent1" w:themeShade="BF"/>
      <w:sz w:val="26"/>
      <w:szCs w:val="26"/>
    </w:rPr>
  </w:style>
  <w:style w:type="paragraph" w:styleId="TOC1">
    <w:name w:val="toc 1"/>
    <w:aliases w:val="Subheading"/>
    <w:basedOn w:val="Heading1"/>
    <w:next w:val="Normal"/>
    <w:autoRedefine/>
    <w:uiPriority w:val="39"/>
    <w:semiHidden/>
    <w:unhideWhenUsed/>
    <w:qFormat/>
    <w:rsid w:val="00F43713"/>
    <w:pPr>
      <w:spacing w:before="360" w:after="360"/>
    </w:pPr>
    <w:rPr>
      <w:rFonts w:cstheme="minorHAnsi"/>
      <w:b/>
      <w:bCs/>
      <w:caps/>
      <w:color w:val="000000" w:themeColor="text1"/>
      <w:sz w:val="22"/>
      <w:szCs w:val="22"/>
    </w:rPr>
  </w:style>
  <w:style w:type="character" w:customStyle="1" w:styleId="Heading1Char">
    <w:name w:val="Heading 1 Char"/>
    <w:basedOn w:val="DefaultParagraphFont"/>
    <w:link w:val="Heading1"/>
    <w:uiPriority w:val="9"/>
    <w:rsid w:val="00F43713"/>
    <w:rPr>
      <w:rFonts w:asciiTheme="majorHAnsi" w:eastAsiaTheme="majorEastAsia" w:hAnsiTheme="majorHAnsi" w:cstheme="majorBidi"/>
      <w:color w:val="2F5496" w:themeColor="accent1" w:themeShade="BF"/>
      <w:sz w:val="32"/>
      <w:szCs w:val="32"/>
    </w:rPr>
  </w:style>
  <w:style w:type="paragraph" w:styleId="HTMLAddress">
    <w:name w:val="HTML Address"/>
    <w:basedOn w:val="Normal"/>
    <w:link w:val="HTMLAddressChar"/>
    <w:uiPriority w:val="99"/>
    <w:semiHidden/>
    <w:unhideWhenUsed/>
    <w:qFormat/>
    <w:rsid w:val="00235867"/>
    <w:rPr>
      <w:i/>
      <w:iCs/>
      <w:sz w:val="22"/>
    </w:rPr>
  </w:style>
  <w:style w:type="character" w:customStyle="1" w:styleId="HTMLAddressChar">
    <w:name w:val="HTML Address Char"/>
    <w:basedOn w:val="DefaultParagraphFont"/>
    <w:link w:val="HTMLAddress"/>
    <w:uiPriority w:val="99"/>
    <w:semiHidden/>
    <w:rsid w:val="00235867"/>
    <w:rPr>
      <w:i/>
      <w:iCs/>
      <w:sz w:val="22"/>
    </w:rPr>
  </w:style>
  <w:style w:type="paragraph" w:styleId="TOC4">
    <w:name w:val="toc 4"/>
    <w:aliases w:val="Tables_and_Figures"/>
    <w:basedOn w:val="Heading4"/>
    <w:next w:val="Normal"/>
    <w:autoRedefine/>
    <w:uiPriority w:val="39"/>
    <w:semiHidden/>
    <w:unhideWhenUsed/>
    <w:qFormat/>
    <w:rsid w:val="005B1B8B"/>
    <w:rPr>
      <w:rFonts w:cstheme="minorHAnsi"/>
      <w:b/>
      <w:i w:val="0"/>
      <w:color w:val="000000" w:themeColor="text1"/>
      <w:sz w:val="22"/>
      <w:szCs w:val="22"/>
    </w:rPr>
  </w:style>
  <w:style w:type="character" w:customStyle="1" w:styleId="Heading4Char">
    <w:name w:val="Heading 4 Char"/>
    <w:basedOn w:val="DefaultParagraphFont"/>
    <w:link w:val="Heading4"/>
    <w:uiPriority w:val="9"/>
    <w:semiHidden/>
    <w:rsid w:val="005B1B8B"/>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F42C03"/>
    <w:rPr>
      <w:sz w:val="16"/>
      <w:szCs w:val="16"/>
    </w:rPr>
  </w:style>
  <w:style w:type="paragraph" w:styleId="CommentText">
    <w:name w:val="annotation text"/>
    <w:basedOn w:val="Normal"/>
    <w:link w:val="CommentTextChar"/>
    <w:uiPriority w:val="99"/>
    <w:semiHidden/>
    <w:unhideWhenUsed/>
    <w:rsid w:val="00F42C03"/>
    <w:pPr>
      <w:spacing w:line="240" w:lineRule="auto"/>
    </w:pPr>
  </w:style>
  <w:style w:type="character" w:customStyle="1" w:styleId="CommentTextChar">
    <w:name w:val="Comment Text Char"/>
    <w:basedOn w:val="DefaultParagraphFont"/>
    <w:link w:val="CommentText"/>
    <w:uiPriority w:val="99"/>
    <w:semiHidden/>
    <w:rsid w:val="00F42C03"/>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18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12814</Words>
  <Characters>73043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4</cp:revision>
  <dcterms:created xsi:type="dcterms:W3CDTF">2023-08-26T16:28:00Z</dcterms:created>
  <dcterms:modified xsi:type="dcterms:W3CDTF">2023-08-27T00:22:00Z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id="BgWFQQOv"/&gt;&lt;style id="http://www.zotero.org/styles/apa" locale="en-US" hasBibliography="1" bibliographyStyleHasBeenSet="0"/&gt;&lt;prefs&gt;&lt;pref name="fieldType" value="Field"/&gt;&lt;/prefs&gt;&lt;/data&gt;</vt:lpwstr>
  </property>
</Properties>
</file>