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8F60" w14:textId="77777777" w:rsidR="00F508DD" w:rsidRPr="00BD1D1A" w:rsidRDefault="00F508DD" w:rsidP="00446C5D">
      <w:pPr>
        <w:rPr>
          <w:rFonts w:asciiTheme="majorHAnsi" w:hAnsiTheme="majorHAnsi" w:cstheme="majorHAnsi"/>
          <w:b/>
          <w:bCs/>
          <w:sz w:val="32"/>
          <w:szCs w:val="32"/>
        </w:rPr>
      </w:pPr>
      <w:r w:rsidRPr="00BD1D1A">
        <w:rPr>
          <w:rFonts w:asciiTheme="majorHAnsi" w:hAnsiTheme="majorHAnsi" w:cstheme="majorHAnsi"/>
          <w:b/>
          <w:bCs/>
          <w:sz w:val="32"/>
          <w:szCs w:val="32"/>
        </w:rPr>
        <w:t xml:space="preserve">Chapter 2 – Genome assembly of </w:t>
      </w:r>
      <w:proofErr w:type="spellStart"/>
      <w:r w:rsidRPr="00BD1D1A">
        <w:rPr>
          <w:rFonts w:asciiTheme="majorHAnsi" w:hAnsiTheme="majorHAnsi" w:cstheme="majorHAnsi"/>
          <w:b/>
          <w:bCs/>
          <w:i/>
          <w:iCs/>
          <w:sz w:val="32"/>
          <w:szCs w:val="32"/>
        </w:rPr>
        <w:t>Hypomesus</w:t>
      </w:r>
      <w:proofErr w:type="spellEnd"/>
      <w:r w:rsidRPr="00BD1D1A">
        <w:rPr>
          <w:rFonts w:asciiTheme="majorHAnsi" w:hAnsiTheme="majorHAnsi" w:cstheme="majorHAnsi"/>
          <w:b/>
          <w:bCs/>
          <w:i/>
          <w:iCs/>
          <w:sz w:val="32"/>
          <w:szCs w:val="32"/>
        </w:rPr>
        <w:t xml:space="preserve"> </w:t>
      </w:r>
      <w:proofErr w:type="spellStart"/>
      <w:r w:rsidRPr="00BD1D1A">
        <w:rPr>
          <w:rFonts w:asciiTheme="majorHAnsi" w:hAnsiTheme="majorHAnsi" w:cstheme="majorHAnsi"/>
          <w:b/>
          <w:bCs/>
          <w:i/>
          <w:iCs/>
          <w:sz w:val="32"/>
          <w:szCs w:val="32"/>
        </w:rPr>
        <w:t>transpacificus</w:t>
      </w:r>
      <w:proofErr w:type="spellEnd"/>
      <w:r w:rsidRPr="00BD1D1A">
        <w:rPr>
          <w:rFonts w:asciiTheme="majorHAnsi" w:hAnsiTheme="majorHAnsi" w:cstheme="majorHAnsi"/>
          <w:b/>
          <w:bCs/>
          <w:sz w:val="32"/>
          <w:szCs w:val="32"/>
        </w:rPr>
        <w:t xml:space="preserve"> (delta smelt)</w:t>
      </w:r>
    </w:p>
    <w:p w14:paraId="585B7462" w14:textId="65D5C501" w:rsidR="00F508DD" w:rsidRPr="00BD1D1A" w:rsidRDefault="007004E7" w:rsidP="00446C5D">
      <w:pPr>
        <w:rPr>
          <w:rFonts w:asciiTheme="majorHAnsi" w:hAnsiTheme="majorHAnsi" w:cstheme="majorHAnsi"/>
          <w:b/>
          <w:bCs/>
        </w:rPr>
      </w:pPr>
      <w:r w:rsidRPr="00BD1D1A">
        <w:rPr>
          <w:rFonts w:asciiTheme="majorHAnsi" w:hAnsiTheme="majorHAnsi" w:cstheme="majorHAnsi"/>
          <w:b/>
          <w:bCs/>
        </w:rPr>
        <w:t>Introduction</w:t>
      </w:r>
    </w:p>
    <w:p w14:paraId="478CC74A"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Methods</w:t>
      </w:r>
    </w:p>
    <w:p w14:paraId="7EC64D1A"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Tissue collection</w:t>
      </w:r>
    </w:p>
    <w:p w14:paraId="1888DBE1"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Isolation of high molecular weight genomics DNA extraction</w:t>
      </w:r>
    </w:p>
    <w:p w14:paraId="5567FCE9"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 xml:space="preserve"> Library prep and sequencing</w:t>
      </w:r>
    </w:p>
    <w:p w14:paraId="115E5D00"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Linked-read</w:t>
      </w:r>
    </w:p>
    <w:p w14:paraId="6C22811E"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Long-read</w:t>
      </w:r>
    </w:p>
    <w:p w14:paraId="02C05DFA"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Hi-C</w:t>
      </w:r>
    </w:p>
    <w:p w14:paraId="28E1FFE3"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Post sequencing quality control</w:t>
      </w:r>
    </w:p>
    <w:p w14:paraId="01226690" w14:textId="77777777" w:rsidR="00F508DD" w:rsidRPr="0021528F" w:rsidRDefault="00F508DD" w:rsidP="00446C5D">
      <w:pPr>
        <w:pStyle w:val="ListParagraph"/>
        <w:numPr>
          <w:ilvl w:val="0"/>
          <w:numId w:val="4"/>
        </w:numPr>
        <w:rPr>
          <w:rFonts w:asciiTheme="majorHAnsi" w:hAnsiTheme="majorHAnsi" w:cstheme="majorHAnsi"/>
        </w:rPr>
      </w:pPr>
      <w:r w:rsidRPr="0021528F">
        <w:rPr>
          <w:rFonts w:asciiTheme="majorHAnsi" w:hAnsiTheme="majorHAnsi" w:cstheme="majorHAnsi"/>
        </w:rPr>
        <w:t>Assembly</w:t>
      </w:r>
    </w:p>
    <w:p w14:paraId="1FC5442F"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Long-read sequencing assembly to create Draft Assembly A using </w:t>
      </w:r>
      <w:proofErr w:type="spellStart"/>
      <w:r w:rsidRPr="0021528F">
        <w:rPr>
          <w:rFonts w:asciiTheme="majorHAnsi" w:hAnsiTheme="majorHAnsi" w:cstheme="majorHAnsi"/>
        </w:rPr>
        <w:t>ipa</w:t>
      </w:r>
      <w:proofErr w:type="spellEnd"/>
    </w:p>
    <w:p w14:paraId="6DD57672"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Scaffolding Draft Assembly A with linked-reads to produce Draft Assembly B using Scaff10X</w:t>
      </w:r>
    </w:p>
    <w:p w14:paraId="312DE1AC"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Incorporation of hi-c sequencing data with Draft Assembly B to produce Draft Assembly C using SALSA2</w:t>
      </w:r>
    </w:p>
    <w:p w14:paraId="48375515"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Anchoring Draft Assembly C scaffolds into chromosomes using </w:t>
      </w:r>
      <w:proofErr w:type="spellStart"/>
      <w:r w:rsidRPr="0021528F">
        <w:rPr>
          <w:rFonts w:asciiTheme="majorHAnsi" w:hAnsiTheme="majorHAnsi" w:cstheme="majorHAnsi"/>
        </w:rPr>
        <w:t>chromonomer</w:t>
      </w:r>
      <w:proofErr w:type="spellEnd"/>
      <w:r w:rsidRPr="0021528F">
        <w:rPr>
          <w:rFonts w:asciiTheme="majorHAnsi" w:hAnsiTheme="majorHAnsi" w:cstheme="majorHAnsi"/>
        </w:rPr>
        <w:t xml:space="preserve"> to produce a chromosome-level Final Assembly</w:t>
      </w:r>
    </w:p>
    <w:p w14:paraId="0DC7D90E"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Genome assembly statistics</w:t>
      </w:r>
    </w:p>
    <w:p w14:paraId="46DE9A12" w14:textId="77777777" w:rsidR="00F508DD" w:rsidRPr="0021528F" w:rsidRDefault="00F508DD" w:rsidP="00446C5D">
      <w:pPr>
        <w:pStyle w:val="ListParagraph"/>
        <w:numPr>
          <w:ilvl w:val="1"/>
          <w:numId w:val="4"/>
        </w:numPr>
        <w:rPr>
          <w:rFonts w:asciiTheme="majorHAnsi" w:hAnsiTheme="majorHAnsi" w:cstheme="majorHAnsi"/>
        </w:rPr>
      </w:pPr>
      <w:r w:rsidRPr="0021528F">
        <w:rPr>
          <w:rFonts w:asciiTheme="majorHAnsi" w:hAnsiTheme="majorHAnsi" w:cstheme="majorHAnsi"/>
        </w:rPr>
        <w:t xml:space="preserve">Cytogenetic analysis </w:t>
      </w:r>
    </w:p>
    <w:p w14:paraId="64C96FEA"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Results</w:t>
      </w:r>
    </w:p>
    <w:p w14:paraId="1ED759DF" w14:textId="77777777" w:rsidR="00F508DD" w:rsidRPr="00BD1D1A" w:rsidRDefault="00F508DD" w:rsidP="00446C5D">
      <w:pPr>
        <w:rPr>
          <w:rFonts w:asciiTheme="majorHAnsi" w:hAnsiTheme="majorHAnsi" w:cstheme="majorHAnsi"/>
          <w:b/>
          <w:bCs/>
        </w:rPr>
      </w:pPr>
      <w:r w:rsidRPr="00BD1D1A">
        <w:rPr>
          <w:rFonts w:asciiTheme="majorHAnsi" w:hAnsiTheme="majorHAnsi" w:cstheme="majorHAnsi"/>
          <w:b/>
          <w:bCs/>
        </w:rPr>
        <w:t>Discussion</w:t>
      </w:r>
    </w:p>
    <w:p w14:paraId="13ABF67F" w14:textId="77777777" w:rsidR="0021528F" w:rsidRDefault="0021528F" w:rsidP="0021528F">
      <w:pPr>
        <w:spacing w:line="276" w:lineRule="auto"/>
        <w:ind w:right="270"/>
        <w:rPr>
          <w:rFonts w:asciiTheme="majorHAnsi" w:hAnsiTheme="majorHAnsi" w:cstheme="majorHAnsi"/>
          <w:b/>
          <w:bCs/>
          <w:color w:val="00000A"/>
        </w:rPr>
      </w:pPr>
    </w:p>
    <w:p w14:paraId="1C9C475F" w14:textId="77777777" w:rsidR="0021528F" w:rsidRDefault="0021528F" w:rsidP="0021528F">
      <w:pPr>
        <w:spacing w:line="276" w:lineRule="auto"/>
        <w:ind w:right="270"/>
        <w:rPr>
          <w:rFonts w:asciiTheme="majorHAnsi" w:hAnsiTheme="majorHAnsi" w:cstheme="majorHAnsi"/>
          <w:b/>
          <w:bCs/>
          <w:color w:val="00000A"/>
        </w:rPr>
      </w:pPr>
    </w:p>
    <w:p w14:paraId="3FB5DCF6" w14:textId="471C1D49" w:rsidR="0021528F" w:rsidRPr="0021528F" w:rsidRDefault="0021528F" w:rsidP="0021528F">
      <w:pPr>
        <w:spacing w:line="276" w:lineRule="auto"/>
        <w:ind w:right="270"/>
        <w:rPr>
          <w:rFonts w:asciiTheme="majorHAnsi" w:hAnsiTheme="majorHAnsi" w:cstheme="majorHAnsi"/>
          <w:b/>
          <w:bCs/>
          <w:color w:val="00000A"/>
        </w:rPr>
      </w:pPr>
      <w:r w:rsidRPr="0021528F">
        <w:rPr>
          <w:rFonts w:asciiTheme="majorHAnsi" w:hAnsiTheme="majorHAnsi" w:cstheme="majorHAnsi"/>
          <w:b/>
          <w:bCs/>
          <w:color w:val="00000A"/>
        </w:rPr>
        <w:t>Introduction</w:t>
      </w:r>
    </w:p>
    <w:p w14:paraId="59838F0F" w14:textId="07C8DC3E" w:rsidR="0021528F" w:rsidRPr="0021528F" w:rsidRDefault="0021528F" w:rsidP="0021528F">
      <w:pPr>
        <w:spacing w:line="276" w:lineRule="auto"/>
        <w:ind w:right="270"/>
        <w:rPr>
          <w:rFonts w:asciiTheme="majorHAnsi" w:hAnsiTheme="majorHAnsi" w:cstheme="majorHAnsi"/>
          <w:color w:val="00000A"/>
        </w:rPr>
      </w:pPr>
      <w:r w:rsidRPr="0021528F">
        <w:rPr>
          <w:rFonts w:asciiTheme="majorHAnsi" w:hAnsiTheme="majorHAnsi" w:cstheme="majorHAnsi"/>
          <w:color w:val="00000A"/>
        </w:rPr>
        <w:t>The use of next generation sequencing (NGS) technologies in conjunction with a highly contiguous and accurate reference genome increases the power and precision of inferences made in population genetic studies (e.g., analyses of population structure, genetic diversity, and local adaptation)</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{"citationID":"g9w79XJU","properties":{"formattedCitation":"\\super 8\\nosupersub{}","plainCitation":"8","noteIndex":0},"citationItems":[{"id":213,"uris":["http://zotero.org/users/local/3tku6QP0/items/SJQIKWLY"],"uri":["http://zotero.org/users/local/3tku6QP0/items/SJQIKWLY"],"itemData":{"id":213,"type":"article-journal","abstract":"We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8</w:t>
      </w:r>
      <w:r w:rsidRPr="0021528F">
        <w:rPr>
          <w:rFonts w:asciiTheme="majorHAnsi" w:hAnsiTheme="majorHAnsi" w:cstheme="majorHAnsi"/>
          <w:color w:val="00000A"/>
        </w:rPr>
        <w:fldChar w:fldCharType="end"/>
      </w:r>
      <w:r w:rsidRPr="0021528F">
        <w:rPr>
          <w:rFonts w:asciiTheme="majorHAnsi" w:hAnsiTheme="majorHAnsi" w:cstheme="majorHAnsi"/>
          <w:color w:val="00000A"/>
        </w:rPr>
        <w:t>. Without a reference genome, DNA sequences captured by the sequencer but not aligned to a reference genome fail to account for how each piece of sequenced DNA interacts with all other sequences (i.e., linkage patterns). However, by aligning to a reference genome we know where each segment of sequenced DNA lies within the genome and relative to other sequenced DNA. An assembled genome vastly increases the power to answer questions concerning demography, adaptation, fitness, and disease susceptibility.</w:t>
      </w:r>
      <w:r w:rsidRPr="0021528F">
        <w:rPr>
          <w:rFonts w:asciiTheme="majorHAnsi" w:hAnsiTheme="majorHAnsi" w:cstheme="majorHAnsi"/>
        </w:rPr>
        <w:fldChar w:fldCharType="begin"/>
      </w:r>
      <w:r w:rsidRPr="0021528F">
        <w:rPr>
          <w:rFonts w:asciiTheme="majorHAnsi" w:hAnsiTheme="majorHAnsi" w:cstheme="majorHAnsi"/>
          <w:color w:val="00000A"/>
        </w:rPr>
        <w:instrText xml:space="preserve"> ADDIN ZOTERO_ITEM CSL_CITATION {"citationID":"u7gi3JVa","properties":{"formattedCitation":"\\super 9,10\\nosupersub{}","plainCitation":"9,10","noteIndex":0},"citationItems":[{"id":"YezxCNvE/GnQk4zHK","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YezxCNvE/9c2lmnJ1","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9,10</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w:t>
      </w:r>
      <w:r w:rsidRPr="0021528F">
        <w:rPr>
          <w:rFonts w:asciiTheme="majorHAnsi" w:hAnsiTheme="majorHAnsi" w:cstheme="majorHAnsi"/>
          <w:color w:val="00000A"/>
        </w:rPr>
        <w:lastRenderedPageBreak/>
        <w:t>GREB1L region)</w:t>
      </w:r>
      <w:r w:rsidRPr="0021528F">
        <w:rPr>
          <w:rFonts w:asciiTheme="majorHAnsi" w:hAnsiTheme="majorHAnsi" w:cstheme="majorHAnsi"/>
        </w:rPr>
        <w:fldChar w:fldCharType="begin"/>
      </w:r>
      <w:r w:rsidRPr="0021528F">
        <w:rPr>
          <w:rFonts w:asciiTheme="majorHAnsi" w:hAnsiTheme="majorHAnsi" w:cstheme="majorHAnsi"/>
          <w:color w:val="00000A"/>
        </w:rPr>
        <w:instrText xml:space="preserve"> ADDIN ZOTERO_ITEM CSL_CITATION {"citationID":"qb3OHMtd","properties":{"formattedCitation":"\\super 11\\nosupersub{}","plainCitation":"11","noteIndex":0},"citationItems":[{"id":"YezxCNvE/BjITKRJZ","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11</w:t>
      </w:r>
      <w:r w:rsidRPr="0021528F">
        <w:rPr>
          <w:rFonts w:asciiTheme="majorHAnsi" w:hAnsiTheme="majorHAnsi" w:cstheme="majorHAnsi"/>
          <w:color w:val="00000A"/>
        </w:rPr>
        <w:fldChar w:fldCharType="end"/>
      </w:r>
      <w:r w:rsidRPr="0021528F">
        <w:rPr>
          <w:rFonts w:asciiTheme="majorHAnsi" w:hAnsiTheme="majorHAnsi" w:cstheme="majorHAnsi"/>
          <w:color w:val="00000A"/>
        </w:rPr>
        <w:t>. Since the 2017 study, continued improvements to salmonid reference genomes have enabled more detailed mapping of life-history variation and phenotypic traits in the same locus</w:t>
      </w:r>
      <w:r w:rsidRPr="0021528F">
        <w:rPr>
          <w:rFonts w:asciiTheme="majorHAnsi" w:hAnsiTheme="majorHAnsi" w:cstheme="majorHAnsi"/>
        </w:rPr>
        <w:fldChar w:fldCharType="begin"/>
      </w:r>
      <w:r w:rsidRPr="0021528F">
        <w:rPr>
          <w:rFonts w:asciiTheme="majorHAnsi" w:hAnsiTheme="majorHAnsi" w:cstheme="majorHAnsi"/>
          <w:color w:val="00000A"/>
        </w:rPr>
        <w:instrText xml:space="preserve"> ADDIN ZOTERO_ITEM CSL_CITATION {"citationID":"Z621VvDn","properties":{"formattedCitation":"\\super 12\\nosupersub{}","plainCitation":"12","noteIndex":0},"citationItems":[{"id":"YezxCNvE/MxTbyPds","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12</w:t>
      </w:r>
      <w:r w:rsidRPr="0021528F">
        <w:rPr>
          <w:rFonts w:asciiTheme="majorHAnsi" w:hAnsiTheme="majorHAnsi" w:cstheme="majorHAnsi"/>
          <w:color w:val="00000A"/>
        </w:rPr>
        <w:fldChar w:fldCharType="end"/>
      </w:r>
      <w:r w:rsidRPr="0021528F">
        <w:rPr>
          <w:rFonts w:asciiTheme="majorHAnsi" w:hAnsiTheme="majorHAnsi" w:cstheme="majorHAnsi"/>
          <w:color w:val="00000A"/>
        </w:rPr>
        <w:t>, which may lead to significant changes in management. This example underscores how reference genomes can propel conservation research forward.</w:t>
      </w:r>
    </w:p>
    <w:p w14:paraId="271408B2" w14:textId="77777777" w:rsidR="0021528F" w:rsidRPr="0021528F" w:rsidRDefault="0021528F" w:rsidP="0021528F">
      <w:pPr>
        <w:spacing w:line="276" w:lineRule="auto"/>
        <w:ind w:right="270" w:firstLine="720"/>
        <w:rPr>
          <w:rFonts w:asciiTheme="majorHAnsi" w:hAnsiTheme="majorHAnsi" w:cstheme="majorHAnsi"/>
        </w:rPr>
      </w:pPr>
    </w:p>
    <w:p w14:paraId="469E4AC3" w14:textId="77777777" w:rsidR="0021528F" w:rsidRPr="0021528F" w:rsidRDefault="0021528F" w:rsidP="0021528F">
      <w:pPr>
        <w:spacing w:line="276" w:lineRule="auto"/>
        <w:ind w:right="270"/>
        <w:rPr>
          <w:rFonts w:asciiTheme="majorHAnsi" w:hAnsiTheme="majorHAnsi" w:cstheme="majorHAnsi"/>
          <w:color w:val="00000A"/>
        </w:rPr>
      </w:pPr>
      <w:r w:rsidRPr="0021528F">
        <w:rPr>
          <w:rFonts w:asciiTheme="majorHAnsi" w:hAnsiTheme="majorHAnsi" w:cstheme="majorHAnsi"/>
          <w:color w:val="00000A"/>
        </w:rPr>
        <w:t>Recently, genome sequencing technologies have become both more cost effective and efficient. “Hybrid assemblies” (assemblies that use multiple NGS technologies) are a reliable way to achieve a chromosome-scale high-quality genome assembly</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{"citationID":"bj9GvkSb","properties":{"formattedCitation":"\\super 13,14\\nosupersub{}","plainCitation":"13,14","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13,14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{"citationID":"8JRKz8OI","properties":{"formattedCitation":"\\super 14\\nosupersub{}","plainCitation":"14","noteIndex":0},"citationItems":[{"id":478,"uris":["http://zotero.org/users/local/3tku6QP0/items/M6KU66UR"],"uri":["http://zotero.org/users/local/3tku6QP0/items/M6KU66UR"],"itemData":{"id":478,"type":"article-journal","abstract":"Abstract\n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Therefore, a main goal of this project is to develop a highly accurate chromosome-scale reference genome, hereafter called “reference genome”, using linked-reads (Box 1), long-reads (Box 2), hi-c chromatin confirmation capture (Box 3), a genetic linkage map</w:t>
      </w:r>
      <w:r w:rsidRPr="0021528F">
        <w:rPr>
          <w:rFonts w:asciiTheme="majorHAnsi" w:hAnsiTheme="majorHAnsi" w:cstheme="majorHAnsi"/>
        </w:rPr>
        <w:fldChar w:fldCharType="begin"/>
      </w:r>
      <w:r w:rsidRPr="0021528F">
        <w:rPr>
          <w:rFonts w:asciiTheme="majorHAnsi" w:hAnsiTheme="majorHAnsi" w:cstheme="majorHAnsi"/>
          <w:color w:val="00000A"/>
        </w:rPr>
        <w:instrText>ADDIN ZOTERO_ITEM CSL_CITATION {"citationID":"sXgPEv10","properties":{"formattedCitation":"\\super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15</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and various assembly software programs (Figure 1).</w:t>
      </w:r>
    </w:p>
    <w:p w14:paraId="41A6FA39" w14:textId="77777777" w:rsidR="0021528F" w:rsidRPr="0021528F" w:rsidRDefault="0021528F" w:rsidP="0021528F">
      <w:pPr>
        <w:spacing w:line="276" w:lineRule="auto"/>
        <w:ind w:right="270"/>
        <w:rPr>
          <w:rFonts w:asciiTheme="majorHAnsi" w:hAnsiTheme="majorHAnsi" w:cstheme="majorHAnsi"/>
          <w:color w:val="00000A"/>
        </w:rPr>
      </w:pPr>
      <w:r w:rsidRPr="0021528F">
        <w:rPr>
          <w:rFonts w:asciiTheme="majorHAnsi" w:hAnsiTheme="majorHAnsi" w:cstheme="majorHAnsi"/>
          <w:color w:val="00000A"/>
        </w:rPr>
        <w:t xml:space="preserve"> </w:t>
      </w:r>
    </w:p>
    <w:p w14:paraId="3DDA3F50" w14:textId="77777777" w:rsidR="0021528F" w:rsidRPr="0021528F" w:rsidRDefault="0021528F" w:rsidP="0021528F">
      <w:pPr>
        <w:rPr>
          <w:rFonts w:asciiTheme="majorHAnsi" w:hAnsiTheme="majorHAnsi" w:cstheme="majorHAnsi"/>
        </w:rPr>
        <w:sectPr w:rsidR="0021528F" w:rsidRPr="0021528F">
          <w:pgSz w:w="12240" w:h="15840"/>
          <w:pgMar w:top="1440" w:right="1440" w:bottom="1440" w:left="1440" w:header="0" w:footer="0" w:gutter="0"/>
          <w:cols w:space="720"/>
          <w:formProt w:val="0"/>
          <w:docGrid w:linePitch="360"/>
        </w:sectPr>
      </w:pPr>
    </w:p>
    <w:p w14:paraId="78BBBB66" w14:textId="77777777" w:rsidR="0021528F" w:rsidRPr="0021528F" w:rsidRDefault="0021528F" w:rsidP="0021528F">
      <w:pPr>
        <w:spacing w:line="276" w:lineRule="auto"/>
        <w:rPr>
          <w:rFonts w:asciiTheme="majorHAnsi" w:hAnsiTheme="majorHAnsi" w:cstheme="majorHAnsi"/>
          <w:color w:val="00000A"/>
        </w:rPr>
      </w:pPr>
      <w:r w:rsidRPr="0021528F">
        <w:rPr>
          <w:rFonts w:asciiTheme="majorHAnsi" w:hAnsiTheme="majorHAnsi" w:cstheme="majorHAnsi"/>
        </w:rPr>
        <w:br w:type="page"/>
      </w:r>
    </w:p>
    <w:p w14:paraId="55112201" w14:textId="77777777" w:rsidR="0021528F" w:rsidRPr="0021528F" w:rsidRDefault="0021528F" w:rsidP="0021528F">
      <w:pPr>
        <w:spacing w:line="276" w:lineRule="auto"/>
        <w:ind w:right="270"/>
        <w:rPr>
          <w:rFonts w:asciiTheme="majorHAnsi" w:hAnsiTheme="majorHAnsi" w:cstheme="majorHAnsi"/>
          <w:color w:val="00000A"/>
        </w:rPr>
      </w:pPr>
    </w:p>
    <w:p w14:paraId="0D525436"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1:</w:t>
      </w:r>
      <w:r w:rsidRPr="0021528F">
        <w:rPr>
          <w:rFonts w:asciiTheme="majorHAnsi" w:hAnsiTheme="majorHAnsi" w:cstheme="majorHAnsi"/>
          <w:b/>
          <w:bCs/>
          <w:color w:val="00000A"/>
        </w:rPr>
        <w:t xml:space="preserve"> Linked-read sequencing methods</w:t>
      </w:r>
      <w:r w:rsidRPr="0021528F">
        <w:rPr>
          <w:rFonts w:asciiTheme="majorHAnsi" w:hAnsiTheme="majorHAnsi" w:cstheme="majorHAnsi"/>
          <w:color w:val="00000A"/>
        </w:rPr>
        <w:t xml:space="preserve">, (e.g., 10X Genomics) take large segments of extracted DNA (around 50kbp) from an organism’s genome and put them into individual oil beads. Within each oil bead, the segment of DNA is sheared to a length that an Illumina sequencer can read (~300-500bp) and barcodes corresponding to the oil bead are attached on either side. </w:t>
      </w:r>
      <w:proofErr w:type="gramStart"/>
      <w:r w:rsidRPr="0021528F">
        <w:rPr>
          <w:rFonts w:asciiTheme="majorHAnsi" w:hAnsiTheme="majorHAnsi" w:cstheme="majorHAnsi"/>
          <w:color w:val="00000A"/>
        </w:rPr>
        <w:t>All of</w:t>
      </w:r>
      <w:proofErr w:type="gramEnd"/>
      <w:r w:rsidRPr="0021528F">
        <w:rPr>
          <w:rFonts w:asciiTheme="majorHAnsi" w:hAnsiTheme="majorHAnsi" w:cstheme="majorHAnsi"/>
          <w:color w:val="00000A"/>
        </w:rPr>
        <w:t xml:space="preserve"> the oil beads are then pooled together and sequenced to get highly accurate base calls with pseudo-long reads.</w:t>
      </w:r>
    </w:p>
    <w:p w14:paraId="2A7558E9"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p>
    <w:p w14:paraId="72E0AC72"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rPr>
      </w:pPr>
      <w:r w:rsidRPr="0021528F">
        <w:rPr>
          <w:rFonts w:asciiTheme="majorHAnsi" w:hAnsiTheme="majorHAnsi" w:cstheme="majorHAnsi"/>
          <w:noProof/>
        </w:rPr>
        <w:drawing>
          <wp:inline distT="0" distB="0" distL="0" distR="0" wp14:anchorId="1C984ABF" wp14:editId="19784CB1">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5"/>
                    <a:stretch>
                      <a:fillRect/>
                    </a:stretch>
                  </pic:blipFill>
                  <pic:spPr bwMode="auto">
                    <a:xfrm>
                      <a:off x="0" y="0"/>
                      <a:ext cx="5782945" cy="2218055"/>
                    </a:xfrm>
                    <a:prstGeom prst="rect">
                      <a:avLst/>
                    </a:prstGeom>
                  </pic:spPr>
                </pic:pic>
              </a:graphicData>
            </a:graphic>
          </wp:inline>
        </w:drawing>
      </w:r>
    </w:p>
    <w:p w14:paraId="30448E65"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sz w:val="10"/>
          <w:szCs w:val="10"/>
        </w:rPr>
        <w:t>Image taken from: https://genome.med.harvard.edu/services/singleCell/ViewOverview.action</w:t>
      </w:r>
    </w:p>
    <w:p w14:paraId="511791A1" w14:textId="77777777" w:rsidR="0021528F" w:rsidRPr="0021528F" w:rsidRDefault="0021528F" w:rsidP="0021528F">
      <w:pPr>
        <w:spacing w:line="276" w:lineRule="auto"/>
        <w:ind w:right="270"/>
        <w:rPr>
          <w:rFonts w:asciiTheme="majorHAnsi" w:hAnsiTheme="majorHAnsi" w:cstheme="majorHAnsi"/>
          <w:color w:val="00000A"/>
        </w:rPr>
      </w:pPr>
    </w:p>
    <w:p w14:paraId="103ABEA2"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2:</w:t>
      </w:r>
      <w:r w:rsidRPr="0021528F">
        <w:rPr>
          <w:rFonts w:asciiTheme="majorHAnsi" w:hAnsiTheme="majorHAnsi" w:cstheme="majorHAnsi"/>
          <w:b/>
          <w:bCs/>
          <w:color w:val="00000A"/>
        </w:rPr>
        <w:t xml:space="preserve"> Long-read sequencing methods</w:t>
      </w:r>
      <w:r w:rsidRPr="0021528F">
        <w:rPr>
          <w:rFonts w:asciiTheme="majorHAnsi" w:hAnsiTheme="majorHAnsi" w:cstheme="majorHAnsi"/>
          <w:color w:val="00000A"/>
        </w:rPr>
        <w:t>, (e.g., PacBio HiFi) take long segments of extracted DNA (over 50kbp), shear them into a few segments (10-20kbp) and circularize each segment. The circular molecules are then run through a sequencer to get an accurate circular consensus sequence over 20kbp in length.</w:t>
      </w:r>
    </w:p>
    <w:p w14:paraId="38B00AF8"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noProof/>
        </w:rPr>
        <w:drawing>
          <wp:inline distT="0" distB="0" distL="0" distR="0" wp14:anchorId="3722EAD5" wp14:editId="5197C0A0">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6"/>
                    <a:stretch>
                      <a:fillRect/>
                    </a:stretch>
                  </pic:blipFill>
                  <pic:spPr bwMode="auto">
                    <a:xfrm>
                      <a:off x="0" y="0"/>
                      <a:ext cx="5715000" cy="2513965"/>
                    </a:xfrm>
                    <a:prstGeom prst="rect">
                      <a:avLst/>
                    </a:prstGeom>
                  </pic:spPr>
                </pic:pic>
              </a:graphicData>
            </a:graphic>
          </wp:inline>
        </w:drawing>
      </w:r>
      <w:r w:rsidRPr="0021528F">
        <w:rPr>
          <w:rFonts w:asciiTheme="majorHAnsi" w:hAnsiTheme="majorHAnsi" w:cstheme="majorHAnsi"/>
          <w:sz w:val="10"/>
          <w:szCs w:val="10"/>
        </w:rPr>
        <w:t>Image taken from: https://www.pacb.com/smrt-science/smrt-sequencing/hifi-reads-for-highly-accurate-long-read-sequencing/</w:t>
      </w:r>
    </w:p>
    <w:p w14:paraId="54A195D2" w14:textId="77777777" w:rsidR="0021528F" w:rsidRPr="0021528F" w:rsidRDefault="0021528F" w:rsidP="0021528F">
      <w:pPr>
        <w:spacing w:line="276" w:lineRule="auto"/>
        <w:rPr>
          <w:rFonts w:asciiTheme="majorHAnsi" w:hAnsiTheme="majorHAnsi" w:cstheme="majorHAnsi"/>
          <w:color w:val="00000A"/>
        </w:rPr>
      </w:pPr>
      <w:r w:rsidRPr="0021528F">
        <w:rPr>
          <w:rFonts w:asciiTheme="majorHAnsi" w:hAnsiTheme="majorHAnsi" w:cstheme="majorHAnsi"/>
        </w:rPr>
        <w:br w:type="page"/>
      </w:r>
    </w:p>
    <w:p w14:paraId="55FD8F4D" w14:textId="77777777" w:rsidR="0021528F" w:rsidRPr="0021528F" w:rsidRDefault="0021528F" w:rsidP="0021528F">
      <w:pPr>
        <w:spacing w:line="276" w:lineRule="auto"/>
        <w:ind w:right="270"/>
        <w:rPr>
          <w:rFonts w:asciiTheme="majorHAnsi" w:hAnsiTheme="majorHAnsi" w:cstheme="majorHAnsi"/>
          <w:color w:val="00000A"/>
        </w:rPr>
      </w:pPr>
    </w:p>
    <w:p w14:paraId="7B6F5A08"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b/>
          <w:bCs/>
          <w:color w:val="00000A"/>
          <w:u w:val="single"/>
        </w:rPr>
        <w:t>BOX 3:</w:t>
      </w:r>
      <w:r w:rsidRPr="0021528F">
        <w:rPr>
          <w:rFonts w:asciiTheme="majorHAnsi" w:hAnsiTheme="majorHAnsi" w:cstheme="majorHAnsi"/>
          <w:b/>
          <w:bCs/>
          <w:color w:val="00000A"/>
        </w:rPr>
        <w:t xml:space="preserve"> Hi-C chromatin confirmation capture</w:t>
      </w:r>
      <w:r w:rsidRPr="0021528F">
        <w:rPr>
          <w:rFonts w:asciiTheme="majorHAnsi" w:hAnsiTheme="majorHAnsi" w:cstheme="majorHAnsi"/>
          <w:color w:val="00000A"/>
        </w:rPr>
        <w:t xml:space="preserve"> takes DNA in the nucleus and links </w:t>
      </w:r>
      <w:proofErr w:type="gramStart"/>
      <w:r w:rsidRPr="0021528F">
        <w:rPr>
          <w:rFonts w:asciiTheme="majorHAnsi" w:hAnsiTheme="majorHAnsi" w:cstheme="majorHAnsi"/>
          <w:color w:val="00000A"/>
        </w:rPr>
        <w:t>all of</w:t>
      </w:r>
      <w:proofErr w:type="gramEnd"/>
      <w:r w:rsidRPr="0021528F">
        <w:rPr>
          <w:rFonts w:asciiTheme="majorHAnsi" w:hAnsiTheme="majorHAnsi" w:cstheme="majorHAnsi"/>
          <w:color w:val="00000A"/>
        </w:rPr>
        <w:t xml:space="preserve"> the locations that are touching together. It then shears the linked DNA into lengths appropriate for short-read sequencing (300-500bp). The frequency at which two segments of DNA are found linked together is inversely proportional to the distance between them in the genome. That is, if two segments of DNA are close to one another, they will be sequenced together many times.</w:t>
      </w:r>
    </w:p>
    <w:p w14:paraId="79DDD5AC"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rPr>
      </w:pPr>
      <w:r w:rsidRPr="0021528F">
        <w:rPr>
          <w:rFonts w:asciiTheme="majorHAnsi" w:hAnsiTheme="majorHAnsi" w:cstheme="majorHAnsi"/>
          <w:noProof/>
        </w:rPr>
        <w:drawing>
          <wp:inline distT="0" distB="0" distL="0" distR="0" wp14:anchorId="45C58C65" wp14:editId="46A7E977">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7"/>
                    <a:stretch>
                      <a:fillRect/>
                    </a:stretch>
                  </pic:blipFill>
                  <pic:spPr bwMode="auto">
                    <a:xfrm>
                      <a:off x="0" y="0"/>
                      <a:ext cx="5706110" cy="2477135"/>
                    </a:xfrm>
                    <a:prstGeom prst="rect">
                      <a:avLst/>
                    </a:prstGeom>
                  </pic:spPr>
                </pic:pic>
              </a:graphicData>
            </a:graphic>
          </wp:inline>
        </w:drawing>
      </w:r>
    </w:p>
    <w:p w14:paraId="4E5B0F8F"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color w:val="00000A"/>
        </w:rPr>
      </w:pPr>
      <w:r w:rsidRPr="0021528F">
        <w:rPr>
          <w:rFonts w:asciiTheme="majorHAnsi" w:hAnsiTheme="majorHAnsi" w:cstheme="majorHAnsi"/>
          <w:sz w:val="10"/>
          <w:szCs w:val="10"/>
        </w:rPr>
        <w:t>Image taken from: https://data.4dnucleome.org/experiment-types/dilution-hi-c/</w:t>
      </w:r>
    </w:p>
    <w:p w14:paraId="7F755523" w14:textId="77777777" w:rsidR="0021528F" w:rsidRPr="0021528F" w:rsidRDefault="0021528F" w:rsidP="0021528F">
      <w:pPr>
        <w:rPr>
          <w:rFonts w:asciiTheme="majorHAnsi" w:hAnsiTheme="majorHAnsi" w:cstheme="majorHAnsi"/>
        </w:rPr>
        <w:sectPr w:rsidR="0021528F" w:rsidRPr="0021528F">
          <w:type w:val="continuous"/>
          <w:pgSz w:w="12240" w:h="15840"/>
          <w:pgMar w:top="1440" w:right="1440" w:bottom="1440" w:left="1440" w:header="0" w:footer="0" w:gutter="0"/>
          <w:cols w:space="720"/>
          <w:formProt w:val="0"/>
          <w:docGrid w:linePitch="360"/>
        </w:sectPr>
      </w:pPr>
    </w:p>
    <w:p w14:paraId="53500AA3" w14:textId="326AD6C9" w:rsidR="0021528F" w:rsidRPr="0021528F" w:rsidRDefault="0021528F" w:rsidP="0021528F">
      <w:pPr>
        <w:pStyle w:val="Heading1"/>
        <w:spacing w:line="276" w:lineRule="auto"/>
        <w:rPr>
          <w:rFonts w:asciiTheme="majorHAnsi" w:hAnsiTheme="majorHAnsi" w:cstheme="majorHAnsi"/>
          <w:bCs/>
        </w:rPr>
      </w:pPr>
    </w:p>
    <w:p w14:paraId="2440F0AA" w14:textId="1C97A3E9" w:rsidR="007004E7" w:rsidRPr="007004E7" w:rsidRDefault="007004E7" w:rsidP="0021528F">
      <w:pPr>
        <w:spacing w:line="276" w:lineRule="auto"/>
        <w:ind w:right="270"/>
        <w:rPr>
          <w:rFonts w:asciiTheme="majorHAnsi" w:hAnsiTheme="majorHAnsi" w:cstheme="majorHAnsi"/>
          <w:b/>
          <w:bCs/>
          <w:i/>
        </w:rPr>
      </w:pPr>
      <w:r w:rsidRPr="007004E7">
        <w:rPr>
          <w:rFonts w:asciiTheme="majorHAnsi" w:hAnsiTheme="majorHAnsi" w:cstheme="majorHAnsi"/>
          <w:b/>
          <w:bCs/>
        </w:rPr>
        <w:t>Method</w:t>
      </w:r>
      <w:r w:rsidRPr="007004E7">
        <w:rPr>
          <w:rFonts w:asciiTheme="majorHAnsi" w:hAnsiTheme="majorHAnsi" w:cstheme="majorHAnsi"/>
          <w:b/>
          <w:bCs/>
        </w:rPr>
        <w:t>s</w:t>
      </w:r>
    </w:p>
    <w:p w14:paraId="7888824E" w14:textId="3B075B28" w:rsidR="0021528F" w:rsidRPr="0021528F" w:rsidRDefault="0021528F" w:rsidP="0021528F">
      <w:pPr>
        <w:spacing w:line="276" w:lineRule="auto"/>
        <w:ind w:right="270"/>
        <w:rPr>
          <w:rFonts w:asciiTheme="majorHAnsi" w:hAnsiTheme="majorHAnsi" w:cstheme="majorHAnsi"/>
          <w:i/>
        </w:rPr>
      </w:pPr>
      <w:r>
        <w:rPr>
          <w:rFonts w:asciiTheme="majorHAnsi" w:hAnsiTheme="majorHAnsi" w:cstheme="majorHAnsi"/>
          <w:i/>
        </w:rPr>
        <w:t>Sample Collection</w:t>
      </w:r>
      <w:r w:rsidR="00720299">
        <w:rPr>
          <w:rFonts w:asciiTheme="majorHAnsi" w:hAnsiTheme="majorHAnsi" w:cstheme="majorHAnsi"/>
          <w:i/>
        </w:rPr>
        <w:t xml:space="preserve"> (Figure 1A)</w:t>
      </w:r>
    </w:p>
    <w:p w14:paraId="27FBE37F"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The first step in our genome assembly was to collect tissue for the extraction of high molecular weight (HMW) genomic DNA from both male and female fish. HMW DNA is extracted using a special protocol that produces longer DNA fragment lengths (&gt;50 kilobases) compared to standard DNA extractions (&lt;10 kilobases). HMW DNA is required for each of the three sequencing technologies (linked-read, long-read and hi-c) that we used to create our genome assembly. </w:t>
      </w: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examine potential sex-determining regions, we sequenced both male and female samples to create two sex-specific genome assemblies. </w:t>
      </w:r>
    </w:p>
    <w:p w14:paraId="05534E0A" w14:textId="77777777" w:rsidR="0021528F" w:rsidRPr="0021528F" w:rsidRDefault="0021528F" w:rsidP="0021528F">
      <w:pPr>
        <w:spacing w:line="276" w:lineRule="auto"/>
        <w:ind w:right="270"/>
        <w:rPr>
          <w:rFonts w:asciiTheme="majorHAnsi" w:hAnsiTheme="majorHAnsi" w:cstheme="majorHAnsi"/>
          <w:b/>
          <w:bCs/>
          <w:u w:val="single"/>
        </w:rPr>
      </w:pPr>
    </w:p>
    <w:p w14:paraId="67E5935F" w14:textId="2909A359" w:rsidR="0021528F" w:rsidRDefault="0021528F" w:rsidP="0021528F">
      <w:pPr>
        <w:spacing w:line="276" w:lineRule="auto"/>
        <w:ind w:right="270"/>
        <w:rPr>
          <w:rFonts w:asciiTheme="majorHAnsi" w:hAnsiTheme="majorHAnsi" w:cstheme="majorHAnsi"/>
        </w:rPr>
      </w:pPr>
      <w:r w:rsidRPr="0021528F">
        <w:rPr>
          <w:rFonts w:asciiTheme="majorHAnsi" w:hAnsiTheme="majorHAnsi" w:cstheme="majorHAnsi"/>
        </w:rPr>
        <w:t>Though we had intended to make a single trip to the FCCL to collect delta smelt samples for sequencing, we found recovering sufficient HMW DNA difficult, and ended up conducting four separate trips to sample different tissue types from 600 days post hatch (</w:t>
      </w:r>
      <w:proofErr w:type="spellStart"/>
      <w:r w:rsidRPr="0021528F">
        <w:rPr>
          <w:rFonts w:asciiTheme="majorHAnsi" w:hAnsiTheme="majorHAnsi" w:cstheme="majorHAnsi"/>
        </w:rPr>
        <w:t>dph</w:t>
      </w:r>
      <w:proofErr w:type="spellEnd"/>
      <w:r w:rsidRPr="0021528F">
        <w:rPr>
          <w:rFonts w:asciiTheme="majorHAnsi" w:hAnsiTheme="majorHAnsi" w:cstheme="majorHAnsi"/>
        </w:rPr>
        <w:t xml:space="preserve">) male and female delta smelt (Table 2) with the final goal of producing enough HMW DNA to sequence each sex with each of the three technologies. Additionally, at the start of this project long-read sequencing was costly and we sought to only incorporate the sequencing technology if </w:t>
      </w:r>
      <w:proofErr w:type="gramStart"/>
      <w:r w:rsidRPr="0021528F">
        <w:rPr>
          <w:rFonts w:asciiTheme="majorHAnsi" w:hAnsiTheme="majorHAnsi" w:cstheme="majorHAnsi"/>
        </w:rPr>
        <w:t>absolutely necessary</w:t>
      </w:r>
      <w:proofErr w:type="gramEnd"/>
      <w:r w:rsidRPr="0021528F">
        <w:rPr>
          <w:rFonts w:asciiTheme="majorHAnsi" w:hAnsiTheme="majorHAnsi" w:cstheme="majorHAnsi"/>
        </w:rPr>
        <w:t xml:space="preserve">. Therefore, for our first and second sampling trips we sought to acquire enough tissue to provide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for linked-read and hi-c sequencing. However, at the end of 2019 the price of long-read sequencing dropped dramatically. This development combined with our mixed results from Trips 1 and 2, prompted a third trip to acquire enough tissue to sequence a single male fish with all three of our chosen technologies, and enough tissue from a female fish to sequence with long-reads (as already we had enough HMW DNA for a female for hi-c and linked-reads). An error committed by the sequencing center required us to make one additional trip, Trip 4, to sample one additional male specimen. On each occasion fish were euthanized according to the approved animal care protocols/standard operating procedures. Back muscle, internal organ, and/or scale tissues were sampled onsite at the FCCL and cooled for transportation directly to the UC Davis DNA Technologies &amp; Expression Analysis Core Laboratory (UC Davis Sequencing Center). </w:t>
      </w:r>
    </w:p>
    <w:p w14:paraId="71CC5363" w14:textId="46A7F6CC" w:rsidR="0021528F" w:rsidRDefault="0021528F" w:rsidP="0021528F">
      <w:pPr>
        <w:spacing w:line="276" w:lineRule="auto"/>
        <w:ind w:right="270"/>
        <w:rPr>
          <w:rFonts w:asciiTheme="majorHAnsi" w:hAnsiTheme="majorHAnsi" w:cstheme="majorHAnsi"/>
        </w:rPr>
      </w:pPr>
    </w:p>
    <w:p w14:paraId="725CA9AB" w14:textId="77777777" w:rsidR="0021528F" w:rsidRDefault="0021528F" w:rsidP="0021528F">
      <w:pPr>
        <w:spacing w:line="276" w:lineRule="auto"/>
        <w:ind w:right="270"/>
        <w:rPr>
          <w:rFonts w:asciiTheme="majorHAnsi" w:hAnsiTheme="majorHAnsi" w:cstheme="majorHAnsi"/>
          <w:i/>
        </w:rPr>
      </w:pPr>
      <w:r w:rsidRPr="0021528F">
        <w:rPr>
          <w:rFonts w:asciiTheme="majorHAnsi" w:hAnsiTheme="majorHAnsi" w:cstheme="majorHAnsi"/>
          <w:i/>
        </w:rPr>
        <w:t>Isolation of high molecular weight genomic DNA (Figure 1B)</w:t>
      </w:r>
    </w:p>
    <w:p w14:paraId="67E5F7FC"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For linked-read and long-read sequencing, HMW DNA extractions from the fish tissues occurred at the UC Davis Sequencing Center using the protocol described in </w:t>
      </w:r>
      <w:proofErr w:type="spellStart"/>
      <w:r w:rsidRPr="0021528F">
        <w:rPr>
          <w:rFonts w:asciiTheme="majorHAnsi" w:hAnsiTheme="majorHAnsi" w:cstheme="majorHAnsi"/>
        </w:rPr>
        <w:t>Wasko</w:t>
      </w:r>
      <w:proofErr w:type="spellEnd"/>
      <w:r w:rsidRPr="0021528F">
        <w:rPr>
          <w:rFonts w:asciiTheme="majorHAnsi" w:hAnsiTheme="majorHAnsi" w:cstheme="majorHAnsi"/>
        </w:rPr>
        <w:t xml:space="preserve"> </w:t>
      </w:r>
      <w:r w:rsidRPr="0021528F">
        <w:rPr>
          <w:rFonts w:asciiTheme="majorHAnsi" w:hAnsiTheme="majorHAnsi" w:cstheme="majorHAnsi"/>
          <w:i/>
          <w:iCs/>
        </w:rPr>
        <w:t>et al.</w:t>
      </w:r>
      <w:r w:rsidRPr="0021528F">
        <w:rPr>
          <w:rFonts w:asciiTheme="majorHAnsi" w:hAnsiTheme="majorHAnsi" w:cstheme="majorHAnsi"/>
        </w:rPr>
        <w:t xml:space="preserve"> (2003)</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{"citationID":"M9LPnqZ1","properties":{"formattedCitation":"\\super 17\\nosupersub{}","plainCitation":"17","noteIndex":0},"citationItems":[{"id":"YezxCNvE/ZfKqpN1c","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17</w:t>
      </w:r>
      <w:r w:rsidRPr="0021528F">
        <w:rPr>
          <w:rFonts w:asciiTheme="majorHAnsi" w:hAnsiTheme="majorHAnsi" w:cstheme="majorHAnsi"/>
        </w:rPr>
        <w:fldChar w:fldCharType="end"/>
      </w:r>
      <w:r w:rsidRPr="0021528F">
        <w:rPr>
          <w:rFonts w:asciiTheme="majorHAnsi" w:hAnsiTheme="majorHAnsi" w:cstheme="majorHAnsi"/>
        </w:rPr>
        <w:t xml:space="preserve">. The size range of extracted DNA fragments were determined using a pulse field gel run for 24 hours. This run was conducted at a low frequency to not shear the DNA. Physical sampling and extractions were repeated until the mean distribution of extraction lengths was 50kbp or greater and there was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to carry out the required </w:t>
      </w:r>
      <w:r w:rsidRPr="0021528F">
        <w:rPr>
          <w:rFonts w:asciiTheme="majorHAnsi" w:hAnsiTheme="majorHAnsi" w:cstheme="majorHAnsi"/>
        </w:rPr>
        <w:lastRenderedPageBreak/>
        <w:t>sequencing technologies for each sex. For HMW DNA extractions and subsequent hi-c sequencing, a female tissue sample was sent to Phase Genomics and a male tissue sample was sent to the Vertebrate Genome Project for isolation of HMW DNA. Samples were sent to different locations due to COVID-19 delays at Phase Genomics during the time of sampling the male fish.</w:t>
      </w:r>
    </w:p>
    <w:p w14:paraId="34B3D770" w14:textId="5A282904" w:rsidR="0021528F" w:rsidRDefault="0021528F" w:rsidP="0021528F">
      <w:pPr>
        <w:spacing w:line="276" w:lineRule="auto"/>
        <w:ind w:right="270"/>
        <w:rPr>
          <w:rFonts w:asciiTheme="majorHAnsi" w:hAnsiTheme="majorHAnsi" w:cstheme="majorHAnsi"/>
          <w:b/>
          <w:bCs/>
          <w:u w:val="single"/>
        </w:rPr>
      </w:pPr>
    </w:p>
    <w:p w14:paraId="544A3F9C" w14:textId="77777777" w:rsidR="00720299" w:rsidRPr="0021528F" w:rsidRDefault="00720299" w:rsidP="00720299">
      <w:pPr>
        <w:spacing w:line="276" w:lineRule="auto"/>
        <w:ind w:right="270"/>
        <w:rPr>
          <w:rFonts w:asciiTheme="majorHAnsi" w:hAnsiTheme="majorHAnsi" w:cstheme="majorHAnsi"/>
          <w:i/>
        </w:rPr>
      </w:pPr>
      <w:r w:rsidRPr="00720299">
        <w:rPr>
          <w:rFonts w:asciiTheme="majorHAnsi" w:hAnsiTheme="majorHAnsi" w:cstheme="majorHAnsi"/>
          <w:i/>
        </w:rPr>
        <w:t>Long-read library prep &amp; sequencing (Figure 1C</w:t>
      </w:r>
      <w:r>
        <w:rPr>
          <w:rFonts w:asciiTheme="majorHAnsi" w:hAnsiTheme="majorHAnsi" w:cstheme="majorHAnsi"/>
          <w:i/>
        </w:rPr>
        <w:t>)</w:t>
      </w:r>
    </w:p>
    <w:p w14:paraId="3F771BDD"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The inclusion of long-read data dramatically assists in creating a more contiguous genome assembly because it spans repetitive elements and resolves chimeric sequences (erroneously joined artifact sequences) throughout the genome. This means that long-read data provides greater continuity of scaffolded </w:t>
      </w:r>
      <w:r w:rsidRPr="0021528F">
        <w:rPr>
          <w:rFonts w:asciiTheme="majorHAnsi" w:hAnsiTheme="majorHAnsi" w:cstheme="majorHAnsi"/>
          <w:b/>
          <w:bCs/>
        </w:rPr>
        <w:t>contigs</w:t>
      </w:r>
      <w:r w:rsidRPr="0021528F">
        <w:rPr>
          <w:rFonts w:asciiTheme="majorHAnsi" w:hAnsiTheme="majorHAnsi" w:cstheme="majorHAnsi"/>
        </w:rPr>
        <w:t xml:space="preserve"> (</w:t>
      </w:r>
      <w:r w:rsidRPr="0021528F">
        <w:rPr>
          <w:rFonts w:asciiTheme="majorHAnsi" w:hAnsiTheme="majorHAnsi" w:cstheme="majorHAnsi"/>
          <w:bCs/>
        </w:rPr>
        <w:t>a stretch of DNA sequence created from a consensus of reads)</w:t>
      </w:r>
      <w:r w:rsidRPr="0021528F">
        <w:rPr>
          <w:rFonts w:asciiTheme="majorHAnsi" w:hAnsiTheme="majorHAnsi" w:cstheme="majorHAnsi"/>
        </w:rPr>
        <w:t xml:space="preserve">. This is because the reads (sequence fragments produced by the sequencer) are thousands rather than hundreds of base pairs long. Previously, long-read sequencing was both costly and had a high error rate of up to 10%. During 2020, a new PacBio HiFi chemistry was developed which dramatically reduces the number of errors to under 1%. </w:t>
      </w:r>
    </w:p>
    <w:p w14:paraId="5774BF1B" w14:textId="77777777" w:rsidR="00720299" w:rsidRPr="0021528F" w:rsidRDefault="00720299" w:rsidP="00720299">
      <w:pPr>
        <w:spacing w:line="276" w:lineRule="auto"/>
        <w:ind w:right="270"/>
        <w:rPr>
          <w:rFonts w:asciiTheme="majorHAnsi" w:hAnsiTheme="majorHAnsi" w:cstheme="majorHAnsi"/>
          <w:b/>
          <w:bCs/>
          <w:u w:val="single"/>
        </w:rPr>
      </w:pPr>
    </w:p>
    <w:p w14:paraId="34D45623" w14:textId="77777777" w:rsidR="00720299" w:rsidRPr="0021528F" w:rsidRDefault="00720299" w:rsidP="00720299">
      <w:pPr>
        <w:spacing w:line="276" w:lineRule="auto"/>
        <w:rPr>
          <w:rFonts w:asciiTheme="majorHAnsi" w:hAnsiTheme="majorHAnsi" w:cstheme="majorHAnsi"/>
          <w:b/>
          <w:bCs/>
          <w:u w:val="single"/>
        </w:rPr>
      </w:pPr>
      <w:r w:rsidRPr="0021528F">
        <w:rPr>
          <w:rFonts w:asciiTheme="majorHAnsi" w:hAnsiTheme="majorHAnsi" w:cstheme="majorHAnsi"/>
          <w:lang w:val="en"/>
        </w:rPr>
        <w:t xml:space="preserve">PacBio </w:t>
      </w:r>
      <w:r w:rsidRPr="0021528F">
        <w:rPr>
          <w:rFonts w:asciiTheme="majorHAnsi" w:hAnsiTheme="majorHAnsi" w:cstheme="majorHAnsi"/>
        </w:rPr>
        <w:t xml:space="preserve">HiFi </w:t>
      </w:r>
      <w:proofErr w:type="spellStart"/>
      <w:r w:rsidRPr="0021528F">
        <w:rPr>
          <w:rFonts w:asciiTheme="majorHAnsi" w:hAnsiTheme="majorHAnsi" w:cstheme="majorHAnsi"/>
        </w:rPr>
        <w:t>SMRTbell</w:t>
      </w:r>
      <w:proofErr w:type="spellEnd"/>
      <w:r w:rsidRPr="0021528F">
        <w:rPr>
          <w:rFonts w:asciiTheme="majorHAnsi" w:hAnsiTheme="majorHAnsi" w:cstheme="majorHAnsi"/>
        </w:rPr>
        <w:t>® Libraries (</w:t>
      </w:r>
      <w:hyperlink r:id="rId8">
        <w:r w:rsidRPr="0021528F">
          <w:rPr>
            <w:rStyle w:val="Hyperlink"/>
            <w:rFonts w:asciiTheme="majorHAnsi" w:hAnsiTheme="majorHAnsi" w:cstheme="majorHAnsi"/>
            <w:lang w:val="en"/>
          </w:rPr>
          <w:t>https://www.pacb.com/</w:t>
        </w:r>
      </w:hyperlink>
      <w:r w:rsidRPr="0021528F">
        <w:rPr>
          <w:rFonts w:asciiTheme="majorHAnsi" w:hAnsiTheme="majorHAnsi" w:cstheme="majorHAnsi"/>
          <w:lang w:val="en"/>
        </w:rPr>
        <w:t xml:space="preserve">) </w:t>
      </w:r>
      <w:r w:rsidRPr="0021528F">
        <w:rPr>
          <w:rFonts w:asciiTheme="majorHAnsi" w:hAnsiTheme="majorHAnsi" w:cstheme="majorHAnsi"/>
        </w:rPr>
        <w:t xml:space="preserve">were prepped following the </w:t>
      </w:r>
      <w:proofErr w:type="spellStart"/>
      <w:r w:rsidRPr="0021528F">
        <w:rPr>
          <w:rFonts w:asciiTheme="majorHAnsi" w:hAnsiTheme="majorHAnsi" w:cstheme="majorHAnsi"/>
        </w:rPr>
        <w:t>SMRTbell</w:t>
      </w:r>
      <w:proofErr w:type="spellEnd"/>
      <w:r w:rsidRPr="0021528F">
        <w:rPr>
          <w:rFonts w:asciiTheme="majorHAnsi" w:hAnsiTheme="majorHAnsi" w:cstheme="majorHAnsi"/>
        </w:rPr>
        <w:t xml:space="preserve"> Express Template Prep Kit 2.0 procedure. The UC Davis Sequencing Center used a </w:t>
      </w:r>
      <w:proofErr w:type="spellStart"/>
      <w:r w:rsidRPr="0021528F">
        <w:rPr>
          <w:rFonts w:asciiTheme="majorHAnsi" w:hAnsiTheme="majorHAnsi" w:cstheme="majorHAnsi"/>
        </w:rPr>
        <w:t>Megaruptor</w:t>
      </w:r>
      <w:proofErr w:type="spellEnd"/>
      <w:r w:rsidRPr="0021528F">
        <w:rPr>
          <w:rFonts w:asciiTheme="majorHAnsi" w:hAnsiTheme="majorHAnsi" w:cstheme="majorHAnsi"/>
        </w:rPr>
        <w:t xml:space="preserve"> to shear DNA to an average fragment length of ~15kb. The input for the library prep was 5.6 ug of DNA and the library was size selected down to be 11kb. Prepped DNA was run on a Sequel II machine and sequencing data was collected as recorded “movies” of nucleotides. Each movie collection lasted for 30 hours per run. Additional movies were collected until the amount of sequencing data for each sex was ~25-30x coverage.</w:t>
      </w:r>
    </w:p>
    <w:p w14:paraId="51BA6482" w14:textId="191153C2" w:rsidR="00720299" w:rsidRDefault="00720299" w:rsidP="0021528F">
      <w:pPr>
        <w:spacing w:line="276" w:lineRule="auto"/>
        <w:ind w:right="270"/>
        <w:rPr>
          <w:rFonts w:asciiTheme="majorHAnsi" w:hAnsiTheme="majorHAnsi" w:cstheme="majorHAnsi"/>
          <w:b/>
          <w:bCs/>
          <w:u w:val="single"/>
        </w:rPr>
      </w:pPr>
    </w:p>
    <w:p w14:paraId="15C7586C"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Pr>
          <w:rFonts w:asciiTheme="majorHAnsi" w:hAnsiTheme="majorHAnsi" w:cstheme="majorHAnsi"/>
          <w:i/>
        </w:rPr>
        <w:t>:</w:t>
      </w:r>
      <w:r w:rsidRPr="00720299">
        <w:t xml:space="preserve"> </w:t>
      </w:r>
      <w:r w:rsidRPr="00720299">
        <w:rPr>
          <w:rFonts w:asciiTheme="majorHAnsi" w:hAnsiTheme="majorHAnsi" w:cstheme="majorHAnsi"/>
          <w:i/>
        </w:rPr>
        <w:t>Linked-read library prep &amp; sequencing (Figure 1C</w:t>
      </w:r>
      <w:r>
        <w:rPr>
          <w:rFonts w:asciiTheme="majorHAnsi" w:hAnsiTheme="majorHAnsi" w:cstheme="majorHAnsi"/>
          <w:i/>
        </w:rPr>
        <w:t>)</w:t>
      </w:r>
    </w:p>
    <w:p w14:paraId="1B97EE6B"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Once we had sufficient extracted HMW genomic DNA fragments, DNA was adjusted to a concentration of 0.91 ng/µl. We selected the 10X Genomics platform (</w:t>
      </w:r>
      <w:hyperlink r:id="rId9">
        <w:r w:rsidRPr="0021528F">
          <w:rPr>
            <w:rStyle w:val="Hyperlink"/>
            <w:rFonts w:asciiTheme="majorHAnsi" w:hAnsiTheme="majorHAnsi" w:cstheme="majorHAnsi"/>
          </w:rPr>
          <w:t>https://www.10xgenomics.com/technology/</w:t>
        </w:r>
      </w:hyperlink>
      <w:r w:rsidRPr="0021528F">
        <w:rPr>
          <w:rFonts w:asciiTheme="majorHAnsi" w:hAnsiTheme="majorHAnsi" w:cstheme="majorHAnsi"/>
        </w:rPr>
        <w:t xml:space="preserve">) to generate our linked-read sequence data. 10X Genomics library preparation takes extracted HMW gDNA, shears it into 50kbp long segments, inserts each fragment into an oil coated gel emulsion bead (GEM), further shears DNA within each bead, and attaches one unique barcode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We used a </w:t>
      </w:r>
      <w:r w:rsidRPr="0021528F">
        <w:rPr>
          <w:rFonts w:asciiTheme="majorHAnsi" w:hAnsiTheme="majorHAnsi" w:cstheme="majorHAnsi"/>
        </w:rPr>
        <w:lastRenderedPageBreak/>
        <w:t xml:space="preserve">previous RAD-sequencing-based estimate of a haploid delta smelt genome size (0.6Gb) to sequence the first sample to an estimated 80x coverage. </w:t>
      </w:r>
    </w:p>
    <w:p w14:paraId="2EA247C7" w14:textId="77777777" w:rsidR="00720299" w:rsidRPr="0021528F" w:rsidRDefault="00720299" w:rsidP="00720299">
      <w:pPr>
        <w:spacing w:line="276" w:lineRule="auto"/>
        <w:ind w:right="270"/>
        <w:rPr>
          <w:rFonts w:asciiTheme="majorHAnsi" w:hAnsiTheme="majorHAnsi" w:cstheme="majorHAnsi"/>
          <w:b/>
          <w:bCs/>
          <w:u w:val="single"/>
        </w:rPr>
      </w:pPr>
    </w:p>
    <w:p w14:paraId="22A86D05"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Because we successfully extracted HMW DNA from a female individual first, we used the female linked-read data to improve our estimate of delta smelt genome size with a more accurate k-mer (where k is equal to a specified sequence length) based approach with the software Genomescope2</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18</w:t>
      </w:r>
      <w:r w:rsidRPr="0021528F">
        <w:rPr>
          <w:rFonts w:asciiTheme="majorHAnsi" w:hAnsiTheme="majorHAnsi" w:cstheme="majorHAnsi"/>
        </w:rPr>
        <w:fldChar w:fldCharType="end"/>
      </w:r>
      <w:r w:rsidRPr="0021528F">
        <w:rPr>
          <w:rFonts w:asciiTheme="majorHAnsi" w:hAnsiTheme="majorHAnsi" w:cstheme="majorHAnsi"/>
        </w:rPr>
        <w:t>. We then used the updated genome size estimate to adjust the amount of linked-read sequencing data collected for the male sample.</w:t>
      </w:r>
    </w:p>
    <w:p w14:paraId="48C702E8" w14:textId="1874115B" w:rsidR="00720299" w:rsidRDefault="00720299" w:rsidP="0021528F">
      <w:pPr>
        <w:spacing w:line="276" w:lineRule="auto"/>
        <w:ind w:right="270"/>
        <w:rPr>
          <w:rFonts w:asciiTheme="majorHAnsi" w:hAnsiTheme="majorHAnsi" w:cstheme="majorHAnsi"/>
          <w:b/>
          <w:bCs/>
          <w:u w:val="single"/>
        </w:rPr>
      </w:pPr>
    </w:p>
    <w:p w14:paraId="701F0530"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Hi-C chromatin conformation capture prep &amp; sequencing (Figure 1C)</w:t>
      </w:r>
    </w:p>
    <w:p w14:paraId="7116F4ED"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Genomic DNA in eukaryotes has high levels of repetition, leading to unresolved gaps surrounding large repetitive elements such as in the middle and at the ends of each chromosome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19</w:t>
      </w:r>
      <w:r w:rsidRPr="0021528F">
        <w:rPr>
          <w:rFonts w:asciiTheme="majorHAnsi" w:hAnsiTheme="majorHAnsi" w:cstheme="majorHAnsi"/>
        </w:rPr>
        <w:fldChar w:fldCharType="end"/>
      </w:r>
      <w:r w:rsidRPr="0021528F">
        <w:rPr>
          <w:rFonts w:asciiTheme="majorHAnsi" w:hAnsiTheme="majorHAnsi" w:cstheme="majorHAnsi"/>
        </w:rPr>
        <w:t xml:space="preserve">. </w:t>
      </w: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resolve these gaps, we used hi-c chromatin conformation capture (hi-c). We outsourced the female hi-c library prep and sequencing to Phase Genomics in Seattle, WA in 2019. Phase used their in-house proprietary library preparation and sequencing protocols. Raw sequencing data and an initial scaffolding report were received for the female sample. Unfortunately, when we had male tissue available for hi-c sequencing the COVID-19 global pandemic response was underway. Due to the lack of availability of sequencing centers accepting new material, we outsourced the male hi-c sequencing to the Vertebrate Genome Project at Rockefeller. The data from these sequencing runs have yet to be returned to us at the GVL, and with no estimated return date. However, because hi-c links long-range interactions, we were able to use the female sequencing data for both male and female scaffolding.</w:t>
      </w:r>
    </w:p>
    <w:p w14:paraId="37CA8A0E" w14:textId="76F58166" w:rsidR="00720299" w:rsidRDefault="00720299" w:rsidP="0021528F">
      <w:pPr>
        <w:spacing w:line="276" w:lineRule="auto"/>
        <w:ind w:right="270"/>
        <w:rPr>
          <w:rFonts w:asciiTheme="majorHAnsi" w:hAnsiTheme="majorHAnsi" w:cstheme="majorHAnsi"/>
          <w:b/>
          <w:bCs/>
          <w:u w:val="single"/>
        </w:rPr>
      </w:pPr>
    </w:p>
    <w:p w14:paraId="0C43EE63"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Long-read post-sequencing quality control (Figure 1C)</w:t>
      </w:r>
    </w:p>
    <w:p w14:paraId="251CFBC5" w14:textId="77777777" w:rsidR="00720299" w:rsidRPr="0021528F" w:rsidRDefault="00720299" w:rsidP="00720299">
      <w:pPr>
        <w:spacing w:line="276" w:lineRule="auto"/>
        <w:rPr>
          <w:rFonts w:asciiTheme="majorHAnsi" w:hAnsiTheme="majorHAnsi" w:cstheme="majorHAnsi"/>
          <w:b/>
          <w:bCs/>
          <w:u w:val="single"/>
        </w:rPr>
      </w:pPr>
      <w:r w:rsidRPr="0021528F">
        <w:rPr>
          <w:rFonts w:asciiTheme="majorHAnsi" w:hAnsiTheme="majorHAnsi" w:cstheme="majorHAnsi"/>
        </w:rPr>
        <w:t xml:space="preserve">Sequencing data were downloaded from </w:t>
      </w:r>
      <w:proofErr w:type="spellStart"/>
      <w:r w:rsidRPr="0021528F">
        <w:rPr>
          <w:rFonts w:asciiTheme="majorHAnsi" w:hAnsiTheme="majorHAnsi" w:cstheme="majorHAnsi"/>
        </w:rPr>
        <w:t>Bioshare</w:t>
      </w:r>
      <w:proofErr w:type="spellEnd"/>
      <w:r w:rsidRPr="0021528F">
        <w:rPr>
          <w:rFonts w:asciiTheme="majorHAnsi" w:hAnsiTheme="majorHAnsi" w:cstheme="majorHAnsi"/>
        </w:rPr>
        <w:t>, the UC Davis Sequencing Center’s host service. We used PacBio’s CCS statistical model on raw reads (</w:t>
      </w:r>
      <w:hyperlink r:id="rId10">
        <w:r w:rsidRPr="0021528F">
          <w:rPr>
            <w:rStyle w:val="Hyperlink"/>
            <w:rFonts w:asciiTheme="majorHAnsi" w:hAnsiTheme="majorHAnsi" w:cstheme="majorHAnsi"/>
          </w:rPr>
          <w:t>https://github.com/PacificBiosciences/ccs</w:t>
        </w:r>
      </w:hyperlink>
      <w:r w:rsidRPr="0021528F">
        <w:rPr>
          <w:rFonts w:asciiTheme="majorHAnsi" w:hAnsiTheme="majorHAnsi" w:cstheme="majorHAnsi"/>
        </w:rPr>
        <w:t xml:space="preserve">) to generate highly accurate consensus sequences with known base quality values and convert binary data to </w:t>
      </w:r>
      <w:proofErr w:type="spellStart"/>
      <w:r w:rsidRPr="0021528F">
        <w:rPr>
          <w:rFonts w:asciiTheme="majorHAnsi" w:hAnsiTheme="majorHAnsi" w:cstheme="majorHAnsi"/>
        </w:rPr>
        <w:t>fastq</w:t>
      </w:r>
      <w:proofErr w:type="spellEnd"/>
      <w:r w:rsidRPr="0021528F">
        <w:rPr>
          <w:rFonts w:asciiTheme="majorHAnsi" w:hAnsiTheme="majorHAnsi" w:cstheme="majorHAnsi"/>
        </w:rPr>
        <w:t xml:space="preserve"> format for downstream analysis. A base quality value assigns a score to each letter (nucleotide) of sequencing data to denote the level of confidence in each base called by the sequencer. Reads with quality scores over Q20, denoting an error probability of 0.01%, were used for subsequent assembly.</w:t>
      </w:r>
    </w:p>
    <w:p w14:paraId="4372200A" w14:textId="77777777" w:rsidR="00720299" w:rsidRDefault="00720299" w:rsidP="0021528F">
      <w:pPr>
        <w:spacing w:line="276" w:lineRule="auto"/>
        <w:ind w:right="270"/>
        <w:rPr>
          <w:rFonts w:asciiTheme="majorHAnsi" w:hAnsiTheme="majorHAnsi" w:cstheme="majorHAnsi"/>
          <w:b/>
          <w:bCs/>
          <w:u w:val="single"/>
        </w:rPr>
      </w:pPr>
    </w:p>
    <w:p w14:paraId="0CA2F07A" w14:textId="77777777" w:rsidR="00720299" w:rsidRPr="0021528F" w:rsidRDefault="00720299" w:rsidP="00720299">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Linked-read post-sequencing quality control (Figure 1C)</w:t>
      </w:r>
    </w:p>
    <w:p w14:paraId="61F01EE8"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To quality control for contamination and sequencing bias errors, we conducted three computational quality control steps (kat hist, kat </w:t>
      </w:r>
      <w:proofErr w:type="spellStart"/>
      <w:r w:rsidRPr="0021528F">
        <w:rPr>
          <w:rFonts w:asciiTheme="majorHAnsi" w:hAnsiTheme="majorHAnsi" w:cstheme="majorHAnsi"/>
        </w:rPr>
        <w:t>gcp</w:t>
      </w:r>
      <w:proofErr w:type="spellEnd"/>
      <w:r w:rsidRPr="0021528F">
        <w:rPr>
          <w:rFonts w:asciiTheme="majorHAnsi" w:hAnsiTheme="majorHAnsi" w:cstheme="majorHAnsi"/>
        </w:rPr>
        <w:t xml:space="preserve"> and kat comp) using the software program KAT</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{"citationID":"rTYXloYS","properties":{"formattedCitation":"\\super 20\\nosupersub{}","plainCitation":"20","noteIndex":0},"citationItems":[{"id":"YezxCNvE/99D0KFLa","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20</w:t>
      </w:r>
      <w:r w:rsidRPr="0021528F">
        <w:rPr>
          <w:rFonts w:asciiTheme="majorHAnsi" w:hAnsiTheme="majorHAnsi" w:cstheme="majorHAnsi"/>
        </w:rPr>
        <w:fldChar w:fldCharType="end"/>
      </w:r>
      <w:r w:rsidRPr="0021528F">
        <w:rPr>
          <w:rFonts w:asciiTheme="majorHAnsi" w:hAnsiTheme="majorHAnsi" w:cstheme="majorHAnsi"/>
        </w:rPr>
        <w:t>. Each step splits sequencing data into sub-sequences of a given length, or k-</w:t>
      </w:r>
      <w:r w:rsidRPr="0021528F">
        <w:rPr>
          <w:rFonts w:asciiTheme="majorHAnsi" w:hAnsiTheme="majorHAnsi" w:cstheme="majorHAnsi"/>
        </w:rPr>
        <w:lastRenderedPageBreak/>
        <w:t xml:space="preserve">mers, and plots out frequencies, or comparisons, to visually inspect the data for quality issues. All bioinformatics work was conducted on the UC Davis farm compute cluster (the farm). </w:t>
      </w:r>
    </w:p>
    <w:p w14:paraId="53DE9906" w14:textId="77777777" w:rsidR="00720299" w:rsidRPr="0021528F" w:rsidRDefault="00720299" w:rsidP="00720299">
      <w:pPr>
        <w:spacing w:line="276" w:lineRule="auto"/>
        <w:ind w:right="270" w:firstLine="720"/>
        <w:rPr>
          <w:rFonts w:asciiTheme="majorHAnsi" w:hAnsiTheme="majorHAnsi" w:cstheme="majorHAnsi"/>
          <w:b/>
          <w:bCs/>
          <w:u w:val="single"/>
        </w:rPr>
      </w:pPr>
    </w:p>
    <w:p w14:paraId="1DA166DB"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looked for signs of contamination using the kat hist and kat </w:t>
      </w:r>
      <w:proofErr w:type="spellStart"/>
      <w:r w:rsidRPr="0021528F">
        <w:rPr>
          <w:rFonts w:asciiTheme="majorHAnsi" w:hAnsiTheme="majorHAnsi" w:cstheme="majorHAnsi"/>
        </w:rPr>
        <w:t>gcp</w:t>
      </w:r>
      <w:proofErr w:type="spellEnd"/>
      <w:r w:rsidRPr="0021528F">
        <w:rPr>
          <w:rFonts w:asciiTheme="majorHAnsi" w:hAnsiTheme="majorHAnsi" w:cstheme="majorHAnsi"/>
        </w:rPr>
        <w:t xml:space="preserve"> functions within the software KAT. First, we used the kat hist function to check for signs of contamination by plotting a histogram of the observed number of distinct k-mers at different frequencies for lengths k=21, 31, and 41 for female and male sequencing data. Uncontaminated samples are expected to have a single peak with a surplus of k-mers at a very low frequency due to sequencer errors. Second, we used the kat </w:t>
      </w:r>
      <w:proofErr w:type="spellStart"/>
      <w:r w:rsidRPr="0021528F">
        <w:rPr>
          <w:rFonts w:asciiTheme="majorHAnsi" w:hAnsiTheme="majorHAnsi" w:cstheme="majorHAnsi"/>
        </w:rPr>
        <w:t>gcp</w:t>
      </w:r>
      <w:proofErr w:type="spellEnd"/>
      <w:r w:rsidRPr="0021528F">
        <w:rPr>
          <w:rFonts w:asciiTheme="majorHAnsi" w:hAnsiTheme="majorHAnsi" w:cstheme="majorHAnsi"/>
        </w:rPr>
        <w:t xml:space="preserve"> function to plot the proportion of the k-mer comprised of the G and C nucleotides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 We plotted GC counts against the frequency of k-mers of length k=21, 31, and 41 for the female and male sequencing data. </w:t>
      </w:r>
    </w:p>
    <w:p w14:paraId="53F393B5" w14:textId="77777777" w:rsidR="00720299" w:rsidRPr="0021528F" w:rsidRDefault="00720299" w:rsidP="00720299">
      <w:pPr>
        <w:spacing w:line="276" w:lineRule="auto"/>
        <w:ind w:right="270"/>
        <w:rPr>
          <w:rFonts w:asciiTheme="majorHAnsi" w:hAnsiTheme="majorHAnsi" w:cstheme="majorHAnsi"/>
          <w:b/>
          <w:bCs/>
          <w:u w:val="single"/>
        </w:rPr>
      </w:pPr>
    </w:p>
    <w:p w14:paraId="427670C7" w14:textId="77777777" w:rsidR="00720299" w:rsidRPr="0021528F" w:rsidRDefault="00720299" w:rsidP="00720299">
      <w:pPr>
        <w:spacing w:line="276" w:lineRule="auto"/>
        <w:ind w:right="270"/>
        <w:rPr>
          <w:rFonts w:asciiTheme="majorHAnsi" w:hAnsiTheme="majorHAnsi" w:cstheme="majorHAnsi"/>
          <w:b/>
          <w:bCs/>
          <w:u w:val="single"/>
        </w:rPr>
      </w:pPr>
      <w:r w:rsidRPr="0021528F">
        <w:rPr>
          <w:rFonts w:asciiTheme="majorHAnsi" w:hAnsiTheme="majorHAnsi" w:cstheme="majorHAnsi"/>
          <w:iCs/>
        </w:rPr>
        <w:t>Lastly, we evaluated the data for sequencing bias between the forward (R1) and reverse (R2) files.</w:t>
      </w:r>
      <w:r w:rsidRPr="0021528F">
        <w:rPr>
          <w:rFonts w:asciiTheme="majorHAnsi" w:hAnsiTheme="majorHAnsi" w:cstheme="majorHAnsi"/>
        </w:rPr>
        <w:t xml:space="preserve"> We used the kat comp function to plot the frequency of a given k-mer in each of the paired-end sequence data files. Sequencing bias in either of the two files would result in an irregular pattern in the number of distinct k-mers. We plotted the number of distinct k-mers at different frequencies for the R1 and R2 files against one another for k-mers of length k=21, 31, and 41 for the female and male sequencing data.</w:t>
      </w:r>
    </w:p>
    <w:p w14:paraId="26047A73" w14:textId="1A8786BE" w:rsidR="00720299" w:rsidRDefault="00720299" w:rsidP="0021528F">
      <w:pPr>
        <w:spacing w:line="276" w:lineRule="auto"/>
        <w:ind w:right="270"/>
        <w:rPr>
          <w:rFonts w:asciiTheme="majorHAnsi" w:hAnsiTheme="majorHAnsi" w:cstheme="majorHAnsi"/>
          <w:b/>
          <w:bCs/>
          <w:u w:val="single"/>
        </w:rPr>
      </w:pPr>
    </w:p>
    <w:p w14:paraId="74CD5152" w14:textId="77777777" w:rsidR="009F3A8B" w:rsidRPr="0021528F" w:rsidRDefault="009F3A8B" w:rsidP="009F3A8B">
      <w:pPr>
        <w:spacing w:line="276" w:lineRule="auto"/>
        <w:ind w:right="270"/>
        <w:rPr>
          <w:rFonts w:asciiTheme="majorHAnsi" w:hAnsiTheme="majorHAnsi" w:cstheme="majorHAnsi"/>
          <w:i/>
        </w:rPr>
      </w:pPr>
      <w:r w:rsidRPr="0021528F">
        <w:rPr>
          <w:rFonts w:asciiTheme="majorHAnsi" w:hAnsiTheme="majorHAnsi" w:cstheme="majorHAnsi"/>
          <w:i/>
        </w:rPr>
        <w:t>Methods</w:t>
      </w:r>
      <w:r w:rsidRPr="009F3A8B">
        <w:t xml:space="preserve"> </w:t>
      </w:r>
      <w:r w:rsidRPr="009F3A8B">
        <w:rPr>
          <w:rFonts w:asciiTheme="majorHAnsi" w:hAnsiTheme="majorHAnsi" w:cstheme="majorHAnsi"/>
          <w:i/>
        </w:rPr>
        <w:t>Hi-C chromatin conformation capture post-sequencing quality control (Figure 1C)</w:t>
      </w:r>
    </w:p>
    <w:p w14:paraId="03B5AB9B" w14:textId="77777777" w:rsidR="009F3A8B" w:rsidRPr="0021528F" w:rsidRDefault="009F3A8B" w:rsidP="009F3A8B">
      <w:pPr>
        <w:spacing w:line="276" w:lineRule="auto"/>
        <w:ind w:right="270"/>
        <w:rPr>
          <w:rFonts w:asciiTheme="majorHAnsi" w:hAnsiTheme="majorHAnsi" w:cstheme="majorHAnsi"/>
          <w:b/>
          <w:bCs/>
          <w:u w:val="single"/>
        </w:rPr>
      </w:pP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assess if our sequencing data would be useful in linking scaffolds, we looked at a percentage of high-quality reads (minimum mapping quality of greater than or equal to 20, a maximum edit distance of less than or equal to 5, and no duplications) that mapped to our draft assembly created from the next step. We also observed the number of reads which aligned to each contig (&gt;600 desired) and the number of reads that are sufficiently far apart (1-15% expected).</w:t>
      </w:r>
    </w:p>
    <w:p w14:paraId="6B8513AD" w14:textId="33197821" w:rsidR="009F3A8B" w:rsidRDefault="009F3A8B" w:rsidP="009F3A8B">
      <w:pPr>
        <w:spacing w:line="276" w:lineRule="auto"/>
        <w:ind w:right="270"/>
        <w:rPr>
          <w:rFonts w:asciiTheme="majorHAnsi" w:hAnsiTheme="majorHAnsi" w:cstheme="majorHAnsi"/>
          <w:b/>
          <w:bCs/>
          <w:u w:val="single"/>
        </w:rPr>
      </w:pPr>
    </w:p>
    <w:p w14:paraId="0800BD57" w14:textId="77777777" w:rsidR="009F3A8B" w:rsidRPr="0021528F" w:rsidRDefault="009F3A8B" w:rsidP="009F3A8B">
      <w:pPr>
        <w:spacing w:line="276" w:lineRule="auto"/>
        <w:ind w:right="270"/>
        <w:rPr>
          <w:rFonts w:asciiTheme="majorHAnsi" w:hAnsiTheme="majorHAnsi" w:cstheme="majorHAnsi"/>
          <w:i/>
        </w:rPr>
      </w:pPr>
      <w:r w:rsidRPr="0021528F">
        <w:rPr>
          <w:rFonts w:asciiTheme="majorHAnsi" w:hAnsiTheme="majorHAnsi" w:cstheme="majorHAnsi"/>
          <w:i/>
        </w:rPr>
        <w:t xml:space="preserve">Methods </w:t>
      </w:r>
      <w:r w:rsidRPr="009F3A8B">
        <w:rPr>
          <w:rFonts w:asciiTheme="majorHAnsi" w:hAnsiTheme="majorHAnsi" w:cstheme="majorHAnsi"/>
          <w:i/>
        </w:rPr>
        <w:t>Genome assembly (Figure 1D-H)</w:t>
      </w:r>
    </w:p>
    <w:p w14:paraId="1F6C65A2" w14:textId="77777777" w:rsidR="009F3A8B" w:rsidRPr="0021528F" w:rsidRDefault="009F3A8B" w:rsidP="009F3A8B">
      <w:pPr>
        <w:spacing w:line="276" w:lineRule="auto"/>
        <w:ind w:right="270"/>
        <w:rPr>
          <w:rFonts w:asciiTheme="majorHAnsi" w:hAnsiTheme="majorHAnsi" w:cstheme="majorHAnsi"/>
          <w:iCs/>
        </w:rPr>
      </w:pPr>
      <w:r w:rsidRPr="0021528F">
        <w:rPr>
          <w:rFonts w:asciiTheme="majorHAnsi" w:hAnsiTheme="majorHAnsi" w:cstheme="majorHAnsi"/>
          <w:iCs/>
        </w:rPr>
        <w:t>We have broken this section into various steps for clarity and flow when describing the iterative process of assembling a eukaryotic genome.</w:t>
      </w:r>
    </w:p>
    <w:p w14:paraId="1C83C614" w14:textId="77777777" w:rsidR="009F3A8B" w:rsidRPr="0021528F" w:rsidRDefault="009F3A8B" w:rsidP="009F3A8B">
      <w:pPr>
        <w:spacing w:line="276" w:lineRule="auto"/>
        <w:ind w:right="270"/>
        <w:rPr>
          <w:rFonts w:asciiTheme="majorHAnsi" w:hAnsiTheme="majorHAnsi" w:cstheme="majorHAnsi"/>
          <w:iCs/>
        </w:rPr>
      </w:pPr>
    </w:p>
    <w:p w14:paraId="0652B906"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1: Use long-read sequencing data to create Draft Assembly A</w:t>
      </w:r>
    </w:p>
    <w:p w14:paraId="2E90C0CC"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To begin, we generated two phased assemblies, one for each sex, by inputting the long-read sequencing data into the Improved Phased Assembly tool (IPA, </w:t>
      </w:r>
      <w:hyperlink r:id="rId11">
        <w:r w:rsidRPr="0021528F">
          <w:rPr>
            <w:rStyle w:val="Hyperlink"/>
            <w:rFonts w:asciiTheme="majorHAnsi" w:hAnsiTheme="majorHAnsi" w:cstheme="majorHAnsi"/>
          </w:rPr>
          <w:t>https://github.com/PacificBiosciences/pbipa</w:t>
        </w:r>
      </w:hyperlink>
      <w:r w:rsidRPr="0021528F">
        <w:rPr>
          <w:rFonts w:asciiTheme="majorHAnsi" w:hAnsiTheme="majorHAnsi" w:cstheme="majorHAnsi"/>
        </w:rPr>
        <w:t xml:space="preserve">). The assembly product was polished of errors, purged of duplicate </w:t>
      </w:r>
      <w:proofErr w:type="spellStart"/>
      <w:r w:rsidRPr="0021528F">
        <w:rPr>
          <w:rFonts w:asciiTheme="majorHAnsi" w:hAnsiTheme="majorHAnsi" w:cstheme="majorHAnsi"/>
        </w:rPr>
        <w:t>haplotigs</w:t>
      </w:r>
      <w:proofErr w:type="spellEnd"/>
      <w:r w:rsidRPr="0021528F">
        <w:rPr>
          <w:rFonts w:asciiTheme="majorHAnsi" w:hAnsiTheme="majorHAnsi" w:cstheme="majorHAnsi"/>
        </w:rPr>
        <w:t xml:space="preserve">, and phased into primary and alternative assembly files. The primary assembly file contains a contiguous haploid assembly, while the alternate assembly file contains the alternate haplotype of the diploid delta smelt. </w:t>
      </w:r>
    </w:p>
    <w:p w14:paraId="02410CA2" w14:textId="77777777" w:rsidR="009F3A8B" w:rsidRPr="0021528F" w:rsidRDefault="009F3A8B" w:rsidP="009F3A8B">
      <w:pPr>
        <w:spacing w:line="276" w:lineRule="auto"/>
        <w:ind w:right="270"/>
        <w:rPr>
          <w:rFonts w:asciiTheme="majorHAnsi" w:hAnsiTheme="majorHAnsi" w:cstheme="majorHAnsi"/>
          <w:b/>
          <w:bCs/>
          <w:u w:val="single"/>
        </w:rPr>
      </w:pPr>
    </w:p>
    <w:p w14:paraId="148E5103"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2: Incorporate linked-reads into Draft Assembly A to produce Draft Assembly B</w:t>
      </w:r>
    </w:p>
    <w:p w14:paraId="32C68F60"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After creating the initial draft assembly, we incorporated the linked-read data to first break the assembly at locations that were incorrectly joined, then to scaffold the assembly into larger, more contiguous chunks using the software scaff10x (</w:t>
      </w:r>
      <w:hyperlink r:id="rId12">
        <w:r w:rsidRPr="0021528F">
          <w:rPr>
            <w:rStyle w:val="Hyperlink"/>
            <w:rFonts w:asciiTheme="majorHAnsi" w:hAnsiTheme="majorHAnsi" w:cstheme="majorHAnsi"/>
          </w:rPr>
          <w:t>https://github.com/wtsi-hpag/Scaff10X</w:t>
        </w:r>
      </w:hyperlink>
      <w:r w:rsidRPr="0021528F">
        <w:rPr>
          <w:rFonts w:asciiTheme="majorHAnsi" w:hAnsiTheme="majorHAnsi" w:cstheme="majorHAnsi"/>
        </w:rPr>
        <w:t xml:space="preserve">). </w:t>
      </w:r>
    </w:p>
    <w:p w14:paraId="06771199" w14:textId="77777777" w:rsidR="009F3A8B" w:rsidRPr="0021528F" w:rsidRDefault="009F3A8B" w:rsidP="009F3A8B">
      <w:pPr>
        <w:spacing w:line="276" w:lineRule="auto"/>
        <w:ind w:right="270"/>
        <w:rPr>
          <w:rFonts w:asciiTheme="majorHAnsi" w:hAnsiTheme="majorHAnsi" w:cstheme="majorHAnsi"/>
          <w:b/>
          <w:bCs/>
          <w:u w:val="single"/>
        </w:rPr>
      </w:pPr>
    </w:p>
    <w:p w14:paraId="20EAC525"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3: Incorporate hi-c data into Draft Assembly B to produce Draft Assembly C</w:t>
      </w:r>
    </w:p>
    <w:p w14:paraId="6999D682"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In order to use long distance information, we indexed the assembly produced in the scaff10x step and mapped hi-c reads to the draft assembly using bwa</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21</w:t>
      </w:r>
      <w:r w:rsidRPr="0021528F">
        <w:rPr>
          <w:rFonts w:asciiTheme="majorHAnsi" w:hAnsiTheme="majorHAnsi" w:cstheme="majorHAnsi"/>
        </w:rPr>
        <w:fldChar w:fldCharType="end"/>
      </w:r>
      <w:r w:rsidRPr="0021528F">
        <w:rPr>
          <w:rFonts w:asciiTheme="majorHAnsi" w:hAnsiTheme="majorHAnsi" w:cstheme="majorHAnsi"/>
        </w:rPr>
        <w:t xml:space="preserve"> and SAMtools</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{"citationID":"1kuPBh4c","properties":{"formattedCitation":"\\super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22</w:t>
      </w:r>
      <w:r w:rsidRPr="0021528F">
        <w:rPr>
          <w:rFonts w:asciiTheme="majorHAnsi" w:hAnsiTheme="majorHAnsi" w:cstheme="majorHAnsi"/>
        </w:rPr>
        <w:fldChar w:fldCharType="end"/>
      </w:r>
      <w:r w:rsidRPr="0021528F">
        <w:rPr>
          <w:rFonts w:asciiTheme="majorHAnsi" w:hAnsiTheme="majorHAnsi" w:cstheme="majorHAnsi"/>
        </w:rPr>
        <w:t xml:space="preserve">. We used the Arima Mapping pipeline </w:t>
      </w:r>
      <w:proofErr w:type="spellStart"/>
      <w:r w:rsidRPr="0021528F">
        <w:rPr>
          <w:rFonts w:asciiTheme="majorHAnsi" w:hAnsiTheme="majorHAnsi" w:cstheme="majorHAnsi"/>
        </w:rPr>
        <w:t>perl</w:t>
      </w:r>
      <w:proofErr w:type="spellEnd"/>
      <w:r w:rsidRPr="0021528F">
        <w:rPr>
          <w:rFonts w:asciiTheme="majorHAnsi" w:hAnsiTheme="majorHAnsi" w:cstheme="majorHAnsi"/>
        </w:rPr>
        <w:t xml:space="preserve"> scripts (</w:t>
      </w:r>
      <w:hyperlink r:id="rId13">
        <w:r w:rsidRPr="0021528F">
          <w:rPr>
            <w:rStyle w:val="Hyperlink"/>
            <w:rFonts w:asciiTheme="majorHAnsi" w:hAnsiTheme="majorHAnsi" w:cstheme="majorHAnsi"/>
          </w:rPr>
          <w:t>https://github.com/ArimaGenomics/mapping_pipeline</w:t>
        </w:r>
      </w:hyperlink>
      <w:r w:rsidRPr="0021528F">
        <w:rPr>
          <w:rFonts w:asciiTheme="majorHAnsi" w:hAnsiTheme="majorHAnsi" w:cstheme="majorHAnsi"/>
        </w:rPr>
        <w:t xml:space="preserve">) to pair reads, and quality filter the 5’ end and for mapping quality. Next, we added read group information, marked duplicated reads, and sorted the mapped read files with </w:t>
      </w:r>
      <w:proofErr w:type="spellStart"/>
      <w:r w:rsidRPr="0021528F">
        <w:rPr>
          <w:rFonts w:asciiTheme="majorHAnsi" w:hAnsiTheme="majorHAnsi" w:cstheme="majorHAnsi"/>
        </w:rPr>
        <w:t>picard</w:t>
      </w:r>
      <w:proofErr w:type="spellEnd"/>
      <w:r w:rsidRPr="0021528F">
        <w:rPr>
          <w:rFonts w:asciiTheme="majorHAnsi" w:hAnsiTheme="majorHAnsi" w:cstheme="majorHAnsi"/>
        </w:rPr>
        <w:t xml:space="preserve"> (</w:t>
      </w:r>
      <w:hyperlink r:id="rId14">
        <w:r w:rsidRPr="0021528F">
          <w:rPr>
            <w:rStyle w:val="Hyperlink"/>
            <w:rFonts w:asciiTheme="majorHAnsi" w:hAnsiTheme="majorHAnsi" w:cstheme="majorHAnsi"/>
          </w:rPr>
          <w:t>http://broadinstitute.github.io/picard/</w:t>
        </w:r>
      </w:hyperlink>
      <w:r w:rsidRPr="0021528F">
        <w:rPr>
          <w:rFonts w:asciiTheme="majorHAnsi" w:hAnsiTheme="majorHAnsi" w:cstheme="majorHAnsi"/>
        </w:rPr>
        <w:t>). These data were then converted into mapped bed files using bedtools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23</w:t>
      </w:r>
      <w:r w:rsidRPr="0021528F">
        <w:rPr>
          <w:rFonts w:asciiTheme="majorHAnsi" w:hAnsiTheme="majorHAnsi" w:cstheme="majorHAnsi"/>
        </w:rPr>
        <w:fldChar w:fldCharType="end"/>
      </w:r>
      <w:r w:rsidRPr="0021528F">
        <w:rPr>
          <w:rFonts w:asciiTheme="majorHAnsi" w:hAnsiTheme="majorHAnsi" w:cstheme="majorHAnsi"/>
        </w:rPr>
        <w:t>. We then used the mapped bed files, scaffolded assembly and the initial alternative assembly as input to close gaps and further scaffold the assembly using the SALSA2 pipeline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24</w:t>
      </w:r>
      <w:r w:rsidRPr="0021528F">
        <w:rPr>
          <w:rFonts w:asciiTheme="majorHAnsi" w:hAnsiTheme="majorHAnsi" w:cstheme="majorHAnsi"/>
        </w:rPr>
        <w:fldChar w:fldCharType="end"/>
      </w:r>
      <w:r w:rsidRPr="0021528F">
        <w:rPr>
          <w:rFonts w:asciiTheme="majorHAnsi" w:hAnsiTheme="majorHAnsi" w:cstheme="majorHAnsi"/>
        </w:rPr>
        <w:t xml:space="preserve"> with non-default parameters: -</w:t>
      </w:r>
      <w:proofErr w:type="spellStart"/>
      <w:r w:rsidRPr="0021528F">
        <w:rPr>
          <w:rFonts w:asciiTheme="majorHAnsi" w:hAnsiTheme="majorHAnsi" w:cstheme="majorHAnsi"/>
        </w:rPr>
        <w:t>i</w:t>
      </w:r>
      <w:proofErr w:type="spellEnd"/>
      <w:r w:rsidRPr="0021528F">
        <w:rPr>
          <w:rFonts w:asciiTheme="majorHAnsi" w:hAnsiTheme="majorHAnsi" w:cstheme="majorHAnsi"/>
        </w:rPr>
        <w:t xml:space="preserve"> 5 -x GATC -m yes. SALSA2 uses the frequency of how often reads pair (or are sequenced) together to determine how close any two locations in the genome are to one another; it finds the locations of the paired reads in the draft genome and links the two locations to close gaps and produce a more contiguous assembly.</w:t>
      </w:r>
    </w:p>
    <w:p w14:paraId="4DC730A9" w14:textId="77777777" w:rsidR="009F3A8B" w:rsidRPr="0021528F" w:rsidRDefault="009F3A8B" w:rsidP="009F3A8B">
      <w:pPr>
        <w:spacing w:line="276" w:lineRule="auto"/>
        <w:ind w:right="270"/>
        <w:rPr>
          <w:rFonts w:asciiTheme="majorHAnsi" w:hAnsiTheme="majorHAnsi" w:cstheme="majorHAnsi"/>
          <w:b/>
          <w:bCs/>
          <w:u w:val="single"/>
        </w:rPr>
      </w:pPr>
    </w:p>
    <w:p w14:paraId="6DA2B1C3"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Step 4: Use linkage map with Draft Assembly C to produce Final Assembly</w:t>
      </w:r>
    </w:p>
    <w:p w14:paraId="158A7509" w14:textId="77777777" w:rsidR="009F3A8B" w:rsidRPr="0021528F" w:rsidRDefault="009F3A8B" w:rsidP="009F3A8B">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Finally, we anchored our assembly into chromosomes by using a genetic linkage map produced in Lew </w:t>
      </w:r>
      <w:r w:rsidRPr="0021528F">
        <w:rPr>
          <w:rFonts w:asciiTheme="majorHAnsi" w:hAnsiTheme="majorHAnsi" w:cstheme="majorHAnsi"/>
          <w:i/>
          <w:iCs/>
        </w:rPr>
        <w:t>et al.</w:t>
      </w:r>
      <w:r w:rsidRPr="0021528F">
        <w:rPr>
          <w:rFonts w:asciiTheme="majorHAnsi" w:hAnsiTheme="majorHAnsi" w:cstheme="majorHAnsi"/>
        </w:rPr>
        <w:t xml:space="preserve"> (2015)</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15</w:t>
      </w:r>
      <w:r w:rsidRPr="0021528F">
        <w:rPr>
          <w:rFonts w:asciiTheme="majorHAnsi" w:hAnsiTheme="majorHAnsi" w:cstheme="majorHAnsi"/>
        </w:rPr>
        <w:fldChar w:fldCharType="end"/>
      </w:r>
      <w:r w:rsidRPr="0021528F">
        <w:rPr>
          <w:rFonts w:asciiTheme="majorHAnsi" w:hAnsiTheme="majorHAnsi" w:cstheme="majorHAnsi"/>
        </w:rPr>
        <w:t xml:space="preserve"> with the output from the hi-c assembly step and the software chromonomer</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quality.","container-title":"G3: Genes|Genomes|Genetics","DOI":"10.1534/g3.120.401485","issue":"11","language":"en","page":"4115-4128","source":"Zotero","title":"Chromonomer: A Tool Set for Repairing and Enhancing Assembled Genomes Through Integration of Genetic Maps and Conserved Synteny","volume":"10","author":[{"family":"Catchen","given":"Julian"},{"family":"Amores","given":"Angel"},{"family":"Bassham","given":"Susan"}],"issued":{"date-parts":[["2020"]]}}}],"schema":"https://github.com/citation-style-language/schema/raw/master/csl-citation.json"}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25</w:t>
      </w:r>
      <w:r w:rsidRPr="0021528F">
        <w:rPr>
          <w:rFonts w:asciiTheme="majorHAnsi" w:hAnsiTheme="majorHAnsi" w:cstheme="majorHAnsi"/>
        </w:rPr>
        <w:fldChar w:fldCharType="end"/>
      </w:r>
      <w:r w:rsidRPr="0021528F">
        <w:rPr>
          <w:rFonts w:asciiTheme="majorHAnsi" w:hAnsiTheme="majorHAnsi" w:cstheme="majorHAnsi"/>
        </w:rPr>
        <w:t>.</w:t>
      </w:r>
    </w:p>
    <w:p w14:paraId="7BB8A306" w14:textId="77777777" w:rsidR="009F3A8B" w:rsidRPr="0021528F" w:rsidRDefault="009F3A8B" w:rsidP="009F3A8B">
      <w:pPr>
        <w:spacing w:line="276" w:lineRule="auto"/>
        <w:ind w:right="270"/>
        <w:rPr>
          <w:rFonts w:asciiTheme="majorHAnsi" w:hAnsiTheme="majorHAnsi" w:cstheme="majorHAnsi"/>
          <w:b/>
          <w:bCs/>
          <w:u w:val="single"/>
        </w:rPr>
      </w:pPr>
    </w:p>
    <w:p w14:paraId="75530554" w14:textId="77777777" w:rsidR="009F3A8B" w:rsidRPr="0021528F" w:rsidRDefault="009F3A8B" w:rsidP="009F3A8B">
      <w:pPr>
        <w:spacing w:line="276" w:lineRule="auto"/>
        <w:ind w:right="270"/>
        <w:rPr>
          <w:rFonts w:asciiTheme="majorHAnsi" w:hAnsiTheme="majorHAnsi" w:cstheme="majorHAnsi"/>
          <w:b/>
          <w:bCs/>
          <w:u w:val="single"/>
        </w:rPr>
      </w:pPr>
      <w:r w:rsidRPr="0021528F">
        <w:rPr>
          <w:rFonts w:asciiTheme="majorHAnsi" w:hAnsiTheme="majorHAnsi" w:cstheme="majorHAnsi"/>
        </w:rPr>
        <w:t>We used a combination of software and metrics to evaluate each draft assembly after every step of the assembly process (Table 4). The assembly length should be as close to the estimated genome size as possible. The N50 metric is the length of the scaffold where half of the assembly is held in scaffolds of that size or larger. The L50 metric tells the number of scaffolds that contain half of the assembly (Box 4). BUSCO</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26</w:t>
      </w:r>
      <w:r w:rsidRPr="0021528F">
        <w:rPr>
          <w:rFonts w:asciiTheme="majorHAnsi" w:hAnsiTheme="majorHAnsi" w:cstheme="majorHAnsi"/>
        </w:rPr>
        <w:fldChar w:fldCharType="end"/>
      </w:r>
      <w:r w:rsidRPr="0021528F">
        <w:rPr>
          <w:rFonts w:asciiTheme="majorHAnsi" w:hAnsiTheme="majorHAnsi" w:cstheme="majorHAnsi"/>
        </w:rPr>
        <w:t xml:space="preserve"> scores were used to evaluate the </w:t>
      </w:r>
      <w:r w:rsidRPr="0021528F">
        <w:rPr>
          <w:rFonts w:asciiTheme="majorHAnsi" w:hAnsiTheme="majorHAnsi" w:cstheme="majorHAnsi"/>
        </w:rPr>
        <w:lastRenderedPageBreak/>
        <w:t xml:space="preserve">completeness of each assembly as expected from a core set of highly conserved single copy genes in the </w:t>
      </w:r>
      <w:r w:rsidRPr="0021528F">
        <w:rPr>
          <w:rFonts w:asciiTheme="majorHAnsi" w:hAnsiTheme="majorHAnsi" w:cstheme="majorHAnsi"/>
          <w:i/>
          <w:iCs/>
        </w:rPr>
        <w:t>Actinopterygii</w:t>
      </w:r>
      <w:r w:rsidRPr="0021528F">
        <w:rPr>
          <w:rFonts w:asciiTheme="majorHAnsi" w:hAnsiTheme="majorHAnsi" w:cstheme="majorHAnsi"/>
        </w:rPr>
        <w:t xml:space="preserve"> lineage.</w:t>
      </w:r>
    </w:p>
    <w:p w14:paraId="73225AC2" w14:textId="67B72E99" w:rsidR="009F3A8B" w:rsidRDefault="009F3A8B" w:rsidP="009F3A8B">
      <w:pPr>
        <w:spacing w:line="276" w:lineRule="auto"/>
        <w:ind w:right="270"/>
        <w:rPr>
          <w:rFonts w:asciiTheme="majorHAnsi" w:hAnsiTheme="majorHAnsi" w:cstheme="majorHAnsi"/>
          <w:b/>
          <w:bCs/>
          <w:u w:val="single"/>
        </w:rPr>
      </w:pPr>
    </w:p>
    <w:p w14:paraId="4A3AA72C" w14:textId="77777777" w:rsidR="009F3A8B" w:rsidRPr="0021528F" w:rsidRDefault="009F3A8B" w:rsidP="009F3A8B">
      <w:pPr>
        <w:spacing w:line="276" w:lineRule="auto"/>
        <w:rPr>
          <w:rFonts w:asciiTheme="majorHAnsi" w:hAnsiTheme="majorHAnsi" w:cstheme="majorHAnsi"/>
          <w:b/>
          <w:bCs/>
          <w:u w:val="single"/>
        </w:rPr>
      </w:pPr>
      <w:r w:rsidRPr="0021528F">
        <w:rPr>
          <w:rFonts w:asciiTheme="majorHAnsi" w:hAnsiTheme="majorHAnsi" w:cstheme="majorHAnsi"/>
          <w:i/>
          <w:iCs/>
        </w:rPr>
        <w:t>Methods</w:t>
      </w:r>
      <w:r w:rsidRPr="009F3A8B">
        <w:t xml:space="preserve"> </w:t>
      </w:r>
      <w:r w:rsidRPr="009F3A8B">
        <w:rPr>
          <w:rFonts w:asciiTheme="majorHAnsi" w:hAnsiTheme="majorHAnsi" w:cstheme="majorHAnsi"/>
          <w:i/>
          <w:iCs/>
        </w:rPr>
        <w:t>Cytogenic (karyotype) chromosome validation</w:t>
      </w:r>
    </w:p>
    <w:p w14:paraId="472C3267" w14:textId="77777777" w:rsidR="009F3A8B" w:rsidRPr="0021528F" w:rsidRDefault="009F3A8B" w:rsidP="009F3A8B">
      <w:pPr>
        <w:spacing w:line="276" w:lineRule="auto"/>
        <w:rPr>
          <w:rFonts w:asciiTheme="majorHAnsi" w:hAnsiTheme="majorHAnsi" w:cstheme="majorHAnsi"/>
        </w:rPr>
      </w:pPr>
      <w:r w:rsidRPr="0021528F">
        <w:rPr>
          <w:rFonts w:asciiTheme="majorHAnsi" w:hAnsiTheme="majorHAnsi" w:cstheme="majorHAnsi"/>
        </w:rPr>
        <w:t>We collaborated with Dr. Mary Delaney to determine the diploid number of chromosomes in delta smelt, which has not been previously reported. This cytogenetic work does not use next generation sequencing-based methods and allows for an independent validation of the number of chromosomes expected in our final delta smelt genome assemblies.</w:t>
      </w:r>
    </w:p>
    <w:p w14:paraId="05967715" w14:textId="77777777" w:rsidR="009F3A8B" w:rsidRPr="0021528F" w:rsidRDefault="009F3A8B" w:rsidP="009F3A8B">
      <w:pPr>
        <w:spacing w:line="276" w:lineRule="auto"/>
        <w:rPr>
          <w:rFonts w:asciiTheme="majorHAnsi" w:hAnsiTheme="majorHAnsi" w:cstheme="majorHAnsi"/>
        </w:rPr>
      </w:pPr>
    </w:p>
    <w:p w14:paraId="7863160D" w14:textId="77777777" w:rsidR="009F3A8B" w:rsidRPr="0021528F" w:rsidRDefault="009F3A8B" w:rsidP="009F3A8B">
      <w:pPr>
        <w:spacing w:line="276" w:lineRule="auto"/>
        <w:rPr>
          <w:rFonts w:asciiTheme="majorHAnsi" w:hAnsiTheme="majorHAnsi" w:cstheme="majorHAnsi"/>
        </w:rPr>
      </w:pPr>
      <w:r w:rsidRPr="0021528F">
        <w:rPr>
          <w:rFonts w:asciiTheme="majorHAnsi" w:hAnsiTheme="majorHAnsi" w:cstheme="majorHAnsi"/>
        </w:rPr>
        <w:t xml:space="preserve">Fish were anesthetized with Colchicine (10 microliters of 1 mg/ml stock) and returned to water after sampling. Individual fish lengths were measured. In both cases organs were rinsed, stored in PBS at ambient temperature of the CABA environment. We established two spleen pools, one of male (n = 15), and one of female (n = 13) specimens and one additional male gonad was harvested. Organ pools were gently aspirated into single cell suspensions by pipetting in hypotonic solution (0.56% </w:t>
      </w:r>
      <w:proofErr w:type="spellStart"/>
      <w:r w:rsidRPr="0021528F">
        <w:rPr>
          <w:rFonts w:asciiTheme="majorHAnsi" w:hAnsiTheme="majorHAnsi" w:cstheme="majorHAnsi"/>
        </w:rPr>
        <w:t>KCl</w:t>
      </w:r>
      <w:proofErr w:type="spellEnd"/>
      <w:r w:rsidRPr="0021528F">
        <w:rPr>
          <w:rFonts w:asciiTheme="majorHAnsi" w:hAnsiTheme="majorHAnsi" w:cstheme="majorHAnsi"/>
        </w:rPr>
        <w:t>) for 15-20 min. Cells were centrifuged at ~1000 rpm for 10 min, supernatant hypotonic solution was removed and a 3:1 fixative (</w:t>
      </w:r>
      <w:proofErr w:type="spellStart"/>
      <w:proofErr w:type="gramStart"/>
      <w:r w:rsidRPr="0021528F">
        <w:rPr>
          <w:rFonts w:asciiTheme="majorHAnsi" w:hAnsiTheme="majorHAnsi" w:cstheme="majorHAnsi"/>
        </w:rPr>
        <w:t>methanol:glacial</w:t>
      </w:r>
      <w:proofErr w:type="spellEnd"/>
      <w:proofErr w:type="gramEnd"/>
      <w:r w:rsidRPr="0021528F">
        <w:rPr>
          <w:rFonts w:asciiTheme="majorHAnsi" w:hAnsiTheme="majorHAnsi" w:cstheme="majorHAnsi"/>
        </w:rPr>
        <w:t xml:space="preserve"> acetic acid) was added. Cell pellets were resuspended and stored at 4ºC. Two to three more fixative washes (centrifugation, resuspension in new fixative) were conducted, and cells were applied to slides one week later. Slides were stained using the DNA staining fluorescent dye (DAPI) and cells were examined using an Olympus BX-40 Microscope. Images of cells were captured and stored using the </w:t>
      </w:r>
      <w:proofErr w:type="spellStart"/>
      <w:r w:rsidRPr="0021528F">
        <w:rPr>
          <w:rFonts w:asciiTheme="majorHAnsi" w:hAnsiTheme="majorHAnsi" w:cstheme="majorHAnsi"/>
        </w:rPr>
        <w:t>Cytovision</w:t>
      </w:r>
      <w:proofErr w:type="spellEnd"/>
      <w:r w:rsidRPr="0021528F">
        <w:rPr>
          <w:rFonts w:asciiTheme="majorHAnsi" w:hAnsiTheme="majorHAnsi" w:cstheme="majorHAnsi"/>
        </w:rPr>
        <w:t xml:space="preserve"> Software and the number of chromosomes in the species were determined from those images.</w:t>
      </w:r>
    </w:p>
    <w:p w14:paraId="7983A415" w14:textId="77777777" w:rsidR="009F3A8B" w:rsidRPr="0021528F" w:rsidRDefault="009F3A8B" w:rsidP="009F3A8B">
      <w:pPr>
        <w:spacing w:line="276" w:lineRule="auto"/>
        <w:ind w:right="270"/>
        <w:rPr>
          <w:rFonts w:asciiTheme="majorHAnsi" w:hAnsiTheme="majorHAnsi" w:cstheme="majorHAnsi"/>
          <w:b/>
          <w:bCs/>
          <w:u w:val="single"/>
        </w:rPr>
      </w:pPr>
    </w:p>
    <w:p w14:paraId="5C48ED88" w14:textId="6B50C0CB" w:rsidR="009F3A8B" w:rsidRDefault="009F3A8B" w:rsidP="0021528F">
      <w:pPr>
        <w:spacing w:line="276" w:lineRule="auto"/>
        <w:ind w:right="270"/>
        <w:rPr>
          <w:rFonts w:asciiTheme="majorHAnsi" w:hAnsiTheme="majorHAnsi" w:cstheme="majorHAnsi"/>
          <w:b/>
          <w:bCs/>
          <w:u w:val="single"/>
        </w:rPr>
      </w:pPr>
    </w:p>
    <w:p w14:paraId="140109C9" w14:textId="77777777" w:rsidR="009F3A8B" w:rsidRDefault="009F3A8B" w:rsidP="0021528F">
      <w:pPr>
        <w:spacing w:line="276" w:lineRule="auto"/>
        <w:ind w:right="270"/>
        <w:rPr>
          <w:rFonts w:asciiTheme="majorHAnsi" w:hAnsiTheme="majorHAnsi" w:cstheme="majorHAnsi"/>
          <w:b/>
          <w:bCs/>
          <w:u w:val="single"/>
        </w:rPr>
      </w:pPr>
    </w:p>
    <w:p w14:paraId="19391069" w14:textId="3D374949" w:rsidR="00720299" w:rsidRDefault="00720299" w:rsidP="0021528F">
      <w:pPr>
        <w:spacing w:line="276" w:lineRule="auto"/>
        <w:ind w:right="270"/>
        <w:rPr>
          <w:rFonts w:asciiTheme="majorHAnsi" w:hAnsiTheme="majorHAnsi" w:cstheme="majorHAnsi"/>
          <w:b/>
          <w:bCs/>
          <w:u w:val="single"/>
        </w:rPr>
      </w:pPr>
    </w:p>
    <w:p w14:paraId="0D0357C1" w14:textId="77777777" w:rsidR="00720299" w:rsidRDefault="00720299" w:rsidP="0021528F">
      <w:pPr>
        <w:spacing w:line="276" w:lineRule="auto"/>
        <w:ind w:right="270"/>
        <w:rPr>
          <w:rFonts w:asciiTheme="majorHAnsi" w:hAnsiTheme="majorHAnsi" w:cstheme="majorHAnsi"/>
          <w:b/>
          <w:bCs/>
          <w:u w:val="single"/>
        </w:rPr>
      </w:pPr>
    </w:p>
    <w:p w14:paraId="2590233D" w14:textId="76AEA8D6" w:rsidR="00720299" w:rsidRPr="0021528F" w:rsidRDefault="00720299" w:rsidP="0021528F">
      <w:pPr>
        <w:spacing w:line="276" w:lineRule="auto"/>
        <w:ind w:right="270"/>
        <w:rPr>
          <w:rFonts w:asciiTheme="majorHAnsi" w:hAnsiTheme="majorHAnsi" w:cstheme="majorHAnsi"/>
          <w:b/>
          <w:bCs/>
          <w:u w:val="single"/>
        </w:rPr>
      </w:pPr>
    </w:p>
    <w:p w14:paraId="6D539720" w14:textId="7E013189" w:rsidR="0021528F" w:rsidRPr="003C6724" w:rsidRDefault="003C6724" w:rsidP="0021528F">
      <w:pPr>
        <w:spacing w:line="276" w:lineRule="auto"/>
        <w:ind w:right="270"/>
        <w:rPr>
          <w:rFonts w:asciiTheme="majorHAnsi" w:hAnsiTheme="majorHAnsi" w:cstheme="majorHAnsi"/>
          <w:b/>
          <w:bCs/>
          <w:i/>
        </w:rPr>
      </w:pPr>
      <w:r>
        <w:rPr>
          <w:rFonts w:asciiTheme="majorHAnsi" w:hAnsiTheme="majorHAnsi" w:cstheme="majorHAnsi"/>
          <w:b/>
          <w:bCs/>
        </w:rPr>
        <w:t>Results</w:t>
      </w:r>
    </w:p>
    <w:p w14:paraId="3AD98AE1" w14:textId="0ED65ECA" w:rsidR="0021528F" w:rsidRPr="0021528F" w:rsidRDefault="00720299" w:rsidP="0021528F">
      <w:pPr>
        <w:spacing w:line="276" w:lineRule="auto"/>
        <w:ind w:right="270"/>
        <w:rPr>
          <w:rFonts w:asciiTheme="majorHAnsi" w:hAnsiTheme="majorHAnsi" w:cstheme="majorHAnsi"/>
          <w:i/>
        </w:rPr>
      </w:pPr>
      <w:r>
        <w:rPr>
          <w:rFonts w:asciiTheme="majorHAnsi" w:hAnsiTheme="majorHAnsi" w:cstheme="majorHAnsi"/>
          <w:i/>
        </w:rPr>
        <w:t>Sample Collection</w:t>
      </w:r>
    </w:p>
    <w:p w14:paraId="46B1B513" w14:textId="77777777" w:rsidR="0021528F" w:rsidRPr="0021528F" w:rsidRDefault="0021528F" w:rsidP="0021528F">
      <w:pPr>
        <w:spacing w:line="276" w:lineRule="auto"/>
        <w:ind w:right="270"/>
        <w:rPr>
          <w:rFonts w:asciiTheme="majorHAnsi" w:hAnsiTheme="majorHAnsi" w:cstheme="majorHAnsi"/>
          <w:i/>
        </w:rPr>
      </w:pPr>
      <w:r w:rsidRPr="0021528F">
        <w:rPr>
          <w:rFonts w:asciiTheme="majorHAnsi" w:hAnsiTheme="majorHAnsi" w:cstheme="majorHAnsi"/>
        </w:rPr>
        <w:t xml:space="preserve">We took a total of four trips to sample tissue for HMW DNA. On the Trip 1 we sampled back muscle from three males and three females (Table 2). These samples were flash frozen using liquid nitrogen and transported on dry ice. While we obtained sufficient HMW DNA from a female specimen, none of the male fish produced </w:t>
      </w:r>
      <w:proofErr w:type="gramStart"/>
      <w:r w:rsidRPr="0021528F">
        <w:rPr>
          <w:rFonts w:asciiTheme="majorHAnsi" w:hAnsiTheme="majorHAnsi" w:cstheme="majorHAnsi"/>
        </w:rPr>
        <w:t>sufficient quantities</w:t>
      </w:r>
      <w:proofErr w:type="gramEnd"/>
      <w:r w:rsidRPr="0021528F">
        <w:rPr>
          <w:rFonts w:asciiTheme="majorHAnsi" w:hAnsiTheme="majorHAnsi" w:cstheme="majorHAnsi"/>
        </w:rPr>
        <w:t xml:space="preserve">. </w:t>
      </w:r>
      <w:proofErr w:type="gramStart"/>
      <w:r w:rsidRPr="0021528F">
        <w:rPr>
          <w:rFonts w:asciiTheme="majorHAnsi" w:hAnsiTheme="majorHAnsi" w:cstheme="majorHAnsi"/>
        </w:rPr>
        <w:t>Therefore</w:t>
      </w:r>
      <w:proofErr w:type="gramEnd"/>
      <w:r w:rsidRPr="0021528F">
        <w:rPr>
          <w:rFonts w:asciiTheme="majorHAnsi" w:hAnsiTheme="majorHAnsi" w:cstheme="majorHAnsi"/>
        </w:rPr>
        <w:t xml:space="preserve"> we returned to the FCCL for a second trip and selected larger males. The extracted DNA lengths from Trip 2 males were also insufficient. A decision to take Trip 3 was made due to the discovery of a tissue sampling method that uses additional tissue types (not just back muscle tissue) and a new tissue preservation storage solution of cooled propylene glycol</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16</w:t>
      </w:r>
      <w:r w:rsidRPr="0021528F">
        <w:rPr>
          <w:rFonts w:asciiTheme="majorHAnsi" w:hAnsiTheme="majorHAnsi" w:cstheme="majorHAnsi"/>
        </w:rPr>
        <w:fldChar w:fldCharType="end"/>
      </w:r>
      <w:r w:rsidRPr="0021528F">
        <w:rPr>
          <w:rFonts w:asciiTheme="majorHAnsi" w:hAnsiTheme="majorHAnsi" w:cstheme="majorHAnsi"/>
        </w:rPr>
        <w:t xml:space="preserve"> rather than flash </w:t>
      </w:r>
      <w:r w:rsidRPr="0021528F">
        <w:rPr>
          <w:rFonts w:asciiTheme="majorHAnsi" w:hAnsiTheme="majorHAnsi" w:cstheme="majorHAnsi"/>
        </w:rPr>
        <w:lastRenderedPageBreak/>
        <w:t xml:space="preserve">freezing samples in liquid nitrogen. On Trip 3, we sampled back muscle tissue, internal organs, and scales from a total of two males and two females. Additionally, because DNA can be fragmented in the freeze-thaw process, we hedged our bets for sampling on Trip 3 and preserved half of all sampled tissues in propylene glycol at 4°C, and half flash frozen and transported both on dry ice. On Trip 4, we sampled back muscle, </w:t>
      </w:r>
      <w:proofErr w:type="gramStart"/>
      <w:r w:rsidRPr="0021528F">
        <w:rPr>
          <w:rFonts w:asciiTheme="majorHAnsi" w:hAnsiTheme="majorHAnsi" w:cstheme="majorHAnsi"/>
        </w:rPr>
        <w:t>scales</w:t>
      </w:r>
      <w:proofErr w:type="gramEnd"/>
      <w:r w:rsidRPr="0021528F">
        <w:rPr>
          <w:rFonts w:asciiTheme="majorHAnsi" w:hAnsiTheme="majorHAnsi" w:cstheme="majorHAnsi"/>
        </w:rPr>
        <w:t xml:space="preserve"> and internal organs from one male fish. All sampled tissue was flash frozen and stored on dry ice for transportation.</w:t>
      </w:r>
    </w:p>
    <w:p w14:paraId="2A7C83DA" w14:textId="77777777" w:rsidR="0021528F" w:rsidRPr="0021528F" w:rsidRDefault="0021528F" w:rsidP="0021528F">
      <w:pPr>
        <w:spacing w:line="276" w:lineRule="auto"/>
        <w:ind w:right="270"/>
        <w:rPr>
          <w:rFonts w:asciiTheme="majorHAnsi" w:hAnsiTheme="majorHAnsi" w:cstheme="majorHAnsi"/>
          <w:b/>
          <w:i/>
        </w:rPr>
      </w:pPr>
    </w:p>
    <w:p w14:paraId="4E98D4F0" w14:textId="465E14EA"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Isolation of high molecular weight genomic DNA</w:t>
      </w:r>
    </w:p>
    <w:p w14:paraId="582DD6C0" w14:textId="77777777" w:rsidR="0021528F" w:rsidRPr="0021528F" w:rsidRDefault="0021528F" w:rsidP="0021528F">
      <w:pPr>
        <w:spacing w:line="276" w:lineRule="auto"/>
        <w:ind w:right="270"/>
        <w:rPr>
          <w:rFonts w:asciiTheme="majorHAnsi" w:hAnsiTheme="majorHAnsi" w:cstheme="majorHAnsi"/>
          <w:i/>
        </w:rPr>
      </w:pPr>
      <w:r w:rsidRPr="0021528F">
        <w:rPr>
          <w:rFonts w:asciiTheme="majorHAnsi" w:hAnsiTheme="majorHAnsi" w:cstheme="majorHAnsi"/>
          <w:iCs/>
        </w:rPr>
        <w:t xml:space="preserve">Trip 1: </w:t>
      </w:r>
      <w:r w:rsidRPr="0021528F">
        <w:rPr>
          <w:rFonts w:asciiTheme="majorHAnsi" w:hAnsiTheme="majorHAnsi" w:cstheme="majorHAnsi"/>
        </w:rPr>
        <w:t xml:space="preserve">DNA from one male (T1M03) and one female (T1F02) DNA was successfully extracted from the first sampling (See Table 2 for fish identifications corresponding to trips). HMW DNA from the T1F02 had DNA fragments of sufficient length for sequencing (Figure 2A). </w:t>
      </w:r>
    </w:p>
    <w:p w14:paraId="71945C3D" w14:textId="77777777" w:rsidR="0021528F" w:rsidRPr="0021528F" w:rsidRDefault="0021528F" w:rsidP="0021528F">
      <w:pPr>
        <w:spacing w:line="276" w:lineRule="auto"/>
        <w:ind w:right="270" w:firstLine="720"/>
        <w:rPr>
          <w:rFonts w:asciiTheme="majorHAnsi" w:hAnsiTheme="majorHAnsi" w:cstheme="majorHAnsi"/>
          <w:b/>
          <w:bCs/>
          <w:u w:val="single"/>
        </w:rPr>
      </w:pPr>
    </w:p>
    <w:p w14:paraId="63A37DDA"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2: We performed three separate rounds of extractions on tissue samples from two different males (T2M02 and T2M03). Despite multiple attempts at extracting HMW DNA, we did not obtain fragments of sufficient length for sequencing (Figure 2B-D).  </w:t>
      </w:r>
    </w:p>
    <w:p w14:paraId="12201167" w14:textId="77777777" w:rsidR="0021528F" w:rsidRPr="0021528F" w:rsidRDefault="0021528F" w:rsidP="0021528F">
      <w:pPr>
        <w:spacing w:line="276" w:lineRule="auto"/>
        <w:ind w:right="270"/>
        <w:rPr>
          <w:rFonts w:asciiTheme="majorHAnsi" w:hAnsiTheme="majorHAnsi" w:cstheme="majorHAnsi"/>
          <w:b/>
          <w:bCs/>
          <w:u w:val="single"/>
        </w:rPr>
      </w:pPr>
    </w:p>
    <w:p w14:paraId="734863E6"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3: We performed two separate rounds of extractions on multiple different tissue types from both males and females (Table 2). From these extractions we acquired DNA of sufficient length from flash frozen back muscle tissue from one male (T03M02_BM_FF, Figure 2E) and flash frozen scales from one female (T3F02_SC, Figure 2F). We did not observe that storing tissue in propylene glycol </w:t>
      </w:r>
      <w:proofErr w:type="gramStart"/>
      <w:r w:rsidRPr="0021528F">
        <w:rPr>
          <w:rFonts w:asciiTheme="majorHAnsi" w:hAnsiTheme="majorHAnsi" w:cstheme="majorHAnsi"/>
        </w:rPr>
        <w:t>had an effect on</w:t>
      </w:r>
      <w:proofErr w:type="gramEnd"/>
      <w:r w:rsidRPr="0021528F">
        <w:rPr>
          <w:rFonts w:asciiTheme="majorHAnsi" w:hAnsiTheme="majorHAnsi" w:cstheme="majorHAnsi"/>
        </w:rPr>
        <w:t xml:space="preserve"> increasing the fragment length of extracted DNA (Figure 2E &amp; F). </w:t>
      </w:r>
    </w:p>
    <w:p w14:paraId="3B2D5355" w14:textId="77777777" w:rsidR="0021528F" w:rsidRPr="0021528F" w:rsidRDefault="0021528F" w:rsidP="0021528F">
      <w:pPr>
        <w:spacing w:line="276" w:lineRule="auto"/>
        <w:ind w:right="270"/>
        <w:rPr>
          <w:rFonts w:asciiTheme="majorHAnsi" w:hAnsiTheme="majorHAnsi" w:cstheme="majorHAnsi"/>
          <w:b/>
          <w:bCs/>
          <w:u w:val="single"/>
        </w:rPr>
      </w:pPr>
    </w:p>
    <w:p w14:paraId="54E2C98E"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Trip 4: The tissue samples from the male specimen sampled on trip 4 were sent directly to the Vertebrate Genome Project for subsequent extraction and sequencing where it was successfully extracted and sequenced.</w:t>
      </w:r>
    </w:p>
    <w:p w14:paraId="1B5B3916" w14:textId="77777777" w:rsidR="0021528F" w:rsidRPr="0021528F" w:rsidRDefault="0021528F" w:rsidP="0021528F">
      <w:pPr>
        <w:spacing w:line="276" w:lineRule="auto"/>
        <w:ind w:right="270"/>
        <w:rPr>
          <w:rFonts w:asciiTheme="majorHAnsi" w:hAnsiTheme="majorHAnsi" w:cstheme="majorHAnsi"/>
          <w:color w:val="FF0000"/>
        </w:rPr>
      </w:pPr>
    </w:p>
    <w:p w14:paraId="67052933" w14:textId="0BB93EF8" w:rsidR="0021528F" w:rsidRPr="0021528F" w:rsidRDefault="003C6724" w:rsidP="0021528F">
      <w:pPr>
        <w:spacing w:line="276" w:lineRule="auto"/>
        <w:ind w:right="270"/>
        <w:rPr>
          <w:rFonts w:asciiTheme="majorHAnsi" w:hAnsiTheme="majorHAnsi" w:cstheme="majorHAnsi"/>
          <w:b/>
          <w:bCs/>
          <w:u w:val="single"/>
        </w:rPr>
      </w:pPr>
      <w:r w:rsidRPr="003C6724">
        <w:rPr>
          <w:rFonts w:asciiTheme="majorHAnsi" w:hAnsiTheme="majorHAnsi" w:cstheme="majorHAnsi"/>
          <w:i/>
        </w:rPr>
        <w:t>Long-read library prep &amp; sequencing</w:t>
      </w:r>
    </w:p>
    <w:p w14:paraId="4C0A6AB5"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A total of five movie collections (150 hours of sequencing data) were collected. Two male movie collections generated roughly 25x coverage (data combined into Supplemental Data 1) and three female movie collections generated roughly 28x coverage (Run 1 &amp; 2 combined into Supplemental Data 2, Run 3 data in Supplemental Data 3). This amount of long-read sequencing data was sufficient to </w:t>
      </w:r>
      <w:proofErr w:type="gramStart"/>
      <w:r w:rsidRPr="0021528F">
        <w:rPr>
          <w:rFonts w:asciiTheme="majorHAnsi" w:hAnsiTheme="majorHAnsi" w:cstheme="majorHAnsi"/>
        </w:rPr>
        <w:t>continue on</w:t>
      </w:r>
      <w:proofErr w:type="gramEnd"/>
      <w:r w:rsidRPr="0021528F">
        <w:rPr>
          <w:rFonts w:asciiTheme="majorHAnsi" w:hAnsiTheme="majorHAnsi" w:cstheme="majorHAnsi"/>
        </w:rPr>
        <w:t xml:space="preserve"> to subsequent steps.</w:t>
      </w:r>
    </w:p>
    <w:p w14:paraId="46AC9225" w14:textId="77777777" w:rsidR="0021528F" w:rsidRPr="0021528F" w:rsidRDefault="0021528F" w:rsidP="0021528F">
      <w:pPr>
        <w:spacing w:line="276" w:lineRule="auto"/>
        <w:ind w:right="270"/>
        <w:rPr>
          <w:rFonts w:asciiTheme="majorHAnsi" w:hAnsiTheme="majorHAnsi" w:cstheme="majorHAnsi"/>
          <w:b/>
          <w:bCs/>
          <w:u w:val="single"/>
        </w:rPr>
      </w:pPr>
    </w:p>
    <w:p w14:paraId="47E700E1" w14:textId="77777777" w:rsidR="0021528F" w:rsidRPr="0021528F" w:rsidRDefault="0021528F" w:rsidP="0021528F">
      <w:pPr>
        <w:spacing w:line="276" w:lineRule="auto"/>
        <w:ind w:right="270"/>
        <w:rPr>
          <w:rFonts w:asciiTheme="majorHAnsi" w:hAnsiTheme="majorHAnsi" w:cstheme="majorHAnsi"/>
          <w:b/>
          <w:bCs/>
          <w:u w:val="single"/>
        </w:rPr>
      </w:pPr>
    </w:p>
    <w:p w14:paraId="04199E2B" w14:textId="30FDAFDC"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Linked-read library prep &amp; sequencing</w:t>
      </w:r>
    </w:p>
    <w:p w14:paraId="65D596B5" w14:textId="77777777" w:rsidR="0021528F" w:rsidRPr="0021528F" w:rsidRDefault="0021528F" w:rsidP="0021528F">
      <w:pPr>
        <w:spacing w:line="276" w:lineRule="auto"/>
        <w:ind w:right="270"/>
        <w:rPr>
          <w:rFonts w:asciiTheme="majorHAnsi" w:hAnsiTheme="majorHAnsi" w:cstheme="majorHAnsi"/>
          <w:color w:val="FF0000"/>
        </w:rPr>
      </w:pPr>
      <w:r w:rsidRPr="0021528F">
        <w:rPr>
          <w:rFonts w:asciiTheme="majorHAnsi" w:hAnsiTheme="majorHAnsi" w:cstheme="majorHAnsi"/>
        </w:rPr>
        <w:lastRenderedPageBreak/>
        <w:t xml:space="preserve">The k-mer based haploid genome size from the female was estimated to be 0.49Gb. We generated approximately 45 gigabytes of female linked-read sequencing data and 30 gigabytes of male linked-read sequencing data for a total of roughly 120x and 80x coverage, respectively (Table 3). This coverage was sufficient to </w:t>
      </w:r>
      <w:proofErr w:type="gramStart"/>
      <w:r w:rsidRPr="0021528F">
        <w:rPr>
          <w:rFonts w:asciiTheme="majorHAnsi" w:hAnsiTheme="majorHAnsi" w:cstheme="majorHAnsi"/>
        </w:rPr>
        <w:t>continue on</w:t>
      </w:r>
      <w:proofErr w:type="gramEnd"/>
      <w:r w:rsidRPr="0021528F">
        <w:rPr>
          <w:rFonts w:asciiTheme="majorHAnsi" w:hAnsiTheme="majorHAnsi" w:cstheme="majorHAnsi"/>
        </w:rPr>
        <w:t xml:space="preserve"> to subsequent assembly steps.</w:t>
      </w:r>
    </w:p>
    <w:p w14:paraId="301F7998" w14:textId="77777777" w:rsidR="0021528F" w:rsidRPr="0021528F" w:rsidRDefault="0021528F" w:rsidP="0021528F">
      <w:pPr>
        <w:spacing w:line="276" w:lineRule="auto"/>
        <w:ind w:right="270"/>
        <w:rPr>
          <w:rFonts w:asciiTheme="majorHAnsi" w:hAnsiTheme="majorHAnsi" w:cstheme="majorHAnsi"/>
          <w:b/>
          <w:bCs/>
          <w:u w:val="single"/>
        </w:rPr>
      </w:pPr>
    </w:p>
    <w:p w14:paraId="42888F77" w14:textId="0B8E63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prep &amp; sequencing</w:t>
      </w:r>
    </w:p>
    <w:p w14:paraId="0BF49A81"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received sequence files of 87,444,477 read pairs in total which is sufficient for resolving gaps and further scaffolding the linked and long-read combined assembly (Supplemental Data 4). </w:t>
      </w:r>
    </w:p>
    <w:p w14:paraId="41D80B46" w14:textId="77777777" w:rsidR="0021528F" w:rsidRPr="0021528F" w:rsidRDefault="0021528F" w:rsidP="0021528F">
      <w:pPr>
        <w:spacing w:line="276" w:lineRule="auto"/>
        <w:ind w:right="270"/>
        <w:rPr>
          <w:rFonts w:asciiTheme="majorHAnsi" w:hAnsiTheme="majorHAnsi" w:cstheme="majorHAnsi"/>
          <w:b/>
          <w:bCs/>
          <w:u w:val="single"/>
        </w:rPr>
      </w:pPr>
    </w:p>
    <w:p w14:paraId="1835500D" w14:textId="77777777" w:rsidR="0021528F" w:rsidRPr="0021528F" w:rsidRDefault="0021528F" w:rsidP="0021528F">
      <w:pPr>
        <w:spacing w:line="276" w:lineRule="auto"/>
        <w:ind w:right="270"/>
        <w:rPr>
          <w:rFonts w:asciiTheme="majorHAnsi" w:hAnsiTheme="majorHAnsi" w:cstheme="majorHAnsi"/>
          <w:b/>
          <w:bCs/>
          <w:u w:val="single"/>
        </w:rPr>
      </w:pPr>
    </w:p>
    <w:p w14:paraId="504CD179"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b/>
          <w:bCs/>
          <w:u w:val="single"/>
        </w:rPr>
        <w:t>Quality Control</w:t>
      </w:r>
      <w:r w:rsidRPr="0021528F">
        <w:rPr>
          <w:rFonts w:asciiTheme="majorHAnsi" w:hAnsiTheme="majorHAnsi" w:cstheme="majorHAnsi"/>
        </w:rPr>
        <w:t>: After sequencing, bioinformatics quality control (QC) steps are necessary at multiple stages in the workflow of assembling of a reference genome. Immediate sources of error in sequencing data can result from sequenced DNA being contaminated with off-target DNA in the wet lab during preparation for sequencing, or biases in base calls from the sequencing machine. Other sources of error may come from having too great of a proportion of poor-quality reads.</w:t>
      </w:r>
    </w:p>
    <w:p w14:paraId="2E0CE520" w14:textId="77777777" w:rsidR="0021528F" w:rsidRPr="0021528F" w:rsidRDefault="0021528F" w:rsidP="0021528F">
      <w:pPr>
        <w:spacing w:line="276" w:lineRule="auto"/>
        <w:ind w:right="270"/>
        <w:rPr>
          <w:rFonts w:asciiTheme="majorHAnsi" w:hAnsiTheme="majorHAnsi" w:cstheme="majorHAnsi"/>
          <w:b/>
          <w:i/>
        </w:rPr>
      </w:pPr>
    </w:p>
    <w:p w14:paraId="255A7B73" w14:textId="2055006E"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Long-read post-sequencing quality control</w:t>
      </w:r>
      <w:r>
        <w:rPr>
          <w:rFonts w:asciiTheme="majorHAnsi" w:hAnsiTheme="majorHAnsi" w:cstheme="majorHAnsi"/>
          <w:i/>
        </w:rPr>
        <w:t xml:space="preserve"> </w:t>
      </w:r>
    </w:p>
    <w:p w14:paraId="1B3EBC9A" w14:textId="77777777" w:rsidR="0021528F" w:rsidRPr="0021528F" w:rsidRDefault="0021528F" w:rsidP="0021528F">
      <w:pPr>
        <w:spacing w:line="276" w:lineRule="auto"/>
        <w:ind w:right="270"/>
        <w:rPr>
          <w:rFonts w:asciiTheme="majorHAnsi" w:hAnsiTheme="majorHAnsi" w:cstheme="majorHAnsi"/>
          <w:iCs/>
        </w:rPr>
      </w:pPr>
      <w:r w:rsidRPr="0021528F">
        <w:rPr>
          <w:rFonts w:asciiTheme="majorHAnsi" w:hAnsiTheme="majorHAnsi" w:cstheme="majorHAnsi"/>
          <w:iCs/>
        </w:rPr>
        <w:t>A total of 3,095,133 male reads and 2,741,504 female reads representing 35,841,976,770 and 28,549,585,055 base pairs, respectively, passed quality control and were sufficient to be used for subsequent assembly.</w:t>
      </w:r>
    </w:p>
    <w:p w14:paraId="50D620E8" w14:textId="77777777" w:rsidR="0021528F" w:rsidRPr="0021528F" w:rsidRDefault="0021528F" w:rsidP="0021528F">
      <w:pPr>
        <w:spacing w:line="276" w:lineRule="auto"/>
        <w:rPr>
          <w:rFonts w:asciiTheme="majorHAnsi" w:hAnsiTheme="majorHAnsi" w:cstheme="majorHAnsi"/>
          <w:b/>
          <w:bCs/>
          <w:u w:val="single"/>
        </w:rPr>
      </w:pPr>
    </w:p>
    <w:p w14:paraId="0867AB72" w14:textId="7727201B"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Linked-read post-sequencing quality control</w:t>
      </w:r>
    </w:p>
    <w:p w14:paraId="0C28EA71"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We saw clear peaks in the histograms for each sample and at each value of k (Figure 3). All GC count frequency plots show a normal distribution of distinct k-mers (Figure 4). Additionally, the number of distinct k-mers does not appear to be heavily skewed in the male or female sequencing (Figure 5). These data together indicate no observable signs of bacterial or organelle contamination or major sources of sequencing bias in our sequencing data.</w:t>
      </w:r>
    </w:p>
    <w:p w14:paraId="18B6A31B" w14:textId="77777777" w:rsidR="0021528F" w:rsidRPr="0021528F" w:rsidRDefault="0021528F" w:rsidP="0021528F">
      <w:pPr>
        <w:spacing w:line="276" w:lineRule="auto"/>
        <w:rPr>
          <w:rFonts w:asciiTheme="majorHAnsi" w:hAnsiTheme="majorHAnsi" w:cstheme="majorHAnsi"/>
          <w:b/>
          <w:bCs/>
          <w:u w:val="single"/>
        </w:rPr>
      </w:pPr>
    </w:p>
    <w:p w14:paraId="1A7072C4" w14:textId="2F3D1CC0" w:rsidR="0021528F" w:rsidRPr="0021528F" w:rsidRDefault="003C6724" w:rsidP="0021528F">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post-sequencing quality control</w:t>
      </w:r>
    </w:p>
    <w:p w14:paraId="66EF867E"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Sequencing data reports from Phase Genomics indicate a successful library prep and sequencing (Supplemental Data 4). A total of 56.38% of reads were considered high quality. The data contained an average of 2,966.33 read pairs per contig greater than 5kbp and 18.78% of the read pairs mapped to greater than 10 kilobases (</w:t>
      </w:r>
      <w:proofErr w:type="spellStart"/>
      <w:r w:rsidRPr="0021528F">
        <w:rPr>
          <w:rFonts w:asciiTheme="majorHAnsi" w:hAnsiTheme="majorHAnsi" w:cstheme="majorHAnsi"/>
        </w:rPr>
        <w:t>kbp</w:t>
      </w:r>
      <w:proofErr w:type="spellEnd"/>
      <w:r w:rsidRPr="0021528F">
        <w:rPr>
          <w:rFonts w:asciiTheme="majorHAnsi" w:hAnsiTheme="majorHAnsi" w:cstheme="majorHAnsi"/>
        </w:rPr>
        <w:t>) apart. These data appear normal and indicate they will be useful in creating a more contiguous assembly.</w:t>
      </w:r>
    </w:p>
    <w:p w14:paraId="0E077FF2" w14:textId="77777777" w:rsidR="0021528F" w:rsidRPr="0021528F" w:rsidRDefault="0021528F" w:rsidP="0021528F">
      <w:pPr>
        <w:spacing w:line="276" w:lineRule="auto"/>
        <w:ind w:right="270"/>
        <w:rPr>
          <w:rFonts w:asciiTheme="majorHAnsi" w:hAnsiTheme="majorHAnsi" w:cstheme="majorHAnsi"/>
          <w:b/>
          <w:bCs/>
          <w:u w:val="single"/>
        </w:rPr>
      </w:pPr>
    </w:p>
    <w:p w14:paraId="4B44665D" w14:textId="52E380E7" w:rsidR="0021528F" w:rsidRPr="0021528F" w:rsidRDefault="003C6724" w:rsidP="0021528F">
      <w:pPr>
        <w:spacing w:line="276" w:lineRule="auto"/>
        <w:ind w:right="270"/>
        <w:rPr>
          <w:rFonts w:asciiTheme="majorHAnsi" w:hAnsiTheme="majorHAnsi" w:cstheme="majorHAnsi"/>
          <w:i/>
        </w:rPr>
      </w:pPr>
      <w:r>
        <w:rPr>
          <w:rFonts w:asciiTheme="majorHAnsi" w:hAnsiTheme="majorHAnsi" w:cstheme="majorHAnsi"/>
          <w:i/>
        </w:rPr>
        <w:lastRenderedPageBreak/>
        <w:t>Genome Assembly</w:t>
      </w:r>
    </w:p>
    <w:p w14:paraId="1A17CC9D" w14:textId="77777777" w:rsidR="0021528F" w:rsidRPr="0021528F" w:rsidRDefault="0021528F" w:rsidP="0021528F">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In each step the assembly length and N50 sizably increased and the L50 dropped precipitously. The final metrics for the male genome assembly were an N50 of 12,200,365 bp, an L50 =15, a total assembly length of 472,157,411 bp, with a total of 549 scaffolds. The final metrics for the female genome assembly were an N50 of 14,850,352 bp, an L50 =13, a total assembly length of 437,273,953 bp, with a total of 376 scaffolds. The final assemblies had BUSCO scores of 88.4% and 89.3% complete genes in the final male assembly female assembly, respectively (Table 4). </w:t>
      </w:r>
    </w:p>
    <w:p w14:paraId="1AAF2B93" w14:textId="77777777" w:rsidR="0021528F" w:rsidRPr="0021528F" w:rsidRDefault="0021528F" w:rsidP="0021528F">
      <w:pPr>
        <w:spacing w:line="276" w:lineRule="auto"/>
        <w:ind w:right="270"/>
        <w:rPr>
          <w:rFonts w:asciiTheme="majorHAnsi" w:hAnsiTheme="majorHAnsi" w:cstheme="majorHAnsi"/>
          <w:b/>
          <w:bCs/>
          <w:u w:val="single"/>
        </w:rPr>
      </w:pPr>
    </w:p>
    <w:p w14:paraId="4D2763EB"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b/>
          <w:bCs/>
          <w:u w:val="single"/>
        </w:rPr>
        <w:t>BOX 4</w:t>
      </w:r>
      <w:r w:rsidRPr="0021528F">
        <w:rPr>
          <w:rFonts w:asciiTheme="majorHAnsi" w:hAnsiTheme="majorHAnsi" w:cstheme="majorHAnsi"/>
          <w:b/>
          <w:bCs/>
        </w:rPr>
        <w:t>: Assembly statistics</w:t>
      </w:r>
    </w:p>
    <w:p w14:paraId="7B310D14"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t>The N50 of an assembly is the length of contigs/scaffolds that contain 50% or more of the assembly.</w:t>
      </w:r>
    </w:p>
    <w:p w14:paraId="23CFA8E3"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rPr>
        <w:t>The L50 of an assembly is the number of contigs/scaffolds that contain 50% or more of the assembly.</w:t>
      </w:r>
    </w:p>
    <w:p w14:paraId="708EC03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u w:val="single"/>
        </w:rPr>
      </w:pPr>
      <w:r w:rsidRPr="0021528F">
        <w:rPr>
          <w:rFonts w:asciiTheme="majorHAnsi" w:hAnsiTheme="majorHAnsi" w:cstheme="majorHAnsi"/>
          <w:noProof/>
        </w:rPr>
        <w:drawing>
          <wp:inline distT="0" distB="0" distL="0" distR="0" wp14:anchorId="32B44DDA" wp14:editId="4A1B72F2">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5"/>
                    <a:stretch>
                      <a:fillRect/>
                    </a:stretch>
                  </pic:blipFill>
                  <pic:spPr bwMode="auto">
                    <a:xfrm>
                      <a:off x="0" y="0"/>
                      <a:ext cx="5748655" cy="1163320"/>
                    </a:xfrm>
                    <a:prstGeom prst="rect">
                      <a:avLst/>
                    </a:prstGeom>
                  </pic:spPr>
                </pic:pic>
              </a:graphicData>
            </a:graphic>
          </wp:inline>
        </w:drawing>
      </w:r>
    </w:p>
    <w:p w14:paraId="2F71D1B5"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N50 = 60</w:t>
      </w:r>
    </w:p>
    <w:p w14:paraId="3C86D5CF"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b/>
          <w:bCs/>
        </w:rPr>
      </w:pPr>
      <w:r w:rsidRPr="0021528F">
        <w:rPr>
          <w:rFonts w:asciiTheme="majorHAnsi" w:hAnsiTheme="majorHAnsi" w:cstheme="majorHAnsi"/>
          <w:b/>
          <w:bCs/>
        </w:rPr>
        <w:t>L50 = 3</w:t>
      </w:r>
    </w:p>
    <w:p w14:paraId="1BC543DD" w14:textId="77777777" w:rsidR="0021528F" w:rsidRPr="0021528F" w:rsidRDefault="0021528F" w:rsidP="0021528F">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heme="majorHAnsi" w:hAnsiTheme="majorHAnsi" w:cstheme="majorHAnsi"/>
          <w:sz w:val="10"/>
          <w:szCs w:val="10"/>
        </w:rPr>
      </w:pPr>
      <w:r w:rsidRPr="0021528F">
        <w:rPr>
          <w:rFonts w:asciiTheme="majorHAnsi" w:hAnsiTheme="majorHAnsi" w:cstheme="majorHAnsi"/>
          <w:sz w:val="10"/>
          <w:szCs w:val="10"/>
        </w:rPr>
        <w:t>Figure taken from: https://www.molecularecologist.com/2017/03/29/whats-n50/</w:t>
      </w:r>
    </w:p>
    <w:p w14:paraId="15658C2B" w14:textId="77777777" w:rsidR="0021528F" w:rsidRPr="0021528F" w:rsidRDefault="0021528F" w:rsidP="0021528F">
      <w:pPr>
        <w:spacing w:line="276" w:lineRule="auto"/>
        <w:ind w:right="270"/>
        <w:rPr>
          <w:rFonts w:asciiTheme="majorHAnsi" w:hAnsiTheme="majorHAnsi" w:cstheme="majorHAnsi"/>
          <w:b/>
          <w:bCs/>
          <w:u w:val="single"/>
        </w:rPr>
      </w:pPr>
    </w:p>
    <w:p w14:paraId="73BEFFE5" w14:textId="69A885CD" w:rsidR="0021528F" w:rsidRPr="0021528F" w:rsidRDefault="003C6724" w:rsidP="0021528F">
      <w:pPr>
        <w:spacing w:line="276" w:lineRule="auto"/>
        <w:rPr>
          <w:rFonts w:asciiTheme="majorHAnsi" w:hAnsiTheme="majorHAnsi" w:cstheme="majorHAnsi"/>
          <w:b/>
          <w:bCs/>
          <w:u w:val="single"/>
        </w:rPr>
      </w:pPr>
      <w:r>
        <w:rPr>
          <w:rFonts w:asciiTheme="majorHAnsi" w:hAnsiTheme="majorHAnsi" w:cstheme="majorHAnsi"/>
          <w:i/>
          <w:iCs/>
        </w:rPr>
        <w:t xml:space="preserve">Cytogenic chromosome validation </w:t>
      </w:r>
    </w:p>
    <w:p w14:paraId="016BEFD4"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Seventy-five cell images were collected from the three pooled sample sets (mixed sex, males-only, females-only). Quality control steps discarded cells that were not intact, did not contain clearly defined chromosomes, or had significantly overlapping chromosomes. After quality control filtration, 18 cells were retained for counting/analysis. From these 18 cells, we determined the 2n (diploid) chromosome count for the delta smelt to be 56, with 15 cells exhibiting 2n=56 and 3 cells with </w:t>
      </w:r>
      <w:proofErr w:type="spellStart"/>
      <w:r w:rsidRPr="0021528F">
        <w:rPr>
          <w:rFonts w:asciiTheme="majorHAnsi" w:hAnsiTheme="majorHAnsi" w:cstheme="majorHAnsi"/>
        </w:rPr>
        <w:t>hypomodal</w:t>
      </w:r>
      <w:proofErr w:type="spellEnd"/>
      <w:r w:rsidRPr="0021528F">
        <w:rPr>
          <w:rFonts w:asciiTheme="majorHAnsi" w:hAnsiTheme="majorHAnsi" w:cstheme="majorHAnsi"/>
        </w:rPr>
        <w:t xml:space="preserve"> counts (1 cell with 2n=54, 2 cells with 2n=55, Table 5). Figure 6 shows a representative mitotic metaphase cell from a male spleen cell exhibiting 56 chromosomes.</w:t>
      </w:r>
    </w:p>
    <w:p w14:paraId="24DC4067" w14:textId="77777777" w:rsidR="0021528F" w:rsidRPr="0021528F" w:rsidRDefault="0021528F" w:rsidP="0021528F">
      <w:pPr>
        <w:spacing w:line="276" w:lineRule="auto"/>
        <w:rPr>
          <w:rFonts w:asciiTheme="majorHAnsi" w:hAnsiTheme="majorHAnsi" w:cstheme="majorHAnsi"/>
          <w:b/>
          <w:bCs/>
          <w:u w:val="single"/>
        </w:rPr>
      </w:pPr>
    </w:p>
    <w:p w14:paraId="6004B1B3" w14:textId="0F981477" w:rsidR="00D55E48" w:rsidRPr="00D55E48" w:rsidRDefault="00D55E48" w:rsidP="0021528F">
      <w:pPr>
        <w:spacing w:line="276" w:lineRule="auto"/>
        <w:rPr>
          <w:rFonts w:asciiTheme="majorHAnsi" w:hAnsiTheme="majorHAnsi" w:cstheme="majorHAnsi"/>
          <w:b/>
          <w:bCs/>
        </w:rPr>
      </w:pPr>
      <w:r w:rsidRPr="00D55E48">
        <w:rPr>
          <w:rFonts w:asciiTheme="majorHAnsi" w:hAnsiTheme="majorHAnsi" w:cstheme="majorHAnsi"/>
          <w:b/>
          <w:bCs/>
        </w:rPr>
        <w:t>Discussion</w:t>
      </w:r>
    </w:p>
    <w:p w14:paraId="72D4AC7C" w14:textId="71A19CAE"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t>The diploid chromosome number of 56 for delta smelt aligns with that reported for other smelt species, 2n=54, 56 or 58 for European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27,28</w:t>
      </w:r>
      <w:r w:rsidRPr="0021528F">
        <w:rPr>
          <w:rFonts w:asciiTheme="majorHAnsi" w:hAnsiTheme="majorHAnsi" w:cstheme="majorHAnsi"/>
        </w:rPr>
        <w:fldChar w:fldCharType="end"/>
      </w:r>
      <w:r w:rsidRPr="0021528F">
        <w:rPr>
          <w:rFonts w:asciiTheme="majorHAnsi" w:hAnsiTheme="majorHAnsi" w:cstheme="majorHAnsi"/>
        </w:rPr>
        <w:t xml:space="preserve"> and 2n=56 for the Japanese pond smelt</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29</w:t>
      </w:r>
      <w:r w:rsidRPr="0021528F">
        <w:rPr>
          <w:rFonts w:asciiTheme="majorHAnsi" w:hAnsiTheme="majorHAnsi" w:cstheme="majorHAnsi"/>
        </w:rPr>
        <w:fldChar w:fldCharType="end"/>
      </w:r>
      <w:r w:rsidRPr="0021528F">
        <w:rPr>
          <w:rFonts w:asciiTheme="majorHAnsi" w:hAnsiTheme="majorHAnsi" w:cstheme="majorHAnsi"/>
        </w:rPr>
        <w:t>. As others have noted, Robertsonian fusions/fissions of chromosomes (</w:t>
      </w:r>
      <w:proofErr w:type="spellStart"/>
      <w:r w:rsidRPr="0021528F">
        <w:rPr>
          <w:rFonts w:asciiTheme="majorHAnsi" w:hAnsiTheme="majorHAnsi" w:cstheme="majorHAnsi"/>
        </w:rPr>
        <w:t>acrocentrics</w:t>
      </w:r>
      <w:proofErr w:type="spellEnd"/>
      <w:r w:rsidRPr="0021528F">
        <w:rPr>
          <w:rFonts w:asciiTheme="majorHAnsi" w:hAnsiTheme="majorHAnsi" w:cstheme="majorHAnsi"/>
        </w:rPr>
        <w:t xml:space="preserve"> fusing to form </w:t>
      </w:r>
      <w:proofErr w:type="spellStart"/>
      <w:r w:rsidRPr="0021528F">
        <w:rPr>
          <w:rFonts w:asciiTheme="majorHAnsi" w:hAnsiTheme="majorHAnsi" w:cstheme="majorHAnsi"/>
        </w:rPr>
        <w:t>metacentrics</w:t>
      </w:r>
      <w:proofErr w:type="spellEnd"/>
      <w:r w:rsidRPr="0021528F">
        <w:rPr>
          <w:rFonts w:asciiTheme="majorHAnsi" w:hAnsiTheme="majorHAnsi" w:cstheme="majorHAnsi"/>
        </w:rPr>
        <w:t xml:space="preserve"> or vice versa) may be the source of the karyotype variation, which is also the basis </w:t>
      </w:r>
      <w:r w:rsidRPr="0021528F">
        <w:rPr>
          <w:rFonts w:asciiTheme="majorHAnsi" w:hAnsiTheme="majorHAnsi" w:cstheme="majorHAnsi"/>
        </w:rPr>
        <w:lastRenderedPageBreak/>
        <w:t>for karyotype variation observed within and among salmonid species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28,30</w:t>
      </w:r>
      <w:r w:rsidRPr="0021528F">
        <w:rPr>
          <w:rFonts w:asciiTheme="majorHAnsi" w:hAnsiTheme="majorHAnsi" w:cstheme="majorHAnsi"/>
        </w:rPr>
        <w:fldChar w:fldCharType="end"/>
      </w:r>
      <w:r w:rsidRPr="0021528F">
        <w:rPr>
          <w:rFonts w:asciiTheme="majorHAnsi" w:hAnsiTheme="majorHAnsi" w:cstheme="majorHAnsi"/>
        </w:rPr>
        <w:t xml:space="preserve">. No sex chromosomes have been reported to date for those smelts studied cytogenetically, and here we found no evidence for sex-specific chromosomes although a more detailed study is necessary to secure such a determination given the small sample size and low resolution of images. </w:t>
      </w:r>
      <w:proofErr w:type="gramStart"/>
      <w:r w:rsidRPr="0021528F">
        <w:rPr>
          <w:rFonts w:asciiTheme="majorHAnsi" w:hAnsiTheme="majorHAnsi" w:cstheme="majorHAnsi"/>
        </w:rPr>
        <w:t>Similar to</w:t>
      </w:r>
      <w:proofErr w:type="gramEnd"/>
      <w:r w:rsidRPr="0021528F">
        <w:rPr>
          <w:rFonts w:asciiTheme="majorHAnsi" w:hAnsiTheme="majorHAnsi" w:cstheme="majorHAnsi"/>
        </w:rPr>
        <w:t xml:space="preserve"> other reports, we note a preponderance of </w:t>
      </w:r>
      <w:proofErr w:type="spellStart"/>
      <w:r w:rsidRPr="0021528F">
        <w:rPr>
          <w:rFonts w:asciiTheme="majorHAnsi" w:hAnsiTheme="majorHAnsi" w:cstheme="majorHAnsi"/>
        </w:rPr>
        <w:t>subtelocentric</w:t>
      </w:r>
      <w:proofErr w:type="spellEnd"/>
      <w:r w:rsidRPr="0021528F">
        <w:rPr>
          <w:rFonts w:asciiTheme="majorHAnsi" w:hAnsiTheme="majorHAnsi" w:cstheme="majorHAnsi"/>
        </w:rPr>
        <w:t>/acrocentric chromosome pairs over metacentric chromosome pair, as one might expect for closely related species. Chromosome composition is a descriptive metric, and our findings did not alter or affect our genome assembly process.</w:t>
      </w:r>
    </w:p>
    <w:p w14:paraId="63EA0333" w14:textId="77777777" w:rsidR="0021528F" w:rsidRPr="0021528F" w:rsidRDefault="0021528F" w:rsidP="0021528F">
      <w:pPr>
        <w:spacing w:line="276" w:lineRule="auto"/>
        <w:rPr>
          <w:rFonts w:asciiTheme="majorHAnsi" w:hAnsiTheme="majorHAnsi" w:cstheme="majorHAnsi"/>
          <w:b/>
          <w:bCs/>
          <w:u w:val="single"/>
        </w:rPr>
      </w:pPr>
    </w:p>
    <w:p w14:paraId="23899E3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The primary objective of this study was to create a single highly contiguous genome assembly for use within and beyond the scope of this project. We assembled two independent delta smelt genomes (male assembly and female assembly) using gold-standard methods in addition to validating the number of chromosomes with an independent cytogenetic study. To assemble the delta smelt genomes, we combined PacBio long reads, 10X Chromium linked-reads, Phase hi-c chromatin conformation capture and a linkage map to create two sex-specific reference assemblies for male and female fish. </w:t>
      </w:r>
    </w:p>
    <w:p w14:paraId="7187398F" w14:textId="77777777" w:rsidR="0021528F" w:rsidRPr="0021528F" w:rsidRDefault="0021528F" w:rsidP="0021528F">
      <w:pPr>
        <w:spacing w:line="276" w:lineRule="auto"/>
        <w:rPr>
          <w:rFonts w:asciiTheme="majorHAnsi" w:hAnsiTheme="majorHAnsi" w:cstheme="majorHAnsi"/>
          <w:b/>
          <w:bCs/>
          <w:u w:val="single"/>
        </w:rPr>
      </w:pPr>
    </w:p>
    <w:p w14:paraId="6BB808C6" w14:textId="77777777" w:rsidR="0021528F" w:rsidRPr="0021528F" w:rsidRDefault="0021528F" w:rsidP="0021528F">
      <w:pPr>
        <w:spacing w:line="276" w:lineRule="auto"/>
        <w:rPr>
          <w:rFonts w:asciiTheme="majorHAnsi" w:hAnsiTheme="majorHAnsi" w:cstheme="majorHAnsi"/>
          <w:b/>
          <w:bCs/>
          <w:u w:val="single"/>
        </w:rPr>
      </w:pPr>
      <w:r w:rsidRPr="0021528F">
        <w:rPr>
          <w:rFonts w:asciiTheme="majorHAnsi" w:hAnsiTheme="majorHAnsi" w:cstheme="majorHAnsi"/>
        </w:rPr>
        <w:t xml:space="preserve">The final total lengths for the male and female assemblies were 0.47Gb and 0.44Gb, respectively which is similar to the </w:t>
      </w:r>
      <w:proofErr w:type="spellStart"/>
      <w:r w:rsidRPr="0021528F">
        <w:rPr>
          <w:rFonts w:asciiTheme="majorHAnsi" w:hAnsiTheme="majorHAnsi" w:cstheme="majorHAnsi"/>
        </w:rPr>
        <w:t>wakasagi</w:t>
      </w:r>
      <w:proofErr w:type="spellEnd"/>
      <w:r w:rsidRPr="0021528F">
        <w:rPr>
          <w:rFonts w:asciiTheme="majorHAnsi" w:hAnsiTheme="majorHAnsi" w:cstheme="majorHAnsi"/>
        </w:rPr>
        <w:t xml:space="preserve"> genome (</w:t>
      </w:r>
      <w:proofErr w:type="spellStart"/>
      <w:r w:rsidRPr="0021528F">
        <w:rPr>
          <w:rFonts w:asciiTheme="majorHAnsi" w:hAnsiTheme="majorHAnsi" w:cstheme="majorHAnsi"/>
          <w:i/>
          <w:iCs/>
        </w:rPr>
        <w:t>Hypomesus</w:t>
      </w:r>
      <w:proofErr w:type="spellEnd"/>
      <w:r w:rsidRPr="0021528F">
        <w:rPr>
          <w:rFonts w:asciiTheme="majorHAnsi" w:hAnsiTheme="majorHAnsi" w:cstheme="majorHAnsi"/>
          <w:i/>
          <w:iCs/>
        </w:rPr>
        <w:t xml:space="preserve"> </w:t>
      </w:r>
      <w:proofErr w:type="spellStart"/>
      <w:r w:rsidRPr="0021528F">
        <w:rPr>
          <w:rFonts w:asciiTheme="majorHAnsi" w:hAnsiTheme="majorHAnsi" w:cstheme="majorHAnsi"/>
          <w:i/>
          <w:iCs/>
        </w:rPr>
        <w:t>nipponensis</w:t>
      </w:r>
      <w:proofErr w:type="spellEnd"/>
      <w:r w:rsidRPr="0021528F">
        <w:rPr>
          <w:rFonts w:asciiTheme="majorHAnsi" w:hAnsiTheme="majorHAnsi" w:cstheme="majorHAnsi"/>
        </w:rPr>
        <w:t>) which has a total length of 0.50Gb</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31</w:t>
      </w:r>
      <w:r w:rsidRPr="0021528F">
        <w:rPr>
          <w:rFonts w:asciiTheme="majorHAnsi" w:hAnsiTheme="majorHAnsi" w:cstheme="majorHAnsi"/>
        </w:rPr>
        <w:fldChar w:fldCharType="end"/>
      </w:r>
      <w:r w:rsidRPr="0021528F">
        <w:rPr>
          <w:rFonts w:asciiTheme="majorHAnsi" w:hAnsiTheme="majorHAnsi" w:cstheme="majorHAnsi"/>
        </w:rPr>
        <w:t xml:space="preserve">. Our final male and female assemblies had 376 and 549 scaffolds with N50’s of 0.12Gb and 0.15Gb, respectively. The first 28 contigs, representing the number of haploid chromosomes confirmed by cytogenetic karyotyping contain 73.3% and 81.6% of the sequencing data of total assemblies in male and females, respectively. For comparison the 3.2Gb human genome––which is considered one of the leaders in genome assemblies and has been actively worked on for over a decade––has an N50 of 0.67Gb, has been assembled into 23 chromosomes and still contains 92 unplaced scaffolds for a total of 115 scaffolds. Thus, our reference genomes in a species that has a smaller genome with more chromosomes provides a highly successful foundation for the future of delta smelt research. Our final genome assemblies are roughly 25-30 times more contiguous that the newly published </w:t>
      </w:r>
      <w:r w:rsidRPr="0021528F">
        <w:rPr>
          <w:rFonts w:asciiTheme="majorHAnsi" w:hAnsiTheme="majorHAnsi" w:cstheme="majorHAnsi"/>
          <w:i/>
          <w:iCs/>
        </w:rPr>
        <w:t xml:space="preserve">H. </w:t>
      </w:r>
      <w:proofErr w:type="spellStart"/>
      <w:r w:rsidRPr="0021528F">
        <w:rPr>
          <w:rFonts w:asciiTheme="majorHAnsi" w:hAnsiTheme="majorHAnsi" w:cstheme="majorHAnsi"/>
          <w:i/>
          <w:iCs/>
        </w:rPr>
        <w:t>niponnensis</w:t>
      </w:r>
      <w:proofErr w:type="spellEnd"/>
      <w:r w:rsidRPr="0021528F">
        <w:rPr>
          <w:rFonts w:asciiTheme="majorHAnsi" w:hAnsiTheme="majorHAnsi" w:cstheme="majorHAnsi"/>
        </w:rPr>
        <w:t xml:space="preserve"> assembly and our final assemblies contained 88.4% (in male reference) and 89.3% (in female reference) of core genes expected in the </w:t>
      </w:r>
      <w:r w:rsidRPr="0021528F">
        <w:rPr>
          <w:rFonts w:asciiTheme="majorHAnsi" w:hAnsiTheme="majorHAnsi" w:cstheme="majorHAnsi"/>
          <w:i/>
          <w:iCs/>
        </w:rPr>
        <w:t>Actinopterygii</w:t>
      </w:r>
      <w:r w:rsidRPr="0021528F">
        <w:rPr>
          <w:rFonts w:asciiTheme="majorHAnsi" w:hAnsiTheme="majorHAnsi" w:cstheme="majorHAnsi"/>
        </w:rPr>
        <w:t xml:space="preserve"> BUSCO database.</w:t>
      </w:r>
    </w:p>
    <w:p w14:paraId="0E358E71" w14:textId="77777777" w:rsidR="0021528F" w:rsidRPr="0021528F" w:rsidRDefault="0021528F" w:rsidP="0021528F">
      <w:pPr>
        <w:spacing w:line="276" w:lineRule="auto"/>
        <w:rPr>
          <w:rFonts w:asciiTheme="majorHAnsi" w:hAnsiTheme="majorHAnsi" w:cstheme="majorHAnsi"/>
          <w:b/>
          <w:bCs/>
          <w:u w:val="single"/>
        </w:rPr>
      </w:pPr>
    </w:p>
    <w:p w14:paraId="37A637EE" w14:textId="77777777" w:rsidR="0021528F" w:rsidRPr="0021528F" w:rsidRDefault="0021528F" w:rsidP="0021528F">
      <w:pPr>
        <w:spacing w:line="276" w:lineRule="auto"/>
        <w:rPr>
          <w:rFonts w:asciiTheme="majorHAnsi" w:hAnsiTheme="majorHAnsi" w:cstheme="majorHAnsi"/>
        </w:rPr>
      </w:pPr>
      <w:r w:rsidRPr="0021528F">
        <w:rPr>
          <w:rFonts w:asciiTheme="majorHAnsi" w:hAnsiTheme="majorHAnsi" w:cstheme="majorHAnsi"/>
        </w:rPr>
        <w:t>In summation, our final reference genomes are highly contiguous and contain a high number of ultra-conserved genes. This indicates that this project was successful in assembling a useful resource for current and future studies involving delta smelt and closely related species.</w:t>
      </w:r>
    </w:p>
    <w:p w14:paraId="071D7CA3" w14:textId="5855C9A2" w:rsidR="0021528F" w:rsidRPr="0021528F" w:rsidRDefault="0021528F" w:rsidP="0021528F">
      <w:pPr>
        <w:rPr>
          <w:rFonts w:asciiTheme="majorHAnsi" w:hAnsiTheme="majorHAnsi" w:cstheme="majorHAnsi"/>
        </w:rPr>
      </w:pPr>
    </w:p>
    <w:sectPr w:rsidR="0021528F" w:rsidRPr="00215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5B"/>
    <w:multiLevelType w:val="hybridMultilevel"/>
    <w:tmpl w:val="2C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319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84666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8DD"/>
    <w:rsid w:val="0021528F"/>
    <w:rsid w:val="003C6724"/>
    <w:rsid w:val="00446C5D"/>
    <w:rsid w:val="007004E7"/>
    <w:rsid w:val="00720299"/>
    <w:rsid w:val="009F3A8B"/>
    <w:rsid w:val="00A7435B"/>
    <w:rsid w:val="00A9734B"/>
    <w:rsid w:val="00BD1D1A"/>
    <w:rsid w:val="00BF37D5"/>
    <w:rsid w:val="00D55E48"/>
    <w:rsid w:val="00EB65A5"/>
    <w:rsid w:val="00F5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7282C9"/>
  <w15:chartTrackingRefBased/>
  <w15:docId w15:val="{81FE20BA-0EB3-4C48-B762-8C528A3C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8F"/>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21528F"/>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8DD"/>
    <w:pPr>
      <w:ind w:left="720"/>
      <w:contextualSpacing/>
    </w:pPr>
  </w:style>
  <w:style w:type="character" w:customStyle="1" w:styleId="Heading1Char">
    <w:name w:val="Heading 1 Char"/>
    <w:basedOn w:val="DefaultParagraphFont"/>
    <w:link w:val="Heading1"/>
    <w:uiPriority w:val="9"/>
    <w:qFormat/>
    <w:rsid w:val="0021528F"/>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21528F"/>
    <w:rPr>
      <w:rFonts w:ascii="Times New Roman" w:eastAsiaTheme="majorEastAsia" w:hAnsi="Times New Roman" w:cstheme="majorBidi"/>
      <w:b/>
      <w:i/>
      <w:color w:val="000000" w:themeColor="text1"/>
      <w:szCs w:val="26"/>
    </w:rPr>
  </w:style>
  <w:style w:type="character" w:styleId="Hyperlink">
    <w:name w:val="Hyperlink"/>
    <w:basedOn w:val="DefaultParagraphFont"/>
    <w:uiPriority w:val="99"/>
    <w:unhideWhenUsed/>
    <w:rsid w:val="002152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b.com/" TargetMode="External"/><Relationship Id="rId13" Type="http://schemas.openxmlformats.org/officeDocument/2006/relationships/hyperlink" Target="https://github.com/ArimaGenomics/mapping_pipelin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wtsi-hpag/Scaff10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acificBiosciences/pbipa" TargetMode="External"/><Relationship Id="rId5" Type="http://schemas.openxmlformats.org/officeDocument/2006/relationships/image" Target="media/image1.jpeg"/><Relationship Id="rId15" Type="http://schemas.openxmlformats.org/officeDocument/2006/relationships/image" Target="media/image4.jpeg"/><Relationship Id="rId10" Type="http://schemas.openxmlformats.org/officeDocument/2006/relationships/hyperlink" Target="https://github.com/PacificBiosciences/ccs" TargetMode="External"/><Relationship Id="rId4" Type="http://schemas.openxmlformats.org/officeDocument/2006/relationships/webSettings" Target="webSettings.xml"/><Relationship Id="rId9" Type="http://schemas.openxmlformats.org/officeDocument/2006/relationships/hyperlink" Target="https://www.10xgenomics.com/technology/" TargetMode="External"/><Relationship Id="rId14" Type="http://schemas.openxmlformats.org/officeDocument/2006/relationships/hyperlink" Target="http://broadinstitute.github.io/pi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14</Pages>
  <Words>13236</Words>
  <Characters>75450</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5</cp:revision>
  <dcterms:created xsi:type="dcterms:W3CDTF">2022-08-23T14:36:00Z</dcterms:created>
  <dcterms:modified xsi:type="dcterms:W3CDTF">2022-08-26T20:42:00Z</dcterms:modified>
</cp:coreProperties>
</file>