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id w:val="-977759640"/>
        <w:docPartObj>
          <w:docPartGallery w:val="Table of Contents"/>
          <w:docPartUnique/>
        </w:docPartObj>
      </w:sdtPr>
      <w:sdtEndPr>
        <w:rPr>
          <w:rFonts w:asciiTheme="minorHAnsi" w:eastAsiaTheme="minorHAnsi" w:hAnsiTheme="minorHAnsi"/>
          <w:b/>
          <w:bCs/>
          <w:smallCaps w:val="0"/>
          <w:noProof/>
          <w:spacing w:val="0"/>
          <w:sz w:val="24"/>
          <w:szCs w:val="24"/>
        </w:rPr>
      </w:sdtEndPr>
      <w:sdtContent>
        <w:p w14:paraId="310AEC7B" w14:textId="74A1162D" w:rsidR="00A951B3" w:rsidRDefault="00A951B3">
          <w:pPr>
            <w:pStyle w:val="TOCHeading"/>
          </w:pPr>
          <w:r>
            <w:t>Table of Contents</w:t>
          </w:r>
        </w:p>
        <w:p w14:paraId="690EEB21" w14:textId="15E35AD0" w:rsidR="00A951B3" w:rsidRDefault="00A951B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3355006" w:history="1">
            <w:r w:rsidRPr="00C74319">
              <w:rPr>
                <w:rStyle w:val="Hyperlink"/>
                <w:noProof/>
              </w:rPr>
              <w:t>Chapter 3 – Investigation in identifying sex-specific markers in delta smelt</w:t>
            </w:r>
            <w:r>
              <w:rPr>
                <w:noProof/>
                <w:webHidden/>
              </w:rPr>
              <w:tab/>
            </w:r>
            <w:r>
              <w:rPr>
                <w:noProof/>
                <w:webHidden/>
              </w:rPr>
              <w:fldChar w:fldCharType="begin"/>
            </w:r>
            <w:r>
              <w:rPr>
                <w:noProof/>
                <w:webHidden/>
              </w:rPr>
              <w:instrText xml:space="preserve"> PAGEREF _Toc113355006 \h </w:instrText>
            </w:r>
            <w:r>
              <w:rPr>
                <w:noProof/>
                <w:webHidden/>
              </w:rPr>
            </w:r>
            <w:r>
              <w:rPr>
                <w:noProof/>
                <w:webHidden/>
              </w:rPr>
              <w:fldChar w:fldCharType="separate"/>
            </w:r>
            <w:r>
              <w:rPr>
                <w:noProof/>
                <w:webHidden/>
              </w:rPr>
              <w:t>1</w:t>
            </w:r>
            <w:r>
              <w:rPr>
                <w:noProof/>
                <w:webHidden/>
              </w:rPr>
              <w:fldChar w:fldCharType="end"/>
            </w:r>
          </w:hyperlink>
        </w:p>
        <w:p w14:paraId="7C5F3E4E" w14:textId="090E1AD9" w:rsidR="00A951B3" w:rsidRDefault="00A951B3">
          <w:pPr>
            <w:pStyle w:val="TOC2"/>
            <w:tabs>
              <w:tab w:val="right" w:leader="dot" w:pos="9350"/>
            </w:tabs>
            <w:rPr>
              <w:noProof/>
            </w:rPr>
          </w:pPr>
          <w:hyperlink w:anchor="_Toc113355007" w:history="1">
            <w:r w:rsidRPr="00C74319">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_Toc113355007 \h </w:instrText>
            </w:r>
            <w:r>
              <w:rPr>
                <w:noProof/>
                <w:webHidden/>
              </w:rPr>
            </w:r>
            <w:r>
              <w:rPr>
                <w:noProof/>
                <w:webHidden/>
              </w:rPr>
              <w:fldChar w:fldCharType="separate"/>
            </w:r>
            <w:r>
              <w:rPr>
                <w:noProof/>
                <w:webHidden/>
              </w:rPr>
              <w:t>1</w:t>
            </w:r>
            <w:r>
              <w:rPr>
                <w:noProof/>
                <w:webHidden/>
              </w:rPr>
              <w:fldChar w:fldCharType="end"/>
            </w:r>
          </w:hyperlink>
        </w:p>
        <w:p w14:paraId="6CE6370F" w14:textId="3E757BEE" w:rsidR="00A951B3" w:rsidRDefault="00A951B3">
          <w:pPr>
            <w:pStyle w:val="TOC2"/>
            <w:tabs>
              <w:tab w:val="right" w:leader="dot" w:pos="9350"/>
            </w:tabs>
            <w:rPr>
              <w:noProof/>
            </w:rPr>
          </w:pPr>
          <w:hyperlink w:anchor="_Toc113355008" w:history="1">
            <w:r w:rsidRPr="00C74319">
              <w:rPr>
                <w:rStyle w:val="Hyperlink"/>
                <w:rFonts w:asciiTheme="majorHAnsi" w:hAnsiTheme="majorHAnsi" w:cstheme="majorHAnsi"/>
                <w:noProof/>
              </w:rPr>
              <w:t>Methods</w:t>
            </w:r>
            <w:r>
              <w:rPr>
                <w:noProof/>
                <w:webHidden/>
              </w:rPr>
              <w:tab/>
            </w:r>
            <w:r>
              <w:rPr>
                <w:noProof/>
                <w:webHidden/>
              </w:rPr>
              <w:fldChar w:fldCharType="begin"/>
            </w:r>
            <w:r>
              <w:rPr>
                <w:noProof/>
                <w:webHidden/>
              </w:rPr>
              <w:instrText xml:space="preserve"> PAGEREF _Toc113355008 \h </w:instrText>
            </w:r>
            <w:r>
              <w:rPr>
                <w:noProof/>
                <w:webHidden/>
              </w:rPr>
            </w:r>
            <w:r>
              <w:rPr>
                <w:noProof/>
                <w:webHidden/>
              </w:rPr>
              <w:fldChar w:fldCharType="separate"/>
            </w:r>
            <w:r>
              <w:rPr>
                <w:noProof/>
                <w:webHidden/>
              </w:rPr>
              <w:t>1</w:t>
            </w:r>
            <w:r>
              <w:rPr>
                <w:noProof/>
                <w:webHidden/>
              </w:rPr>
              <w:fldChar w:fldCharType="end"/>
            </w:r>
          </w:hyperlink>
        </w:p>
        <w:p w14:paraId="56DB3D0C" w14:textId="1F941623" w:rsidR="00A951B3" w:rsidRDefault="00A951B3">
          <w:pPr>
            <w:pStyle w:val="TOC3"/>
            <w:tabs>
              <w:tab w:val="right" w:leader="dot" w:pos="9350"/>
            </w:tabs>
            <w:rPr>
              <w:noProof/>
            </w:rPr>
          </w:pPr>
          <w:hyperlink w:anchor="_Toc113355009" w:history="1">
            <w:r w:rsidRPr="00C74319">
              <w:rPr>
                <w:rStyle w:val="Hyperlink"/>
                <w:rFonts w:asciiTheme="majorHAnsi" w:hAnsiTheme="majorHAnsi" w:cstheme="majorHAnsi"/>
                <w:noProof/>
              </w:rPr>
              <w:t>Sample collection &amp; DNA extraction</w:t>
            </w:r>
            <w:r>
              <w:rPr>
                <w:noProof/>
                <w:webHidden/>
              </w:rPr>
              <w:tab/>
            </w:r>
            <w:r>
              <w:rPr>
                <w:noProof/>
                <w:webHidden/>
              </w:rPr>
              <w:fldChar w:fldCharType="begin"/>
            </w:r>
            <w:r>
              <w:rPr>
                <w:noProof/>
                <w:webHidden/>
              </w:rPr>
              <w:instrText xml:space="preserve"> PAGEREF _Toc113355009 \h </w:instrText>
            </w:r>
            <w:r>
              <w:rPr>
                <w:noProof/>
                <w:webHidden/>
              </w:rPr>
            </w:r>
            <w:r>
              <w:rPr>
                <w:noProof/>
                <w:webHidden/>
              </w:rPr>
              <w:fldChar w:fldCharType="separate"/>
            </w:r>
            <w:r>
              <w:rPr>
                <w:noProof/>
                <w:webHidden/>
              </w:rPr>
              <w:t>1</w:t>
            </w:r>
            <w:r>
              <w:rPr>
                <w:noProof/>
                <w:webHidden/>
              </w:rPr>
              <w:fldChar w:fldCharType="end"/>
            </w:r>
          </w:hyperlink>
        </w:p>
        <w:p w14:paraId="33C1E647" w14:textId="57610EBB" w:rsidR="00A951B3" w:rsidRDefault="00A951B3">
          <w:pPr>
            <w:pStyle w:val="TOC3"/>
            <w:tabs>
              <w:tab w:val="right" w:leader="dot" w:pos="9350"/>
            </w:tabs>
            <w:rPr>
              <w:noProof/>
            </w:rPr>
          </w:pPr>
          <w:hyperlink w:anchor="_Toc113355010" w:history="1">
            <w:r w:rsidRPr="00C74319">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_Toc113355010 \h </w:instrText>
            </w:r>
            <w:r>
              <w:rPr>
                <w:noProof/>
                <w:webHidden/>
              </w:rPr>
            </w:r>
            <w:r>
              <w:rPr>
                <w:noProof/>
                <w:webHidden/>
              </w:rPr>
              <w:fldChar w:fldCharType="separate"/>
            </w:r>
            <w:r>
              <w:rPr>
                <w:noProof/>
                <w:webHidden/>
              </w:rPr>
              <w:t>2</w:t>
            </w:r>
            <w:r>
              <w:rPr>
                <w:noProof/>
                <w:webHidden/>
              </w:rPr>
              <w:fldChar w:fldCharType="end"/>
            </w:r>
          </w:hyperlink>
        </w:p>
        <w:p w14:paraId="30AC015E" w14:textId="09C6B08A" w:rsidR="00A951B3" w:rsidRDefault="00A951B3">
          <w:pPr>
            <w:pStyle w:val="TOC3"/>
            <w:tabs>
              <w:tab w:val="right" w:leader="dot" w:pos="9350"/>
            </w:tabs>
            <w:rPr>
              <w:noProof/>
            </w:rPr>
          </w:pPr>
          <w:hyperlink w:anchor="_Toc113355011" w:history="1">
            <w:r w:rsidRPr="00C74319">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_Toc113355011 \h </w:instrText>
            </w:r>
            <w:r>
              <w:rPr>
                <w:noProof/>
                <w:webHidden/>
              </w:rPr>
            </w:r>
            <w:r>
              <w:rPr>
                <w:noProof/>
                <w:webHidden/>
              </w:rPr>
              <w:fldChar w:fldCharType="separate"/>
            </w:r>
            <w:r>
              <w:rPr>
                <w:noProof/>
                <w:webHidden/>
              </w:rPr>
              <w:t>2</w:t>
            </w:r>
            <w:r>
              <w:rPr>
                <w:noProof/>
                <w:webHidden/>
              </w:rPr>
              <w:fldChar w:fldCharType="end"/>
            </w:r>
          </w:hyperlink>
        </w:p>
        <w:p w14:paraId="51BD493E" w14:textId="7F3FCBFA" w:rsidR="00A951B3" w:rsidRDefault="00A951B3">
          <w:pPr>
            <w:pStyle w:val="TOC3"/>
            <w:tabs>
              <w:tab w:val="right" w:leader="dot" w:pos="9350"/>
            </w:tabs>
            <w:rPr>
              <w:noProof/>
            </w:rPr>
          </w:pPr>
          <w:hyperlink w:anchor="_Toc113355012" w:history="1">
            <w:r w:rsidRPr="00C74319">
              <w:rPr>
                <w:rStyle w:val="Hyperlink"/>
                <w:rFonts w:asciiTheme="majorHAnsi" w:hAnsiTheme="majorHAnsi" w:cstheme="majorHAnsi"/>
                <w:noProof/>
              </w:rPr>
              <w:t>K-mer analysis</w:t>
            </w:r>
            <w:r>
              <w:rPr>
                <w:noProof/>
                <w:webHidden/>
              </w:rPr>
              <w:tab/>
            </w:r>
            <w:r>
              <w:rPr>
                <w:noProof/>
                <w:webHidden/>
              </w:rPr>
              <w:fldChar w:fldCharType="begin"/>
            </w:r>
            <w:r>
              <w:rPr>
                <w:noProof/>
                <w:webHidden/>
              </w:rPr>
              <w:instrText xml:space="preserve"> PAGEREF _Toc113355012 \h </w:instrText>
            </w:r>
            <w:r>
              <w:rPr>
                <w:noProof/>
                <w:webHidden/>
              </w:rPr>
            </w:r>
            <w:r>
              <w:rPr>
                <w:noProof/>
                <w:webHidden/>
              </w:rPr>
              <w:fldChar w:fldCharType="separate"/>
            </w:r>
            <w:r>
              <w:rPr>
                <w:noProof/>
                <w:webHidden/>
              </w:rPr>
              <w:t>3</w:t>
            </w:r>
            <w:r>
              <w:rPr>
                <w:noProof/>
                <w:webHidden/>
              </w:rPr>
              <w:fldChar w:fldCharType="end"/>
            </w:r>
          </w:hyperlink>
        </w:p>
        <w:p w14:paraId="65AF9E0C" w14:textId="5223C732" w:rsidR="00A951B3" w:rsidRDefault="00A951B3">
          <w:pPr>
            <w:pStyle w:val="TOC2"/>
            <w:tabs>
              <w:tab w:val="right" w:leader="dot" w:pos="9350"/>
            </w:tabs>
            <w:rPr>
              <w:noProof/>
            </w:rPr>
          </w:pPr>
          <w:hyperlink w:anchor="_Toc113355013" w:history="1">
            <w:r w:rsidRPr="00C74319">
              <w:rPr>
                <w:rStyle w:val="Hyperlink"/>
                <w:rFonts w:asciiTheme="majorHAnsi" w:hAnsiTheme="majorHAnsi" w:cstheme="majorHAnsi"/>
                <w:noProof/>
              </w:rPr>
              <w:t>Results</w:t>
            </w:r>
            <w:r>
              <w:rPr>
                <w:noProof/>
                <w:webHidden/>
              </w:rPr>
              <w:tab/>
            </w:r>
            <w:r>
              <w:rPr>
                <w:noProof/>
                <w:webHidden/>
              </w:rPr>
              <w:fldChar w:fldCharType="begin"/>
            </w:r>
            <w:r>
              <w:rPr>
                <w:noProof/>
                <w:webHidden/>
              </w:rPr>
              <w:instrText xml:space="preserve"> PAGEREF _Toc113355013 \h </w:instrText>
            </w:r>
            <w:r>
              <w:rPr>
                <w:noProof/>
                <w:webHidden/>
              </w:rPr>
            </w:r>
            <w:r>
              <w:rPr>
                <w:noProof/>
                <w:webHidden/>
              </w:rPr>
              <w:fldChar w:fldCharType="separate"/>
            </w:r>
            <w:r>
              <w:rPr>
                <w:noProof/>
                <w:webHidden/>
              </w:rPr>
              <w:t>3</w:t>
            </w:r>
            <w:r>
              <w:rPr>
                <w:noProof/>
                <w:webHidden/>
              </w:rPr>
              <w:fldChar w:fldCharType="end"/>
            </w:r>
          </w:hyperlink>
        </w:p>
        <w:p w14:paraId="1D4F19FD" w14:textId="55642B3A" w:rsidR="00A951B3" w:rsidRDefault="00A951B3">
          <w:pPr>
            <w:pStyle w:val="TOC3"/>
            <w:tabs>
              <w:tab w:val="right" w:leader="dot" w:pos="9350"/>
            </w:tabs>
            <w:rPr>
              <w:noProof/>
            </w:rPr>
          </w:pPr>
          <w:hyperlink w:anchor="_Toc113355014" w:history="1">
            <w:r w:rsidRPr="00C74319">
              <w:rPr>
                <w:rStyle w:val="Hyperlink"/>
                <w:rFonts w:asciiTheme="majorHAnsi" w:hAnsiTheme="majorHAnsi" w:cstheme="majorHAnsi"/>
                <w:noProof/>
              </w:rPr>
              <w:t>Sample collection &amp; DNA extraction</w:t>
            </w:r>
            <w:r>
              <w:rPr>
                <w:noProof/>
                <w:webHidden/>
              </w:rPr>
              <w:tab/>
            </w:r>
            <w:r>
              <w:rPr>
                <w:noProof/>
                <w:webHidden/>
              </w:rPr>
              <w:fldChar w:fldCharType="begin"/>
            </w:r>
            <w:r>
              <w:rPr>
                <w:noProof/>
                <w:webHidden/>
              </w:rPr>
              <w:instrText xml:space="preserve"> PAGEREF _Toc113355014 \h </w:instrText>
            </w:r>
            <w:r>
              <w:rPr>
                <w:noProof/>
                <w:webHidden/>
              </w:rPr>
            </w:r>
            <w:r>
              <w:rPr>
                <w:noProof/>
                <w:webHidden/>
              </w:rPr>
              <w:fldChar w:fldCharType="separate"/>
            </w:r>
            <w:r>
              <w:rPr>
                <w:noProof/>
                <w:webHidden/>
              </w:rPr>
              <w:t>3</w:t>
            </w:r>
            <w:r>
              <w:rPr>
                <w:noProof/>
                <w:webHidden/>
              </w:rPr>
              <w:fldChar w:fldCharType="end"/>
            </w:r>
          </w:hyperlink>
        </w:p>
        <w:p w14:paraId="7EA4BA66" w14:textId="732744DF" w:rsidR="00A951B3" w:rsidRDefault="00A951B3">
          <w:pPr>
            <w:pStyle w:val="TOC3"/>
            <w:tabs>
              <w:tab w:val="right" w:leader="dot" w:pos="9350"/>
            </w:tabs>
            <w:rPr>
              <w:noProof/>
            </w:rPr>
          </w:pPr>
          <w:hyperlink w:anchor="_Toc113355015" w:history="1">
            <w:r w:rsidRPr="00C74319">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_Toc113355015 \h </w:instrText>
            </w:r>
            <w:r>
              <w:rPr>
                <w:noProof/>
                <w:webHidden/>
              </w:rPr>
            </w:r>
            <w:r>
              <w:rPr>
                <w:noProof/>
                <w:webHidden/>
              </w:rPr>
              <w:fldChar w:fldCharType="separate"/>
            </w:r>
            <w:r>
              <w:rPr>
                <w:noProof/>
                <w:webHidden/>
              </w:rPr>
              <w:t>3</w:t>
            </w:r>
            <w:r>
              <w:rPr>
                <w:noProof/>
                <w:webHidden/>
              </w:rPr>
              <w:fldChar w:fldCharType="end"/>
            </w:r>
          </w:hyperlink>
        </w:p>
        <w:p w14:paraId="108FE3CD" w14:textId="74C22D91" w:rsidR="00A951B3" w:rsidRDefault="00A951B3">
          <w:pPr>
            <w:pStyle w:val="TOC3"/>
            <w:tabs>
              <w:tab w:val="right" w:leader="dot" w:pos="9350"/>
            </w:tabs>
            <w:rPr>
              <w:noProof/>
            </w:rPr>
          </w:pPr>
          <w:hyperlink w:anchor="_Toc113355016" w:history="1">
            <w:r w:rsidRPr="00C74319">
              <w:rPr>
                <w:rStyle w:val="Hyperlink"/>
                <w:rFonts w:asciiTheme="majorHAnsi" w:hAnsiTheme="majorHAnsi" w:cstheme="majorHAnsi"/>
                <w:noProof/>
              </w:rPr>
              <w:t>Depth analysis</w:t>
            </w:r>
            <w:r>
              <w:rPr>
                <w:noProof/>
                <w:webHidden/>
              </w:rPr>
              <w:tab/>
            </w:r>
            <w:r>
              <w:rPr>
                <w:noProof/>
                <w:webHidden/>
              </w:rPr>
              <w:fldChar w:fldCharType="begin"/>
            </w:r>
            <w:r>
              <w:rPr>
                <w:noProof/>
                <w:webHidden/>
              </w:rPr>
              <w:instrText xml:space="preserve"> PAGEREF _Toc113355016 \h </w:instrText>
            </w:r>
            <w:r>
              <w:rPr>
                <w:noProof/>
                <w:webHidden/>
              </w:rPr>
            </w:r>
            <w:r>
              <w:rPr>
                <w:noProof/>
                <w:webHidden/>
              </w:rPr>
              <w:fldChar w:fldCharType="separate"/>
            </w:r>
            <w:r>
              <w:rPr>
                <w:noProof/>
                <w:webHidden/>
              </w:rPr>
              <w:t>4</w:t>
            </w:r>
            <w:r>
              <w:rPr>
                <w:noProof/>
                <w:webHidden/>
              </w:rPr>
              <w:fldChar w:fldCharType="end"/>
            </w:r>
          </w:hyperlink>
        </w:p>
        <w:p w14:paraId="7B22F5FA" w14:textId="0B5B0A49" w:rsidR="00A951B3" w:rsidRDefault="00A951B3">
          <w:pPr>
            <w:pStyle w:val="TOC3"/>
            <w:tabs>
              <w:tab w:val="right" w:leader="dot" w:pos="9350"/>
            </w:tabs>
            <w:rPr>
              <w:noProof/>
            </w:rPr>
          </w:pPr>
          <w:hyperlink w:anchor="_Toc113355017" w:history="1">
            <w:r w:rsidRPr="00C74319">
              <w:rPr>
                <w:rStyle w:val="Hyperlink"/>
                <w:rFonts w:asciiTheme="majorHAnsi" w:hAnsiTheme="majorHAnsi" w:cstheme="majorHAnsi"/>
                <w:noProof/>
              </w:rPr>
              <w:t>K-mer analysis</w:t>
            </w:r>
            <w:r>
              <w:rPr>
                <w:noProof/>
                <w:webHidden/>
              </w:rPr>
              <w:tab/>
            </w:r>
            <w:r>
              <w:rPr>
                <w:noProof/>
                <w:webHidden/>
              </w:rPr>
              <w:fldChar w:fldCharType="begin"/>
            </w:r>
            <w:r>
              <w:rPr>
                <w:noProof/>
                <w:webHidden/>
              </w:rPr>
              <w:instrText xml:space="preserve"> PAGEREF _Toc113355017 \h </w:instrText>
            </w:r>
            <w:r>
              <w:rPr>
                <w:noProof/>
                <w:webHidden/>
              </w:rPr>
            </w:r>
            <w:r>
              <w:rPr>
                <w:noProof/>
                <w:webHidden/>
              </w:rPr>
              <w:fldChar w:fldCharType="separate"/>
            </w:r>
            <w:r>
              <w:rPr>
                <w:noProof/>
                <w:webHidden/>
              </w:rPr>
              <w:t>4</w:t>
            </w:r>
            <w:r>
              <w:rPr>
                <w:noProof/>
                <w:webHidden/>
              </w:rPr>
              <w:fldChar w:fldCharType="end"/>
            </w:r>
          </w:hyperlink>
        </w:p>
        <w:p w14:paraId="0743751B" w14:textId="2C48CC12" w:rsidR="00A951B3" w:rsidRDefault="00A951B3">
          <w:pPr>
            <w:pStyle w:val="TOC2"/>
            <w:tabs>
              <w:tab w:val="right" w:leader="dot" w:pos="9350"/>
            </w:tabs>
            <w:rPr>
              <w:noProof/>
            </w:rPr>
          </w:pPr>
          <w:hyperlink w:anchor="_Toc113355018" w:history="1">
            <w:r w:rsidRPr="00C74319">
              <w:rPr>
                <w:rStyle w:val="Hyperlink"/>
                <w:rFonts w:asciiTheme="majorHAnsi" w:hAnsiTheme="majorHAnsi" w:cstheme="majorHAnsi"/>
                <w:noProof/>
              </w:rPr>
              <w:t>Discussion &amp; Conclusion</w:t>
            </w:r>
            <w:r>
              <w:rPr>
                <w:noProof/>
                <w:webHidden/>
              </w:rPr>
              <w:tab/>
            </w:r>
            <w:r>
              <w:rPr>
                <w:noProof/>
                <w:webHidden/>
              </w:rPr>
              <w:fldChar w:fldCharType="begin"/>
            </w:r>
            <w:r>
              <w:rPr>
                <w:noProof/>
                <w:webHidden/>
              </w:rPr>
              <w:instrText xml:space="preserve"> PAGEREF _Toc113355018 \h </w:instrText>
            </w:r>
            <w:r>
              <w:rPr>
                <w:noProof/>
                <w:webHidden/>
              </w:rPr>
            </w:r>
            <w:r>
              <w:rPr>
                <w:noProof/>
                <w:webHidden/>
              </w:rPr>
              <w:fldChar w:fldCharType="separate"/>
            </w:r>
            <w:r>
              <w:rPr>
                <w:noProof/>
                <w:webHidden/>
              </w:rPr>
              <w:t>4</w:t>
            </w:r>
            <w:r>
              <w:rPr>
                <w:noProof/>
                <w:webHidden/>
              </w:rPr>
              <w:fldChar w:fldCharType="end"/>
            </w:r>
          </w:hyperlink>
        </w:p>
        <w:p w14:paraId="0B1EE821" w14:textId="7FC99D36" w:rsidR="00A951B3" w:rsidRDefault="00A951B3">
          <w:r>
            <w:rPr>
              <w:b/>
              <w:bCs/>
              <w:noProof/>
            </w:rPr>
            <w:fldChar w:fldCharType="end"/>
          </w:r>
        </w:p>
      </w:sdtContent>
    </w:sdt>
    <w:p w14:paraId="01D158D0" w14:textId="77777777" w:rsidR="00A951B3" w:rsidRDefault="00A951B3" w:rsidP="00120DAA">
      <w:pPr>
        <w:pStyle w:val="TOCHeading"/>
        <w:spacing w:line="240" w:lineRule="auto"/>
        <w:outlineLvl w:val="0"/>
      </w:pPr>
    </w:p>
    <w:p w14:paraId="63B0B10F" w14:textId="77333050" w:rsidR="00120DAA" w:rsidRPr="00011FA5" w:rsidRDefault="00120DAA" w:rsidP="00120DAA">
      <w:pPr>
        <w:pStyle w:val="TOCHeading"/>
        <w:spacing w:line="240" w:lineRule="auto"/>
        <w:outlineLvl w:val="0"/>
      </w:pPr>
      <w:bookmarkStart w:id="2" w:name="_Toc113355006"/>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0C857AD2" w14:textId="77777777" w:rsidR="00120DAA" w:rsidRPr="00FD21E9" w:rsidRDefault="00120DAA" w:rsidP="00120DAA">
      <w:pPr>
        <w:pStyle w:val="Header"/>
        <w:outlineLvl w:val="1"/>
        <w:rPr>
          <w:rFonts w:asciiTheme="majorHAnsi" w:hAnsiTheme="majorHAnsi" w:cstheme="majorHAnsi"/>
          <w:szCs w:val="24"/>
        </w:rPr>
      </w:pPr>
      <w:bookmarkStart w:id="3" w:name="_Toc113123183"/>
      <w:bookmarkStart w:id="4" w:name="_Toc113273222"/>
      <w:bookmarkStart w:id="5" w:name="_Toc113355007"/>
      <w:r w:rsidRPr="00FD21E9">
        <w:rPr>
          <w:rFonts w:asciiTheme="majorHAnsi" w:hAnsiTheme="majorHAnsi" w:cstheme="majorHAnsi"/>
          <w:szCs w:val="24"/>
        </w:rPr>
        <w:t>Introduction</w:t>
      </w:r>
      <w:bookmarkEnd w:id="3"/>
      <w:bookmarkEnd w:id="4"/>
      <w:bookmarkEnd w:id="5"/>
    </w:p>
    <w:p w14:paraId="2E8B703E" w14:textId="63E4E843"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Sex determination in fish is a highly variable trait</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{"citationID":"wPloLTt3","properties":{"formattedCitation":"\\super 67\\nosupersub{}","plainCitation":"67","noteIndex":0},"citationItems":[{"id":"YezxCNvE/iDzqSzdk","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67</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crucial for understanding both the biology of a species and for gaining insight into the evolution of sex chromosomes and genetic mechanisms underlying sex determination</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{"citationID":"fw2QppLM","properties":{"formattedCitation":"\\super 68\\nosupersub{}","plainCitation":"68","noteIndex":0},"citationItems":[{"id":"YezxCNvE/7pZcB3UY","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68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 most diverse group of vertebrates on earth with over 30,000 described species</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{"citationID":"hYf8P09Z","properties":{"formattedCitation":"\\super 69\\nosupersub{}","plainCitation":"69","noteIndex":0},"citationItems":[{"id":"YezxCNvE/3c2EkZn9","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69</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{"citationID":"u3JVdqnL","properties":{"formattedCitation":"\\super 70\\uc0\\u8211{}73\\nosupersub{}","plainCitation":"70–73","noteIndex":0},"citationItems":[{"id":"YezxCNvE/wfblbVdc","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YezxCNvE/2t1Pv9UF","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YezxCNvE/ZimL3AgY","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evolution","type":"article-journal","volume":"242"}},{"id":437,"uris":["http://zotero.org/users/local/3tku6QP0/items/ZYLD8CMZ"],"uri":["http://zotero.org/users/local/3tku6QP0/items/ZYLD8CMZ"],"itemData":{"id":437,"type":"article-journal","container-title":"Journal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70–73</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 or environmental and varies even between closely related species</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{"citationID":"B7FTBGOW","properties":{"formattedCitation":"\\super 67,74\\uc0\\u8211{}76\\nosupersub{}","plainCitation":"67,74–76","noteIndex":0},"citationItems":[{"id":"YezxCNvE/6IcgplPe","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YezxCNvE/73qvEkmx","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YezxCNvE/pHJvt0p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YezxCNvE/iDzqSzdk","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67,74–76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Delta smelt are born the sex they will be throughout their entire life cycle and do not appear to have environmental regulation of sex determination which suggests sex may be determined genetically. In teleost fishes, endogenous genetic sex determination mechanisms can occur at the chromosomal level, where heterogametic males (XY) or females (ZW) exist, or mechanisms can be at the genic level where single or multiple genes influence sex determination</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{"citationID":"ucXRvtVg","properties":{"formattedCitation":"\\super 75\\nosupersub{}","plainCitation":"75","noteIndex":0},"citationItems":[{"id":"YezxCNvE/73qvEkmx","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75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While clarifying the mechanism of sex determination in delta smelt will increase our biological knowledge, it will also allow us to identify and develop diagnostic markers for the practical management of the species.</w:t>
      </w:r>
    </w:p>
    <w:p w14:paraId="365DD51D" w14:textId="77777777" w:rsidR="00120DAA" w:rsidRPr="00120DAA" w:rsidRDefault="00120DAA" w:rsidP="00120DAA">
      <w:pPr>
        <w:rPr>
          <w:rFonts w:asciiTheme="majorHAnsi" w:hAnsiTheme="majorHAnsi" w:cstheme="majorHAnsi"/>
          <w:bCs/>
          <w:iCs/>
          <w:color w:val="00000A"/>
        </w:rPr>
      </w:pPr>
    </w:p>
    <w:p w14:paraId="48C5842A" w14:textId="77777777"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 non-invasively identify sex in delta smelt will assist in management of the captive colony and develop knowledge of the biology of wild delta smelt. 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w:t>
      </w:r>
      <w:r w:rsidRPr="00120DAA">
        <w:rPr>
          <w:rFonts w:asciiTheme="majorHAnsi" w:hAnsiTheme="majorHAnsi" w:cstheme="majorHAnsi"/>
          <w:bCs/>
          <w:iCs/>
          <w:color w:val="00000A"/>
        </w:rPr>
        <w:fldChar w:fldCharType="begin"/>
      </w:r>
      <w:r w:rsidRPr="00120DAA">
        <w:rPr>
          <w:rFonts w:asciiTheme="majorHAnsi" w:hAnsiTheme="majorHAnsi" w:cstheme="majorHAnsi"/>
          <w:bCs/>
          <w:iCs/>
          <w:color w:val="00000A"/>
        </w:rPr>
        <w:instrText xml:space="preserve"> ADDIN ZOTERO_ITEM CSL_CITATION {"citationID":"xYk2ePRW","properties":{"formattedCitation":"\\super 63\\nosupersub{}","plainCitation":"63","noteIndex":0},"citationItems":[{"id":463,"uris":["http://zotero.org/users/local/3tku6QP0/items/IAFSSLBH"],"uri":["http://zotero.org/users/local/3tku6QP0/items/IAFSSLBH"],"itemData":{"id":463,"type":"article-journal","abstract":"In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63</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Because </w:t>
      </w:r>
      <w:r w:rsidRPr="00120DAA">
        <w:rPr>
          <w:rFonts w:asciiTheme="majorHAnsi" w:hAnsiTheme="majorHAnsi" w:cstheme="majorHAnsi"/>
          <w:bCs/>
          <w:iCs/>
          <w:color w:val="00000A"/>
        </w:rPr>
        <w:lastRenderedPageBreak/>
        <w:t>sexual identification of wild fish depends on the physiological status of an individual fish, only about two-thirds of wild adult delta smelt sampled can be sexed (Hammock pers. comm.). Knowledge of the genetic underpinnings of sex determination in fishes is a vital asset to the better management of captive populations, basic knowledge of life history characteristics of the species, ecological surveys and management regarding population metrics, species modeling, demographic inference, and sex-based survival</w:t>
      </w:r>
      <w:r w:rsidRPr="00120DAA">
        <w:rPr>
          <w:rFonts w:asciiTheme="majorHAnsi" w:hAnsiTheme="majorHAnsi" w:cstheme="majorHAnsi"/>
          <w:color w:val="00000A"/>
        </w:rPr>
        <w:fldChar w:fldCharType="begin"/>
      </w:r>
      <w:r w:rsidRPr="00120DAA">
        <w:rPr>
          <w:rFonts w:asciiTheme="majorHAnsi" w:hAnsiTheme="majorHAnsi" w:cstheme="majorHAnsi"/>
          <w:bCs/>
          <w:iCs/>
          <w:color w:val="00000A"/>
        </w:rPr>
        <w:instrText xml:space="preserve"> ADDIN ZOTERO_ITEM CSL_CITATION {"citationID":"hi9xMhX1","properties":{"formattedCitation":"\\super 77\\nosupersub{}","plainCitation":"77","noteIndex":0},"citationItems":[{"id":"YezxCNvE/6s1Xr7is","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120DAA">
        <w:rPr>
          <w:rFonts w:asciiTheme="majorHAnsi" w:hAnsiTheme="majorHAnsi" w:cstheme="majorHAnsi"/>
          <w:bCs/>
          <w:iCs/>
          <w:color w:val="00000A"/>
        </w:rPr>
        <w:fldChar w:fldCharType="separate"/>
      </w:r>
      <w:r w:rsidRPr="00120DAA">
        <w:rPr>
          <w:rFonts w:asciiTheme="majorHAnsi" w:hAnsiTheme="majorHAnsi" w:cstheme="majorHAnsi"/>
          <w:color w:val="00000A"/>
          <w:vertAlign w:val="superscript"/>
        </w:rPr>
        <w:t>77</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w:t>
      </w:r>
    </w:p>
    <w:p w14:paraId="5C6C15CC" w14:textId="77777777" w:rsidR="00120DAA" w:rsidRPr="00120DAA" w:rsidRDefault="00120DAA" w:rsidP="00120DAA">
      <w:pPr>
        <w:rPr>
          <w:rFonts w:asciiTheme="majorHAnsi" w:hAnsiTheme="majorHAnsi" w:cstheme="majorHAnsi"/>
          <w:bCs/>
          <w:iCs/>
          <w:color w:val="00000A"/>
        </w:rPr>
      </w:pPr>
    </w:p>
    <w:p w14:paraId="618FC620" w14:textId="5FAF3A7D" w:rsidR="00120DAA" w:rsidRDefault="00120DAA" w:rsidP="00120DAA">
      <w:pPr>
        <w:rPr>
          <w:rFonts w:asciiTheme="majorHAnsi" w:hAnsiTheme="majorHAnsi" w:cstheme="majorHAnsi"/>
          <w:color w:val="00000A"/>
        </w:rPr>
      </w:pPr>
      <w:proofErr w:type="gramStart"/>
      <w:r w:rsidRPr="00120DAA">
        <w:rPr>
          <w:rFonts w:asciiTheme="majorHAnsi" w:hAnsiTheme="majorHAnsi" w:cstheme="majorHAnsi"/>
          <w:color w:val="00000A"/>
        </w:rPr>
        <w:t>In order to</w:t>
      </w:r>
      <w:proofErr w:type="gramEnd"/>
      <w:r w:rsidRPr="00120DAA">
        <w:rPr>
          <w:rFonts w:asciiTheme="majorHAnsi" w:hAnsiTheme="majorHAnsi" w:cstheme="majorHAnsi"/>
          <w:color w:val="00000A"/>
        </w:rPr>
        <w:t xml:space="preserve"> non-invasively identify the sex of wild and captive delta smelt, we sought to identify potential candidate allele(s) which could be used as genetic diagnostics for classifications of sex</w:t>
      </w:r>
    </w:p>
    <w:p w14:paraId="6063B9AE" w14:textId="6CD7341B" w:rsidR="00120DAA" w:rsidRDefault="00120DAA" w:rsidP="00120DAA">
      <w:pPr>
        <w:rPr>
          <w:rFonts w:asciiTheme="majorHAnsi" w:hAnsiTheme="majorHAnsi" w:cstheme="majorHAnsi"/>
          <w:color w:val="00000A"/>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355008"/>
      <w:r w:rsidRPr="00FD21E9">
        <w:rPr>
          <w:rFonts w:asciiTheme="majorHAnsi" w:hAnsiTheme="majorHAnsi" w:cstheme="majorHAnsi"/>
          <w:szCs w:val="24"/>
        </w:rPr>
        <w:t>Methods</w:t>
      </w:r>
      <w:bookmarkEnd w:id="6"/>
      <w:bookmarkEnd w:id="7"/>
      <w:bookmarkEnd w:id="8"/>
    </w:p>
    <w:p w14:paraId="38C008D9"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355009"/>
      <w:r w:rsidRPr="00FD21E9">
        <w:rPr>
          <w:rFonts w:asciiTheme="majorHAnsi" w:hAnsiTheme="majorHAnsi" w:cstheme="majorHAnsi"/>
          <w:sz w:val="24"/>
          <w:szCs w:val="24"/>
        </w:rPr>
        <w:t>Sample collection &amp; DNA extraction</w:t>
      </w:r>
      <w:bookmarkEnd w:id="9"/>
      <w:bookmarkEnd w:id="10"/>
      <w:bookmarkEnd w:id="11"/>
      <w:r w:rsidRPr="00FD21E9">
        <w:rPr>
          <w:rFonts w:asciiTheme="majorHAnsi" w:hAnsiTheme="majorHAnsi" w:cstheme="majorHAnsi"/>
          <w:sz w:val="24"/>
          <w:szCs w:val="24"/>
        </w:rPr>
        <w:t xml:space="preserve"> </w:t>
      </w:r>
    </w:p>
    <w:p w14:paraId="137C584B" w14:textId="15596B55" w:rsidR="00120DAA" w:rsidRDefault="00120DAA" w:rsidP="00120DAA">
      <w:pPr>
        <w:rPr>
          <w:rFonts w:asciiTheme="majorHAnsi" w:hAnsiTheme="majorHAnsi" w:cstheme="majorHAnsi"/>
        </w:rPr>
      </w:pPr>
      <w:r w:rsidRPr="00120DAA">
        <w:rPr>
          <w:rFonts w:asciiTheme="majorHAnsi" w:hAnsiTheme="majorHAnsi" w:cstheme="majorHAnsi"/>
        </w:rPr>
        <w:t xml:space="preserve">To identify a sex specific marker or markers for delta smelt, we sampled adipose fin clips from 24 female and 24 male captive-bred individuals taken from the FCCL and sexually identified each fish through either dissection or gametic expression. DNA was extracted using the Qiagen </w:t>
      </w:r>
      <w:proofErr w:type="spellStart"/>
      <w:r w:rsidRPr="00120DAA">
        <w:rPr>
          <w:rFonts w:asciiTheme="majorHAnsi" w:hAnsiTheme="majorHAnsi" w:cstheme="majorHAnsi"/>
        </w:rPr>
        <w:t>DNEasy</w:t>
      </w:r>
      <w:proofErr w:type="spellEnd"/>
      <w:r w:rsidRPr="00120DAA">
        <w:rPr>
          <w:rFonts w:asciiTheme="majorHAnsi" w:hAnsiTheme="majorHAnsi" w:cstheme="majorHAnsi"/>
        </w:rPr>
        <w:t xml:space="preserve"> 96 Blood &amp; Tissue Kit with a modification of elution in 100uL of H</w:t>
      </w:r>
      <w:r w:rsidRPr="00120DAA">
        <w:rPr>
          <w:rFonts w:asciiTheme="majorHAnsi" w:hAnsiTheme="majorHAnsi" w:cstheme="majorHAnsi"/>
          <w:vertAlign w:val="subscript"/>
        </w:rPr>
        <w:t>2</w:t>
      </w:r>
      <w:r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16F6DF3B" w14:textId="245401E6" w:rsidR="00120DAA" w:rsidRPr="00120DAA" w:rsidRDefault="00120DAA" w:rsidP="00120DAA">
      <w:pPr>
        <w:rPr>
          <w:rFonts w:asciiTheme="majorHAnsi" w:hAnsiTheme="majorHAnsi" w:cstheme="majorHAnsi"/>
          <w:b/>
          <w:bCs/>
          <w:u w:val="single"/>
        </w:rPr>
      </w:pPr>
      <w:r w:rsidRPr="00120DAA">
        <w:rPr>
          <w:rFonts w:asciiTheme="majorHAnsi" w:hAnsiTheme="majorHAnsi" w:cstheme="majorHAnsi"/>
        </w:rPr>
        <w:t xml:space="preserve">Prior analyses that attempted to determine sex markers in delta smelt used the </w:t>
      </w:r>
      <w:r w:rsidRPr="00120DAA">
        <w:rPr>
          <w:rFonts w:asciiTheme="majorHAnsi" w:hAnsiTheme="majorHAnsi" w:cstheme="majorHAnsi"/>
          <w:i/>
        </w:rPr>
        <w:t xml:space="preserve">Sbf1 </w:t>
      </w:r>
      <w:r w:rsidRPr="00120DAA">
        <w:rPr>
          <w:rFonts w:asciiTheme="majorHAnsi" w:hAnsiTheme="majorHAnsi" w:cstheme="majorHAnsi"/>
        </w:rP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sidRPr="00120DAA">
        <w:rPr>
          <w:rFonts w:asciiTheme="majorHAnsi" w:hAnsiTheme="majorHAnsi" w:cstheme="majorHAnsi"/>
          <w:i/>
        </w:rPr>
        <w:t xml:space="preserve">Pst1 </w:t>
      </w:r>
      <w:r w:rsidRPr="00120DAA">
        <w:rPr>
          <w:rFonts w:asciiTheme="majorHAnsi" w:hAnsiTheme="majorHAnsi" w:cstheme="majorHAnsi"/>
        </w:rPr>
        <w:t xml:space="preserve">restriction enzyme, which shears DNA sixteen times more often than the </w:t>
      </w:r>
      <w:r w:rsidRPr="00120DAA">
        <w:rPr>
          <w:rFonts w:asciiTheme="majorHAnsi" w:hAnsiTheme="majorHAnsi" w:cstheme="majorHAnsi"/>
          <w:i/>
        </w:rPr>
        <w:t>Sbf1</w:t>
      </w:r>
      <w:r w:rsidRPr="00120DAA">
        <w:rPr>
          <w:rFonts w:asciiTheme="majorHAnsi" w:hAnsiTheme="majorHAnsi" w:cstheme="majorHAnsi"/>
        </w:rPr>
        <w:t xml:space="preserve"> restriction enzyme, or roughly once every 4,100 base pairs, providing more coverage of the genome than Sbf1. RAD sequencing libraries were prepared at the GVL according to Ali </w:t>
      </w:r>
      <w:r w:rsidRPr="00120DAA">
        <w:rPr>
          <w:rFonts w:asciiTheme="majorHAnsi" w:hAnsiTheme="majorHAnsi" w:cstheme="majorHAnsi"/>
          <w:i/>
          <w:iCs/>
        </w:rPr>
        <w:t>et al.</w:t>
      </w:r>
      <w:r w:rsidRPr="00120DAA">
        <w:rPr>
          <w:rFonts w:asciiTheme="majorHAnsi" w:hAnsiTheme="majorHAnsi" w:cstheme="majorHAnsi"/>
        </w:rPr>
        <w:t xml:space="preserve"> (2016)</w:t>
      </w:r>
      <w:r w:rsidRPr="00120DAA">
        <w:rPr>
          <w:rFonts w:asciiTheme="majorHAnsi" w:hAnsiTheme="majorHAnsi" w:cstheme="majorHAnsi"/>
        </w:rPr>
        <w:fldChar w:fldCharType="begin"/>
      </w:r>
      <w:r w:rsidRPr="00120DAA">
        <w:rPr>
          <w:rFonts w:asciiTheme="majorHAnsi" w:hAnsiTheme="majorHAnsi" w:cstheme="majorHAnsi"/>
        </w:rPr>
        <w:instrText xml:space="preserve"> ADDIN ZOTERO_ITEM CSL_CITATION {"citationID":"2SW9t8I5","properties":{"formattedCitation":"\\super 52\\nosupersub{}","plainCitation":"52","noteIndex":0},"citationItems":[{"id":"YezxCNvE/7l6edmuf","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Pr="00120DAA">
        <w:rPr>
          <w:rFonts w:asciiTheme="majorHAnsi" w:hAnsiTheme="majorHAnsi" w:cstheme="majorHAnsi"/>
        </w:rPr>
        <w:fldChar w:fldCharType="separate"/>
      </w:r>
      <w:r w:rsidRPr="00120DAA">
        <w:rPr>
          <w:rFonts w:asciiTheme="majorHAnsi" w:hAnsiTheme="majorHAnsi" w:cstheme="majorHAnsi"/>
          <w:vertAlign w:val="superscript"/>
        </w:rPr>
        <w:t>52</w:t>
      </w:r>
      <w:r w:rsidRPr="00120DAA">
        <w:rPr>
          <w:rFonts w:asciiTheme="majorHAnsi" w:hAnsiTheme="majorHAnsi" w:cstheme="majorHAnsi"/>
        </w:rPr>
        <w:fldChar w:fldCharType="end"/>
      </w:r>
      <w:r w:rsidRPr="00120DAA">
        <w:rPr>
          <w:rFonts w:asciiTheme="majorHAnsi" w:hAnsiTheme="majorHAnsi" w:cstheme="majorHAnsi"/>
        </w:rPr>
        <w:t xml:space="preserve"> and sequenced at the UC Davis Sequencing Center with 150 bp paired-end reads on an Illumina </w:t>
      </w:r>
      <w:proofErr w:type="spellStart"/>
      <w:r w:rsidRPr="00120DAA">
        <w:rPr>
          <w:rFonts w:asciiTheme="majorHAnsi" w:hAnsiTheme="majorHAnsi" w:cstheme="majorHAnsi"/>
        </w:rPr>
        <w:t>HiSeq</w:t>
      </w:r>
      <w:proofErr w:type="spellEnd"/>
      <w:r w:rsidRPr="00120DAA">
        <w:rPr>
          <w:rFonts w:asciiTheme="majorHAnsi" w:hAnsiTheme="majorHAnsi" w:cstheme="majorHAnsi"/>
        </w:rPr>
        <w:t xml:space="preserve"> 4000 sequencer.</w:t>
      </w:r>
    </w:p>
    <w:p w14:paraId="43C75190" w14:textId="5090DA7A"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355010"/>
      <w:r>
        <w:rPr>
          <w:rFonts w:asciiTheme="majorHAnsi" w:hAnsiTheme="majorHAnsi" w:cstheme="majorHAnsi"/>
          <w:sz w:val="24"/>
          <w:szCs w:val="24"/>
        </w:rPr>
        <w:t>Genome-wide association study</w:t>
      </w:r>
      <w:bookmarkEnd w:id="12"/>
    </w:p>
    <w:p w14:paraId="4CBF0184" w14:textId="2BF1E3A8" w:rsidR="00120DAA" w:rsidRDefault="00120DAA" w:rsidP="00120DAA">
      <w:pPr>
        <w:rPr>
          <w:rFonts w:asciiTheme="majorHAnsi" w:hAnsiTheme="majorHAnsi" w:cstheme="majorHAnsi"/>
        </w:rPr>
      </w:pPr>
      <w:r w:rsidRPr="00120DAA">
        <w:rPr>
          <w:rFonts w:asciiTheme="majorHAnsi" w:hAnsiTheme="majorHAnsi" w:cstheme="majorHAnsi"/>
        </w:rP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rsidRPr="00120DAA">
        <w:rPr>
          <w:rFonts w:asciiTheme="majorHAnsi" w:hAnsiTheme="majorHAnsi" w:cstheme="majorHAnsi"/>
        </w:rPr>
        <w:fldChar w:fldCharType="begin"/>
      </w:r>
      <w:r w:rsidRPr="00120DAA">
        <w:rPr>
          <w:rFonts w:asciiTheme="majorHAnsi" w:hAnsiTheme="majorHAnsi" w:cstheme="majorHAnsi"/>
        </w:rPr>
        <w:instrText xml:space="preserve"> ADDIN ZOTERO_ITEM CSL_CITATION {"citationID":"BASK10z8","properties":{"formattedCitation":"\\super 53\\nosupersub{}","plainCitation":"53","noteIndex":0},"citationItems":[{"id":"YezxCNvE/jS0hNRxf","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Pr="00120DAA">
        <w:rPr>
          <w:rFonts w:asciiTheme="majorHAnsi" w:hAnsiTheme="majorHAnsi" w:cstheme="majorHAnsi"/>
        </w:rPr>
        <w:fldChar w:fldCharType="separate"/>
      </w:r>
      <w:r w:rsidRPr="00120DAA">
        <w:rPr>
          <w:rFonts w:asciiTheme="majorHAnsi" w:hAnsiTheme="majorHAnsi" w:cstheme="majorHAnsi"/>
          <w:vertAlign w:val="superscript"/>
        </w:rPr>
        <w:t>53</w:t>
      </w:r>
      <w:r w:rsidRPr="00120DAA">
        <w:rPr>
          <w:rFonts w:asciiTheme="majorHAnsi" w:hAnsiTheme="majorHAnsi" w:cstheme="majorHAnsi"/>
        </w:rPr>
        <w:fldChar w:fldCharType="end"/>
      </w:r>
      <w:r w:rsidRPr="00120DAA">
        <w:rPr>
          <w:rFonts w:asciiTheme="majorHAnsi" w:hAnsiTheme="majorHAnsi" w:cstheme="majorHAnsi"/>
        </w:rPr>
        <w:t xml:space="preserve"> using males or females as controls (0) and the opposite sex as cases (1). The goal for this GWAS was to find alleles associated with a particular sex. The association of a particular allele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7777777" w:rsidR="00120DAA" w:rsidRDefault="00120DAA" w:rsidP="00120DAA">
      <w:pPr>
        <w:rPr>
          <w:rFonts w:asciiTheme="majorHAnsi" w:hAnsiTheme="majorHAnsi" w:cstheme="majorHAnsi"/>
        </w:rPr>
      </w:pPr>
    </w:p>
    <w:p w14:paraId="57E719B4"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13" w:name="_Toc113355011"/>
      <w:r>
        <w:rPr>
          <w:rFonts w:asciiTheme="majorHAnsi" w:hAnsiTheme="majorHAnsi" w:cstheme="majorHAnsi"/>
          <w:sz w:val="24"/>
          <w:szCs w:val="24"/>
        </w:rPr>
        <w:t>Genome-wide association study</w:t>
      </w:r>
      <w:bookmarkEnd w:id="13"/>
    </w:p>
    <w:p w14:paraId="5B931DDF" w14:textId="6A27786D" w:rsidR="00120DAA" w:rsidRDefault="00120DAA" w:rsidP="00120DAA">
      <w:pPr>
        <w:rPr>
          <w:rFonts w:asciiTheme="majorHAnsi" w:hAnsiTheme="majorHAnsi" w:cstheme="majorHAnsi"/>
        </w:rPr>
      </w:pPr>
      <w:r w:rsidRPr="00120DAA">
        <w:rPr>
          <w:rFonts w:asciiTheme="majorHAnsi" w:hAnsiTheme="majorHAnsi" w:cstheme="majorHAnsi"/>
        </w:rPr>
        <w:lastRenderedPageBreak/>
        <w:t>If sex determination in delta smelt is caused by chromosomal differences, it would be expected that the heterogametic sex (e.g., XY) would have roughly half the sequencing depth (</w:t>
      </w:r>
      <w:r w:rsidRPr="00120DAA">
        <w:rPr>
          <w:rFonts w:asciiTheme="majorHAnsi" w:hAnsiTheme="majorHAnsi" w:cstheme="majorHAnsi"/>
          <w:bCs/>
        </w:rPr>
        <w:t>the number of sequences that cover a given locus)</w:t>
      </w:r>
      <w:r w:rsidRPr="00120DAA">
        <w:rPr>
          <w:rFonts w:asciiTheme="majorHAnsi" w:hAnsiTheme="majorHAnsi" w:cstheme="majorHAnsi"/>
        </w:rP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proofErr w:type="gramStart"/>
      <w:r w:rsidRPr="00120DAA">
        <w:rPr>
          <w:rFonts w:asciiTheme="majorHAnsi" w:hAnsiTheme="majorHAnsi" w:cstheme="majorHAnsi"/>
        </w:rPr>
        <w:t>aforementioned GWAS</w:t>
      </w:r>
      <w:proofErr w:type="gramEnd"/>
      <w:r w:rsidRPr="00120DAA">
        <w:rPr>
          <w:rFonts w:asciiTheme="majorHAnsi" w:hAnsiTheme="majorHAnsi" w:cstheme="majorHAnsi"/>
        </w:rPr>
        <w:t xml:space="preserve">. First, we acquired the depth of aligned reads at each location in the reference genome using </w:t>
      </w:r>
      <w:proofErr w:type="spellStart"/>
      <w:r w:rsidRPr="00120DAA">
        <w:rPr>
          <w:rFonts w:asciiTheme="majorHAnsi" w:hAnsiTheme="majorHAnsi" w:cstheme="majorHAnsi"/>
        </w:rPr>
        <w:t>samtools</w:t>
      </w:r>
      <w:proofErr w:type="spellEnd"/>
      <w:r w:rsidRPr="00120DAA">
        <w:rPr>
          <w:rFonts w:asciiTheme="majorHAnsi" w:hAnsiTheme="majorHAnsi" w:cstheme="majorHAnsi"/>
        </w:rPr>
        <w:t xml:space="preserve"> depth.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 we discarded all genomic locations where no male or female RAD sequencing data aligned, and we totaled the number of male alignments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4" w:name="_Toc113355012"/>
      <w:r>
        <w:rPr>
          <w:rFonts w:asciiTheme="majorHAnsi" w:hAnsiTheme="majorHAnsi" w:cstheme="majorHAnsi"/>
          <w:sz w:val="24"/>
          <w:szCs w:val="24"/>
        </w:rPr>
        <w:t>K-mer analysis</w:t>
      </w:r>
      <w:bookmarkEnd w:id="14"/>
    </w:p>
    <w:p w14:paraId="0620305C" w14:textId="5D64B671"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In our k-mer (where k is equal to a specified sequence length) analysis we sought to identify unique differences of sequence content in males versus females. To do this, we used 10X Genomics linked-read data from one male and one female. First, we used the software sourmash</w:t>
      </w:r>
      <w:r w:rsidRPr="00A675F4">
        <w:rPr>
          <w:rFonts w:asciiTheme="majorHAnsi" w:hAnsiTheme="majorHAnsi" w:cstheme="majorHAnsi"/>
        </w:rPr>
        <w:fldChar w:fldCharType="begin"/>
      </w:r>
      <w:r w:rsidRPr="00A675F4">
        <w:rPr>
          <w:rFonts w:asciiTheme="majorHAnsi" w:hAnsiTheme="majorHAnsi" w:cstheme="majorHAnsi"/>
        </w:rPr>
        <w:instrText xml:space="preserve"> ADDIN ZOTERO_ITEM CSL_CITATION {"citationID":"PMuEi7NF","properties":{"formattedCitation":"\\super 78\\nosupersub{}","plainCitation":"78","noteIndex":0},"citationItems":[{"id":508,"uris":["http://zotero.org/users/local/3tku6QP0/items/K5M8IMDZ"],"uri":["http://zotero.org/users/local/3tku6QP0/items/K5M8IMDZ"],"itemData":{"id":508,"type":"article-journal","container-title":"The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rsidRPr="00A675F4">
        <w:rPr>
          <w:rFonts w:asciiTheme="majorHAnsi" w:hAnsiTheme="majorHAnsi" w:cstheme="majorHAnsi"/>
        </w:rPr>
        <w:fldChar w:fldCharType="separate"/>
      </w:r>
      <w:r w:rsidRPr="00A675F4">
        <w:rPr>
          <w:rFonts w:asciiTheme="majorHAnsi" w:hAnsiTheme="majorHAnsi" w:cstheme="majorHAnsi"/>
          <w:vertAlign w:val="superscript"/>
        </w:rPr>
        <w:t>78</w:t>
      </w:r>
      <w:r w:rsidRPr="00A675F4">
        <w:rPr>
          <w:rFonts w:asciiTheme="majorHAnsi" w:hAnsiTheme="majorHAnsi" w:cstheme="majorHAnsi"/>
        </w:rPr>
        <w:fldChar w:fldCharType="end"/>
      </w:r>
      <w:r w:rsidRPr="00A675F4">
        <w:rPr>
          <w:rFonts w:asciiTheme="majorHAnsi" w:hAnsiTheme="majorHAnsi" w:cstheme="majorHAnsi"/>
        </w:rPr>
        <w:t xml:space="preserve"> to create a signature of all k-mers belonging to each sex with </w:t>
      </w:r>
      <w:proofErr w:type="spellStart"/>
      <w:r w:rsidRPr="00A675F4">
        <w:rPr>
          <w:rFonts w:asciiTheme="majorHAnsi" w:hAnsiTheme="majorHAnsi" w:cstheme="majorHAnsi"/>
        </w:rPr>
        <w:t>sourmash</w:t>
      </w:r>
      <w:proofErr w:type="spellEnd"/>
      <w:r w:rsidRPr="00A675F4">
        <w:rPr>
          <w:rFonts w:asciiTheme="majorHAnsi" w:hAnsiTheme="majorHAnsi" w:cstheme="majorHAnsi"/>
        </w:rPr>
        <w:t xml:space="preserve"> compute -scaled 1000 to sample one k-mer from ever 1000 base pairs. The signature compute step was followed by </w:t>
      </w:r>
      <w:proofErr w:type="spellStart"/>
      <w:r w:rsidRPr="00A675F4">
        <w:rPr>
          <w:rFonts w:asciiTheme="majorHAnsi" w:hAnsiTheme="majorHAnsi" w:cstheme="majorHAnsi"/>
        </w:rPr>
        <w:t>sourmash</w:t>
      </w:r>
      <w:proofErr w:type="spellEnd"/>
      <w:r w:rsidRPr="00A675F4">
        <w:rPr>
          <w:rFonts w:asciiTheme="majorHAnsi" w:hAnsiTheme="majorHAnsi" w:cstheme="majorHAnsi"/>
        </w:rPr>
        <w:t xml:space="preserve"> signature merge to incorporate all data from the R1 and R2 files for each sex. We purged the signature files of low abundance k-mers (abundance &lt; 5) to eliminate k-mers that are more likely sequencing errors and discarded k-mers that were shared between male and females to leave only sex-specific k-mers. The resulting high abundance, single sex k-mers were used in our analysis. </w:t>
      </w:r>
    </w:p>
    <w:p w14:paraId="1BEBFC09" w14:textId="77777777" w:rsidR="00A675F4" w:rsidRPr="00A675F4" w:rsidRDefault="00A675F4" w:rsidP="00A675F4">
      <w:pPr>
        <w:rPr>
          <w:rFonts w:asciiTheme="majorHAnsi" w:hAnsiTheme="majorHAnsi" w:cstheme="majorHAnsi"/>
          <w:b/>
          <w:bCs/>
          <w:u w:val="single"/>
        </w:rPr>
      </w:pPr>
    </w:p>
    <w:p w14:paraId="4730AB1A"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First, we plotted and compared k-mer abundance for each sex to determine if there were observable differences between sexes. A difference in k-mer abundance could correspond to a sex determining regions within one sex (i.e., sex chromosome). Next, we extracted contigs containing five or more k-mers, which corresponds to a contig length of roughly 5,000 bp. We then compared the abundance of male and female k-mers found within those contigs. After, we took the median abundance of k-mers within a contig to find its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56A5D50D" w:rsidR="00120DAA" w:rsidRDefault="00A675F4" w:rsidP="00A675F4">
      <w:pPr>
        <w:rPr>
          <w:rFonts w:asciiTheme="majorHAnsi" w:hAnsiTheme="majorHAnsi" w:cstheme="majorHAnsi"/>
        </w:rPr>
      </w:pPr>
      <w:r w:rsidRPr="00A675F4">
        <w:rPr>
          <w:rFonts w:asciiTheme="majorHAnsi" w:hAnsiTheme="majorHAnsi" w:cstheme="majorHAnsi"/>
        </w:rPr>
        <w:t xml:space="preserve">To validate our results, we mapped RAD sequencing data to the putative Y sequences and ran a depth analysis. </w:t>
      </w:r>
      <w:proofErr w:type="gramStart"/>
      <w:r w:rsidRPr="00A675F4">
        <w:rPr>
          <w:rFonts w:asciiTheme="majorHAnsi" w:hAnsiTheme="majorHAnsi" w:cstheme="majorHAnsi"/>
        </w:rPr>
        <w:t>In order to</w:t>
      </w:r>
      <w:proofErr w:type="gramEnd"/>
      <w:r w:rsidRPr="00A675F4">
        <w:rPr>
          <w:rFonts w:asciiTheme="majorHAnsi" w:hAnsiTheme="majorHAnsi" w:cstheme="majorHAnsi"/>
        </w:rPr>
        <w:t xml:space="preserve">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rsidRPr="00A675F4">
        <w:rPr>
          <w:rFonts w:asciiTheme="majorHAnsi" w:hAnsiTheme="majorHAnsi" w:cstheme="majorHAnsi"/>
        </w:rPr>
        <w:t>samtools</w:t>
      </w:r>
      <w:proofErr w:type="spellEnd"/>
      <w:r w:rsidRPr="00A675F4">
        <w:rPr>
          <w:rFonts w:asciiTheme="majorHAnsi" w:hAnsiTheme="majorHAnsi" w:cstheme="majorHAnsi"/>
        </w:rPr>
        <w:t xml:space="preserve">. We then extracted RAD alignment depth information from </w:t>
      </w:r>
      <w:proofErr w:type="gramStart"/>
      <w:r w:rsidRPr="00A675F4">
        <w:rPr>
          <w:rFonts w:asciiTheme="majorHAnsi" w:hAnsiTheme="majorHAnsi" w:cstheme="majorHAnsi"/>
        </w:rPr>
        <w:t xml:space="preserve">all </w:t>
      </w:r>
      <w:r w:rsidRPr="00A675F4">
        <w:rPr>
          <w:rFonts w:asciiTheme="majorHAnsi" w:hAnsiTheme="majorHAnsi" w:cstheme="majorHAnsi"/>
        </w:rPr>
        <w:lastRenderedPageBreak/>
        <w:t>of</w:t>
      </w:r>
      <w:proofErr w:type="gramEnd"/>
      <w:r w:rsidRPr="00A675F4">
        <w:rPr>
          <w:rFonts w:asciiTheme="majorHAnsi" w:hAnsiTheme="majorHAnsi" w:cstheme="majorHAnsi"/>
        </w:rPr>
        <w:t xml:space="preserve"> the locations where the putative Y sequencing data had also aligned using the software </w:t>
      </w:r>
      <w:proofErr w:type="spellStart"/>
      <w:r w:rsidRPr="00A675F4">
        <w:rPr>
          <w:rFonts w:asciiTheme="majorHAnsi" w:hAnsiTheme="majorHAnsi" w:cstheme="majorHAnsi"/>
        </w:rPr>
        <w:t>bedtools</w:t>
      </w:r>
      <w:proofErr w:type="spellEnd"/>
      <w:r w:rsidRPr="00A675F4">
        <w:rPr>
          <w:rFonts w:asciiTheme="majorHAnsi" w:hAnsiTheme="majorHAnsi" w:cstheme="majorHAnsi"/>
        </w:rPr>
        <w:t xml:space="preserve"> 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we obtained depth information across </w:t>
      </w:r>
      <w:proofErr w:type="gramStart"/>
      <w:r w:rsidRPr="00A675F4">
        <w:rPr>
          <w:rFonts w:asciiTheme="majorHAnsi" w:hAnsiTheme="majorHAnsi" w:cstheme="majorHAnsi"/>
        </w:rPr>
        <w:t>all of</w:t>
      </w:r>
      <w:proofErr w:type="gramEnd"/>
      <w:r w:rsidRPr="00A675F4">
        <w:rPr>
          <w:rFonts w:asciiTheme="majorHAnsi" w:hAnsiTheme="majorHAnsi" w:cstheme="majorHAnsi"/>
        </w:rPr>
        <w:t xml:space="preserve"> the putative Y regions, we ran the same depth analysis as above.</w:t>
      </w:r>
    </w:p>
    <w:p w14:paraId="6CF0541F" w14:textId="77777777" w:rsidR="00120DAA" w:rsidRPr="00120DAA" w:rsidRDefault="00120DAA"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5" w:name="_Toc113355013"/>
      <w:r>
        <w:rPr>
          <w:rFonts w:asciiTheme="majorHAnsi" w:hAnsiTheme="majorHAnsi" w:cstheme="majorHAnsi"/>
          <w:szCs w:val="24"/>
        </w:rPr>
        <w:t>Results</w:t>
      </w:r>
      <w:bookmarkEnd w:id="15"/>
    </w:p>
    <w:p w14:paraId="0388CF07" w14:textId="77777777"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355014"/>
      <w:r w:rsidRPr="00FD21E9">
        <w:rPr>
          <w:rFonts w:asciiTheme="majorHAnsi" w:hAnsiTheme="majorHAnsi" w:cstheme="majorHAnsi"/>
          <w:sz w:val="24"/>
          <w:szCs w:val="24"/>
        </w:rPr>
        <w:t>Sample collection &amp; DNA extraction</w:t>
      </w:r>
      <w:bookmarkEnd w:id="16"/>
      <w:r w:rsidRPr="00FD21E9">
        <w:rPr>
          <w:rFonts w:asciiTheme="majorHAnsi" w:hAnsiTheme="majorHAnsi" w:cstheme="majorHAnsi"/>
          <w:sz w:val="24"/>
          <w:szCs w:val="24"/>
        </w:rPr>
        <w:t xml:space="preserve"> </w:t>
      </w:r>
    </w:p>
    <w:p w14:paraId="601A5A01" w14:textId="6C27CAF5" w:rsidR="00120DAA" w:rsidRDefault="00A675F4" w:rsidP="00A675F4">
      <w:pPr>
        <w:rPr>
          <w:rFonts w:asciiTheme="majorHAnsi" w:hAnsiTheme="majorHAnsi" w:cstheme="majorHAnsi"/>
        </w:rPr>
      </w:pPr>
      <w:r>
        <w:rPr>
          <w:rFonts w:asciiTheme="majorHAnsi" w:hAnsiTheme="majorHAnsi" w:cstheme="majorHAnsi"/>
        </w:rPr>
        <w:t>TKTK</w:t>
      </w:r>
    </w:p>
    <w:p w14:paraId="64234E32" w14:textId="7AEEC6FF" w:rsidR="00A675F4" w:rsidRDefault="00A675F4"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7" w:name="_Toc113355015"/>
      <w:r>
        <w:rPr>
          <w:rFonts w:asciiTheme="majorHAnsi" w:hAnsiTheme="majorHAnsi" w:cstheme="majorHAnsi"/>
          <w:sz w:val="24"/>
          <w:szCs w:val="24"/>
        </w:rPr>
        <w:t>Genome-wide association study</w:t>
      </w:r>
      <w:bookmarkEnd w:id="17"/>
    </w:p>
    <w:p w14:paraId="0CBBE3C3" w14:textId="6CF81014" w:rsidR="00A675F4" w:rsidRDefault="00A675F4" w:rsidP="00A675F4">
      <w:pPr>
        <w:rPr>
          <w:rFonts w:asciiTheme="majorHAnsi" w:hAnsiTheme="majorHAnsi" w:cstheme="majorHAnsi"/>
        </w:rPr>
      </w:pPr>
      <w:r w:rsidRPr="00A675F4">
        <w:rPr>
          <w:rFonts w:asciiTheme="majorHAnsi" w:hAnsiTheme="majorHAnsi" w:cstheme="majorHAnsi"/>
        </w:rPr>
        <w:t>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The two SNPs most associated with sex in delta smelt had LRT scores of 37.854854 and 35.802804 which correspond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418787EE" w14:textId="42A8982D"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355016"/>
      <w:r>
        <w:rPr>
          <w:rFonts w:asciiTheme="majorHAnsi" w:hAnsiTheme="majorHAnsi" w:cstheme="majorHAnsi"/>
          <w:sz w:val="24"/>
          <w:szCs w:val="24"/>
        </w:rPr>
        <w:t>Depth analysis</w:t>
      </w:r>
      <w:bookmarkEnd w:id="18"/>
    </w:p>
    <w:p w14:paraId="235C585D" w14:textId="016ECED6" w:rsidR="00A675F4" w:rsidRDefault="00A675F4" w:rsidP="00A675F4">
      <w:pPr>
        <w:rPr>
          <w:rFonts w:asciiTheme="majorHAnsi" w:hAnsiTheme="majorHAnsi" w:cstheme="majorHAnsi"/>
        </w:rPr>
      </w:pPr>
      <w:r w:rsidRPr="00A675F4">
        <w:rPr>
          <w:rFonts w:asciiTheme="majorHAnsi" w:hAnsiTheme="majorHAnsi" w:cstheme="majorHAnsi"/>
        </w:rPr>
        <w:t xml:space="preserve">We found no large areas that corresponded to one </w:t>
      </w:r>
      <w:proofErr w:type="gramStart"/>
      <w:r w:rsidRPr="00A675F4">
        <w:rPr>
          <w:rFonts w:asciiTheme="majorHAnsi" w:hAnsiTheme="majorHAnsi" w:cstheme="majorHAnsi"/>
        </w:rPr>
        <w:t>particular sex</w:t>
      </w:r>
      <w:proofErr w:type="gramEnd"/>
      <w:r w:rsidRPr="00A675F4">
        <w:rPr>
          <w:rFonts w:asciiTheme="majorHAnsi" w:hAnsiTheme="majorHAnsi" w:cstheme="majorHAnsi"/>
        </w:rPr>
        <w:t xml:space="preserve"> having higher depth of coverage compared to the other sex and therefore did not identify any sex-specific loci in this analysis. </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355017"/>
      <w:r>
        <w:rPr>
          <w:rFonts w:asciiTheme="majorHAnsi" w:hAnsiTheme="majorHAnsi" w:cstheme="majorHAnsi"/>
          <w:sz w:val="24"/>
          <w:szCs w:val="24"/>
        </w:rPr>
        <w:t>K-mer</w:t>
      </w:r>
      <w:r>
        <w:rPr>
          <w:rFonts w:asciiTheme="majorHAnsi" w:hAnsiTheme="majorHAnsi" w:cstheme="majorHAnsi"/>
          <w:sz w:val="24"/>
          <w:szCs w:val="24"/>
        </w:rPr>
        <w:t xml:space="preserve"> analysis</w:t>
      </w:r>
      <w:bookmarkEnd w:id="19"/>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0" w:name="_Toc113355018"/>
      <w:r>
        <w:rPr>
          <w:rFonts w:asciiTheme="majorHAnsi" w:hAnsiTheme="majorHAnsi" w:cstheme="majorHAnsi"/>
          <w:szCs w:val="24"/>
        </w:rPr>
        <w:t>Discussion &amp; Conclusion</w:t>
      </w:r>
      <w:bookmarkEnd w:id="20"/>
    </w:p>
    <w:p w14:paraId="5CC30083" w14:textId="51268234" w:rsidR="00A675F4" w:rsidRDefault="00A675F4" w:rsidP="00A675F4"/>
    <w:p w14:paraId="6FEDA1CA" w14:textId="273321B3"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study thoroughly probed the genome and two RAD sequencing data sets in multiple ways to identify sex-specific markers, but we did not find diagnostic SNPs. This means that delta smelt </w:t>
      </w:r>
      <w:r w:rsidRPr="00A675F4">
        <w:rPr>
          <w:rFonts w:asciiTheme="majorHAnsi" w:hAnsiTheme="majorHAnsi" w:cstheme="majorHAnsi"/>
        </w:rPr>
        <w:lastRenderedPageBreak/>
        <w:t xml:space="preserve">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 sequencing data provide an 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77777777" w:rsidR="006E2350" w:rsidRDefault="006E2350" w:rsidP="006E2350">
      <w:pPr>
        <w:rPr>
          <w:rFonts w:ascii="Times New Roman" w:eastAsia="Times New Roman" w:hAnsi="Times New Roman" w:cs="Times New Roman"/>
        </w:rPr>
      </w:pPr>
    </w:p>
    <w:p w14:paraId="0DCE033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1"/>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1"/>
      <w:r w:rsidRPr="00A951B3">
        <w:rPr>
          <w:rStyle w:val="CommentReference"/>
          <w:rFonts w:asciiTheme="majorHAnsi" w:hAnsiTheme="majorHAnsi" w:cstheme="majorHAnsi"/>
        </w:rPr>
        <w:commentReference w:id="21"/>
      </w:r>
      <w:r w:rsidRPr="00A951B3">
        <w:rPr>
          <w:rFonts w:asciiTheme="majorHAnsi" w:eastAsia="Times New Roman" w:hAnsiTheme="majorHAnsi" w:cstheme="majorHAnsi"/>
        </w:rPr>
        <w:t xml:space="preserve">Histogram of male-only and female -only k-mer abundances of sequencing data. The male sequencing data appears to have </w:t>
      </w:r>
      <w:ins w:id="22"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3"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5"/>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5"/>
      <w:r w:rsidRPr="00A951B3">
        <w:rPr>
          <w:rStyle w:val="CommentReference"/>
          <w:rFonts w:asciiTheme="majorHAnsi" w:hAnsiTheme="majorHAnsi" w:cstheme="majorHAnsi"/>
        </w:rPr>
        <w:commentReference w:id="25"/>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6"/>
      <w:r w:rsidRPr="00A951B3">
        <w:rPr>
          <w:rFonts w:asciiTheme="majorHAnsi" w:eastAsia="Times New Roman" w:hAnsiTheme="majorHAnsi" w:cstheme="majorHAnsi"/>
        </w:rPr>
        <w:t>abundances</w:t>
      </w:r>
      <w:commentRangeEnd w:id="26"/>
      <w:r w:rsidRPr="00A951B3">
        <w:rPr>
          <w:rStyle w:val="CommentReference"/>
          <w:rFonts w:asciiTheme="majorHAnsi" w:hAnsiTheme="majorHAnsi" w:cstheme="majorHAnsi"/>
        </w:rPr>
        <w:commentReference w:id="26"/>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7"/>
      <w:r w:rsidRPr="00A951B3">
        <w:rPr>
          <w:rFonts w:asciiTheme="majorHAnsi" w:eastAsia="Times New Roman" w:hAnsiTheme="majorHAnsi" w:cstheme="majorHAnsi"/>
          <w:b/>
          <w:bCs/>
        </w:rPr>
        <w:t>Figure 18</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8"/>
      <w:r w:rsidRPr="00A951B3">
        <w:rPr>
          <w:rFonts w:asciiTheme="majorHAnsi" w:eastAsia="Times New Roman" w:hAnsiTheme="majorHAnsi" w:cstheme="majorHAnsi"/>
        </w:rPr>
        <w:t>k-mers</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w:t>
      </w:r>
      <w:proofErr w:type="gramStart"/>
      <w:r>
        <w:t>all of</w:t>
      </w:r>
      <w:proofErr w:type="gramEnd"/>
      <w:r>
        <w:t xml:space="preserve"> these kmer figures out. They are not going to understand this at all. Keep the text in the report but these are just confusing. </w:t>
      </w:r>
    </w:p>
  </w:comment>
  <w:comment w:id="25" w:author="Microsoft Office User" w:date="2021-06-24T14:42:00Z" w:initials="MOU">
    <w:p w14:paraId="2F00C1EA" w14:textId="77777777" w:rsidR="006E2350" w:rsidRDefault="006E2350" w:rsidP="006E2350">
      <w:pPr>
        <w:pStyle w:val="CommentText"/>
      </w:pPr>
      <w:r>
        <w:rPr>
          <w:rStyle w:val="CommentReference"/>
        </w:rPr>
        <w:annotationRef/>
      </w:r>
      <w:r>
        <w:t xml:space="preserve">I don’t’ understand this. What are higher and lower abundance </w:t>
      </w:r>
      <w:proofErr w:type="spellStart"/>
      <w:r>
        <w:t>kmers</w:t>
      </w:r>
      <w:proofErr w:type="spellEnd"/>
      <w:r>
        <w:t>? Just ones that are shorter or longer?</w:t>
      </w:r>
    </w:p>
  </w:comment>
  <w:comment w:id="26" w:author="Microsoft Office User" w:date="2021-06-24T14:43:00Z" w:initials="MOU">
    <w:p w14:paraId="4B1BE8AD" w14:textId="77777777" w:rsidR="006E2350" w:rsidRDefault="006E2350" w:rsidP="006E2350">
      <w:pPr>
        <w:pStyle w:val="CommentText"/>
      </w:pPr>
      <w:r>
        <w:rPr>
          <w:rStyle w:val="CommentReference"/>
        </w:rPr>
        <w:annotationRef/>
      </w:r>
      <w:r>
        <w:t xml:space="preserve">Sorry but what is abundance? And how is it related the length of kmer? I assume it’s </w:t>
      </w:r>
      <w:proofErr w:type="gramStart"/>
      <w:r>
        <w:t>that longer ones</w:t>
      </w:r>
      <w:proofErr w:type="gramEnd"/>
      <w:r>
        <w:t xml:space="preserve"> have a lower abundance. Or is it the abundance across the ale and the female individuals?</w:t>
      </w:r>
    </w:p>
  </w:comment>
  <w:comment w:id="27"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w:t>
      </w:r>
      <w:proofErr w:type="spellStart"/>
      <w:r>
        <w:t>on</w:t>
      </w:r>
      <w:proofErr w:type="spellEnd"/>
      <w:r>
        <w:t xml:space="preserve"> of these three kmer figures and leave the rest out. They are </w:t>
      </w:r>
      <w:proofErr w:type="gramStart"/>
      <w:r>
        <w:t>pretty confusing</w:t>
      </w:r>
      <w:proofErr w:type="gramEnd"/>
      <w:r>
        <w:t xml:space="preserve"> and there is no way they are going to understand. In </w:t>
      </w:r>
      <w:proofErr w:type="gramStart"/>
      <w:r>
        <w:t>fact</w:t>
      </w:r>
      <w:proofErr w:type="gramEnd"/>
      <w:r>
        <w:t xml:space="preserve"> you could probably leave them all out. </w:t>
      </w:r>
    </w:p>
  </w:comment>
  <w:comment w:id="28" w:author="Microsoft Office User" w:date="2021-06-24T14:47:00Z" w:initials="MOU">
    <w:p w14:paraId="661CD8BC" w14:textId="77777777" w:rsidR="006E2350" w:rsidRDefault="006E2350" w:rsidP="006E2350">
      <w:pPr>
        <w:pStyle w:val="CommentText"/>
      </w:pPr>
      <w:r>
        <w:rPr>
          <w:rStyle w:val="CommentReference"/>
        </w:rPr>
        <w:annotationRef/>
      </w:r>
      <w:r>
        <w:t xml:space="preserve">Of the specified lengths that you searched </w:t>
      </w:r>
      <w:proofErr w:type="gramStart"/>
      <w:r>
        <w:t>for?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120DAA"/>
    <w:rsid w:val="006B41B5"/>
    <w:rsid w:val="006E2350"/>
    <w:rsid w:val="00A675F4"/>
    <w:rsid w:val="00A7435B"/>
    <w:rsid w:val="00A951B3"/>
    <w:rsid w:val="00DA147D"/>
    <w:rsid w:val="00DA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7857</Words>
  <Characters>44788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cp:revision>
  <dcterms:created xsi:type="dcterms:W3CDTF">2022-08-23T14:50:00Z</dcterms:created>
  <dcterms:modified xsi:type="dcterms:W3CDTF">2022-09-06T18:18:00Z</dcterms:modified>
</cp:coreProperties>
</file>