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3506C1" w14:textId="77777777" w:rsidR="00DA301E" w:rsidRDefault="00DA301E" w:rsidP="00E35CCB">
      <w:pPr>
        <w:ind w:left="-180" w:right="-90"/>
        <w:jc w:val="both"/>
        <w:rPr>
          <w:rFonts w:ascii="Times New Roman" w:eastAsia="Times New Roman" w:hAnsi="Times New Roman" w:cs="Times New Roman"/>
          <w:b/>
        </w:rPr>
      </w:pPr>
    </w:p>
    <w:p w14:paraId="0150D60F" w14:textId="77777777" w:rsidR="00DA301E" w:rsidRDefault="00DA301E" w:rsidP="00E35CCB">
      <w:pPr>
        <w:ind w:left="-180" w:right="-90"/>
        <w:jc w:val="both"/>
        <w:rPr>
          <w:rFonts w:ascii="Times New Roman" w:eastAsia="Times New Roman" w:hAnsi="Times New Roman" w:cs="Times New Roman"/>
          <w:b/>
        </w:rPr>
      </w:pPr>
    </w:p>
    <w:p w14:paraId="1530BCEB" w14:textId="77777777" w:rsidR="00DA301E" w:rsidRDefault="00DA301E" w:rsidP="00E35CCB">
      <w:pPr>
        <w:ind w:left="-180" w:right="-90"/>
        <w:jc w:val="both"/>
        <w:rPr>
          <w:rFonts w:ascii="Times New Roman" w:eastAsia="Times New Roman" w:hAnsi="Times New Roman" w:cs="Times New Roman"/>
          <w:b/>
        </w:rPr>
      </w:pPr>
    </w:p>
    <w:p w14:paraId="09CC3115" w14:textId="77777777" w:rsidR="00DA301E" w:rsidRDefault="00DA301E" w:rsidP="00E35CCB">
      <w:pPr>
        <w:ind w:left="-180" w:right="-90"/>
        <w:jc w:val="both"/>
        <w:rPr>
          <w:rFonts w:ascii="Times New Roman" w:eastAsia="Times New Roman" w:hAnsi="Times New Roman" w:cs="Times New Roman"/>
          <w:b/>
        </w:rPr>
      </w:pPr>
    </w:p>
    <w:p w14:paraId="7983A9F6" w14:textId="45088361" w:rsidR="00DA301E" w:rsidRDefault="007312B3" w:rsidP="009411BA">
      <w:pPr>
        <w:ind w:left="-180" w:right="-90"/>
        <w:jc w:val="center"/>
        <w:rPr>
          <w:rFonts w:ascii="Times New Roman" w:eastAsia="Times New Roman" w:hAnsi="Times New Roman" w:cs="Times New Roman"/>
          <w:b/>
        </w:rPr>
      </w:pPr>
      <w:r>
        <w:rPr>
          <w:rFonts w:ascii="Times New Roman" w:eastAsia="Times New Roman" w:hAnsi="Times New Roman" w:cs="Times New Roman"/>
          <w:b/>
        </w:rPr>
        <w:t xml:space="preserve">Genome assembly and investigation of </w:t>
      </w:r>
      <w:proofErr w:type="spellStart"/>
      <w:r>
        <w:rPr>
          <w:rFonts w:ascii="Times New Roman" w:eastAsia="Times New Roman" w:hAnsi="Times New Roman" w:cs="Times New Roman"/>
          <w:b/>
          <w:i/>
        </w:rPr>
        <w:t>Hypomesus</w:t>
      </w:r>
      <w:proofErr w:type="spellEnd"/>
      <w:r>
        <w:rPr>
          <w:rFonts w:ascii="Times New Roman" w:eastAsia="Times New Roman" w:hAnsi="Times New Roman" w:cs="Times New Roman"/>
          <w:b/>
          <w:i/>
        </w:rPr>
        <w:t xml:space="preserve"> </w:t>
      </w:r>
      <w:proofErr w:type="spellStart"/>
      <w:r>
        <w:rPr>
          <w:rFonts w:ascii="Times New Roman" w:eastAsia="Times New Roman" w:hAnsi="Times New Roman" w:cs="Times New Roman"/>
          <w:b/>
          <w:i/>
        </w:rPr>
        <w:t>transpacificus</w:t>
      </w:r>
      <w:proofErr w:type="spellEnd"/>
      <w:r>
        <w:rPr>
          <w:rFonts w:ascii="Times New Roman" w:eastAsia="Times New Roman" w:hAnsi="Times New Roman" w:cs="Times New Roman"/>
          <w:b/>
        </w:rPr>
        <w:t xml:space="preserve"> genome for estimates of effective population size</w:t>
      </w:r>
      <w:r w:rsidR="00CB2F7F">
        <w:rPr>
          <w:rFonts w:ascii="Times New Roman" w:eastAsia="Times New Roman" w:hAnsi="Times New Roman" w:cs="Times New Roman"/>
          <w:b/>
        </w:rPr>
        <w:t>s</w:t>
      </w:r>
      <w:r>
        <w:rPr>
          <w:rFonts w:ascii="Times New Roman" w:eastAsia="Times New Roman" w:hAnsi="Times New Roman" w:cs="Times New Roman"/>
          <w:b/>
        </w:rPr>
        <w:t xml:space="preserve"> and identification of sex</w:t>
      </w:r>
      <w:r w:rsidR="00CC1B5D">
        <w:rPr>
          <w:rFonts w:ascii="Times New Roman" w:eastAsia="Times New Roman" w:hAnsi="Times New Roman" w:cs="Times New Roman"/>
          <w:b/>
        </w:rPr>
        <w:t>-specific</w:t>
      </w:r>
      <w:r>
        <w:rPr>
          <w:rFonts w:ascii="Times New Roman" w:eastAsia="Times New Roman" w:hAnsi="Times New Roman" w:cs="Times New Roman"/>
          <w:b/>
        </w:rPr>
        <w:t xml:space="preserve"> markers.</w:t>
      </w:r>
    </w:p>
    <w:p w14:paraId="4B1C34D2" w14:textId="77777777" w:rsidR="00DA301E" w:rsidRDefault="007312B3" w:rsidP="009411BA">
      <w:pPr>
        <w:spacing w:line="360" w:lineRule="auto"/>
        <w:ind w:left="-180" w:right="-90"/>
        <w:jc w:val="center"/>
        <w:rPr>
          <w:rFonts w:ascii="Times New Roman" w:eastAsia="Times New Roman" w:hAnsi="Times New Roman" w:cs="Times New Roman"/>
        </w:rPr>
      </w:pPr>
      <w:r>
        <w:rPr>
          <w:rFonts w:ascii="Times New Roman" w:eastAsia="Times New Roman" w:hAnsi="Times New Roman" w:cs="Times New Roman"/>
        </w:rPr>
        <w:t>Qualifying Exam Research Proposal</w:t>
      </w:r>
    </w:p>
    <w:p w14:paraId="1423347C" w14:textId="77777777" w:rsidR="00DA301E" w:rsidRDefault="00DA301E" w:rsidP="009411BA">
      <w:pPr>
        <w:spacing w:line="360" w:lineRule="auto"/>
        <w:ind w:left="-180" w:right="-90"/>
        <w:jc w:val="center"/>
        <w:rPr>
          <w:rFonts w:ascii="Times New Roman" w:eastAsia="Times New Roman" w:hAnsi="Times New Roman" w:cs="Times New Roman"/>
        </w:rPr>
      </w:pPr>
    </w:p>
    <w:p w14:paraId="25A12482" w14:textId="77777777" w:rsidR="00DA301E" w:rsidRDefault="007312B3" w:rsidP="00E35CCB">
      <w:pPr>
        <w:ind w:left="-180" w:right="-9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5658D55" wp14:editId="53EBED64">
            <wp:extent cx="5395913" cy="23174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95913" cy="2317475"/>
                    </a:xfrm>
                    <a:prstGeom prst="rect">
                      <a:avLst/>
                    </a:prstGeom>
                    <a:ln/>
                  </pic:spPr>
                </pic:pic>
              </a:graphicData>
            </a:graphic>
          </wp:inline>
        </w:drawing>
      </w:r>
    </w:p>
    <w:p w14:paraId="32025031" w14:textId="77777777" w:rsidR="00DA301E" w:rsidRDefault="007312B3" w:rsidP="00E35CCB">
      <w:pPr>
        <w:ind w:left="-180" w:right="450"/>
        <w:jc w:val="right"/>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Illustration: Alan </w:t>
      </w:r>
      <w:proofErr w:type="spellStart"/>
      <w:r>
        <w:rPr>
          <w:rFonts w:ascii="Times New Roman" w:eastAsia="Times New Roman" w:hAnsi="Times New Roman" w:cs="Times New Roman"/>
          <w:sz w:val="16"/>
          <w:szCs w:val="16"/>
        </w:rPr>
        <w:t>Marciochi</w:t>
      </w:r>
      <w:proofErr w:type="spellEnd"/>
    </w:p>
    <w:p w14:paraId="1DCB2DC9" w14:textId="77777777" w:rsidR="00DA301E" w:rsidRDefault="00DA301E" w:rsidP="00E35CCB">
      <w:pPr>
        <w:ind w:left="-180" w:right="-90"/>
        <w:jc w:val="center"/>
        <w:rPr>
          <w:rFonts w:ascii="Times New Roman" w:eastAsia="Times New Roman" w:hAnsi="Times New Roman" w:cs="Times New Roman"/>
        </w:rPr>
      </w:pPr>
    </w:p>
    <w:p w14:paraId="16A84486" w14:textId="77777777" w:rsidR="00DA301E" w:rsidRDefault="00DA301E" w:rsidP="00E35CCB">
      <w:pPr>
        <w:ind w:left="-180" w:right="-90"/>
        <w:jc w:val="center"/>
        <w:rPr>
          <w:rFonts w:ascii="Times New Roman" w:eastAsia="Times New Roman" w:hAnsi="Times New Roman" w:cs="Times New Roman"/>
        </w:rPr>
      </w:pPr>
    </w:p>
    <w:p w14:paraId="50598D9D" w14:textId="77777777" w:rsidR="00DA301E" w:rsidRDefault="007312B3" w:rsidP="00E35CCB">
      <w:pPr>
        <w:ind w:left="-180" w:right="-90"/>
        <w:jc w:val="center"/>
        <w:rPr>
          <w:rFonts w:ascii="Times New Roman" w:eastAsia="Times New Roman" w:hAnsi="Times New Roman" w:cs="Times New Roman"/>
        </w:rPr>
      </w:pPr>
      <w:r>
        <w:rPr>
          <w:rFonts w:ascii="Times New Roman" w:eastAsia="Times New Roman" w:hAnsi="Times New Roman" w:cs="Times New Roman"/>
        </w:rPr>
        <w:t>Shannon E.K. Joslin</w:t>
      </w:r>
    </w:p>
    <w:p w14:paraId="169A9E13" w14:textId="77777777" w:rsidR="00DA301E" w:rsidRDefault="00CB2F7F" w:rsidP="00E35CCB">
      <w:pPr>
        <w:ind w:left="-180" w:right="-90"/>
        <w:jc w:val="center"/>
        <w:rPr>
          <w:rFonts w:ascii="Times New Roman" w:eastAsia="Times New Roman" w:hAnsi="Times New Roman" w:cs="Times New Roman"/>
        </w:rPr>
      </w:pPr>
      <w:hyperlink r:id="rId8">
        <w:r w:rsidR="007312B3">
          <w:rPr>
            <w:rFonts w:ascii="Times New Roman" w:eastAsia="Times New Roman" w:hAnsi="Times New Roman" w:cs="Times New Roman"/>
            <w:color w:val="1155CC"/>
            <w:u w:val="single"/>
          </w:rPr>
          <w:t>sejoslin@ucdavis.edu</w:t>
        </w:r>
      </w:hyperlink>
    </w:p>
    <w:p w14:paraId="44AEF0CE" w14:textId="77777777" w:rsidR="00DA301E" w:rsidRDefault="007312B3" w:rsidP="00E35CCB">
      <w:pPr>
        <w:ind w:left="-180" w:right="-90"/>
        <w:jc w:val="center"/>
        <w:rPr>
          <w:rFonts w:ascii="Times New Roman" w:eastAsia="Times New Roman" w:hAnsi="Times New Roman" w:cs="Times New Roman"/>
        </w:rPr>
      </w:pPr>
      <w:r>
        <w:rPr>
          <w:rFonts w:ascii="Times New Roman" w:eastAsia="Times New Roman" w:hAnsi="Times New Roman" w:cs="Times New Roman"/>
        </w:rPr>
        <w:t>Integrative Genetics and Genomics Graduate Group</w:t>
      </w:r>
    </w:p>
    <w:p w14:paraId="0658E7A1" w14:textId="77777777" w:rsidR="00DA301E" w:rsidRDefault="007312B3" w:rsidP="00E35CCB">
      <w:pPr>
        <w:ind w:left="-180" w:right="-90"/>
        <w:jc w:val="center"/>
        <w:rPr>
          <w:rFonts w:ascii="Times New Roman" w:eastAsia="Times New Roman" w:hAnsi="Times New Roman" w:cs="Times New Roman"/>
        </w:rPr>
      </w:pPr>
      <w:r>
        <w:rPr>
          <w:rFonts w:ascii="Times New Roman" w:eastAsia="Times New Roman" w:hAnsi="Times New Roman" w:cs="Times New Roman"/>
        </w:rPr>
        <w:t>PI: Dr. Mike Miller and Dr. Andrea Schreier</w:t>
      </w:r>
    </w:p>
    <w:p w14:paraId="1BBAC855" w14:textId="77777777" w:rsidR="00DA301E" w:rsidRDefault="00DA301E" w:rsidP="00E35CCB">
      <w:pPr>
        <w:ind w:left="-180" w:right="-90"/>
        <w:jc w:val="center"/>
        <w:rPr>
          <w:rFonts w:ascii="Times New Roman" w:eastAsia="Times New Roman" w:hAnsi="Times New Roman" w:cs="Times New Roman"/>
        </w:rPr>
      </w:pPr>
    </w:p>
    <w:p w14:paraId="67A42B3C" w14:textId="77777777" w:rsidR="00DA301E" w:rsidRDefault="007312B3" w:rsidP="00E35CCB">
      <w:pPr>
        <w:ind w:left="-180" w:right="-90"/>
        <w:jc w:val="center"/>
        <w:rPr>
          <w:rFonts w:ascii="Times New Roman" w:eastAsia="Times New Roman" w:hAnsi="Times New Roman" w:cs="Times New Roman"/>
        </w:rPr>
      </w:pPr>
      <w:proofErr w:type="gramStart"/>
      <w:r>
        <w:rPr>
          <w:rFonts w:ascii="Times New Roman" w:eastAsia="Times New Roman" w:hAnsi="Times New Roman" w:cs="Times New Roman"/>
        </w:rPr>
        <w:t xml:space="preserve">Tuesday  </w:t>
      </w:r>
      <w:r>
        <w:rPr>
          <w:rFonts w:ascii="Times New Roman" w:eastAsia="Times New Roman" w:hAnsi="Times New Roman" w:cs="Times New Roman"/>
          <w:b/>
        </w:rPr>
        <w:t>|</w:t>
      </w:r>
      <w:proofErr w:type="gramEnd"/>
      <w:r>
        <w:rPr>
          <w:rFonts w:ascii="Times New Roman" w:eastAsia="Times New Roman" w:hAnsi="Times New Roman" w:cs="Times New Roman"/>
        </w:rPr>
        <w:t xml:space="preserve">  30 April 2019  </w:t>
      </w:r>
      <w:r>
        <w:rPr>
          <w:rFonts w:ascii="Times New Roman" w:eastAsia="Times New Roman" w:hAnsi="Times New Roman" w:cs="Times New Roman"/>
          <w:b/>
        </w:rPr>
        <w:t>|</w:t>
      </w:r>
      <w:r>
        <w:rPr>
          <w:rFonts w:ascii="Times New Roman" w:eastAsia="Times New Roman" w:hAnsi="Times New Roman" w:cs="Times New Roman"/>
        </w:rPr>
        <w:t xml:space="preserve">  9:00am-12:00pm</w:t>
      </w:r>
    </w:p>
    <w:p w14:paraId="201B8C25" w14:textId="77777777" w:rsidR="00DA301E" w:rsidRDefault="007312B3" w:rsidP="00E35CCB">
      <w:pPr>
        <w:ind w:left="-180" w:right="-90"/>
        <w:jc w:val="center"/>
        <w:rPr>
          <w:rFonts w:ascii="Times New Roman" w:eastAsia="Times New Roman" w:hAnsi="Times New Roman" w:cs="Times New Roman"/>
        </w:rPr>
      </w:pPr>
      <w:r>
        <w:rPr>
          <w:rFonts w:ascii="Times New Roman" w:eastAsia="Times New Roman" w:hAnsi="Times New Roman" w:cs="Times New Roman"/>
        </w:rPr>
        <w:t>1013 Gladys Valley Hall (first floor)</w:t>
      </w:r>
    </w:p>
    <w:p w14:paraId="5BDC17C5" w14:textId="77777777" w:rsidR="00DA301E" w:rsidRDefault="00DA301E" w:rsidP="00E35CCB">
      <w:pPr>
        <w:ind w:left="-180" w:right="-90"/>
        <w:jc w:val="center"/>
        <w:rPr>
          <w:rFonts w:ascii="Times New Roman" w:eastAsia="Times New Roman" w:hAnsi="Times New Roman" w:cs="Times New Roman"/>
        </w:rPr>
      </w:pPr>
    </w:p>
    <w:p w14:paraId="209938DE" w14:textId="0CEB678E" w:rsidR="007A16EB" w:rsidRDefault="007312B3" w:rsidP="007A16EB">
      <w:pPr>
        <w:ind w:left="-180" w:right="-90"/>
        <w:jc w:val="center"/>
        <w:rPr>
          <w:rFonts w:ascii="Times New Roman" w:eastAsia="Times New Roman" w:hAnsi="Times New Roman" w:cs="Times New Roman"/>
        </w:rPr>
      </w:pPr>
      <w:r>
        <w:rPr>
          <w:rFonts w:ascii="Times New Roman" w:eastAsia="Times New Roman" w:hAnsi="Times New Roman" w:cs="Times New Roman"/>
        </w:rPr>
        <w:t>Chair: Dr. C. Titus Brown</w:t>
      </w:r>
    </w:p>
    <w:p w14:paraId="3DF062C4" w14:textId="6AC32743" w:rsidR="007A16EB" w:rsidRDefault="00CB2F7F" w:rsidP="007A16EB">
      <w:pPr>
        <w:ind w:left="-180" w:right="-90"/>
        <w:jc w:val="center"/>
        <w:rPr>
          <w:rFonts w:ascii="Times New Roman" w:eastAsia="Times New Roman" w:hAnsi="Times New Roman" w:cs="Times New Roman"/>
        </w:rPr>
      </w:pPr>
      <w:hyperlink r:id="rId9">
        <w:r w:rsidR="007A16EB">
          <w:rPr>
            <w:rFonts w:ascii="Times New Roman" w:eastAsia="Times New Roman" w:hAnsi="Times New Roman" w:cs="Times New Roman"/>
            <w:color w:val="1155CC"/>
            <w:u w:val="single"/>
          </w:rPr>
          <w:t>ctbrown@ucdavis.edu</w:t>
        </w:r>
      </w:hyperlink>
    </w:p>
    <w:p w14:paraId="0A4CCEFB" w14:textId="77777777" w:rsidR="00DA301E" w:rsidRDefault="007312B3" w:rsidP="00E35CCB">
      <w:pPr>
        <w:ind w:left="-180" w:right="-90"/>
        <w:jc w:val="center"/>
        <w:rPr>
          <w:rFonts w:ascii="Times New Roman" w:eastAsia="Times New Roman" w:hAnsi="Times New Roman" w:cs="Times New Roman"/>
        </w:rPr>
      </w:pPr>
      <w:r>
        <w:rPr>
          <w:rFonts w:ascii="Times New Roman" w:eastAsia="Times New Roman" w:hAnsi="Times New Roman" w:cs="Times New Roman"/>
        </w:rPr>
        <w:t>Genomics: Dr. Graham Coop</w:t>
      </w:r>
    </w:p>
    <w:p w14:paraId="3FAD31AD" w14:textId="77777777" w:rsidR="00DA301E" w:rsidRDefault="007312B3" w:rsidP="00E35CCB">
      <w:pPr>
        <w:ind w:left="-180" w:right="-90"/>
        <w:jc w:val="center"/>
        <w:rPr>
          <w:rFonts w:ascii="Times New Roman" w:eastAsia="Times New Roman" w:hAnsi="Times New Roman" w:cs="Times New Roman"/>
        </w:rPr>
      </w:pPr>
      <w:r>
        <w:rPr>
          <w:rFonts w:ascii="Times New Roman" w:eastAsia="Times New Roman" w:hAnsi="Times New Roman" w:cs="Times New Roman"/>
        </w:rPr>
        <w:t xml:space="preserve">Transmission Genetics: Dr. Thomas </w:t>
      </w:r>
      <w:proofErr w:type="spellStart"/>
      <w:r>
        <w:rPr>
          <w:rFonts w:ascii="Times New Roman" w:eastAsia="Times New Roman" w:hAnsi="Times New Roman" w:cs="Times New Roman"/>
        </w:rPr>
        <w:t>Gradziel</w:t>
      </w:r>
      <w:proofErr w:type="spellEnd"/>
    </w:p>
    <w:p w14:paraId="7257800D" w14:textId="77777777" w:rsidR="00DA301E" w:rsidRDefault="007312B3" w:rsidP="00E35CCB">
      <w:pPr>
        <w:ind w:left="-180" w:right="-90"/>
        <w:jc w:val="center"/>
        <w:rPr>
          <w:rFonts w:ascii="Times New Roman" w:eastAsia="Times New Roman" w:hAnsi="Times New Roman" w:cs="Times New Roman"/>
        </w:rPr>
      </w:pPr>
      <w:r>
        <w:rPr>
          <w:rFonts w:ascii="Times New Roman" w:eastAsia="Times New Roman" w:hAnsi="Times New Roman" w:cs="Times New Roman"/>
        </w:rPr>
        <w:t xml:space="preserve">Molecular Genetics: Dr. </w:t>
      </w:r>
      <w:proofErr w:type="spellStart"/>
      <w:r>
        <w:rPr>
          <w:rFonts w:ascii="Times New Roman" w:eastAsia="Times New Roman" w:hAnsi="Times New Roman" w:cs="Times New Roman"/>
        </w:rPr>
        <w:t>Julin</w:t>
      </w:r>
      <w:proofErr w:type="spellEnd"/>
      <w:r>
        <w:rPr>
          <w:rFonts w:ascii="Times New Roman" w:eastAsia="Times New Roman" w:hAnsi="Times New Roman" w:cs="Times New Roman"/>
        </w:rPr>
        <w:t xml:space="preserve"> Maloof</w:t>
      </w:r>
    </w:p>
    <w:p w14:paraId="21D87A7F" w14:textId="77777777" w:rsidR="00DA301E" w:rsidRDefault="007312B3" w:rsidP="00E35CCB">
      <w:pPr>
        <w:ind w:left="-180" w:right="-90"/>
        <w:jc w:val="center"/>
        <w:rPr>
          <w:rFonts w:ascii="Times New Roman" w:eastAsia="Times New Roman" w:hAnsi="Times New Roman" w:cs="Times New Roman"/>
        </w:rPr>
      </w:pPr>
      <w:r>
        <w:rPr>
          <w:rFonts w:ascii="Times New Roman" w:eastAsia="Times New Roman" w:hAnsi="Times New Roman" w:cs="Times New Roman"/>
        </w:rPr>
        <w:t>Population &amp; Quantitative Genetics: Dr. Benjamin Sacks</w:t>
      </w:r>
    </w:p>
    <w:p w14:paraId="08E012B6" w14:textId="77777777" w:rsidR="00DA301E" w:rsidRDefault="00DA301E" w:rsidP="00E35CCB">
      <w:pPr>
        <w:ind w:left="-180" w:right="-90"/>
        <w:jc w:val="both"/>
        <w:rPr>
          <w:rFonts w:ascii="Times New Roman" w:eastAsia="Times New Roman" w:hAnsi="Times New Roman" w:cs="Times New Roman"/>
        </w:rPr>
      </w:pPr>
    </w:p>
    <w:p w14:paraId="173A88EA" w14:textId="77777777" w:rsidR="00DA301E" w:rsidRDefault="007312B3" w:rsidP="00E35CCB">
      <w:pPr>
        <w:ind w:left="-180" w:right="-90"/>
        <w:jc w:val="both"/>
        <w:rPr>
          <w:rFonts w:ascii="Times New Roman" w:eastAsia="Times New Roman" w:hAnsi="Times New Roman" w:cs="Times New Roman"/>
          <w:b/>
        </w:rPr>
      </w:pPr>
      <w:r>
        <w:br w:type="page"/>
      </w:r>
    </w:p>
    <w:p w14:paraId="5C21B8C8" w14:textId="5D1222F6" w:rsidR="002C4982" w:rsidRPr="009411BA" w:rsidRDefault="002C4982" w:rsidP="009411BA">
      <w:pPr>
        <w:spacing w:line="360" w:lineRule="auto"/>
        <w:ind w:left="-270" w:right="-270"/>
        <w:jc w:val="both"/>
        <w:rPr>
          <w:rFonts w:ascii="Times New Roman" w:eastAsia="Times New Roman" w:hAnsi="Times New Roman" w:cs="Times New Roman"/>
          <w:b/>
          <w:sz w:val="24"/>
          <w:szCs w:val="24"/>
          <w:u w:val="single"/>
        </w:rPr>
      </w:pPr>
      <w:r w:rsidRPr="009411BA">
        <w:rPr>
          <w:rFonts w:ascii="Times New Roman" w:eastAsia="Times New Roman" w:hAnsi="Times New Roman" w:cs="Times New Roman"/>
          <w:b/>
          <w:sz w:val="24"/>
          <w:szCs w:val="24"/>
          <w:u w:val="single"/>
        </w:rPr>
        <w:lastRenderedPageBreak/>
        <w:t>Specific Aims</w:t>
      </w:r>
    </w:p>
    <w:p w14:paraId="221D0479" w14:textId="6B120E9A" w:rsidR="00CA1EC8" w:rsidRPr="00E35CCB" w:rsidRDefault="007312B3" w:rsidP="00CA1EC8">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To date, the conservation and management of listed species endemic to California, such as </w:t>
      </w:r>
      <w:proofErr w:type="spellStart"/>
      <w:r w:rsidRPr="00E35CCB">
        <w:rPr>
          <w:rFonts w:ascii="Times New Roman" w:eastAsia="Times New Roman" w:hAnsi="Times New Roman" w:cs="Times New Roman"/>
          <w:i/>
        </w:rPr>
        <w:t>Hypomesus</w:t>
      </w:r>
      <w:proofErr w:type="spellEnd"/>
      <w:r w:rsidRPr="00E35CCB">
        <w:rPr>
          <w:rFonts w:ascii="Times New Roman" w:eastAsia="Times New Roman" w:hAnsi="Times New Roman" w:cs="Times New Roman"/>
          <w:i/>
        </w:rPr>
        <w:t xml:space="preserve"> </w:t>
      </w:r>
      <w:proofErr w:type="spellStart"/>
      <w:r w:rsidRPr="00E35CCB">
        <w:rPr>
          <w:rFonts w:ascii="Times New Roman" w:eastAsia="Times New Roman" w:hAnsi="Times New Roman" w:cs="Times New Roman"/>
          <w:i/>
        </w:rPr>
        <w:t>transpacificus</w:t>
      </w:r>
      <w:proofErr w:type="spellEnd"/>
      <w:r w:rsidRPr="00E35CCB">
        <w:rPr>
          <w:rFonts w:ascii="Times New Roman" w:eastAsia="Times New Roman" w:hAnsi="Times New Roman" w:cs="Times New Roman"/>
        </w:rPr>
        <w:t xml:space="preserve"> (delta smelt), relies on physical surveys or limited molecular techniques to provide insights into the population health of native fishes. These methods provide highly variable estimates and are relatively low throughput. On the other hand, next generation sequencing</w:t>
      </w:r>
      <w:r w:rsidR="00093775">
        <w:rPr>
          <w:rFonts w:ascii="Times New Roman" w:eastAsia="Times New Roman" w:hAnsi="Times New Roman" w:cs="Times New Roman"/>
        </w:rPr>
        <w:t xml:space="preserve"> (NGS)</w:t>
      </w:r>
      <w:r w:rsidR="006C00F0" w:rsidRPr="00E35CCB">
        <w:rPr>
          <w:rFonts w:ascii="Times New Roman" w:eastAsia="Times New Roman" w:hAnsi="Times New Roman" w:cs="Times New Roman"/>
        </w:rPr>
        <w:t xml:space="preserve"> </w:t>
      </w:r>
      <w:r w:rsidRPr="00E35CCB">
        <w:rPr>
          <w:rFonts w:ascii="Times New Roman" w:eastAsia="Times New Roman" w:hAnsi="Times New Roman" w:cs="Times New Roman"/>
        </w:rPr>
        <w:t xml:space="preserve">approaches </w:t>
      </w:r>
      <w:r w:rsidR="006C00F0" w:rsidRPr="00E35CCB">
        <w:rPr>
          <w:rFonts w:ascii="Times New Roman" w:eastAsia="Times New Roman" w:hAnsi="Times New Roman" w:cs="Times New Roman"/>
        </w:rPr>
        <w:t>are</w:t>
      </w:r>
      <w:r w:rsidRPr="00E35CCB">
        <w:rPr>
          <w:rFonts w:ascii="Times New Roman" w:eastAsia="Times New Roman" w:hAnsi="Times New Roman" w:cs="Times New Roman"/>
        </w:rPr>
        <w:t xml:space="preserve"> </w:t>
      </w:r>
      <w:r w:rsidR="006C00F0" w:rsidRPr="00E35CCB">
        <w:rPr>
          <w:rFonts w:ascii="Times New Roman" w:eastAsia="Times New Roman" w:hAnsi="Times New Roman" w:cs="Times New Roman"/>
        </w:rPr>
        <w:t>superior</w:t>
      </w:r>
      <w:r w:rsidRPr="00E35CCB">
        <w:rPr>
          <w:rFonts w:ascii="Times New Roman" w:eastAsia="Times New Roman" w:hAnsi="Times New Roman" w:cs="Times New Roman"/>
        </w:rPr>
        <w:t xml:space="preserve"> </w:t>
      </w:r>
      <w:r w:rsidR="006544A2">
        <w:rPr>
          <w:rFonts w:ascii="Times New Roman" w:eastAsia="Times New Roman" w:hAnsi="Times New Roman" w:cs="Times New Roman"/>
        </w:rPr>
        <w:t>at investigating</w:t>
      </w:r>
      <w:r w:rsidRPr="00E35CCB">
        <w:rPr>
          <w:rFonts w:ascii="Times New Roman" w:eastAsia="Times New Roman" w:hAnsi="Times New Roman" w:cs="Times New Roman"/>
        </w:rPr>
        <w:t xml:space="preserve"> the evolution and genetic status of a species to</w:t>
      </w:r>
      <w:r w:rsidR="006544A2">
        <w:rPr>
          <w:rFonts w:ascii="Times New Roman" w:eastAsia="Times New Roman" w:hAnsi="Times New Roman" w:cs="Times New Roman"/>
        </w:rPr>
        <w:t xml:space="preserve"> </w:t>
      </w:r>
      <w:r w:rsidRPr="00E35CCB">
        <w:rPr>
          <w:rFonts w:ascii="Times New Roman" w:eastAsia="Times New Roman" w:hAnsi="Times New Roman" w:cs="Times New Roman"/>
        </w:rPr>
        <w:t xml:space="preserve">inform </w:t>
      </w:r>
      <w:r w:rsidR="006C00F0" w:rsidRPr="00E35CCB">
        <w:rPr>
          <w:rFonts w:ascii="Times New Roman" w:eastAsia="Times New Roman" w:hAnsi="Times New Roman" w:cs="Times New Roman"/>
        </w:rPr>
        <w:t xml:space="preserve">conservation </w:t>
      </w:r>
      <w:r w:rsidRPr="00E35CCB">
        <w:rPr>
          <w:rFonts w:ascii="Times New Roman" w:eastAsia="Times New Roman" w:hAnsi="Times New Roman" w:cs="Times New Roman"/>
        </w:rPr>
        <w:t xml:space="preserve">policies </w:t>
      </w:r>
      <w:r w:rsidR="006C00F0" w:rsidRPr="00E35CCB">
        <w:rPr>
          <w:rFonts w:ascii="Times New Roman" w:eastAsia="Times New Roman" w:hAnsi="Times New Roman" w:cs="Times New Roman"/>
        </w:rPr>
        <w:t>of</w:t>
      </w:r>
      <w:r w:rsidRPr="00E35CCB">
        <w:rPr>
          <w:rFonts w:ascii="Times New Roman" w:eastAsia="Times New Roman" w:hAnsi="Times New Roman" w:cs="Times New Roman"/>
        </w:rPr>
        <w:t xml:space="preserve"> wild populations</w:t>
      </w:r>
      <w:r w:rsidR="00C36248">
        <w:rPr>
          <w:rFonts w:ascii="Times New Roman" w:eastAsia="Times New Roman" w:hAnsi="Times New Roman" w:cs="Times New Roman"/>
        </w:rPr>
        <w:t>.</w:t>
      </w:r>
      <w:r w:rsidR="009226E8"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{"citationItems":[{"id":"ITEM-1","itemData":{"DOI":"10.1016/j.jgg.2011.02.003.The","author":[{"dropping-particle":"","family":"Zhang","given":"Jun","non-dropping-particle":"","parse-names":false,"suffix":""}],"container-title":"J Genet Genomics","id":"ITEM-1","issue":"3","issued":{"date-parts":[["2011"]]},"page":"95-109","title":"The impact of next-generation on genomics","type":"article-journal","volume":"38"},"uris":["http://www.mendeley.com/documents/?uuid=03719b87-2505-44c1-a567-c16dd038f46a"]}],"mendeley":{"formattedCitation":"&lt;sup&gt;1&lt;/sup&gt;","plainTextFormattedCitation":"1","previouslyFormattedCitation":"&lt;sup&gt;1&lt;/sup&gt;"},"properties":{"noteIndex":0},"schema":"https://github.com/citation-style-language/schema/raw/master/csl-citation.json"}</w:instrText>
      </w:r>
      <w:r w:rsidR="009226E8"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1</w:t>
      </w:r>
      <w:r w:rsidR="009226E8"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Despite numerous studies on the distribution, ecology, physiology and population dynamics of wild delta smelt, genetic findings have produced vague results in elucidating the demography of the species</w:t>
      </w:r>
      <w:r w:rsidR="00C36248">
        <w:rPr>
          <w:rFonts w:ascii="Times New Roman" w:eastAsia="Times New Roman" w:hAnsi="Times New Roman" w:cs="Times New Roman"/>
        </w:rPr>
        <w:t>.</w:t>
      </w:r>
      <w:r w:rsidR="009226E8"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{"citationItems":[{"id":"ITEM-1","itemData":{"DOI":"10.15447/sfews.2017v15iss2art5","ISSN":"15462366","abstract":"Delta Smelt have collapsed demographically, but little is known about their current genetic status. We used 12 microsatellite loci to evaluate two measures of the effective population size (Ne) of Delta Smelt. Ne is a measure that offers predictive power regarding the loss of genetic diversity in a population over time, as well as the short and long-term genetic risks for loss of fitness resulting from low diversity. We found that the Ne of Delta Smelt is too high to accurately estimate with the data (upper 95% confidence intervals were infinity), but the lower confidence intervals of NeLD (linkage disequilibrium Ne) were above 1,000, while some of the lower confidence intervals of NeV (variance Ne) were below 1,000. We interpret this to indicate that Delta Smelt are not declining because of genetic factors, and are not at immediate risk of losing genetic diversity from low Ne. We caution that these estimates are from a short- term data set estimated from a population that has already been declining for decades, and that it is likely that Delta Smelt have lost diversity. We suggest continuing efforts to maximize abundance to prevent further loss of genetic diversity.","author":[{"dropping-particle":"","family":"Finger","given":"Amanda J.","non-dropping-particle":"","parse-names":false,"suffix":""},{"dropping-particle":"","family":"Schumer","given":"Gregg","non-dropping-particle":"","parse-names":false,"suffix":""},{"dropping-particle":"","family":"Benjamin","given":"Alyssa","non-dropping-particle":"","parse-names":false,"suffix":""},{"dropping-particle":"","family":"Blankenship","given":"Scott","non-dropping-particle":"","parse-names":false,"suffix":""}],"container-title":"San Francisco Estuary and Watershed Science","id":"ITEM-1","issue":"2","issued":{"date-parts":[["2017"]]},"title":"Evaluation and Interpretation of Genetic Effective Population Size of Delta Smelt from 2011–2014","type":"article-journal","volume":"15"},"uris":["http://www.mendeley.com/documents/?uuid=8a1fff3b-b484-4eba-a7c8-379c034ef16f"]},{"id":"ITEM-2","itemData":{"DOI":"10.1007/s10592-011-0240-y","ISBN":"1566-0621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Genetics","id":"ITEM-2","issue":"6","issued":{"date-parts":[["2011"]]},"page":"1421-1434","title":"Population genetics and conservation implications for the endangered delta smelt in the San Francisco Bay-Delta","type":"article-journal","volume":"12"},"uris":["http://www.mendeley.com/documents/?uuid=23e53af3-288d-48bc-b9a7-174ca5e00a87"]}],"mendeley":{"formattedCitation":"&lt;sup&gt;2,3&lt;/sup&gt;","plainTextFormattedCitation":"2,3","previouslyFormattedCitation":"&lt;sup&gt;2,3&lt;/sup&gt;"},"properties":{"noteIndex":0},"schema":"https://github.com/citation-style-language/schema/raw/master/csl-citation.json"}</w:instrText>
      </w:r>
      <w:r w:rsidR="009226E8"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2,3</w:t>
      </w:r>
      <w:r w:rsidR="009226E8"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w:t>
      </w:r>
      <w:r w:rsidR="006544A2">
        <w:rPr>
          <w:rFonts w:ascii="Times New Roman" w:eastAsia="Times New Roman" w:hAnsi="Times New Roman" w:cs="Times New Roman"/>
        </w:rPr>
        <w:t>My work</w:t>
      </w:r>
      <w:r w:rsidRPr="00E35CCB">
        <w:rPr>
          <w:rFonts w:ascii="Times New Roman" w:eastAsia="Times New Roman" w:hAnsi="Times New Roman" w:cs="Times New Roman"/>
        </w:rPr>
        <w:t xml:space="preserve"> aims to expand genetic resources for delta smelt by providing genomic management tools for this imperiled species</w:t>
      </w:r>
      <w:r w:rsidR="00CA1EC8">
        <w:rPr>
          <w:rFonts w:ascii="Times New Roman" w:eastAsia="Times New Roman" w:hAnsi="Times New Roman" w:cs="Times New Roman"/>
        </w:rPr>
        <w:t>. To do this, I propose the following:</w:t>
      </w:r>
    </w:p>
    <w:p w14:paraId="0192CBF8" w14:textId="77777777"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 </w:t>
      </w:r>
    </w:p>
    <w:p w14:paraId="77A7A0FD" w14:textId="758D2EBF" w:rsidR="00DA301E" w:rsidRDefault="009411BA" w:rsidP="009411BA">
      <w:pPr>
        <w:ind w:right="-270"/>
        <w:jc w:val="both"/>
        <w:rPr>
          <w:rFonts w:ascii="Times New Roman" w:eastAsia="Times New Roman" w:hAnsi="Times New Roman" w:cs="Times New Roman"/>
          <w:i/>
        </w:rPr>
      </w:pPr>
      <w:r>
        <w:rPr>
          <w:rFonts w:ascii="Times New Roman" w:eastAsia="Times New Roman" w:hAnsi="Times New Roman" w:cs="Times New Roman"/>
          <w:b/>
          <w:i/>
        </w:rPr>
        <w:t>AIM</w:t>
      </w:r>
      <w:r w:rsidR="007312B3" w:rsidRPr="00E35CCB">
        <w:rPr>
          <w:rFonts w:ascii="Times New Roman" w:eastAsia="Times New Roman" w:hAnsi="Times New Roman" w:cs="Times New Roman"/>
          <w:b/>
          <w:i/>
        </w:rPr>
        <w:t xml:space="preserve"> #1: </w:t>
      </w:r>
      <w:r w:rsidR="007312B3" w:rsidRPr="00E35CCB">
        <w:rPr>
          <w:rFonts w:ascii="Times New Roman" w:eastAsia="Times New Roman" w:hAnsi="Times New Roman" w:cs="Times New Roman"/>
          <w:i/>
        </w:rPr>
        <w:t>Produce a high-quality reference genome for delta smelt.</w:t>
      </w:r>
    </w:p>
    <w:p w14:paraId="061F7C91" w14:textId="77777777" w:rsidR="009411BA" w:rsidRPr="00E35CCB" w:rsidRDefault="009411BA" w:rsidP="009411BA">
      <w:pPr>
        <w:ind w:right="-270"/>
        <w:jc w:val="both"/>
        <w:rPr>
          <w:rFonts w:ascii="Times New Roman" w:eastAsia="Times New Roman" w:hAnsi="Times New Roman" w:cs="Times New Roman"/>
        </w:rPr>
      </w:pPr>
    </w:p>
    <w:p w14:paraId="74D80E13" w14:textId="7DBC9105" w:rsidR="00DA301E" w:rsidRDefault="009411BA" w:rsidP="009411BA">
      <w:pPr>
        <w:ind w:right="-270"/>
        <w:jc w:val="both"/>
        <w:rPr>
          <w:rFonts w:ascii="Times New Roman" w:eastAsia="Times New Roman" w:hAnsi="Times New Roman" w:cs="Times New Roman"/>
          <w:i/>
        </w:rPr>
      </w:pPr>
      <w:r>
        <w:rPr>
          <w:rFonts w:ascii="Times New Roman" w:eastAsia="Times New Roman" w:hAnsi="Times New Roman" w:cs="Times New Roman"/>
          <w:b/>
          <w:i/>
        </w:rPr>
        <w:t>AIM</w:t>
      </w:r>
      <w:r w:rsidR="007312B3" w:rsidRPr="00E35CCB">
        <w:rPr>
          <w:rFonts w:ascii="Times New Roman" w:eastAsia="Times New Roman" w:hAnsi="Times New Roman" w:cs="Times New Roman"/>
          <w:b/>
          <w:i/>
        </w:rPr>
        <w:t xml:space="preserve"> #2: </w:t>
      </w:r>
      <w:r w:rsidR="007312B3" w:rsidRPr="00E35CCB">
        <w:rPr>
          <w:rFonts w:ascii="Times New Roman" w:eastAsia="Times New Roman" w:hAnsi="Times New Roman" w:cs="Times New Roman"/>
          <w:i/>
        </w:rPr>
        <w:t xml:space="preserve">Develop a reproducible framework to infer </w:t>
      </w:r>
      <w:r w:rsidR="005807EB">
        <w:rPr>
          <w:rFonts w:ascii="Times New Roman" w:eastAsia="Times New Roman" w:hAnsi="Times New Roman" w:cs="Times New Roman"/>
          <w:i/>
        </w:rPr>
        <w:t>contempor</w:t>
      </w:r>
      <w:r w:rsidR="00CF5161">
        <w:rPr>
          <w:rFonts w:ascii="Times New Roman" w:eastAsia="Times New Roman" w:hAnsi="Times New Roman" w:cs="Times New Roman"/>
          <w:i/>
        </w:rPr>
        <w:t>ary</w:t>
      </w:r>
      <w:r w:rsidR="007312B3" w:rsidRPr="00E35CCB">
        <w:rPr>
          <w:rFonts w:ascii="Times New Roman" w:eastAsia="Times New Roman" w:hAnsi="Times New Roman" w:cs="Times New Roman"/>
          <w:i/>
        </w:rPr>
        <w:t xml:space="preserve"> effective population size</w:t>
      </w:r>
      <w:r w:rsidR="00CF5161">
        <w:rPr>
          <w:rFonts w:ascii="Times New Roman" w:eastAsia="Times New Roman" w:hAnsi="Times New Roman" w:cs="Times New Roman"/>
          <w:i/>
        </w:rPr>
        <w:t>s</w:t>
      </w:r>
      <w:r w:rsidR="007312B3" w:rsidRPr="00E35CCB">
        <w:rPr>
          <w:rFonts w:ascii="Times New Roman" w:eastAsia="Times New Roman" w:hAnsi="Times New Roman" w:cs="Times New Roman"/>
          <w:i/>
        </w:rPr>
        <w:t xml:space="preserve"> of delta smelt.</w:t>
      </w:r>
    </w:p>
    <w:p w14:paraId="24AB7627" w14:textId="77777777" w:rsidR="009411BA" w:rsidRPr="00E35CCB" w:rsidRDefault="009411BA" w:rsidP="009411BA">
      <w:pPr>
        <w:ind w:right="-270"/>
        <w:jc w:val="both"/>
        <w:rPr>
          <w:rFonts w:ascii="Times New Roman" w:eastAsia="Times New Roman" w:hAnsi="Times New Roman" w:cs="Times New Roman"/>
          <w:i/>
        </w:rPr>
      </w:pPr>
    </w:p>
    <w:p w14:paraId="1FA0EBF6" w14:textId="56C3BD79" w:rsidR="00DA301E" w:rsidRPr="00E35CCB" w:rsidRDefault="007312B3" w:rsidP="009411BA">
      <w:pPr>
        <w:ind w:right="-270"/>
        <w:jc w:val="both"/>
        <w:rPr>
          <w:rFonts w:ascii="Times New Roman" w:eastAsia="Times New Roman" w:hAnsi="Times New Roman" w:cs="Times New Roman"/>
          <w:i/>
        </w:rPr>
      </w:pPr>
      <w:r w:rsidRPr="00E35CCB">
        <w:rPr>
          <w:rFonts w:ascii="Times New Roman" w:eastAsia="Times New Roman" w:hAnsi="Times New Roman" w:cs="Times New Roman"/>
          <w:b/>
          <w:i/>
        </w:rPr>
        <w:t>A</w:t>
      </w:r>
      <w:r w:rsidR="009411BA">
        <w:rPr>
          <w:rFonts w:ascii="Times New Roman" w:eastAsia="Times New Roman" w:hAnsi="Times New Roman" w:cs="Times New Roman"/>
          <w:b/>
          <w:i/>
        </w:rPr>
        <w:t>IM</w:t>
      </w:r>
      <w:r w:rsidRPr="00E35CCB">
        <w:rPr>
          <w:rFonts w:ascii="Times New Roman" w:eastAsia="Times New Roman" w:hAnsi="Times New Roman" w:cs="Times New Roman"/>
          <w:b/>
          <w:i/>
        </w:rPr>
        <w:t xml:space="preserve"> #3: </w:t>
      </w:r>
      <w:r w:rsidRPr="00E35CCB">
        <w:rPr>
          <w:rFonts w:ascii="Times New Roman" w:eastAsia="Times New Roman" w:hAnsi="Times New Roman" w:cs="Times New Roman"/>
          <w:i/>
        </w:rPr>
        <w:t>Discover sex-specific markers for sex identification of delta smelt.</w:t>
      </w:r>
    </w:p>
    <w:p w14:paraId="7B88F5FC" w14:textId="77777777" w:rsidR="00DA301E" w:rsidRPr="00E35CCB" w:rsidRDefault="00DA301E" w:rsidP="00B4213F">
      <w:pPr>
        <w:ind w:left="-270" w:right="-270"/>
        <w:jc w:val="both"/>
        <w:rPr>
          <w:rFonts w:ascii="Times New Roman" w:eastAsia="Times New Roman" w:hAnsi="Times New Roman" w:cs="Times New Roman"/>
        </w:rPr>
      </w:pPr>
    </w:p>
    <w:p w14:paraId="6D40F3A2" w14:textId="77777777" w:rsidR="009411BA" w:rsidRDefault="009411BA">
      <w:pPr>
        <w:rPr>
          <w:rFonts w:ascii="Times New Roman" w:eastAsia="Times New Roman" w:hAnsi="Times New Roman" w:cs="Times New Roman"/>
          <w:b/>
        </w:rPr>
      </w:pPr>
      <w:r>
        <w:rPr>
          <w:rFonts w:ascii="Times New Roman" w:eastAsia="Times New Roman" w:hAnsi="Times New Roman" w:cs="Times New Roman"/>
          <w:b/>
        </w:rPr>
        <w:br w:type="page"/>
      </w:r>
    </w:p>
    <w:p w14:paraId="5051B889" w14:textId="35624DB1" w:rsidR="00DA301E" w:rsidRPr="009411BA" w:rsidRDefault="007312B3" w:rsidP="009411BA">
      <w:pPr>
        <w:spacing w:line="360" w:lineRule="auto"/>
        <w:ind w:left="-270" w:right="-270"/>
        <w:jc w:val="both"/>
        <w:rPr>
          <w:rFonts w:ascii="Times New Roman" w:eastAsia="Times New Roman" w:hAnsi="Times New Roman" w:cs="Times New Roman"/>
          <w:b/>
          <w:sz w:val="24"/>
          <w:szCs w:val="24"/>
          <w:u w:val="single"/>
        </w:rPr>
      </w:pPr>
      <w:r w:rsidRPr="009411BA">
        <w:rPr>
          <w:rFonts w:ascii="Times New Roman" w:eastAsia="Times New Roman" w:hAnsi="Times New Roman" w:cs="Times New Roman"/>
          <w:b/>
          <w:sz w:val="24"/>
          <w:szCs w:val="24"/>
          <w:u w:val="single"/>
        </w:rPr>
        <w:lastRenderedPageBreak/>
        <w:t>Background</w:t>
      </w:r>
    </w:p>
    <w:p w14:paraId="6A214080" w14:textId="2597E4C2"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In </w:t>
      </w:r>
      <w:r w:rsidR="006C00F0" w:rsidRPr="00E35CCB">
        <w:rPr>
          <w:rFonts w:ascii="Times New Roman" w:eastAsia="Times New Roman" w:hAnsi="Times New Roman" w:cs="Times New Roman"/>
        </w:rPr>
        <w:t>the San Francisco Estuary (SFE)</w:t>
      </w:r>
      <w:r w:rsidRPr="00E35CCB">
        <w:rPr>
          <w:rFonts w:ascii="Times New Roman" w:eastAsia="Times New Roman" w:hAnsi="Times New Roman" w:cs="Times New Roman"/>
        </w:rPr>
        <w:t>, many native pelagic fishes that were once abundant, such as delta smelt, have undergone a broad decline in population size</w:t>
      </w:r>
      <w:r w:rsidR="00C36248">
        <w:rPr>
          <w:rFonts w:ascii="Times New Roman" w:eastAsia="Times New Roman" w:hAnsi="Times New Roman" w:cs="Times New Roman"/>
        </w:rPr>
        <w:t>.</w:t>
      </w:r>
      <w:r w:rsidR="009226E8"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{"citationItems":[{"id":"ITEM-1","itemData":{"author":[{"dropping-particle":"","family":"Moyle","given":"Peter B.","non-dropping-particle":"","parse-names":false,"suffix":""}],"edition":"2nd","id":"ITEM-1","issued":{"date-parts":[["2002"]]},"publisher":"University of California Press","publisher-place":"Berkeley, CA","title":"Inland Fishes of California","type":"book"},"uris":["http://www.mendeley.com/documents/?uuid=8a207c06-c2f2-478e-9d4c-46bac4bc2a70"]}],"mendeley":{"formattedCitation":"&lt;sup&gt;4&lt;/sup&gt;","plainTextFormattedCitation":"4","previouslyFormattedCitation":"&lt;sup&gt;4&lt;/sup&gt;"},"properties":{"noteIndex":0},"schema":"https://github.com/citation-style-language/schema/raw/master/csl-citation.json"}</w:instrText>
      </w:r>
      <w:r w:rsidR="009226E8"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4</w:t>
      </w:r>
      <w:r w:rsidR="009226E8"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The SFE is a dynamic ecosystem encompassing 1,000 square miles of open water and wetlands in Northern California (Figure 1). Since the Sacramento-San Joaquin Delta (the Delta) became the primary distribution hub of California’s water supply in the 1960’s, the SFE has been heavily altered by anthropogenic activity. Agriculture, water delivery, shipping, and urban development have spurred changes in the way water is distributed throughout the estuarine environment. </w:t>
      </w:r>
    </w:p>
    <w:p w14:paraId="18B45B73" w14:textId="77777777" w:rsidR="00DA301E" w:rsidRPr="00E35CCB" w:rsidRDefault="007312B3" w:rsidP="00B4213F">
      <w:pPr>
        <w:ind w:left="-270" w:right="-270"/>
        <w:jc w:val="both"/>
        <w:rPr>
          <w:rFonts w:ascii="Times New Roman" w:eastAsia="Times New Roman" w:hAnsi="Times New Roman" w:cs="Times New Roman"/>
          <w:i/>
        </w:rPr>
      </w:pPr>
      <w:r w:rsidRPr="00E35CCB">
        <w:rPr>
          <w:rFonts w:ascii="Times New Roman" w:eastAsia="Times New Roman" w:hAnsi="Times New Roman" w:cs="Times New Roman"/>
          <w:i/>
        </w:rPr>
        <w:t xml:space="preserve"> </w:t>
      </w:r>
    </w:p>
    <w:p w14:paraId="3B5D4F2F" w14:textId="54920227" w:rsidR="005E0C98" w:rsidRDefault="00124320" w:rsidP="00B4213F">
      <w:pPr>
        <w:ind w:left="-270" w:right="-270"/>
        <w:jc w:val="both"/>
        <w:rPr>
          <w:rFonts w:ascii="Times New Roman" w:eastAsia="Times New Roman" w:hAnsi="Times New Roman" w:cs="Times New Roman"/>
        </w:rPr>
      </w:pPr>
      <w:r>
        <w:rPr>
          <w:rFonts w:ascii="Times New Roman" w:eastAsia="Times New Roman" w:hAnsi="Times New Roman" w:cs="Times New Roman"/>
        </w:rPr>
        <w:t>Delta smelt</w:t>
      </w:r>
      <w:r w:rsidR="007312B3" w:rsidRPr="00E35CCB">
        <w:rPr>
          <w:rFonts w:ascii="Times New Roman" w:eastAsia="Times New Roman" w:hAnsi="Times New Roman" w:cs="Times New Roman"/>
        </w:rPr>
        <w:t xml:space="preserve"> is a native species to the SFE that has undergone a population collapse associated with drought and anthropogenic effects</w:t>
      </w:r>
      <w:r w:rsidR="006C00F0" w:rsidRPr="00E35CCB">
        <w:rPr>
          <w:rFonts w:ascii="Times New Roman" w:eastAsia="Times New Roman" w:hAnsi="Times New Roman" w:cs="Times New Roman"/>
        </w:rPr>
        <w:t>. It is now believed</w:t>
      </w:r>
      <w:r w:rsidR="007312B3" w:rsidRPr="00E35CCB">
        <w:rPr>
          <w:rFonts w:ascii="Times New Roman" w:eastAsia="Times New Roman" w:hAnsi="Times New Roman" w:cs="Times New Roman"/>
        </w:rPr>
        <w:t xml:space="preserve"> stochastic processes may push the species to extinction</w:t>
      </w:r>
      <w:r w:rsidR="00C36248">
        <w:rPr>
          <w:rFonts w:ascii="Times New Roman" w:eastAsia="Times New Roman" w:hAnsi="Times New Roman" w:cs="Times New Roman"/>
        </w:rPr>
        <w:t>.</w:t>
      </w:r>
      <w:r w:rsidR="009226E8"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Bay-Delta","type":"article-journal","volume":"12"},"uris":["http://www.mendeley.com/documents/?uuid=23e53af3-288d-48bc-b9a7-174ca5e00a87"]},{"id":"ITEM-2","itemData":{"abstract":"This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uris":["http://www.mendeley.com/documents/?uuid=ff1406d1-77ea-4ab5-a57b-d2db2ba74817"]}],"mendeley":{"formattedCitation":"&lt;sup&gt;3,5&lt;/sup&gt;","plainTextFormattedCitation":"3,5","previouslyFormattedCitation":"&lt;sup&gt;3,5&lt;/sup&gt;"},"properties":{"noteIndex":0},"schema":"https://github.com/citation-style-language/schema/raw/master/csl-citation.json"}</w:instrText>
      </w:r>
      <w:r w:rsidR="009226E8"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3,5</w:t>
      </w:r>
      <w:r w:rsidR="009226E8" w:rsidRPr="00E35CCB">
        <w:rPr>
          <w:rFonts w:ascii="Times New Roman" w:eastAsia="Times New Roman" w:hAnsi="Times New Roman" w:cs="Times New Roman"/>
        </w:rPr>
        <w:fldChar w:fldCharType="end"/>
      </w:r>
      <w:r w:rsidR="007312B3" w:rsidRPr="00E35CCB">
        <w:rPr>
          <w:rFonts w:ascii="Times New Roman" w:eastAsia="Times New Roman" w:hAnsi="Times New Roman" w:cs="Times New Roman"/>
        </w:rPr>
        <w:t xml:space="preserve"> They are a small (6 - 9cm), translucent, diadromous species that migrates between fresh and saline water and reproduces annually</w:t>
      </w:r>
      <w:r>
        <w:rPr>
          <w:rFonts w:ascii="Times New Roman" w:eastAsia="Times New Roman" w:hAnsi="Times New Roman" w:cs="Times New Roman"/>
        </w:rPr>
        <w:t>.</w:t>
      </w:r>
      <w:r w:rsidR="009226E8"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uris":["http://www.mendeley.com/documents/?uuid=7cfa2080-1e46-41fc-a267-2405108047c2"]}],"mendeley":{"formattedCitation":"&lt;sup&gt;6&lt;/sup&gt;","plainTextFormattedCitation":"6","previouslyFormattedCitation":"&lt;sup&gt;6&lt;/sup&gt;"},"properties":{"noteIndex":0},"schema":"https://github.com/citation-style-language/schema/raw/master/csl-citation.json"}</w:instrText>
      </w:r>
      <w:r w:rsidR="009226E8"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6</w:t>
      </w:r>
      <w:r w:rsidR="009226E8" w:rsidRPr="00E35CCB">
        <w:rPr>
          <w:rFonts w:ascii="Times New Roman" w:eastAsia="Times New Roman" w:hAnsi="Times New Roman" w:cs="Times New Roman"/>
        </w:rPr>
        <w:fldChar w:fldCharType="end"/>
      </w:r>
      <w:r w:rsidR="007312B3" w:rsidRPr="00E35CCB">
        <w:rPr>
          <w:rFonts w:ascii="Times New Roman" w:eastAsia="Times New Roman" w:hAnsi="Times New Roman" w:cs="Times New Roman"/>
        </w:rPr>
        <w:t xml:space="preserve"> Delta smelt are part of the </w:t>
      </w:r>
      <w:proofErr w:type="spellStart"/>
      <w:r w:rsidR="007312B3" w:rsidRPr="00E35CCB">
        <w:rPr>
          <w:rFonts w:ascii="Times New Roman" w:eastAsia="Times New Roman" w:hAnsi="Times New Roman" w:cs="Times New Roman"/>
        </w:rPr>
        <w:t>Osmerid</w:t>
      </w:r>
      <w:r>
        <w:rPr>
          <w:rFonts w:ascii="Times New Roman" w:eastAsia="Times New Roman" w:hAnsi="Times New Roman" w:cs="Times New Roman"/>
        </w:rPr>
        <w:t>ae</w:t>
      </w:r>
      <w:proofErr w:type="spellEnd"/>
      <w:r w:rsidR="007312B3" w:rsidRPr="00E35CCB">
        <w:rPr>
          <w:rFonts w:ascii="Times New Roman" w:eastAsia="Times New Roman" w:hAnsi="Times New Roman" w:cs="Times New Roman"/>
        </w:rPr>
        <w:t xml:space="preserve"> family which represent a prosperous food source for human consumption in Japan, Europe, and North America</w:t>
      </w:r>
      <w:r>
        <w:rPr>
          <w:rFonts w:ascii="Times New Roman" w:eastAsia="Times New Roman" w:hAnsi="Times New Roman" w:cs="Times New Roman"/>
        </w:rPr>
        <w:t>,</w:t>
      </w:r>
      <w:r w:rsidR="007312B3" w:rsidRPr="00E35CCB">
        <w:rPr>
          <w:rFonts w:ascii="Times New Roman" w:eastAsia="Times New Roman" w:hAnsi="Times New Roman" w:cs="Times New Roman"/>
        </w:rPr>
        <w:t xml:space="preserve"> and have declining populations worldwide</w:t>
      </w:r>
      <w:r w:rsidR="00C36248">
        <w:rPr>
          <w:rFonts w:ascii="Times New Roman" w:eastAsia="Times New Roman" w:hAnsi="Times New Roman" w:cs="Times New Roman"/>
        </w:rPr>
        <w:t>.</w:t>
      </w:r>
      <w:r w:rsidR="009226E8"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{"citationItems":[{"id":"ITEM-1","itemData":{"author":[{"dropping-particle":"","family":"McAllister","given":"D. E.","non-dropping-particle":"","parse-names":false,"suffix":""}],"id":"ITEM-1","issued":{"date-parts":[["1963"]]},"number-of-pages":"53","publisher":"National Museum of Canada, Biological Series 191","title":"Revision of the smelt family, Osmeridae.","type":"book"},"uris":["http://www.mendeley.com/documents/?uuid=154a621a-a2e3-443b-849e-2593b42c5c2d"]},{"id":"ITEM-2","itemData":{"abstract":"This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Estuary","type":"article-journal","volume":"14"},"uris":["http://www.mendeley.com/documents/?uuid=ff1406d1-77ea-4ab5-a57b-d2db2ba74817"]},{"id":"ITEM-3","itemData":{"DOI":"10.1577/T06-148.1","ISSN":"0002-8487","abstract":"The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uris":["http://www.mendeley.com/documents/?uuid=757f5833-fa11-466a-b871-160ad1fface1"]}],"mendeley":{"formattedCitation":"&lt;sup&gt;5,7,8&lt;/sup&gt;","plainTextFormattedCitation":"5,7,8","previouslyFormattedCitation":"&lt;sup&gt;5,7,8&lt;/sup&gt;"},"properties":{"noteIndex":0},"schema":"https://github.com/citation-style-language/schema/raw/master/csl-citation.json"}</w:instrText>
      </w:r>
      <w:r w:rsidR="009226E8"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5,7,8</w:t>
      </w:r>
      <w:r w:rsidR="009226E8" w:rsidRPr="00E35CCB">
        <w:rPr>
          <w:rFonts w:ascii="Times New Roman" w:eastAsia="Times New Roman" w:hAnsi="Times New Roman" w:cs="Times New Roman"/>
        </w:rPr>
        <w:fldChar w:fldCharType="end"/>
      </w:r>
      <w:r w:rsidR="007312B3" w:rsidRPr="00E35CCB">
        <w:rPr>
          <w:rFonts w:ascii="Times New Roman" w:eastAsia="Times New Roman" w:hAnsi="Times New Roman" w:cs="Times New Roman"/>
        </w:rPr>
        <w:t xml:space="preserve"> Because of their annual life cycle and rapid response to conditions of their ecosystem, delta smelt are considered an indicator of the overall health of the </w:t>
      </w:r>
      <w:r>
        <w:rPr>
          <w:rFonts w:ascii="Times New Roman" w:eastAsia="Times New Roman" w:hAnsi="Times New Roman" w:cs="Times New Roman"/>
        </w:rPr>
        <w:t>SFE</w:t>
      </w:r>
      <w:r w:rsidR="007312B3" w:rsidRPr="00E35CCB">
        <w:rPr>
          <w:rFonts w:ascii="Times New Roman" w:eastAsia="Times New Roman" w:hAnsi="Times New Roman" w:cs="Times New Roman"/>
        </w:rPr>
        <w:t xml:space="preserve"> ecosystem. Once abundant and widely distributed throughout the SFE, the delta smelt population has been declining since the 1980s</w:t>
      </w:r>
      <w:r w:rsidR="00C36248">
        <w:rPr>
          <w:rFonts w:ascii="Times New Roman" w:eastAsia="Times New Roman" w:hAnsi="Times New Roman" w:cs="Times New Roman"/>
        </w:rPr>
        <w:t>.</w:t>
      </w:r>
      <w:r w:rsidR="009226E8"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uris":["http://www.mendeley.com/documents/?uuid=b174141a-6f6e-47bf-9926-35120a427171"]}],"mendeley":{"formattedCitation":"&lt;sup&gt;9&lt;/sup&gt;","plainTextFormattedCitation":"9","previouslyFormattedCitation":"&lt;sup&gt;9&lt;/sup&gt;"},"properties":{"noteIndex":0},"schema":"https://github.com/citation-style-language/schema/raw/master/csl-citation.json"}</w:instrText>
      </w:r>
      <w:r w:rsidR="009226E8"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9</w:t>
      </w:r>
      <w:r w:rsidR="009226E8" w:rsidRPr="00E35CCB">
        <w:rPr>
          <w:rFonts w:ascii="Times New Roman" w:eastAsia="Times New Roman" w:hAnsi="Times New Roman" w:cs="Times New Roman"/>
        </w:rPr>
        <w:fldChar w:fldCharType="end"/>
      </w:r>
      <w:r w:rsidR="007312B3" w:rsidRPr="00E35CCB">
        <w:rPr>
          <w:rFonts w:ascii="Times New Roman" w:eastAsia="Times New Roman" w:hAnsi="Times New Roman" w:cs="Times New Roman"/>
        </w:rPr>
        <w:t xml:space="preserve"> </w:t>
      </w:r>
      <w:r w:rsidR="005E0C98">
        <w:rPr>
          <w:rFonts w:ascii="Times New Roman" w:eastAsia="Times New Roman" w:hAnsi="Times New Roman" w:cs="Times New Roman"/>
        </w:rPr>
        <w:t xml:space="preserve">Delta smelt have been listed as </w:t>
      </w:r>
      <w:r w:rsidR="007312B3" w:rsidRPr="00E35CCB">
        <w:rPr>
          <w:rFonts w:ascii="Times New Roman" w:eastAsia="Times New Roman" w:hAnsi="Times New Roman" w:cs="Times New Roman"/>
        </w:rPr>
        <w:t xml:space="preserve">threatened under the Federal Endangered Species Act (ESA) </w:t>
      </w:r>
      <w:r w:rsidR="005E0C98">
        <w:rPr>
          <w:rFonts w:ascii="Times New Roman" w:eastAsia="Times New Roman" w:hAnsi="Times New Roman" w:cs="Times New Roman"/>
        </w:rPr>
        <w:t>since</w:t>
      </w:r>
      <w:r w:rsidR="007312B3" w:rsidRPr="00E35CCB">
        <w:rPr>
          <w:rFonts w:ascii="Times New Roman" w:eastAsia="Times New Roman" w:hAnsi="Times New Roman" w:cs="Times New Roman"/>
        </w:rPr>
        <w:t xml:space="preserve"> 1993 and endangered under the California ESA </w:t>
      </w:r>
      <w:r w:rsidR="005E0C98">
        <w:rPr>
          <w:rFonts w:ascii="Times New Roman" w:eastAsia="Times New Roman" w:hAnsi="Times New Roman" w:cs="Times New Roman"/>
        </w:rPr>
        <w:t>since</w:t>
      </w:r>
      <w:r w:rsidR="007312B3" w:rsidRPr="00E35CCB">
        <w:rPr>
          <w:rFonts w:ascii="Times New Roman" w:eastAsia="Times New Roman" w:hAnsi="Times New Roman" w:cs="Times New Roman"/>
        </w:rPr>
        <w:t xml:space="preserve"> 2009. As a result of their continued decline, resource management agencies actively monitor abundance in the wild population. </w:t>
      </w:r>
    </w:p>
    <w:p w14:paraId="5675D691" w14:textId="77777777" w:rsidR="005E0C98" w:rsidRDefault="005E0C98" w:rsidP="00B4213F">
      <w:pPr>
        <w:ind w:left="-270" w:right="-270"/>
        <w:jc w:val="both"/>
        <w:rPr>
          <w:rFonts w:ascii="Times New Roman" w:eastAsia="Times New Roman" w:hAnsi="Times New Roman" w:cs="Times New Roman"/>
        </w:rPr>
      </w:pPr>
    </w:p>
    <w:p w14:paraId="22B10DF5" w14:textId="6A5FE9A0" w:rsidR="00093775"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Currently, agencies estimate local abundance based on the number of fish captured</w:t>
      </w:r>
      <w:r w:rsidR="00093775">
        <w:rPr>
          <w:rFonts w:ascii="Times New Roman" w:eastAsia="Times New Roman" w:hAnsi="Times New Roman" w:cs="Times New Roman"/>
        </w:rPr>
        <w:t xml:space="preserve"> </w:t>
      </w:r>
      <w:r w:rsidRPr="00E35CCB">
        <w:rPr>
          <w:rFonts w:ascii="Times New Roman" w:eastAsia="Times New Roman" w:hAnsi="Times New Roman" w:cs="Times New Roman"/>
        </w:rPr>
        <w:t>in targeted surveys throughout the SFE</w:t>
      </w:r>
      <w:r w:rsidR="00C36248">
        <w:rPr>
          <w:rFonts w:ascii="Times New Roman" w:eastAsia="Times New Roman" w:hAnsi="Times New Roman" w:cs="Times New Roman"/>
        </w:rPr>
        <w:t>.</w:t>
      </w:r>
      <w:r w:rsidR="009226E8"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{"citationItems":[{"id":"ITEM-1","itemData":{"author":[{"dropping-particle":"","family":"Newman","given":"Ken B","non-dropping-particle":"","parse-names":false,"suffix":""},{"dropping-particle":"","family":"Mitchell","given":"Lara","non-dropping-particle":"","parse-names":false,"suffix":""},{"dropping-particle":"","family":"Barnard","given":"Denise","non-dropping-particle":"","parse-names":false,"suffix":""}],"id":"ITEM-1","issued":{"date-parts":[["2017"]]},"number-of-pages":"1-23","title":"Summary of Enhanced Delta Smelt Monitoring for LOBO Independent Review Panel","type":"report"},"uris":["http://www.mendeley.com/documents/?uuid=f5c2b6bf-c373-48cd-8b2d-5ecc7e00a671"]},{"id":"ITEM-2","itemData":{"abstract":"A sample design-based procedure for estimating pre- adult and adult delta smelt abundance is described. Using data from midwater trawl surveys taken dur- ing the months of September, October, November, and December for the years 1990 through 2006 and estimates of size selectivity of the gear from a cov- ered cod-end experiment, stratified random sample ratio estimates of delta smelt abundance were made per month. The estimation procedure is arguably an improvement over the dimensionless delta smelt indices that have been used historically in that (1) the volume sampled is used in a manner that leads to directly interpretable numbers and (2) standard errors are easily calculated. The estimates are quite imprecise, i.e., coefficients of variation in the range of 100% occurred. The point estimates are highly cor- related with the monthly indices, and conclusions on abundance declines are quite similar. However, both the estimates and indices may suffer from selection biases if the trawl samples are not representative of the true densities. Future work is needed in at least three areas: (1) gathering additional information to determine the validity of assumptions made, in par- ticular determining the possible degree of selection bias; (2) developing procedures that utilize survey data gathered from earlier life history stages, such as larval surveys; (3) embedding a life-history model into the population estimation procedure.","author":[{"dropping-particle":"","family":"Newman","given":"Ken B","non-dropping-particle":"","parse-names":false,"suffix":""}],"container-title":"San Francisco Estuary and Watershed Science","id":"ITEM-2","issue":"3","issued":{"date-parts":[["2008"]]},"page":"1-18","title":"Sample design-based methodology for estimating delta smelt abundance","type":"article-journal","volume":"6"},"uris":["http://www.mendeley.com/documents/?uuid=4ad15e41-52e5-4cb7-8c35-7c2d58be76a9"]}],"mendeley":{"formattedCitation":"&lt;sup&gt;10,11&lt;/sup&gt;","plainTextFormattedCitation":"10,11","previouslyFormattedCitation":"&lt;sup&gt;10,11&lt;/sup&gt;"},"properties":{"noteIndex":0},"schema":"https://github.com/citation-style-language/schema/raw/master/csl-citation.json"}</w:instrText>
      </w:r>
      <w:r w:rsidR="009226E8"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10,11</w:t>
      </w:r>
      <w:r w:rsidR="009226E8" w:rsidRPr="00E35CCB">
        <w:rPr>
          <w:rFonts w:ascii="Times New Roman" w:eastAsia="Times New Roman" w:hAnsi="Times New Roman" w:cs="Times New Roman"/>
        </w:rPr>
        <w:fldChar w:fldCharType="end"/>
      </w:r>
      <w:r w:rsidR="005E0C98">
        <w:rPr>
          <w:rFonts w:ascii="Times New Roman" w:eastAsia="Times New Roman" w:hAnsi="Times New Roman" w:cs="Times New Roman"/>
        </w:rPr>
        <w:t xml:space="preserve"> </w:t>
      </w:r>
      <w:r w:rsidRPr="00E35CCB">
        <w:rPr>
          <w:rFonts w:ascii="Times New Roman" w:eastAsia="Times New Roman" w:hAnsi="Times New Roman" w:cs="Times New Roman"/>
        </w:rPr>
        <w:t xml:space="preserve">However, estimating the abundance of delta smelt provides neither insight into the genetic diversity nor key aspects of basic biological knowledge, such as sex ratios, which are important for understanding the population dynamics of </w:t>
      </w:r>
      <w:r w:rsidR="005E0C98">
        <w:rPr>
          <w:rFonts w:ascii="Times New Roman" w:eastAsia="Times New Roman" w:hAnsi="Times New Roman" w:cs="Times New Roman"/>
        </w:rPr>
        <w:t>a</w:t>
      </w:r>
      <w:r w:rsidRPr="00E35CCB">
        <w:rPr>
          <w:rFonts w:ascii="Times New Roman" w:eastAsia="Times New Roman" w:hAnsi="Times New Roman" w:cs="Times New Roman"/>
        </w:rPr>
        <w:t xml:space="preserve"> species. Two previous studies used microsatellite markers (</w:t>
      </w:r>
      <m:oMath>
        <m:r>
          <w:rPr>
            <w:rFonts w:ascii="Cambria Math" w:hAnsi="Cambria Math"/>
          </w:rPr>
          <m:t>μ</m:t>
        </m:r>
        <m:r>
          <w:rPr>
            <w:rFonts w:ascii="Times New Roman" w:eastAsia="Times New Roman" w:hAnsi="Times New Roman" w:cs="Times New Roman"/>
          </w:rPr>
          <m:t>sat</m:t>
        </m:r>
      </m:oMath>
      <w:r w:rsidRPr="00E35CCB">
        <w:rPr>
          <w:rFonts w:ascii="Times New Roman" w:eastAsia="Times New Roman" w:hAnsi="Times New Roman" w:cs="Times New Roman"/>
        </w:rPr>
        <w:t xml:space="preserve">) to estimate </w:t>
      </w:r>
      <w:r w:rsidR="00093775">
        <w:rPr>
          <w:rFonts w:ascii="Times New Roman" w:eastAsia="Times New Roman" w:hAnsi="Times New Roman" w:cs="Times New Roman"/>
        </w:rPr>
        <w:t>the contemporary</w:t>
      </w:r>
      <w:r w:rsidR="00EE1DC6">
        <w:rPr>
          <w:rFonts w:ascii="Times New Roman" w:eastAsia="Times New Roman" w:hAnsi="Times New Roman" w:cs="Times New Roman"/>
        </w:rPr>
        <w:t xml:space="preserve"> </w:t>
      </w:r>
      <w:r w:rsidRPr="00E35CCB">
        <w:rPr>
          <w:rFonts w:ascii="Times New Roman" w:eastAsia="Times New Roman" w:hAnsi="Times New Roman" w:cs="Times New Roman"/>
        </w:rPr>
        <w:t>effective population size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Pr="00E35CCB">
        <w:rPr>
          <w:rFonts w:ascii="Times New Roman" w:eastAsia="Times New Roman" w:hAnsi="Times New Roman" w:cs="Times New Roman"/>
        </w:rPr>
        <w:t>)</w:t>
      </w:r>
      <w:r w:rsidR="00EE1DC6">
        <w:rPr>
          <w:rFonts w:ascii="Times New Roman" w:eastAsia="Times New Roman" w:hAnsi="Times New Roman" w:cs="Times New Roman"/>
        </w:rPr>
        <w:t xml:space="preserve"> of</w:t>
      </w:r>
      <w:r w:rsidRPr="00E35CCB">
        <w:rPr>
          <w:rFonts w:ascii="Times New Roman" w:eastAsia="Times New Roman" w:hAnsi="Times New Roman" w:cs="Times New Roman"/>
        </w:rPr>
        <w:t xml:space="preserve"> delta smelt, but found</w:t>
      </w:r>
      <w:r w:rsidR="006C00F0" w:rsidRPr="00E35CCB">
        <w:rPr>
          <w:rFonts w:ascii="Times New Roman" w:eastAsia="Times New Roman" w:hAnsi="Times New Roman" w:cs="Times New Roman"/>
        </w:rPr>
        <w:t xml:space="preserve"> variable </w:t>
      </w:r>
      <w:r w:rsidRPr="00E35CCB">
        <w:rPr>
          <w:rFonts w:ascii="Times New Roman" w:eastAsia="Times New Roman" w:hAnsi="Times New Roman" w:cs="Times New Roman"/>
        </w:rPr>
        <w:t>results</w:t>
      </w:r>
      <w:r w:rsidR="00C36248">
        <w:rPr>
          <w:rFonts w:ascii="Times New Roman" w:eastAsia="Times New Roman" w:hAnsi="Times New Roman" w:cs="Times New Roman"/>
        </w:rPr>
        <w:t>.</w:t>
      </w:r>
      <w:r w:rsidR="009226E8"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{"citationItems":[{"id":"ITEM-1","itemData":{"DOI":"10.15447/sfews.2017v15iss2art5","ISSN":"15462366","abstract":"Delta Smelt have collapsed demographically, but little is known about their current genetic status. We used 12 microsatellite loci to evaluate two measures of the effective population size (Ne) of Delta Smelt. Ne is a measure that offers predictive power regarding the loss of genetic diversity in a population over time, as well as the short and long-term genetic risks for loss of fitness resulting from low diversity. We found that the Ne of Delta Smelt is too high to accurately estimate with the data (upper 95% confidence intervals were infinity), but the lower confidence intervals of NeLD (linkage disequilibrium Ne) were above 1,000, while some of the lower confidence intervals of NeV (variance Ne) were below 1,000. We interpret this to indicate that Delta Smelt are not declining because of genetic factors, and are not at immediate risk of losing genetic diversity from low Ne. We caution that these estimates are from a short- term data set estimated from a population that has already been declining for decades, and that it is likely that Delta Smelt have lost diversity. We suggest continuing efforts to maximize abundance to prevent further loss of genetic diversity.","author":[{"dropping-particle":"","family":"Finger","given":"Amanda J.","non-dropping-particle":"","parse-names":false,"suffix":""},{"dropping-particle":"","family":"Schumer","given":"Gregg","non-dropping-particle":"","parse-names":false,"suffix":""},{"dropping-particle":"","family":"Benjamin","given":"Alyssa","non-dropping-particle":"","parse-names":false,"suffix":""},{"dropping-particle":"","family":"Blankenship","given":"Scott","non-dropping-particle":"","parse-names":false,"suffix":""}],"container-title":"San Francisco Estuary and Watershed Science","id":"ITEM-1","issue":"2","issued":{"date-parts":[["2017"]]},"title":"Evaluation and Interpretation of Genetic Effective Population Size of Delta Smelt from 2011–2014","type":"article-journal","volume":"15"},"uris":["http://www.mendeley.com/documents/?uuid=8a1fff3b-b484-4eba-a7c8-379c034ef16f"]},{"id":"ITEM-2","itemData":{"DOI":"10.1007/s10592-011-0240-y","ISBN":"1566-0621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Genetics","id":"ITEM-2","issue":"6","issued":{"date-parts":[["2011"]]},"page":"1421-1434","title":"Population genetics and conservation implications for the endangered delta smelt in the San Francisco Bay-Delta","type":"article-journal","volume":"12"},"uris":["http://www.mendeley.com/documents/?uuid=23e53af3-288d-48bc-b9a7-174ca5e00a87"]}],"mendeley":{"formattedCitation":"&lt;sup&gt;2,3&lt;/sup&gt;","plainTextFormattedCitation":"2,3","previouslyFormattedCitation":"&lt;sup&gt;2,3&lt;/sup&gt;"},"properties":{"noteIndex":0},"schema":"https://github.com/citation-style-language/schema/raw/master/csl-citation.json"}</w:instrText>
      </w:r>
      <w:r w:rsidR="009226E8"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2,3</w:t>
      </w:r>
      <w:r w:rsidR="009226E8"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w:t>
      </w:r>
      <w:r w:rsidR="00093775">
        <w:rPr>
          <w:rFonts w:ascii="Times New Roman" w:eastAsia="Times New Roman" w:hAnsi="Times New Roman" w:cs="Times New Roman"/>
        </w:rPr>
        <w:t>NGS</w:t>
      </w:r>
      <w:r w:rsidRPr="00E35CCB">
        <w:rPr>
          <w:rFonts w:ascii="Times New Roman" w:eastAsia="Times New Roman" w:hAnsi="Times New Roman" w:cs="Times New Roman"/>
        </w:rPr>
        <w:t xml:space="preserve"> technology </w:t>
      </w:r>
      <w:r w:rsidR="00093775">
        <w:rPr>
          <w:rFonts w:ascii="Times New Roman" w:eastAsia="Times New Roman" w:hAnsi="Times New Roman" w:cs="Times New Roman"/>
        </w:rPr>
        <w:t>presents</w:t>
      </w:r>
      <w:r w:rsidRPr="00E35CCB">
        <w:rPr>
          <w:rFonts w:ascii="Times New Roman" w:eastAsia="Times New Roman" w:hAnsi="Times New Roman" w:cs="Times New Roman"/>
        </w:rPr>
        <w:t xml:space="preserve"> more power to make </w:t>
      </w:r>
      <w:r w:rsidR="00093775">
        <w:rPr>
          <w:rFonts w:ascii="Times New Roman" w:eastAsia="Times New Roman" w:hAnsi="Times New Roman" w:cs="Times New Roman"/>
        </w:rPr>
        <w:t>precise</w:t>
      </w:r>
      <w:r w:rsidRPr="00E35CCB">
        <w:rPr>
          <w:rFonts w:ascii="Times New Roman" w:eastAsia="Times New Roman" w:hAnsi="Times New Roman" w:cs="Times New Roman"/>
        </w:rPr>
        <w:t xml:space="preserve"> estimates by increasing the number of putatively neutral markers</w:t>
      </w:r>
      <w:r w:rsidR="00C36248">
        <w:rPr>
          <w:rFonts w:ascii="Times New Roman" w:eastAsia="Times New Roman" w:hAnsi="Times New Roman" w:cs="Times New Roman"/>
        </w:rPr>
        <w:t>.</w:t>
      </w:r>
      <w:r w:rsidR="009226E8"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{"citationItems":[{"id":"ITEM-1","itemData":{"DOI":"10.1111/j.1752-4571.2009.00104.x","ISBN":"1752-4571","ISSN":"17524563","PMID":"25567922","abstract":"Genetic methods are routinely used to estimate contemporary effective population size (Ne) in natural populations, but the vast majority of applications have used only the temporal (two-sample) method. We use simulated data to evaluate how highly polymorphic molecular markers affect precision and bias in the single-sample method based on linkage disequilibrium (LD). Results of this study are as follows: (1) Low-frequency alleles upwardly bias ^Ne, but a simple rule can reduce bias to &lt;about 10% without sacrificing much precision. (2) With datasets routinely available today (10–20 loci with 10 alleles; 50 individuals), precise estimates can be obtained for relatively small populations (Ne &lt; 200), and small populations are not likely to be mistaken for large ones. However, it is very difficult to obtain reliable estimates for large populations. (3) With ‘microsatellite’ data, the LD method has greater precision than the temporal method, unless the latter is based on samples taken many generations apart. Our results indicate the LD method has widespread applicability to conservation (which typically focuses on small populations) and the study of evolutionary processes in local populations. Considerable opportunity exists to extract more information about Ne in nature by wider use of single-sample estimators and by combining estimates from different methods.","author":[{"dropping-particle":"","family":"Waples","given":"Robin S.","non-dropping-particle":"","parse-names":false,"suffix":""},{"dropping-particle":"","family":"Do","given":"Chi","non-dropping-particle":"","parse-names":false,"suffix":""}],"container-title":"Evolutionary Applications","id":"ITEM-1","issue":"3","issued":{"date-parts":[["2010"]]},"page":"244-262","title":"Linkage disequilibrium estimates of contemporary Ne using highly variable genetic markers: A largely untapped resource for applied conservation and evolution","type":"article-journal","volume":"3"},"uris":["http://www.mendeley.com/documents/?uuid=c9c48160-c762-477f-8b11-8d202bc5eeff"]},{"id":"ITEM-2","itemData":{"ISBN":"0016-6731","ISSN":"0016-6731","PMID":"2731727","abstract":"The temporal method for estimating effective population size (Ne) from the standardized variance in allele frequency change (F) is presented in a generalized form. Whereas previous treatments of this method have adopted rather limiting assumptions, the present analysis shows that the temporal method is generally applicable to a wide variety of organisms. Use of a revised model of gene sampling permits a more generalized interpretation of Ne than that used by some other authors studying this method. It is shown that two sampling plans (individuals for genetic analysis taken before or after reproduction) whose differences have been stressed by previous authors can be treated in a uniform way. Computer simulations using a wide variety of initial conditions show that different formulas for computing F have much less effect on Ne than do sample size (S), number of generations between samples (t), or the number of loci studied (L). Simulation results also indicate that (1) bias of F is small unless alleles with very low frequency are used; (2) precision is typically increased by about the same amount with a doubling of S, t, or L; (3) confidence intervals for Ne computed using a chi 2 approximation are accurate and unbiased under most conditions; (4) the temporal method is best suited for use with organisms having high juvenile mortality and, perhaps, a limited effective population size.","author":[{"dropping-particle":"","family":"Waples","given":"R.S.","non-dropping-particle":"","parse-names":false,"suffix":""}],"container-title":"Genetics","id":"ITEM-2","issue":"2","issued":{"date-parts":[["1989"]]},"page":"379-391","title":"A generalized approach for estimating effective population size from temporal changes in allele frequency.","type":"article-journal","volume":"121"},"uris":["http://www.mendeley.com/documents/?uuid=e8c20b24-a197-4a39-9292-d45d79c39995"]},{"id":"ITEM-3","itemData":{"DOI":"10.1038/s41437-017-0037-y","ISSN":"13652540","abstract":"Large genomic data sets generated with restriction site-associated DNA sequencing (RADseq), in combination with demographic inference methods, are improving our ability to gain insights into the population history of species. We used a simulation approach to examine the potential for RADseq data sets to accurately estimate effective population size (N\n                e) over the course of stable and declining population trends, and we compare the ability of two methods of analysis to accurately distinguish stable from steadily declining populations over a contemporary time scale (20 generations). Using a linkage disequilibrium-based analysis, individual sampling (i.e., n ≥ 30) had the greatest effect on N\n                e estimation and the detection of population size declines, with declines reliably detected across scenarios ~10 generations after they began. Coalescent-based inference required fewer sampled individuals (i.e., n = 15), and instead was most influenced by the size of the SNP data set, with 25,000–50,000 SNPs required for accurate detection of population trends and at least 20 generations after decline began. The number of samples available and targeted number of RADseq loci are important criteria when choosing between these methods. Neither method suffered any apparent bias due to the effects of allele dropout typical of RAD data. With an understanding of the limitations and biases of these approaches, researchers can make more informed decisions when designing their sampling and analyses. Overall, our results reveal that demographic inference using RADseq data can be successfully applied to infer recent population size change and may be an important tool for population monitoring and conservation biology.","author":[{"dropping-particle":"","family":"Nunziata","given":"Schyler O.","non-dropping-particle":"","parse-names":false,"suffix":""},{"dropping-particle":"","family":"Weisrock","given":"David W.","non-dropping-particle":"","parse-names":false,"suffix":""}],"container-title":"Heredity","id":"ITEM-3","issue":"3","issued":{"date-parts":[["2018"]]},"page":"196-207","title":"Estimation of contemporary effective population size and population declines using RAD sequence data","type":"article-journal","volume":"120"},"uris":["http://www.mendeley.com/documents/?uuid=9799aed3-713c-48ef-99d2-e5c2a4b0e2e5"]}],"mendeley":{"formattedCitation":"&lt;sup&gt;12–14&lt;/sup&gt;","plainTextFormattedCitation":"12–14","previouslyFormattedCitation":"&lt;sup&gt;12–14&lt;/sup&gt;"},"properties":{"noteIndex":0},"schema":"https://github.com/citation-style-language/schema/raw/master/csl-citation.json"}</w:instrText>
      </w:r>
      <w:r w:rsidR="009226E8"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12–14</w:t>
      </w:r>
      <w:r w:rsidR="009226E8"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w:t>
      </w:r>
    </w:p>
    <w:p w14:paraId="4B8001CF" w14:textId="77777777" w:rsidR="00093775" w:rsidRDefault="00093775" w:rsidP="00093775">
      <w:pPr>
        <w:ind w:left="-270" w:right="-270"/>
        <w:jc w:val="both"/>
        <w:rPr>
          <w:rFonts w:ascii="Times New Roman" w:eastAsia="Times New Roman" w:hAnsi="Times New Roman" w:cs="Times New Roman"/>
        </w:rPr>
      </w:pPr>
    </w:p>
    <w:p w14:paraId="4D34E5D2" w14:textId="2EEF4690" w:rsidR="00DA301E" w:rsidRDefault="00093775" w:rsidP="00093775">
      <w:pPr>
        <w:ind w:left="-270" w:right="-270"/>
        <w:jc w:val="both"/>
        <w:rPr>
          <w:rFonts w:ascii="Times New Roman" w:eastAsia="Times New Roman" w:hAnsi="Times New Roman" w:cs="Times New Roman"/>
        </w:rPr>
      </w:pPr>
      <w:r>
        <w:rPr>
          <w:rFonts w:ascii="Times New Roman" w:eastAsia="Times New Roman" w:hAnsi="Times New Roman" w:cs="Times New Roman"/>
        </w:rPr>
        <w:t>In addition to an increase in loci, better</w:t>
      </w:r>
      <w:r w:rsidR="007312B3" w:rsidRPr="00093775">
        <w:rPr>
          <w:rFonts w:ascii="Times New Roman" w:eastAsia="Times New Roman" w:hAnsi="Times New Roman" w:cs="Times New Roman"/>
        </w:rPr>
        <w:t xml:space="preserve"> understanding </w:t>
      </w:r>
      <w:r w:rsidR="007312B3" w:rsidRPr="00E35CCB">
        <w:rPr>
          <w:rFonts w:ascii="Times New Roman" w:eastAsia="Times New Roman" w:hAnsi="Times New Roman" w:cs="Times New Roman"/>
        </w:rPr>
        <w:t xml:space="preserve">sex </w:t>
      </w:r>
      <w:r w:rsidR="006C00F0" w:rsidRPr="00E35CCB">
        <w:rPr>
          <w:rFonts w:ascii="Times New Roman" w:eastAsia="Times New Roman" w:hAnsi="Times New Roman" w:cs="Times New Roman"/>
        </w:rPr>
        <w:t>distribution</w:t>
      </w:r>
      <w:r w:rsidR="007312B3" w:rsidRPr="00E35CCB">
        <w:rPr>
          <w:rFonts w:ascii="Times New Roman" w:eastAsia="Times New Roman" w:hAnsi="Times New Roman" w:cs="Times New Roman"/>
        </w:rPr>
        <w:t xml:space="preserve"> of delta smelt throughout the</w:t>
      </w:r>
      <w:r w:rsidR="005E0C98">
        <w:rPr>
          <w:rFonts w:ascii="Times New Roman" w:eastAsia="Times New Roman" w:hAnsi="Times New Roman" w:cs="Times New Roman"/>
        </w:rPr>
        <w:t>ir</w:t>
      </w:r>
      <w:r w:rsidR="007312B3" w:rsidRPr="00E35CCB">
        <w:rPr>
          <w:rFonts w:ascii="Times New Roman" w:eastAsia="Times New Roman" w:hAnsi="Times New Roman" w:cs="Times New Roman"/>
        </w:rPr>
        <w:t xml:space="preserve"> life cycle will inform demographic inference, ecological modeling, and management. </w:t>
      </w:r>
      <w:r>
        <w:rPr>
          <w:rFonts w:ascii="Times New Roman" w:eastAsia="Times New Roman" w:hAnsi="Times New Roman" w:cs="Times New Roman"/>
        </w:rPr>
        <w:t xml:space="preserve">We do not know </w:t>
      </w:r>
      <w:r w:rsidR="0088693A">
        <w:rPr>
          <w:rFonts w:ascii="Times New Roman" w:eastAsia="Times New Roman" w:hAnsi="Times New Roman" w:cs="Times New Roman"/>
        </w:rPr>
        <w:t xml:space="preserve">the underlying genetic composition for sex determination </w:t>
      </w:r>
      <w:r>
        <w:rPr>
          <w:rFonts w:ascii="Times New Roman" w:eastAsia="Times New Roman" w:hAnsi="Times New Roman" w:cs="Times New Roman"/>
        </w:rPr>
        <w:t>in delta smelt</w:t>
      </w:r>
      <w:r w:rsidR="0088693A">
        <w:rPr>
          <w:rFonts w:ascii="Times New Roman" w:eastAsia="Times New Roman" w:hAnsi="Times New Roman" w:cs="Times New Roman"/>
        </w:rPr>
        <w:t>. Gametic</w:t>
      </w:r>
      <w:r w:rsidR="002E433B" w:rsidRPr="00E35CCB">
        <w:rPr>
          <w:rFonts w:ascii="Times New Roman" w:eastAsia="Times New Roman" w:hAnsi="Times New Roman" w:cs="Times New Roman"/>
        </w:rPr>
        <w:t xml:space="preserve"> expression</w:t>
      </w:r>
      <w:r w:rsidR="007312B3" w:rsidRPr="00E35CCB">
        <w:rPr>
          <w:rFonts w:ascii="Times New Roman" w:eastAsia="Times New Roman" w:hAnsi="Times New Roman" w:cs="Times New Roman"/>
        </w:rPr>
        <w:t xml:space="preserve"> is the only method available to </w:t>
      </w:r>
      <w:r w:rsidR="0088693A">
        <w:rPr>
          <w:rFonts w:ascii="Times New Roman" w:eastAsia="Times New Roman" w:hAnsi="Times New Roman" w:cs="Times New Roman"/>
        </w:rPr>
        <w:t>identify sex</w:t>
      </w:r>
      <w:r w:rsidR="007312B3" w:rsidRPr="00E35CCB">
        <w:rPr>
          <w:rFonts w:ascii="Times New Roman" w:eastAsia="Times New Roman" w:hAnsi="Times New Roman" w:cs="Times New Roman"/>
        </w:rPr>
        <w:t xml:space="preserve"> </w:t>
      </w:r>
      <w:r w:rsidR="0088693A">
        <w:rPr>
          <w:rFonts w:ascii="Times New Roman" w:eastAsia="Times New Roman" w:hAnsi="Times New Roman" w:cs="Times New Roman"/>
        </w:rPr>
        <w:t>in</w:t>
      </w:r>
      <w:r w:rsidR="007312B3" w:rsidRPr="00E35CCB">
        <w:rPr>
          <w:rFonts w:ascii="Times New Roman" w:eastAsia="Times New Roman" w:hAnsi="Times New Roman" w:cs="Times New Roman"/>
        </w:rPr>
        <w:t xml:space="preserve"> individuals </w:t>
      </w:r>
      <w:r w:rsidR="005E0C98">
        <w:rPr>
          <w:rFonts w:ascii="Times New Roman" w:eastAsia="Times New Roman" w:hAnsi="Times New Roman" w:cs="Times New Roman"/>
        </w:rPr>
        <w:t>caught</w:t>
      </w:r>
      <w:r w:rsidR="007312B3" w:rsidRPr="00E35CCB">
        <w:rPr>
          <w:rFonts w:ascii="Times New Roman" w:eastAsia="Times New Roman" w:hAnsi="Times New Roman" w:cs="Times New Roman"/>
        </w:rPr>
        <w:t xml:space="preserve"> in surveys. </w:t>
      </w:r>
      <w:r w:rsidR="005E0C98">
        <w:rPr>
          <w:rFonts w:ascii="Times New Roman" w:eastAsia="Times New Roman" w:hAnsi="Times New Roman" w:cs="Times New Roman"/>
        </w:rPr>
        <w:t>However, m</w:t>
      </w:r>
      <w:r w:rsidR="007312B3" w:rsidRPr="00E35CCB">
        <w:rPr>
          <w:rFonts w:ascii="Times New Roman" w:eastAsia="Times New Roman" w:hAnsi="Times New Roman" w:cs="Times New Roman"/>
        </w:rPr>
        <w:t xml:space="preserve">any fish </w:t>
      </w:r>
      <w:r w:rsidR="005E0C98">
        <w:rPr>
          <w:rFonts w:ascii="Times New Roman" w:eastAsia="Times New Roman" w:hAnsi="Times New Roman" w:cs="Times New Roman"/>
        </w:rPr>
        <w:t>are not</w:t>
      </w:r>
      <w:r w:rsidR="007312B3" w:rsidRPr="00E35CCB">
        <w:rPr>
          <w:rFonts w:ascii="Times New Roman" w:eastAsia="Times New Roman" w:hAnsi="Times New Roman" w:cs="Times New Roman"/>
        </w:rPr>
        <w:t xml:space="preserve"> sexual</w:t>
      </w:r>
      <w:r w:rsidR="0088693A">
        <w:rPr>
          <w:rFonts w:ascii="Times New Roman" w:eastAsia="Times New Roman" w:hAnsi="Times New Roman" w:cs="Times New Roman"/>
        </w:rPr>
        <w:t>ly</w:t>
      </w:r>
      <w:r w:rsidR="007312B3" w:rsidRPr="00E35CCB">
        <w:rPr>
          <w:rFonts w:ascii="Times New Roman" w:eastAsia="Times New Roman" w:hAnsi="Times New Roman" w:cs="Times New Roman"/>
        </w:rPr>
        <w:t xml:space="preserve"> </w:t>
      </w:r>
      <w:r w:rsidR="005E0C98">
        <w:rPr>
          <w:rFonts w:ascii="Times New Roman" w:eastAsia="Times New Roman" w:hAnsi="Times New Roman" w:cs="Times New Roman"/>
        </w:rPr>
        <w:t>mature</w:t>
      </w:r>
      <w:r w:rsidR="007312B3" w:rsidRPr="00E35CCB">
        <w:rPr>
          <w:rFonts w:ascii="Times New Roman" w:eastAsia="Times New Roman" w:hAnsi="Times New Roman" w:cs="Times New Roman"/>
        </w:rPr>
        <w:t xml:space="preserve"> at the time of capture, resulting in missing data regarding sex ratios of the delta smelt population. Contrasting demographic results and a lack of knowledge in the foundational biology of delta smelt provide motivation to better understand the genetic status of the species through more refined and current genetic techniques.</w:t>
      </w:r>
    </w:p>
    <w:p w14:paraId="00C0AD67" w14:textId="77777777" w:rsidR="005E0C98" w:rsidRPr="00E35CCB" w:rsidRDefault="005E0C98" w:rsidP="00B4213F">
      <w:pPr>
        <w:ind w:left="-270" w:right="-270"/>
        <w:jc w:val="both"/>
        <w:rPr>
          <w:rFonts w:ascii="Times New Roman" w:eastAsia="Times New Roman" w:hAnsi="Times New Roman" w:cs="Times New Roman"/>
        </w:rPr>
      </w:pPr>
    </w:p>
    <w:p w14:paraId="016176B2" w14:textId="49AB4E6F"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The purpose of this proposal is to gain better understanding of delta smelt genetics by 1) assembling a high-quality </w:t>
      </w:r>
      <w:r w:rsidR="009F7DB2">
        <w:rPr>
          <w:rFonts w:ascii="Times New Roman" w:eastAsia="Times New Roman" w:hAnsi="Times New Roman" w:cs="Times New Roman"/>
        </w:rPr>
        <w:t xml:space="preserve">reference </w:t>
      </w:r>
      <w:r w:rsidRPr="00E35CCB">
        <w:rPr>
          <w:rFonts w:ascii="Times New Roman" w:eastAsia="Times New Roman" w:hAnsi="Times New Roman" w:cs="Times New Roman"/>
        </w:rPr>
        <w:t xml:space="preserve">genome; 2) inferring </w:t>
      </w:r>
      <w:r w:rsidR="009F7DB2">
        <w:rPr>
          <w:rFonts w:ascii="Times New Roman" w:eastAsia="Times New Roman" w:hAnsi="Times New Roman" w:cs="Times New Roman"/>
        </w:rPr>
        <w:t>contemporary</w:t>
      </w:r>
      <w:r w:rsidRPr="00E35CCB">
        <w:rPr>
          <w:rFonts w:ascii="Times New Roman" w:eastAsia="Times New Roman" w:hAnsi="Times New Roman" w:cs="Times New Roman"/>
        </w:rPr>
        <w:t xml:space="preserve"> effective population size</w:t>
      </w:r>
      <w:r w:rsidR="009F7DB2">
        <w:rPr>
          <w:rFonts w:ascii="Times New Roman" w:eastAsia="Times New Roman" w:hAnsi="Times New Roman" w:cs="Times New Roman"/>
        </w:rPr>
        <w:t>s</w:t>
      </w:r>
      <w:r w:rsidRPr="00E35CCB">
        <w:rPr>
          <w:rFonts w:ascii="Times New Roman" w:eastAsia="Times New Roman" w:hAnsi="Times New Roman" w:cs="Times New Roman"/>
        </w:rPr>
        <w:t xml:space="preserve"> of delta smelt in the wild; and 3) identifying </w:t>
      </w:r>
      <w:r w:rsidR="009F7DB2">
        <w:rPr>
          <w:rFonts w:ascii="Times New Roman" w:eastAsia="Times New Roman" w:hAnsi="Times New Roman" w:cs="Times New Roman"/>
        </w:rPr>
        <w:t xml:space="preserve">sex-specific </w:t>
      </w:r>
      <w:r w:rsidRPr="00E35CCB">
        <w:rPr>
          <w:rFonts w:ascii="Times New Roman" w:eastAsia="Times New Roman" w:hAnsi="Times New Roman" w:cs="Times New Roman"/>
        </w:rPr>
        <w:t>genetic markers to be used for sex identification.</w:t>
      </w:r>
    </w:p>
    <w:p w14:paraId="2B2AEF43" w14:textId="77777777" w:rsidR="009411BA" w:rsidRPr="00E35CCB" w:rsidRDefault="009411BA" w:rsidP="00F14C91">
      <w:pPr>
        <w:ind w:right="-270"/>
        <w:jc w:val="both"/>
        <w:rPr>
          <w:rFonts w:ascii="Times New Roman" w:eastAsia="Times New Roman" w:hAnsi="Times New Roman" w:cs="Times New Roman"/>
        </w:rPr>
      </w:pPr>
    </w:p>
    <w:p w14:paraId="083D9D17" w14:textId="453791F8" w:rsidR="00DA301E" w:rsidRPr="00E35CCB" w:rsidRDefault="009411BA" w:rsidP="00B4213F">
      <w:pPr>
        <w:ind w:left="-270" w:right="-270"/>
        <w:jc w:val="both"/>
        <w:rPr>
          <w:rFonts w:ascii="Times New Roman" w:eastAsia="Times New Roman" w:hAnsi="Times New Roman" w:cs="Times New Roman"/>
          <w:b/>
        </w:rPr>
      </w:pPr>
      <w:r w:rsidRPr="00F14C91">
        <w:rPr>
          <w:rFonts w:ascii="Times New Roman" w:eastAsia="Times New Roman" w:hAnsi="Times New Roman" w:cs="Times New Roman"/>
          <w:b/>
          <w:u w:val="single"/>
        </w:rPr>
        <w:t>AIM</w:t>
      </w:r>
      <w:r w:rsidR="007312B3" w:rsidRPr="00F14C91">
        <w:rPr>
          <w:rFonts w:ascii="Times New Roman" w:eastAsia="Times New Roman" w:hAnsi="Times New Roman" w:cs="Times New Roman"/>
          <w:b/>
          <w:u w:val="single"/>
        </w:rPr>
        <w:t xml:space="preserve"> #1:</w:t>
      </w:r>
      <w:r w:rsidR="007312B3" w:rsidRPr="00E35CCB">
        <w:rPr>
          <w:rFonts w:ascii="Times New Roman" w:eastAsia="Times New Roman" w:hAnsi="Times New Roman" w:cs="Times New Roman"/>
          <w:b/>
        </w:rPr>
        <w:t xml:space="preserve"> Produce a high-quality reference genome for delta smelt.</w:t>
      </w:r>
    </w:p>
    <w:p w14:paraId="3EC0387F" w14:textId="77777777" w:rsidR="00DA301E" w:rsidRPr="00E35CCB" w:rsidRDefault="007312B3" w:rsidP="00B4213F">
      <w:pPr>
        <w:ind w:left="-270" w:right="-270"/>
        <w:jc w:val="both"/>
        <w:rPr>
          <w:rFonts w:ascii="Times New Roman" w:eastAsia="Times New Roman" w:hAnsi="Times New Roman" w:cs="Times New Roman"/>
          <w:b/>
          <w:i/>
        </w:rPr>
      </w:pPr>
      <w:r w:rsidRPr="00E35CCB">
        <w:rPr>
          <w:rFonts w:ascii="Times New Roman" w:eastAsia="Times New Roman" w:hAnsi="Times New Roman" w:cs="Times New Roman"/>
          <w:b/>
          <w:i/>
        </w:rPr>
        <w:t>Rationale</w:t>
      </w:r>
    </w:p>
    <w:p w14:paraId="6F44425D" w14:textId="78C282DC"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A high-quality reference genome provides a useful tool in many areas of modern biology. For my thesis work, it will allow for fine scale resolution of population genetic </w:t>
      </w:r>
      <w:proofErr w:type="gramStart"/>
      <w:r w:rsidRPr="00E35CCB">
        <w:rPr>
          <w:rFonts w:ascii="Times New Roman" w:eastAsia="Times New Roman" w:hAnsi="Times New Roman" w:cs="Times New Roman"/>
        </w:rPr>
        <w:t>analysis, and</w:t>
      </w:r>
      <w:proofErr w:type="gramEnd"/>
      <w:r w:rsidRPr="00E35CCB">
        <w:rPr>
          <w:rFonts w:ascii="Times New Roman" w:eastAsia="Times New Roman" w:hAnsi="Times New Roman" w:cs="Times New Roman"/>
        </w:rPr>
        <w:t xml:space="preserve"> assist in elucidating genetic and genomic sex-specific differences in delta smelt. Extending one step beyond my work, providing a reference genome will immediately assist in multiple studies currently being conducted at UC Davis and management agencies. Current proposed studies outside the scope of my thesis range from adaptation of thermal tolerance (Whitehead &amp; </w:t>
      </w:r>
      <w:proofErr w:type="spellStart"/>
      <w:r w:rsidRPr="00E35CCB">
        <w:rPr>
          <w:rFonts w:ascii="Times New Roman" w:eastAsia="Times New Roman" w:hAnsi="Times New Roman" w:cs="Times New Roman"/>
        </w:rPr>
        <w:t>Fangue</w:t>
      </w:r>
      <w:proofErr w:type="spellEnd"/>
      <w:r w:rsidRPr="00E35CCB">
        <w:rPr>
          <w:rFonts w:ascii="Times New Roman" w:eastAsia="Times New Roman" w:hAnsi="Times New Roman" w:cs="Times New Roman"/>
        </w:rPr>
        <w:t xml:space="preserve"> Labs), to observing genomic differences in domestication (Schreier/Miller Lab), to testing whether rearing environment affects phenotype through epigenetic alterations (California Department of Fish and </w:t>
      </w:r>
      <w:r w:rsidRPr="00E35CCB">
        <w:rPr>
          <w:rFonts w:ascii="Times New Roman" w:eastAsia="Times New Roman" w:hAnsi="Times New Roman" w:cs="Times New Roman"/>
        </w:rPr>
        <w:lastRenderedPageBreak/>
        <w:t xml:space="preserve">Wildlife/Schreier lab). More broadly, a chromosome-scale scaffolded delta smelt genome will be the first </w:t>
      </w:r>
      <w:proofErr w:type="spellStart"/>
      <w:r w:rsidRPr="00E35CCB">
        <w:rPr>
          <w:rFonts w:ascii="Times New Roman" w:eastAsia="Times New Roman" w:hAnsi="Times New Roman" w:cs="Times New Roman"/>
        </w:rPr>
        <w:t>Osmerid</w:t>
      </w:r>
      <w:proofErr w:type="spellEnd"/>
      <w:r w:rsidRPr="00E35CCB">
        <w:rPr>
          <w:rFonts w:ascii="Times New Roman" w:eastAsia="Times New Roman" w:hAnsi="Times New Roman" w:cs="Times New Roman"/>
        </w:rPr>
        <w:t xml:space="preserve"> sequenced and assembled beyond 15x coverage and the first and only </w:t>
      </w:r>
      <w:proofErr w:type="spellStart"/>
      <w:r w:rsidRPr="00E35CCB">
        <w:rPr>
          <w:rFonts w:ascii="Times New Roman" w:eastAsia="Times New Roman" w:hAnsi="Times New Roman" w:cs="Times New Roman"/>
          <w:i/>
        </w:rPr>
        <w:t>Hypomesus</w:t>
      </w:r>
      <w:proofErr w:type="spellEnd"/>
      <w:r w:rsidRPr="00E35CCB">
        <w:rPr>
          <w:rFonts w:ascii="Times New Roman" w:eastAsia="Times New Roman" w:hAnsi="Times New Roman" w:cs="Times New Roman"/>
        </w:rPr>
        <w:t xml:space="preserve"> reference-quality genome available</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{"citationItems":[{"id":"ITEM-1","itemData":{"DOI":"10.1038/sdata.2016.132","ISSN":"20524463","abstract":"Teleost fishes comprise more than half of all vertebrate species, yet genomic data are only available for 0.2% of their diversity. Here, we present whole genome sequencing data for 66 new species of teleosts, vastly expanding the availability of genomic data for this important vertebrate group. We report on de novo assemblies based on low-coverage (9-39×) sequencing and present detailed methodology for all analyses. To facilitate further utilization of this data set, we present statistical analyses of the gene space completeness and verify the expected phylogenetic position of the sequenced genomes in a large mitogenomic context. We further present a nuclear marker set used for phylogenetic inference and evaluate each gene tree in relation to the species tree to test for homogeneity in the phylogenetic signal. Collectively, these analyses illustrate the robustness of this highly diverse data set and enable extensive reuse of the selected phylogenetic markers and the genomic data in general. This data set covers all major teleost lineages and provides unprecedented opportunities for comparative studies of teleosts.","author":[{"dropping-particle":"","family":"Malmstrøm","given":"Martin","non-dropping-particle":"","parse-names":false,"suffix":""},{"dropping-particle":"","family":"Matschiner","given":"Michael","non-dropping-particle":"","parse-names":false,"suffix":""},{"dropping-particle":"","family":"Tørresen","given":"Ole K.","non-dropping-particle":"","parse-names":false,"suffix":""},{"dropping-particle":"","family":"Jakobsen","given":"Kjetill S.","non-dropping-particle":"","parse-names":false,"suffix":""},{"dropping-particle":"","family":"Jentoft","given":"Sissel","non-dropping-particle":"","parse-names":false,"suffix":""}],"container-title":"Scientific Data","id":"ITEM-1","issued":{"date-parts":[["2017"]]},"page":"1-13","title":"Data descriptor: Whole genome sequencing data and de novo draft assemblies for 66 teleost species","type":"article-journal","volume":"4"},"uris":["http://www.mendeley.com/documents/?uuid=44b6714f-3599-4ada-b84d-55d8b7aab761"]}],"mendeley":{"formattedCitation":"&lt;sup&gt;15&lt;/sup&gt;","plainTextFormattedCitation":"15","previouslyFormattedCitation":"&lt;sup&gt;15&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15</w:t>
      </w:r>
      <w:r w:rsidR="00244E72"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My research will make a new genus available for large-scale genomic studies and add to the collaborative efforts of documenting the world’s diversity</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{"citationItems":[{"id":"ITEM-1","itemData":{"DOI":"10.1073/pnas.1720115115","ISSN":"0027-8424","abstract":"Increasing our understanding of Earth’s biodiversity and responsibly stewarding its resources are among the most crucial scientific and social challenges of the new millennium. These challenges require fundamental new knowledge of the organization, evolution, functions, and interactions among millions of the planet’s organisms. Herein, we present a perspective on the Earth BioGenome Project (EBP), a moonshot for biology that aims to sequence, catalog, and characterize the genomes of all of Earth’s eukaryotic biodiversity over a period of 10 years. The outcomes of the EBP will inform a broad range of major issues facing humanity, such as the impact of climate change on biodiversity, the conservation of endangered species and ecosystems, and the preservation and enhancement of ecosystem services. We describe hurdles that the project faces, including data-sharing policies that ensure a permanent, freely available resource for future scientific discovery while respecting access and benefit sharing guidelines of the Nagoya Protocol. We also describe scientific and organizational challenges in executing such an ambitious project, and the structure proposed to achieve the project’s goals. The far-reaching potential benefits of creating an open digital repository of genomic information for life on Earth can be realized only by a coordinated international effort.","author":[{"dropping-particle":"","family":"Lewin","given":"Harris A.","non-dropping-particle":"","parse-names":false,"suffix":""},{"dropping-particle":"","family":"Robinson","given":"Gene E.","non-dropping-particle":"","parse-names":false,"suffix":""},{"dropping-particle":"","family":"Kress","given":"W. John","non-dropping-particle":"","parse-names":false,"suffix":""},{"dropping-particle":"","family":"Baker","given":"William J.","non-dropping-particle":"","parse-names":false,"suffix":""},{"dropping-particle":"","family":"Coddington","given":"Jonathan","non-dropping-particle":"","parse-names":false,"suffix":""},{"dropping-particle":"","family":"Crandall","given":"Keith A.","non-dropping-particle":"","parse-names":false,"suffix":""},{"dropping-particle":"","family":"Durbin","given":"Richard","non-dropping-particle":"","parse-names":false,"suffix":""},{"dropping-particle":"V.","family":"Edwards","given":"Scott","non-dropping-particle":"","parse-names":false,"suffix":""},{"dropping-particle":"","family":"Forest","given":"Félix","non-dropping-particle":"","parse-names":false,"suffix":""},{"dropping-particle":"","family":"Gilbert","given":"M. Thomas P.","non-dropping-particle":"","parse-names":false,"suffix":""},{"dropping-particle":"","family":"Goldstein","given":"Melissa M.","non-dropping-particle":"","parse-names":false,"suffix":""},{"dropping-particle":"V.","family":"Grigoriev","given":"Igor","non-dropping-particle":"","parse-names":false,"suffix":""},{"dropping-particle":"","family":"Hackett","given":"Kevin J.","non-dropping-particle":"","parse-names":false,"suffix":""},{"dropping-particle":"","family":"Haussler","given":"David","non-dropping-particle":"","parse-names":false,"suffix":""},{"dropping-particle":"","family":"Jarvis","given":"Erich D.","non-dropping-particle":"","parse-names":false,"suffix":""},{"dropping-particle":"","family":"Johnson","given":"Warren E.","non-dropping-particle":"","parse-names":false,"suffix":""},{"dropping-particle":"","family":"Patrinos","given":"Aristides","non-dropping-particle":"","parse-names":false,"suffix":""},{"dropping-particle":"","family":"Richards","given":"Stephen","non-dropping-particle":"","parse-names":false,"suffix":""},{"dropping-particle":"","family":"Castilla-Rubio","given":"Juan Carlos","non-dropping-particle":"","parse-names":false,"suffix":""},{"dropping-particle":"","family":"Sluys","given":"Marie-Anne","non-dropping-particle":"van","parse-names":false,"suffix":""},{"dropping-particle":"","family":"Soltis","given":"Pamela S.","non-dropping-particle":"","parse-names":false,"suffix":""},{"dropping-particle":"","family":"Xu","given":"Xun","non-dropping-particle":"","parse-names":false,"suffix":""},{"dropping-particle":"","family":"Yang","given":"Huanming","non-dropping-particle":"","parse-names":false,"suffix":""},{"dropping-particle":"","family":"Zhang","given":"Guojie","non-dropping-particle":"","parse-names":false,"suffix":""}],"container-title":"Proceedings of the National Academy of Sciences","id":"ITEM-1","issue":"17","issued":{"date-parts":[["2018"]]},"page":"4325-4333","title":"Earth BioGenome Project: Sequencing life for the future of life","type":"article-journal","volume":"115"},"uris":["http://www.mendeley.com/documents/?uuid=cc106ed5-4fa5-4fe0-84c1-825935cbffa6"]},{"id":"ITEM-2","itemData":{"DOI":"10.1146/annurev-animal-090414-014900","abstract":"The Genome 10K Project was established in 2009 by a consortium of biologists and genome scientists determined to facilitate the sequencing and analysis of the complete genomes of 10,000 vertebrate species. Since then the number of selected and initiated species has risen from ~26 to 277 sequenced or ongoing with funding, an approximately tenfold increase in five years. Here we summarize the advances and commitments that have occurred by mid-2014 and outline the achievements and present challenges of reaching the 10,000-species goal. We summarize the status of known vertebrate genome projects, recommend standards for pronouncing a genome as sequenced or completed, and provide our present and future vision of the landscape of Genome 10K. The endeavor is ambitious, bold, expensive, and uncertain, but together the Genome 10K Consortium of Scientists and the worldwide genomics community are moving toward their goal of delivering to the coming generation the gift of genome empowerment for many vertebrate species.","author":[{"dropping-particle":"","family":"Koepfli","given":"Klaus-Peter","non-dropping-particle":"","parse-names":false,"suffix":""},{"dropping-particle":"","family":"Paten","given":"Benedict","non-dropping-particle":"","parse-names":false,"suffix":""},{"dropping-particle":"","family":"Scientists","given":"the Genome 10k Community of","non-dropping-particle":"","parse-names":false,"suffix":""},{"dropping-particle":"","family":"O'Brien","given":"Stephen J","non-dropping-particle":"","parse-names":false,"suffix":""}],"container-title":"Annual Review of Animal Biosciences","id":"ITEM-2","issued":{"date-parts":[["2015"]]},"page":"57-111","title":"The Genome 10K Project: A Way Forward","type":"article-journal","volume":"3"},"uris":["http://www.mendeley.com/documents/?uuid=f268ee26-7348-43e2-86ba-afe1dcb573de"]}],"mendeley":{"formattedCitation":"&lt;sup&gt;16,17&lt;/sup&gt;","plainTextFormattedCitation":"16,17","previouslyFormattedCitation":"&lt;sup&gt;16,17&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16,17</w:t>
      </w:r>
      <w:r w:rsidR="00244E72" w:rsidRPr="00E35CCB">
        <w:rPr>
          <w:rFonts w:ascii="Times New Roman" w:eastAsia="Times New Roman" w:hAnsi="Times New Roman" w:cs="Times New Roman"/>
        </w:rPr>
        <w:fldChar w:fldCharType="end"/>
      </w:r>
    </w:p>
    <w:p w14:paraId="28B2EF02" w14:textId="77777777"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 </w:t>
      </w:r>
    </w:p>
    <w:p w14:paraId="7387F810" w14:textId="77777777" w:rsidR="00DA301E" w:rsidRPr="00E35CCB" w:rsidRDefault="007312B3" w:rsidP="00B4213F">
      <w:pPr>
        <w:ind w:left="-270" w:right="-270"/>
        <w:jc w:val="both"/>
        <w:rPr>
          <w:rFonts w:ascii="Times New Roman" w:eastAsia="Times New Roman" w:hAnsi="Times New Roman" w:cs="Times New Roman"/>
          <w:b/>
          <w:i/>
        </w:rPr>
      </w:pPr>
      <w:r w:rsidRPr="00E35CCB">
        <w:rPr>
          <w:rFonts w:ascii="Times New Roman" w:eastAsia="Times New Roman" w:hAnsi="Times New Roman" w:cs="Times New Roman"/>
          <w:b/>
          <w:i/>
        </w:rPr>
        <w:t>Experimental Design</w:t>
      </w:r>
    </w:p>
    <w:p w14:paraId="424483EF" w14:textId="06E2ECC2"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In order to construct a </w:t>
      </w:r>
      <w:r w:rsidRPr="00E35CCB">
        <w:rPr>
          <w:rFonts w:ascii="Times New Roman" w:eastAsia="Times New Roman" w:hAnsi="Times New Roman" w:cs="Times New Roman"/>
          <w:i/>
        </w:rPr>
        <w:t>de novo</w:t>
      </w:r>
      <w:r w:rsidRPr="00E35CCB">
        <w:rPr>
          <w:rFonts w:ascii="Times New Roman" w:eastAsia="Times New Roman" w:hAnsi="Times New Roman" w:cs="Times New Roman"/>
        </w:rPr>
        <w:t xml:space="preserve"> reference genome, high molecular weight (HMW) genomic DNA (gDNA) </w:t>
      </w:r>
      <w:r w:rsidR="009F7DB2">
        <w:rPr>
          <w:rFonts w:ascii="Times New Roman" w:eastAsia="Times New Roman" w:hAnsi="Times New Roman" w:cs="Times New Roman"/>
        </w:rPr>
        <w:t>wa</w:t>
      </w:r>
      <w:r w:rsidRPr="00E35CCB">
        <w:rPr>
          <w:rFonts w:ascii="Times New Roman" w:eastAsia="Times New Roman" w:hAnsi="Times New Roman" w:cs="Times New Roman"/>
        </w:rPr>
        <w:t xml:space="preserve">s extracted from sampled specimens. Since sex determination in delta smelt is unknown, one male and one female were sampled for </w:t>
      </w:r>
      <w:r w:rsidR="009F7DB2">
        <w:rPr>
          <w:rFonts w:ascii="Times New Roman" w:eastAsia="Times New Roman" w:hAnsi="Times New Roman" w:cs="Times New Roman"/>
        </w:rPr>
        <w:t xml:space="preserve">extraction and subsequent </w:t>
      </w:r>
      <w:r w:rsidRPr="00E35CCB">
        <w:rPr>
          <w:rFonts w:ascii="Times New Roman" w:eastAsia="Times New Roman" w:hAnsi="Times New Roman" w:cs="Times New Roman"/>
        </w:rPr>
        <w:t xml:space="preserve">sequencing from the captive population located at the Fish Conservation and Culture Laboratory (FCCL) in Discovery Bay, CA. After collection, samples were brought to the UC Davis DNA Technologies Core where DNA was extracted and sequenced. HMW gDNA was extracted following the protocol described in </w:t>
      </w:r>
      <w:proofErr w:type="spellStart"/>
      <w:r w:rsidRPr="00E35CCB">
        <w:rPr>
          <w:rFonts w:ascii="Times New Roman" w:eastAsia="Times New Roman" w:hAnsi="Times New Roman" w:cs="Times New Roman"/>
        </w:rPr>
        <w:t>Wasko</w:t>
      </w:r>
      <w:proofErr w:type="spellEnd"/>
      <w:r w:rsidR="00244E72" w:rsidRPr="00E35CCB">
        <w:rPr>
          <w:rFonts w:ascii="Times New Roman" w:eastAsia="Times New Roman" w:hAnsi="Times New Roman" w:cs="Times New Roman"/>
        </w:rPr>
        <w:t xml:space="preserve"> et al.</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{"citationItems":[{"id":"ITEM-1","itemData":{"DOI":"10.1034/j.1601-5223.2003.01503.x","ISSN":"00180661","abstract":"DNA-based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taxa.","author":[{"dropping-particle":"","family":"Wasko","given":"Adriane P.","non-dropping-particle":"","parse-names":false,"suffix":""},{"dropping-particle":"","family":"Martins","given":"Cesar","non-dropping-particle":"","parse-names":false,"suffix":""},{"dropping-particle":"","family":"Oliveira","given":"Claudio","non-dropping-particle":"","parse-names":false,"suffix":""},{"dropping-particle":"","family":"Foresti","given":"Fausto","non-dropping-particle":"","parse-names":false,"suffix":""}],"container-title":"Hereditas","id":"ITEM-1","issue":"3","issued":{"date-parts":[["2003"]]},"page":"161-165","title":"Non-destructive genetic sampling in fish. An improved method for DNA extraction from fish fins and scales","type":"article-journal","volume":"138"},"uris":["http://www.mendeley.com/documents/?uuid=9c8ee276-7696-4a6b-8e28-c1c2860e8cae"]}],"mendeley":{"formattedCitation":"&lt;sup&gt;18&lt;/sup&gt;","plainTextFormattedCitation":"18","previouslyFormattedCitation":"&lt;sup&gt;18&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18</w:t>
      </w:r>
      <w:r w:rsidR="00244E72" w:rsidRPr="00E35CCB">
        <w:rPr>
          <w:rFonts w:ascii="Times New Roman" w:eastAsia="Times New Roman" w:hAnsi="Times New Roman" w:cs="Times New Roman"/>
        </w:rPr>
        <w:fldChar w:fldCharType="end"/>
      </w:r>
      <w:r w:rsidR="00244E72" w:rsidRPr="00E35CCB">
        <w:rPr>
          <w:rFonts w:ascii="Times New Roman" w:eastAsia="Times New Roman" w:hAnsi="Times New Roman" w:cs="Times New Roman"/>
        </w:rPr>
        <w:t xml:space="preserve"> </w:t>
      </w:r>
      <w:r w:rsidRPr="00E35CCB">
        <w:rPr>
          <w:rFonts w:ascii="Times New Roman" w:eastAsia="Times New Roman" w:hAnsi="Times New Roman" w:cs="Times New Roman"/>
        </w:rPr>
        <w:t>and the range of sizes of extracted DNA fragments were determined using a pulse field gel</w:t>
      </w:r>
      <w:r w:rsidR="00FF2B27">
        <w:rPr>
          <w:rFonts w:ascii="Times New Roman" w:eastAsia="Times New Roman" w:hAnsi="Times New Roman" w:cs="Times New Roman"/>
        </w:rPr>
        <w:t xml:space="preserve"> (Figure 2)</w:t>
      </w:r>
      <w:r w:rsidRPr="00E35CCB">
        <w:rPr>
          <w:rFonts w:ascii="Times New Roman" w:eastAsia="Times New Roman" w:hAnsi="Times New Roman" w:cs="Times New Roman"/>
        </w:rPr>
        <w:t xml:space="preserve">. </w:t>
      </w:r>
      <w:r w:rsidR="00F14C91">
        <w:rPr>
          <w:rFonts w:ascii="Times New Roman" w:eastAsia="Times New Roman" w:hAnsi="Times New Roman" w:cs="Times New Roman"/>
        </w:rPr>
        <w:t>A w</w:t>
      </w:r>
      <w:r w:rsidRPr="00E35CCB">
        <w:rPr>
          <w:rFonts w:ascii="Times New Roman" w:eastAsia="Times New Roman" w:hAnsi="Times New Roman" w:cs="Times New Roman"/>
        </w:rPr>
        <w:t>hole genome sequencing librar</w:t>
      </w:r>
      <w:r w:rsidR="00F14C91">
        <w:rPr>
          <w:rFonts w:ascii="Times New Roman" w:eastAsia="Times New Roman" w:hAnsi="Times New Roman" w:cs="Times New Roman"/>
        </w:rPr>
        <w:t>y</w:t>
      </w:r>
      <w:r w:rsidRPr="00E35CCB">
        <w:rPr>
          <w:rFonts w:ascii="Times New Roman" w:eastAsia="Times New Roman" w:hAnsi="Times New Roman" w:cs="Times New Roman"/>
        </w:rPr>
        <w:t xml:space="preserve"> </w:t>
      </w:r>
      <w:r w:rsidR="00F14C91">
        <w:rPr>
          <w:rFonts w:ascii="Times New Roman" w:eastAsia="Times New Roman" w:hAnsi="Times New Roman" w:cs="Times New Roman"/>
        </w:rPr>
        <w:t>was</w:t>
      </w:r>
      <w:r w:rsidRPr="00E35CCB">
        <w:rPr>
          <w:rFonts w:ascii="Times New Roman" w:eastAsia="Times New Roman" w:hAnsi="Times New Roman" w:cs="Times New Roman"/>
        </w:rPr>
        <w:t xml:space="preserve"> prepared using a 10X Genomics Chromium Genome Library prep and the library was sequenced to an estimated 120x coverage on an Illumina NovoSeq6000 sequencer with 150 base pair (</w:t>
      </w:r>
      <w:proofErr w:type="spellStart"/>
      <w:r w:rsidRPr="00E35CCB">
        <w:rPr>
          <w:rFonts w:ascii="Times New Roman" w:eastAsia="Times New Roman" w:hAnsi="Times New Roman" w:cs="Times New Roman"/>
        </w:rPr>
        <w:t>bp</w:t>
      </w:r>
      <w:proofErr w:type="spellEnd"/>
      <w:r w:rsidRPr="00E35CCB">
        <w:rPr>
          <w:rFonts w:ascii="Times New Roman" w:eastAsia="Times New Roman" w:hAnsi="Times New Roman" w:cs="Times New Roman"/>
        </w:rPr>
        <w:t>) paired-end reads.</w:t>
      </w:r>
    </w:p>
    <w:p w14:paraId="5986470F" w14:textId="77777777"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 </w:t>
      </w:r>
    </w:p>
    <w:p w14:paraId="7DADE284" w14:textId="2C7EF18F"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To produce an initial 10X assembly, I used the software Supernova to assemble raw reads into contigs and scaffolds</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 xml:space="preserve">ADDIN CSL_CITATION {"citationItems":[{"id":"ITEM-1","itemData":{"DOI":"10.1101/gr.235812.118","ISSN":"1088-9051","abstract":"Determining the genome sequence of an organism is challenging, yet fundamental to understanding its biology. Over the past decade, thousands of human genomes have been sequenced, contributing deeply to biomedical research. In the vast majority of cases, these have been analyzed by aligning sequence reads to a single reference genome, biasing the resulting analyses, and in general, failing to capture sequences novel to a given genome. Some de novo assemblies have been con- structed free of reference bias, but nearly all were constructed by merging homologous loci into single “consensus” se- quences, generally absent from nature. These assemblies do not correctly represent the diploid biology of an individual. In exactly two cases, true diploid de novo assemblies have been made, at great expense. One was generated using Sanger sequencing, and one using thousands of clone pools. Here, we demonstrate a straightforward and low-cost method for cre- ating true diploid de novo assemblies. We make a single library from </w:instrText>
      </w:r>
      <w:r w:rsidR="004775B3">
        <w:rPr>
          <w:rFonts w:ascii="Cambria Math" w:eastAsia="Times New Roman" w:hAnsi="Cambria Math" w:cs="Cambria Math"/>
        </w:rPr>
        <w:instrText>∼</w:instrText>
      </w:r>
      <w:r w:rsidR="004775B3">
        <w:rPr>
          <w:rFonts w:ascii="Times New Roman" w:eastAsia="Times New Roman" w:hAnsi="Times New Roman" w:cs="Times New Roman"/>
        </w:rPr>
        <w:instrText>1 ng of high molecular weight DNA, using the 10x Genomics microfluidic platform to partition the genome. We applied this technique to seven human samples, generating low-cost HiSeq X data, then assembled these using a new “pushbutton” algorithm, Supernova. Each computation took 2 d on a single server. Each yielded contigs longer than 100 kb, phase blocks longer than 2.5 Mb, and scaffolds longer than 15 Mb. Our method provides a scalable capability for determining the actual diploid genome sequence in a sample, opening the door to new approaches in genomic biology and medicine","author":[{"dropping-particle":"","family":"Weisenfeld","given":"Neil I.","non-dropping-particle":"","parse-names":false,"suffix":""},{"dropping-particle":"","family":"Kumar","given":"Vijay","non-dropping-particle":"","parse-names":false,"suffix":""},{"dropping-particle":"","family":"Shah","given":"Preyas","non-dropping-particle":"","parse-names":false,"suffix":""},{"dropping-particle":"","family":"Church","given":"Deanna M.","non-dropping-particle":"","parse-names":false,"suffix":""},{"dropping-particle":"","family":"Jaffe","given":"David B.","non-dropping-particle":"","parse-names":false,"suffix":""}],"container-title":"Genome Research","id":"ITEM-1","issue":"4","issued":{"date-parts":[["2017"]]},"page":"757-767","title":"Corrigendum: Direct determination of diploid genome sequences","type":"article-journal","volume":"27"},"uris":["http://www.mendeley.com/documents/?uuid=0b195363-c9a5-4b0f-ab72-e8c9cc258e65"]}],"mendeley":{"formattedCitation":"&lt;sup&gt;19&lt;/sup&gt;","plainTextFormattedCitation":"19","previouslyFormattedCitation":"&lt;sup&gt;19&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19</w:t>
      </w:r>
      <w:r w:rsidR="00244E72"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Currently, Supernova is optimized to assemble human genomes at 38-56x coverage with higher coverage occasionally being advantageous</w:t>
      </w:r>
      <w:r w:rsidR="00244E72" w:rsidRPr="00E35CCB">
        <w:rPr>
          <w:rFonts w:ascii="Times New Roman" w:eastAsia="Times New Roman" w:hAnsi="Times New Roman" w:cs="Times New Roman"/>
        </w:rPr>
        <w:t xml:space="preserve"> in non-human species</w:t>
      </w:r>
      <w:r w:rsidRPr="00E35CCB">
        <w:rPr>
          <w:rFonts w:ascii="Times New Roman" w:eastAsia="Times New Roman" w:hAnsi="Times New Roman" w:cs="Times New Roman"/>
        </w:rPr>
        <w:t xml:space="preserve">. As such, I will run multiple assemblies ranging from </w:t>
      </w:r>
      <w:r w:rsidR="009F7DB2">
        <w:rPr>
          <w:rFonts w:ascii="Times New Roman" w:eastAsia="Times New Roman" w:hAnsi="Times New Roman" w:cs="Times New Roman"/>
        </w:rPr>
        <w:t>3</w:t>
      </w:r>
      <w:r w:rsidRPr="00E35CCB">
        <w:rPr>
          <w:rFonts w:ascii="Times New Roman" w:eastAsia="Times New Roman" w:hAnsi="Times New Roman" w:cs="Times New Roman"/>
        </w:rPr>
        <w:t>0-70x coverage to find a level that is best suited to assemble the delta smelt genome. I will assess the qualities of the</w:t>
      </w:r>
      <w:r w:rsidR="009F7DB2">
        <w:rPr>
          <w:rFonts w:ascii="Times New Roman" w:eastAsia="Times New Roman" w:hAnsi="Times New Roman" w:cs="Times New Roman"/>
        </w:rPr>
        <w:t xml:space="preserve"> resulting</w:t>
      </w:r>
      <w:r w:rsidRPr="00E35CCB">
        <w:rPr>
          <w:rFonts w:ascii="Times New Roman" w:eastAsia="Times New Roman" w:hAnsi="Times New Roman" w:cs="Times New Roman"/>
        </w:rPr>
        <w:t xml:space="preserve"> 10X assemblies using statistics corresponding to the completeness and contiguity of the Supernova assembly results. First, I will look at the contig N50 and scaffold N50 which are the shortest sequence length where 50% of the total genome size is contained in contigs or scaffolds larger than that size, respectively</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{"citationItems":[{"id":"ITEM-1","itemData":{"DOI":"10.1093/bioinformatics/btt086","ISSN":"13674803","abstract":"SUMMARY: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author":[{"dropping-particle":"","family":"Gurevich","given":"Alexey","non-dropping-particle":"","parse-names":false,"suffix":""},{"dropping-particle":"","family":"Saveliev","given":"Vladislav","non-dropping-particle":"","parse-names":false,"suffix":""},{"dropping-particle":"","family":"Vyahhi","given":"Nikolay","non-dropping-particle":"","parse-names":false,"suffix":""},{"dropping-particle":"","family":"Tesler","given":"Glenn","non-dropping-particle":"","parse-names":false,"suffix":""}],"container-title":"Bioinformatics","id":"ITEM-1","issue":"8","issued":{"date-parts":[["2013"]]},"page":"1072-1075","title":"QUAST: Quality assessment tool for genome assemblies","type":"article-journal","volume":"29"},"uris":["http://www.mendeley.com/documents/?uuid=1f2e3d3c-afe6-42e4-8ae5-121c298e99f3"]}],"mendeley":{"formattedCitation":"&lt;sup&gt;20&lt;/sup&gt;","plainTextFormattedCitation":"20","previouslyFormattedCitation":"&lt;sup&gt;20&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20</w:t>
      </w:r>
      <w:r w:rsidR="00244E72"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Next, I will assess the 10X assembly completeness through looking at the proportion of expected single-copy orthologs contained in the assembly using BUSCO</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21&lt;/sup&gt;","plainTextFormattedCitation":"21","previouslyFormattedCitation":"&lt;sup&gt;21&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21</w:t>
      </w:r>
      <w:r w:rsidR="00244E72" w:rsidRPr="00E35CCB">
        <w:rPr>
          <w:rFonts w:ascii="Times New Roman" w:eastAsia="Times New Roman" w:hAnsi="Times New Roman" w:cs="Times New Roman"/>
        </w:rPr>
        <w:fldChar w:fldCharType="end"/>
      </w:r>
    </w:p>
    <w:p w14:paraId="12D7E30F" w14:textId="77777777"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 </w:t>
      </w:r>
    </w:p>
    <w:p w14:paraId="7F2E68B9" w14:textId="5F4C1B8B"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After 10X assembly, I will cluster contigs into chromosome-scale scaffolds by using chromatin conformation capture. Hi-C based chromatin interaction maps provide a powerful tool to make all-by-all interactions of nucleotide sequence data that can be used to scaffold </w:t>
      </w:r>
      <w:r w:rsidRPr="00E35CCB">
        <w:rPr>
          <w:rFonts w:ascii="Times New Roman" w:eastAsia="Times New Roman" w:hAnsi="Times New Roman" w:cs="Times New Roman"/>
          <w:i/>
        </w:rPr>
        <w:t>de novo</w:t>
      </w:r>
      <w:r w:rsidRPr="00E35CCB">
        <w:rPr>
          <w:rFonts w:ascii="Times New Roman" w:eastAsia="Times New Roman" w:hAnsi="Times New Roman" w:cs="Times New Roman"/>
        </w:rPr>
        <w:t xml:space="preserve"> genome assemblies</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{"citationItems":[{"id":"ITEM-1","itemData":{"DOI":"10.1038/nbt.2764","ISSN":"1087-0156","abstract":"For all of the impressive recent progress in DNA sequencing technology, it is still not possible to assemble a complete genome sequence of a vertebrate organism from short reads without using a reference genome as a template. One key challenge is assembling contigs—contiguous sequences constructed from short reads—into chromosome-scale scaffolds; another is assign- ing genetic variants to the correct homologous chromosome, a process known as haplotyping. In this issue, Burton et al.1, Selvaraj et al.2 and Kaplan et al.3 provide elegant solutions to these challenges by exploiting chromatin interaction data from Hi-C, a method originally devel- oped to study three-dimensional folding of the genome4 and physical interactions linking reg- ulatory elements with distant sequences5. The new methods1–3 are the first to apply Hi-C data to genome assembly, and they have important advantages over earlier approaches for generat- ing chromosome-scale assemblies and haplo- types from short-read data.","author":[{"dropping-particle":"","family":"Korbel","given":"Jan O","non-dropping-particle":"","parse-names":false,"suffix":""},{"dropping-particle":"","family":"Lee","given":"Charles","non-dropping-particle":"","parse-names":false,"suffix":""}],"container-title":"Nature Biotechnology","id":"ITEM-1","issue":"12","issued":{"date-parts":[["2013"]]},"page":"1099-1101","publisher":"Nature Publishing Group","title":"Genome assembly and haplotyping with Hi-C","type":"article-journal","volume":"31"},"uris":["http://www.mendeley.com/documents/?uuid=49a87b0a-bf40-42bc-9afd-278a497e868f"]},{"id":"ITEM-2","itemData":{"DOI":"10.1038/nbt.2768","ISSN":"10870156","abstract":"Nature Biotechnology 31, 1143 (2013). doi:10.1038/nbt.2768","author":[{"dropping-particle":"","family":"Kaplan","given":"Noam","non-dropping-particle":"","parse-names":false,"suffix":""},{"dropping-particle":"","family":"Dekker","given":"Job","non-dropping-particle":"","parse-names":false,"suffix":""}],"container-title":"Nature Biotechnology","id":"ITEM-2","issue":"12","issued":{"date-parts":[["2013"]]},"page":"1143-1147","publisher":"Nature Publishing Group","title":"High-throughput genome scaffolding from in vivo DNA interaction frequency","type":"article-journal","volume":"31"},"uris":["http://www.mendeley.com/documents/?uuid=bf94d89c-261a-4367-bfc1-55872b5f54a1"]},{"id":"ITEM-3","itemData":{"DOI":"10.1016/j.ymeth.2014.10.031","ISSN":"10959130","abstract":"Over the last decade, development and application of a set of molecular genomic approaches based on the chromosome conformation capture method (3C), combined with increasingly powerful imaging approaches, have enabled high resolution and genome-wide analysis of the spatial organization of chromosomes. The aim of this paper is to provide guidelines for analyzing and interpreting data obtained with genome-wide 3C methods such as Hi-C and 3C-seq that rely on deep sequencing to detect and quantify pairwise chromatin interactions.","author":[{"dropping-particle":"","family":"Lajoie","given":"Bryan R.","non-dropping-particle":"","parse-names":false,"suffix":""},{"dropping-particle":"","family":"Dekker","given":"Job","non-dropping-particle":"","parse-names":false,"suffix":""},{"dropping-particle":"","family":"Kaplan","given":"Noam","non-dropping-particle":"","parse-names":false,"suffix":""}],"container-title":"Methods","id":"ITEM-3","issue":"C","issued":{"date-parts":[["2015"]]},"page":"65-75","title":"The Hitchhiker's guide to Hi-C analysis: Practical guidelines","type":"article-journal","volume":"72"},"uris":["http://www.mendeley.com/documents/?uuid=d067f81a-1368-4ee5-93cf-1c56dc4ace74"]},{"id":"ITEM-4","itemData":{"DOI":"10.1038/nature22971","ISSN":"14764687","abstract":"An improved reference genome for maize, using single-molecule sequencing and high-resolution optical mapping, enables characterization of structural variation and repetitive regions, and identifies lineage expansions of transposable elements that are unique to maize.","author":[{"dropping-particle":"","family":"Jiao","given":"Yinping","non-dropping-particle":"","parse-names":false,"suffix":""},{"dropping-particle":"","family":"Peluso","given":"Paul","non-dropping-particle":"","parse-names":false,"suffix":""},{"dropping-particle":"","family":"Shi","given":"Jinghua","non-dropping-particle":"","parse-names":false,"suffix":""},{"dropping-particle":"","family":"Liang","given":"Tiffany","non-dropping-particle":"","parse-names":false,"suffix":""},{"dropping-particle":"","family":"Stitzer","given":"Michelle C.","non-dropping-particle":"","parse-names":false,"suffix":""},{"dropping-particle":"","family":"Wang","given":"Bo","non-dropping-particle":"","parse-names":false,"suffix":""},{"dropping-particle":"","family":"Campbell","given":"Michael S.","non-dropping-particle":"","parse-names":false,"suffix":""},{"dropping-particle":"","family":"Stein","given":"Joshua C.","non-dropping-particle":"","parse-names":false,"suffix":""},{"dropping-particle":"","family":"Wei","given":"Xuehong","non-dropping-particle":"","parse-names":false,"suffix":""},{"dropping-particle":"","family":"Chin","given":"Chen Shan","non-dropping-particle":"","parse-names":false,"suffix":""},{"dropping-particle":"","family":"Guill","given":"Katherine","non-dropping-particle":"","parse-names":false,"suffix":""},{"dropping-particle":"","family":"Regulski","given":"Michael","non-dropping-particle":"","parse-names":false,"suffix":""},{"dropping-particle":"","family":"Kumari","given":"Sunita","non-dropping-particle":"","parse-names":false,"suffix":""},{"dropping-particle":"","family":"Olson","given":"Andrew","non-dropping-particle":"","parse-names":false,"suffix":""},{"dropping-particle":"","family":"Gent","given":"Jonathan","non-dropping-particle":"","parse-names":false,"suffix":""},{"dropping-particle":"","family":"Schneider","given":"Kevin L.","non-dropping-particle":"","parse-names":false,"suffix":""},{"dropping-particle":"","family":"Wolfgruber","given":"Thomas K.","non-dropping-particle":"","parse-names":false,"suffix":""},{"dropping-particle":"","family":"May","given":"Michael R.","non-dropping-particle":"","parse-names":false,"suffix":""},{"dropping-particle":"","family":"Springer","given":"Nathan M.","non-dropping-particle":"","parse-names":false,"suffix":""},{"dropping-particle":"","family":"Antoniou","given":"Eric","non-dropping-particle":"","parse-names":false,"suffix":""},{"dropping-particle":"","family":"McCombie","given":"W. Richard","non-dropping-particle":"","parse-names":false,"suffix":""},{"dropping-particle":"","family":"Presting","given":"Gernot G.","non-dropping-particle":"","parse-names":false,"suffix":""},{"dropping-particle":"","family":"McMullen","given":"Michael","non-dropping-particle":"","parse-names":false,"suffix":""},{"dropping-particle":"","family":"Ross-Ibarra","given":"Jeffrey","non-dropping-particle":"","parse-names":false,"suffix":""},{"dropping-particle":"","family":"Dawe","given":"R. Kelly","non-dropping-particle":"","parse-names":false,"suffix":""},{"dropping-particle":"","family":"Hastie","given":"Alex","non-dropping-particle":"","parse-names":false,"suffix":""},{"dropping-particle":"","family":"Rank","given":"David R.","non-dropping-particle":"","parse-names":false,"suffix":""},{"dropping-particle":"","family":"Ware","given":"Doreen","non-dropping-particle":"","parse-names":false,"suffix":""}],"container-title":"Nature","id":"ITEM-4","issue":"7659","issued":{"date-parts":[["2017"]]},"page":"524-527","publisher":"Nature Publishing Group","title":"Improved maize reference genome with single-molecule technologies","type":"article-journal","volume":"546"},"uris":["http://www.mendeley.com/documents/?uuid=ab3c15dc-73ad-40a8-8648-10949f37366b"]}],"mendeley":{"formattedCitation":"&lt;sup&gt;22–25&lt;/sup&gt;","plainTextFormattedCitation":"22–25","previouslyFormattedCitation":"&lt;sup&gt;22–25&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22–25</w:t>
      </w:r>
      <w:r w:rsidR="00244E72"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Hi-C libraries will be prepared according to Burton et al.</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{"citationItems":[{"id":"ITEM-1","itemData":{"DOI":"10.1534/g3.114.011825","abstract":"Microbial communities consist of mixed populations of organisms, including unknown species in unknown abundances. These communities are often studied through metagenomic shotgun sequencing, but standard library construction methods remove long-range contiguity information; thus, shotgun sequencing and de novo assembly of a metagenome typically yield a collection of contigs that cannot readily be grouped by species. Methods for generating chromatin-level contact probability maps, e.g., as generated by the Hi-C method, provide a signal of contiguity that is completely intracellular and contains both intrachromosomal and interchromosomal information. Here, we demonstrate how this signal can be exploited to reconstruct the individual genomes of microbial species present within a mixed sample. We apply this approach to two synthetic metagenome samples, successfully clustering the genome content of fungal, bacterial, and archaeal species with more than 99% agreement with published reference genomes. We also show that the Hi-C signal can secondarily be used to create scaffolded genome assemblies of individual eukaryotic species present within the microbial community, with higher levels of contiguity than some of the species’ published reference genomes.","author":[{"dropping-particle":"","family":"Burton","given":"Joshua N.","non-dropping-particle":"","parse-names":false,"suffix":""},{"dropping-particle":"","family":"Liachko","given":"Ivan","non-dropping-particle":"","parse-names":false,"suffix":""},{"dropping-particle":"","family":"Dunham","given":"Maitreya J.","non-dropping-particle":"","parse-names":false,"suffix":""},{"dropping-particle":"","family":"Shendure","given":"Jay","non-dropping-particle":"","parse-names":false,"suffix":""}],"container-title":"G3&amp;amp;#58; Genes|Genomes|Genetics","id":"ITEM-1","issue":"7","issued":{"date-parts":[["2014"]]},"page":"1339-1346","title":"Species-Level Deconvolution of Metagenome Assemblies with Hi-C–Based Contact Probability Maps","type":"article-journal","volume":"4"},"uris":["http://www.mendeley.com/documents/?uuid=d574b2e7-5639-45b3-80e3-b45185f0f2f2"]}],"mendeley":{"formattedCitation":"&lt;sup&gt;26&lt;/sup&gt;","plainTextFormattedCitation":"26","previouslyFormattedCitation":"&lt;sup&gt;26&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26</w:t>
      </w:r>
      <w:r w:rsidR="00244E72"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at the UC Davis DNA Technologies Core. Paired-end reads resulting from sequencing libraries will be scaffolded</w:t>
      </w:r>
      <w:r w:rsidR="00EE1DC6">
        <w:rPr>
          <w:rFonts w:ascii="Times New Roman" w:eastAsia="Times New Roman" w:hAnsi="Times New Roman" w:cs="Times New Roman"/>
        </w:rPr>
        <w:t xml:space="preserve"> with my 10X assembly</w:t>
      </w:r>
      <w:r w:rsidRPr="00E35CCB">
        <w:rPr>
          <w:rFonts w:ascii="Times New Roman" w:eastAsia="Times New Roman" w:hAnsi="Times New Roman" w:cs="Times New Roman"/>
        </w:rPr>
        <w:t xml:space="preserve"> using a Hi-C proximity guided assembly with the LACHESIS software</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{"citationItems":[{"id":"ITEM-1","itemData":{"DOI":"10.1038/nbt.2727","ISBN":"1546-1696 (Electronic)\\r1087-0156 (Linking)","ISSN":"10870156","PMID":"24185095","abstract":"Genomes assembled de novo from short reads are highly fragmented relative to the finished chromosomes of Homo sapiens and key model organisms generated by the Human Genome Project. To address this problem, we need scalable, cost-effective methods to obtain assemblies with chromosome-scale contiguity. Here we show that genome-wide chromatin interaction data sets, such as those generated by Hi-C, are a rich source of long-range information for assigning, ordering and orienting genomic sequences to chromosomes, including across centromeres. To exploit this finding, we developed an algorithm that uses Hi-C data for ultra-long-range scaffolding of de novo genome assemblies. We demonstrate the approach by combining shotgun fragment and short jump mate-pair sequences with Hi-C data to generate chromosome-scale de novo assemblies of the human, mouse and Drosophila genomes, achieving--for the human genome--98% accuracy in assigning scaffolds to chromosome groups and 99% accuracy in ordering and orienting scaffolds within chromosome groups. Hi-C data can also be used to validate chromosomal translocations in cancer genomes.","author":[{"dropping-particle":"","family":"Burton","given":"Joshua N.","non-dropping-particle":"","parse-names":false,"suffix":""},{"dropping-particle":"","family":"Adey","given":"Andrew","non-dropping-particle":"","parse-names":false,"suffix":""},{"dropping-particle":"","family":"Patwardhan","given":"Rupali P.","non-dropping-particle":"","parse-names":false,"suffix":""},{"dropping-particle":"","family":"Qiu","given":"Ruolan","non-dropping-particle":"","parse-names":false,"suffix":""},{"dropping-particle":"","family":"Kitzman","given":"Jacob O.","non-dropping-particle":"","parse-names":false,"suffix":""},{"dropping-particle":"","family":"Shendure","given":"Jay","non-dropping-particle":"","parse-names":false,"suffix":""}],"container-title":"Nature Biotechnology","id":"ITEM-1","issue":"12","issued":{"date-parts":[["2013"]]},"page":"1119-1125","publisher":"Nature Publishing Group","title":"Chromosome-scale scaffolding of de novo genome assemblies based on chromatin interactions","type":"article-journal","volume":"31"},"uris":["http://www.mendeley.com/documents/?uuid=7ce95e63-4dad-4423-976f-4b7117f9a440"]}],"mendeley":{"formattedCitation":"&lt;sup&gt;27&lt;/sup&gt;","plainTextFormattedCitation":"27","previouslyFormattedCitation":"&lt;sup&gt;27&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27</w:t>
      </w:r>
      <w:r w:rsidR="00244E72" w:rsidRPr="00E35CCB">
        <w:rPr>
          <w:rFonts w:ascii="Times New Roman" w:eastAsia="Times New Roman" w:hAnsi="Times New Roman" w:cs="Times New Roman"/>
        </w:rPr>
        <w:fldChar w:fldCharType="end"/>
      </w:r>
      <w:r w:rsidR="00B375E6">
        <w:rPr>
          <w:rFonts w:ascii="Times New Roman" w:eastAsia="Times New Roman" w:hAnsi="Times New Roman" w:cs="Times New Roman"/>
        </w:rPr>
        <w:t xml:space="preserve"> I will then repeat </w:t>
      </w:r>
      <w:r w:rsidR="00B1131F">
        <w:rPr>
          <w:rFonts w:ascii="Times New Roman" w:eastAsia="Times New Roman" w:hAnsi="Times New Roman" w:cs="Times New Roman"/>
        </w:rPr>
        <w:t>the calculation of</w:t>
      </w:r>
      <w:r w:rsidR="00BE0C83">
        <w:rPr>
          <w:rFonts w:ascii="Times New Roman" w:eastAsia="Times New Roman" w:hAnsi="Times New Roman" w:cs="Times New Roman"/>
        </w:rPr>
        <w:t xml:space="preserve"> N50</w:t>
      </w:r>
      <w:r w:rsidR="00B1131F">
        <w:rPr>
          <w:rFonts w:ascii="Times New Roman" w:eastAsia="Times New Roman" w:hAnsi="Times New Roman" w:cs="Times New Roman"/>
        </w:rPr>
        <w:t xml:space="preserve"> </w:t>
      </w:r>
      <w:r w:rsidR="00BE0C83">
        <w:rPr>
          <w:rFonts w:ascii="Times New Roman" w:eastAsia="Times New Roman" w:hAnsi="Times New Roman" w:cs="Times New Roman"/>
        </w:rPr>
        <w:t xml:space="preserve">and </w:t>
      </w:r>
      <w:r w:rsidR="00B1131F">
        <w:rPr>
          <w:rFonts w:ascii="Times New Roman" w:eastAsia="Times New Roman" w:hAnsi="Times New Roman" w:cs="Times New Roman"/>
        </w:rPr>
        <w:t>run</w:t>
      </w:r>
      <w:r w:rsidR="00BE0C83">
        <w:rPr>
          <w:rFonts w:ascii="Times New Roman" w:eastAsia="Times New Roman" w:hAnsi="Times New Roman" w:cs="Times New Roman"/>
        </w:rPr>
        <w:t xml:space="preserve"> BUSCO </w:t>
      </w:r>
      <w:r w:rsidR="00EE1DC6">
        <w:rPr>
          <w:rFonts w:ascii="Times New Roman" w:eastAsia="Times New Roman" w:hAnsi="Times New Roman" w:cs="Times New Roman"/>
        </w:rPr>
        <w:t>to assess the completeness of</w:t>
      </w:r>
      <w:r w:rsidR="00BE0C83">
        <w:rPr>
          <w:rFonts w:ascii="Times New Roman" w:eastAsia="Times New Roman" w:hAnsi="Times New Roman" w:cs="Times New Roman"/>
        </w:rPr>
        <w:t xml:space="preserve"> my </w:t>
      </w:r>
      <w:r w:rsidR="00B1131F">
        <w:rPr>
          <w:rFonts w:ascii="Times New Roman" w:eastAsia="Times New Roman" w:hAnsi="Times New Roman" w:cs="Times New Roman"/>
        </w:rPr>
        <w:t>reference genome</w:t>
      </w:r>
      <w:r w:rsidR="00BE0C83">
        <w:rPr>
          <w:rFonts w:ascii="Times New Roman" w:eastAsia="Times New Roman" w:hAnsi="Times New Roman" w:cs="Times New Roman"/>
        </w:rPr>
        <w:t>.</w:t>
      </w:r>
    </w:p>
    <w:p w14:paraId="32747CD7" w14:textId="77777777" w:rsidR="00DA301E" w:rsidRPr="00E35CCB" w:rsidRDefault="00DA301E" w:rsidP="00B4213F">
      <w:pPr>
        <w:ind w:left="-270" w:right="-270"/>
        <w:jc w:val="both"/>
        <w:rPr>
          <w:rFonts w:ascii="Times New Roman" w:eastAsia="Times New Roman" w:hAnsi="Times New Roman" w:cs="Times New Roman"/>
        </w:rPr>
      </w:pPr>
    </w:p>
    <w:p w14:paraId="39E612DB" w14:textId="77777777" w:rsidR="00DA301E" w:rsidRPr="00E35CCB" w:rsidRDefault="007312B3" w:rsidP="00B4213F">
      <w:pPr>
        <w:ind w:left="-270" w:right="-270"/>
        <w:jc w:val="both"/>
        <w:rPr>
          <w:rFonts w:ascii="Times New Roman" w:eastAsia="Times New Roman" w:hAnsi="Times New Roman" w:cs="Times New Roman"/>
          <w:b/>
        </w:rPr>
      </w:pPr>
      <w:r w:rsidRPr="00E35CCB">
        <w:rPr>
          <w:rFonts w:ascii="Times New Roman" w:eastAsia="Times New Roman" w:hAnsi="Times New Roman" w:cs="Times New Roman"/>
          <w:b/>
          <w:i/>
        </w:rPr>
        <w:t>Initial Results</w:t>
      </w:r>
    </w:p>
    <w:p w14:paraId="4A6E31BA" w14:textId="7C08AE0B"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Initial </w:t>
      </w:r>
      <w:r w:rsidR="00F14C91">
        <w:rPr>
          <w:rFonts w:ascii="Times New Roman" w:eastAsia="Times New Roman" w:hAnsi="Times New Roman" w:cs="Times New Roman"/>
        </w:rPr>
        <w:t>HMW gDNA extraction was far superior on the female sample, so an initial 10X library and assembly was only carried out on the female fish.</w:t>
      </w:r>
      <w:r w:rsidRPr="00E35CCB">
        <w:rPr>
          <w:rFonts w:ascii="Times New Roman" w:eastAsia="Times New Roman" w:hAnsi="Times New Roman" w:cs="Times New Roman"/>
        </w:rPr>
        <w:t xml:space="preserve"> </w:t>
      </w:r>
      <w:r w:rsidR="00F14C91">
        <w:rPr>
          <w:rFonts w:ascii="Times New Roman" w:eastAsia="Times New Roman" w:hAnsi="Times New Roman" w:cs="Times New Roman"/>
        </w:rPr>
        <w:t>Assembly results show</w:t>
      </w:r>
      <w:r w:rsidRPr="00E35CCB">
        <w:rPr>
          <w:rFonts w:ascii="Times New Roman" w:eastAsia="Times New Roman" w:hAnsi="Times New Roman" w:cs="Times New Roman"/>
        </w:rPr>
        <w:t xml:space="preserve"> estimated genome size </w:t>
      </w:r>
      <w:r w:rsidR="004775B3">
        <w:rPr>
          <w:rFonts w:ascii="Times New Roman" w:eastAsia="Times New Roman" w:hAnsi="Times New Roman" w:cs="Times New Roman"/>
        </w:rPr>
        <w:t xml:space="preserve">of 0.9Gb which is 0.3Gb </w:t>
      </w:r>
      <w:r w:rsidRPr="00E35CCB">
        <w:rPr>
          <w:rFonts w:ascii="Times New Roman" w:eastAsia="Times New Roman" w:hAnsi="Times New Roman" w:cs="Times New Roman"/>
        </w:rPr>
        <w:t>smaller than expected</w:t>
      </w:r>
      <w:r w:rsidR="0011745E">
        <w:rPr>
          <w:rFonts w:ascii="Times New Roman" w:eastAsia="Times New Roman" w:hAnsi="Times New Roman" w:cs="Times New Roman"/>
        </w:rPr>
        <w:t xml:space="preserve"> </w:t>
      </w:r>
      <w:r w:rsidR="00F14C91">
        <w:rPr>
          <w:rFonts w:ascii="Times New Roman" w:eastAsia="Times New Roman" w:hAnsi="Times New Roman" w:cs="Times New Roman"/>
        </w:rPr>
        <w:t>from genome size prediction</w:t>
      </w:r>
      <w:r w:rsidR="0011745E" w:rsidRPr="00E35CCB">
        <w:rPr>
          <w:rFonts w:ascii="Times New Roman" w:eastAsia="Times New Roman" w:hAnsi="Times New Roman" w:cs="Times New Roman"/>
        </w:rPr>
        <w:t xml:space="preserve"> </w:t>
      </w:r>
      <w:r w:rsidR="00F14C91">
        <w:rPr>
          <w:rFonts w:ascii="Times New Roman" w:eastAsia="Times New Roman" w:hAnsi="Times New Roman" w:cs="Times New Roman"/>
        </w:rPr>
        <w:t>based on</w:t>
      </w:r>
      <w:r w:rsidR="0011745E" w:rsidRPr="00E35CCB">
        <w:rPr>
          <w:rFonts w:ascii="Times New Roman" w:eastAsia="Times New Roman" w:hAnsi="Times New Roman" w:cs="Times New Roman"/>
        </w:rPr>
        <w:t xml:space="preserve"> </w:t>
      </w:r>
      <w:r w:rsidR="0011745E" w:rsidRPr="00E35CCB">
        <w:rPr>
          <w:rFonts w:ascii="Times New Roman" w:eastAsia="Times New Roman" w:hAnsi="Times New Roman" w:cs="Times New Roman"/>
          <w:i/>
        </w:rPr>
        <w:t xml:space="preserve">Sbf1 </w:t>
      </w:r>
      <w:r w:rsidR="0011745E" w:rsidRPr="00E35CCB">
        <w:rPr>
          <w:rFonts w:ascii="Times New Roman" w:eastAsia="Times New Roman" w:hAnsi="Times New Roman" w:cs="Times New Roman"/>
        </w:rPr>
        <w:t>RAD-derived loci</w:t>
      </w:r>
      <w:r w:rsidR="004775B3">
        <w:rPr>
          <w:rFonts w:ascii="Times New Roman" w:eastAsia="Times New Roman" w:hAnsi="Times New Roman" w:cs="Times New Roman"/>
        </w:rPr>
        <w:t>.</w:t>
      </w:r>
      <w:r w:rsidRPr="00E35CCB">
        <w:rPr>
          <w:rFonts w:ascii="Times New Roman" w:eastAsia="Times New Roman" w:hAnsi="Times New Roman" w:cs="Times New Roman"/>
        </w:rPr>
        <w:t xml:space="preserve"> </w:t>
      </w:r>
      <w:r w:rsidR="004775B3">
        <w:rPr>
          <w:rFonts w:ascii="Times New Roman" w:eastAsia="Times New Roman" w:hAnsi="Times New Roman" w:cs="Times New Roman"/>
        </w:rPr>
        <w:t>T</w:t>
      </w:r>
      <w:r w:rsidRPr="00E35CCB">
        <w:rPr>
          <w:rFonts w:ascii="Times New Roman" w:eastAsia="Times New Roman" w:hAnsi="Times New Roman" w:cs="Times New Roman"/>
        </w:rPr>
        <w:t xml:space="preserve">his </w:t>
      </w:r>
      <w:r w:rsidR="004775B3">
        <w:rPr>
          <w:rFonts w:ascii="Times New Roman" w:eastAsia="Times New Roman" w:hAnsi="Times New Roman" w:cs="Times New Roman"/>
        </w:rPr>
        <w:t xml:space="preserve">discrepancy </w:t>
      </w:r>
      <w:r w:rsidRPr="00E35CCB">
        <w:rPr>
          <w:rFonts w:ascii="Times New Roman" w:eastAsia="Times New Roman" w:hAnsi="Times New Roman" w:cs="Times New Roman"/>
        </w:rPr>
        <w:t xml:space="preserve">resulted in an excessive read depth for the </w:t>
      </w:r>
      <w:r w:rsidR="00F14C91">
        <w:rPr>
          <w:rFonts w:ascii="Times New Roman" w:eastAsia="Times New Roman" w:hAnsi="Times New Roman" w:cs="Times New Roman"/>
        </w:rPr>
        <w:t xml:space="preserve">first </w:t>
      </w:r>
      <w:r w:rsidRPr="00E35CCB">
        <w:rPr>
          <w:rFonts w:ascii="Times New Roman" w:eastAsia="Times New Roman" w:hAnsi="Times New Roman" w:cs="Times New Roman"/>
        </w:rPr>
        <w:t>assembly</w:t>
      </w:r>
      <w:r w:rsidR="004775B3">
        <w:rPr>
          <w:rFonts w:ascii="Times New Roman" w:eastAsia="Times New Roman" w:hAnsi="Times New Roman" w:cs="Times New Roman"/>
        </w:rPr>
        <w:t xml:space="preserve"> with a </w:t>
      </w:r>
      <w:r w:rsidRPr="00E35CCB">
        <w:rPr>
          <w:rFonts w:ascii="Times New Roman" w:eastAsia="Times New Roman" w:hAnsi="Times New Roman" w:cs="Times New Roman"/>
        </w:rPr>
        <w:t xml:space="preserve">raw read coverage of 91.06x. Despite having a sequencing depth outside of that recommended by Supernova, the initial assembly produced scaffold N50 of 1.59MB. </w:t>
      </w:r>
    </w:p>
    <w:p w14:paraId="00768211" w14:textId="77777777" w:rsidR="00DA301E" w:rsidRPr="00E35CCB" w:rsidRDefault="00DA301E" w:rsidP="00B4213F">
      <w:pPr>
        <w:ind w:left="-270" w:right="-270"/>
        <w:jc w:val="both"/>
        <w:rPr>
          <w:rFonts w:ascii="Times New Roman" w:eastAsia="Times New Roman" w:hAnsi="Times New Roman" w:cs="Times New Roman"/>
        </w:rPr>
      </w:pPr>
    </w:p>
    <w:p w14:paraId="5D688351" w14:textId="77777777"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b/>
          <w:i/>
        </w:rPr>
        <w:t>Potential Problems</w:t>
      </w:r>
    </w:p>
    <w:p w14:paraId="66C0C35A" w14:textId="598EFB81" w:rsidR="00DA301E" w:rsidRDefault="007312B3" w:rsidP="00F14C91">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Due to the physical size difference in male and female delta smelt, it may be challenging to extract a sufficient quantity of HMW DNA to carry out Hi-C in male samples. Depending on the genomic architecture that differentiates male from female this may present an issue. If it does not appear male delta smelt have novel sex chromosomes, then I will carry out Hi-C using only female delta smelt. If it appears male delta smelt have novel </w:t>
      </w:r>
      <w:r w:rsidRPr="00E35CCB">
        <w:rPr>
          <w:rFonts w:ascii="Times New Roman" w:eastAsia="Times New Roman" w:hAnsi="Times New Roman" w:cs="Times New Roman"/>
        </w:rPr>
        <w:lastRenderedPageBreak/>
        <w:t xml:space="preserve">sex chromosome(s) and I cannot extract sufficient DNA from one male fish, I will work with the FCCL to produce an inbred line and pool DNA from two male </w:t>
      </w:r>
      <w:r w:rsidR="007634F8">
        <w:rPr>
          <w:rFonts w:ascii="Times New Roman" w:eastAsia="Times New Roman" w:hAnsi="Times New Roman" w:cs="Times New Roman"/>
        </w:rPr>
        <w:t>full-</w:t>
      </w:r>
      <w:r w:rsidRPr="00E35CCB">
        <w:rPr>
          <w:rFonts w:ascii="Times New Roman" w:eastAsia="Times New Roman" w:hAnsi="Times New Roman" w:cs="Times New Roman"/>
        </w:rPr>
        <w:t>siblings together.</w:t>
      </w:r>
    </w:p>
    <w:p w14:paraId="35403D47" w14:textId="77777777" w:rsidR="009411BA" w:rsidRPr="00E35CCB" w:rsidRDefault="009411BA" w:rsidP="00B4213F">
      <w:pPr>
        <w:ind w:left="-270" w:right="-270"/>
        <w:jc w:val="both"/>
        <w:rPr>
          <w:rFonts w:ascii="Times New Roman" w:eastAsia="Times New Roman" w:hAnsi="Times New Roman" w:cs="Times New Roman"/>
        </w:rPr>
      </w:pPr>
    </w:p>
    <w:p w14:paraId="0C134A3C" w14:textId="1D8DE6C1" w:rsidR="00DA301E" w:rsidRPr="00E35CCB" w:rsidRDefault="009411BA" w:rsidP="00B4213F">
      <w:pPr>
        <w:ind w:left="-270" w:right="-270"/>
        <w:jc w:val="both"/>
        <w:rPr>
          <w:rFonts w:ascii="Times New Roman" w:eastAsia="Times New Roman" w:hAnsi="Times New Roman" w:cs="Times New Roman"/>
        </w:rPr>
      </w:pPr>
      <w:r w:rsidRPr="00F14C91">
        <w:rPr>
          <w:rFonts w:ascii="Times New Roman" w:eastAsia="Times New Roman" w:hAnsi="Times New Roman" w:cs="Times New Roman"/>
          <w:b/>
          <w:u w:val="single"/>
        </w:rPr>
        <w:t>AIM</w:t>
      </w:r>
      <w:r w:rsidR="007312B3" w:rsidRPr="00F14C91">
        <w:rPr>
          <w:rFonts w:ascii="Times New Roman" w:eastAsia="Times New Roman" w:hAnsi="Times New Roman" w:cs="Times New Roman"/>
          <w:b/>
          <w:u w:val="single"/>
        </w:rPr>
        <w:t xml:space="preserve"> #2:</w:t>
      </w:r>
      <w:r w:rsidR="007312B3" w:rsidRPr="00E35CCB">
        <w:rPr>
          <w:rFonts w:ascii="Times New Roman" w:eastAsia="Times New Roman" w:hAnsi="Times New Roman" w:cs="Times New Roman"/>
          <w:b/>
        </w:rPr>
        <w:t xml:space="preserve"> Develop</w:t>
      </w:r>
      <w:r w:rsidR="002E433B" w:rsidRPr="00E35CCB">
        <w:rPr>
          <w:rFonts w:ascii="Times New Roman" w:eastAsia="Times New Roman" w:hAnsi="Times New Roman" w:cs="Times New Roman"/>
          <w:b/>
        </w:rPr>
        <w:t xml:space="preserve"> a</w:t>
      </w:r>
      <w:r w:rsidR="007312B3" w:rsidRPr="00E35CCB">
        <w:rPr>
          <w:rFonts w:ascii="Times New Roman" w:eastAsia="Times New Roman" w:hAnsi="Times New Roman" w:cs="Times New Roman"/>
          <w:b/>
        </w:rPr>
        <w:t xml:space="preserve"> reproducible framework to infer </w:t>
      </w:r>
      <w:r w:rsidR="00CF5161">
        <w:rPr>
          <w:rFonts w:ascii="Times New Roman" w:eastAsia="Times New Roman" w:hAnsi="Times New Roman" w:cs="Times New Roman"/>
          <w:b/>
        </w:rPr>
        <w:t>contemporary</w:t>
      </w:r>
      <w:r w:rsidR="007312B3" w:rsidRPr="00E35CCB">
        <w:rPr>
          <w:rFonts w:ascii="Times New Roman" w:eastAsia="Times New Roman" w:hAnsi="Times New Roman" w:cs="Times New Roman"/>
          <w:b/>
        </w:rPr>
        <w:t xml:space="preserve"> effective population</w:t>
      </w:r>
      <w:r w:rsidR="00CF5161">
        <w:rPr>
          <w:rFonts w:ascii="Times New Roman" w:eastAsia="Times New Roman" w:hAnsi="Times New Roman" w:cs="Times New Roman"/>
          <w:b/>
        </w:rPr>
        <w:t xml:space="preserve"> sizes</w:t>
      </w:r>
      <w:r w:rsidR="007312B3" w:rsidRPr="00E35CCB">
        <w:rPr>
          <w:rFonts w:ascii="Times New Roman" w:eastAsia="Times New Roman" w:hAnsi="Times New Roman" w:cs="Times New Roman"/>
          <w:b/>
        </w:rPr>
        <w:t xml:space="preserve"> of delta smelt.</w:t>
      </w:r>
    </w:p>
    <w:p w14:paraId="5B13A0E9" w14:textId="77777777" w:rsidR="00DA301E" w:rsidRPr="00E35CCB" w:rsidRDefault="007312B3" w:rsidP="00B4213F">
      <w:pPr>
        <w:ind w:left="-270" w:right="-270"/>
        <w:jc w:val="both"/>
        <w:rPr>
          <w:rFonts w:ascii="Times New Roman" w:eastAsia="Times New Roman" w:hAnsi="Times New Roman" w:cs="Times New Roman"/>
          <w:b/>
          <w:i/>
        </w:rPr>
      </w:pPr>
      <w:r w:rsidRPr="00E35CCB">
        <w:rPr>
          <w:rFonts w:ascii="Times New Roman" w:eastAsia="Times New Roman" w:hAnsi="Times New Roman" w:cs="Times New Roman"/>
          <w:b/>
          <w:i/>
        </w:rPr>
        <w:t>Rationale</w:t>
      </w:r>
    </w:p>
    <w:p w14:paraId="1B10DE91" w14:textId="7E8D4783"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The U.S. Fish and Wildlife Service has increased monitoring delta smelt through estimating local abundance in their year-round weekly sampling throughout the Delta since November 2016. Abundance of delta smelt is calculated from the product of the number of fish physically caught, and the total sampled volume of water</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{"citationItems":[{"id":"ITEM-1","itemData":{"DOI":"10.1080/00028487.2013.799518","ISBN":"0002-8487","ISSN":"00028487","abstract":"Abstract Many factors have been implicated in the decline of Delta Smelt Hypomesus transpacificus in the upper San Francisco Estuary, and the importance of each factor is difficult to determine using field data alone. We describe a spatially explicit, individual-based population model of Delta Smelt configured for the upper estuary. The model followed the reproduction, growth, mortality, and movement of individuals over their entire life cycle on the same spatial grid of cells as the Delta Simulation Model (DSM2) hydrodynamics model. Daily values of water temperature, salinity, and densities of six zooplankton prey types were represented on the spatial grid. Reproduction was evaluated daily, and new individuals were introduced into the model as yolk sac larvae. Growth of feeding individuals was based on bioenergetics and zooplankton densities. Mortality sources included natural mortality, starvation, and entrainment in water diversion facilities. Movement of larvae was determined using a particle tracking model, while movement of juveniles and adults was based on salinity. Simulations were performed for 1995–2005. The baseline simulation was generally consistent with the available data. Predicted daily fractions of larvae entrained and annual fractions of adults entrained were similar in magnitude to data-based estimates but showed less interannual variation. Interannual differences in mean length at age 1 had large effects on maturity and subsequent egg production. Predicted and observed spatial distributions in the fall showed moderately good agreement for extremely low- and high-outflow years. As indicated by the population growth rate, 1998 was the best year and 2001 was the worst year. Water year 1998 (i.e., October 1997–September 1998) was characterized by fast growth in fall 1997, low entrainment, and high stage-specific survival rates, whereas water year 2001 had opposite conditions. Our analysis further shows how multiple factors can operate simultaneously to result in the decline in abundance of Delta Smelt. Received November 9, 2012; accepted April 18, 2013","author":[{"dropping-particle":"","family":"Rose","given":"Kenneth A.","non-dropping-particle":"","parse-names":false,"suffix":""},{"dropping-particle":"","family":"Kimmerer","given":"Wim J.","non-dropping-particle":"","parse-names":false,"suffix":""},{"dropping-particle":"","family":"Edwards","given":"Karen P.","non-dropping-particle":"","parse-names":false,"suffix":""},{"dropping-particle":"","family":"Bennett","given":"William A.","non-dropping-particle":"","parse-names":false,"suffix":""}],"container-title":"Transactions of the American Fisheries Society","id":"ITEM-1","issue":"5","issued":{"date-parts":[["2013"]]},"page":"1238-1259","title":"Individual-based modeling of delta smelt population dynamics in the upper san francisco estuary: I. model description and baseline results","type":"article-journal","volume":"142"},"uris":["http://www.mendeley.com/documents/?uuid=ef3b0554-a80a-4ec7-bd23-d04ad0d25dcb"]}],"mendeley":{"formattedCitation":"&lt;sup&gt;28&lt;/sup&gt;","plainTextFormattedCitation":"28","previouslyFormattedCitation":"&lt;sup&gt;28&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28</w:t>
      </w:r>
      <w:r w:rsidR="00244E72"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This method gives highly variable abundance estimates depending on a difference of relatively few fish. Recent abundance estimates range from over 18,000 fish in January 2019 where nine fish were caught, followed by zero fish in March 2019 where no fish were caught</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{"citationItems":[{"id":"ITEM-1","itemData":{"author":[{"dropping-particle":"","family":"Fish","given":"U S","non-dropping-particle":"","parse-names":false,"suffix":""},{"dropping-particle":"","family":"Service","given":"Wildlife","non-dropping-particle":"","parse-names":false,"suffix":""}],"id":"ITEM-1","issued":{"date-parts":[["2019"]]},"number-of-pages":"1-10","title":"Enhanced Delta Smelt Monitoring 2018-2019 Phase 1 Sampling Preliminary Analysis: DRAFT","type":"report"},"uris":["http://www.mendeley.com/documents/?uuid=39970288-d9d2-464f-837e-5ddacc25a0b1"]}],"mendeley":{"formattedCitation":"&lt;sup&gt;29&lt;/sup&gt;","plainTextFormattedCitation":"29","previouslyFormattedCitation":"&lt;sup&gt;29&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29</w:t>
      </w:r>
      <w:r w:rsidR="00244E72"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Additionally, this surveillance method does not indicate genetic health or diversity of the species. A complementary method of quantifying levels of delta smelt can be achieved through monitoring the fish by estimating the contemporary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Pr="00E35CCB">
        <w:rPr>
          <w:rFonts w:ascii="Times New Roman" w:eastAsia="Times New Roman" w:hAnsi="Times New Roman" w:cs="Times New Roman"/>
        </w:rPr>
        <w:t xml:space="preserve"> of the species through time. </w:t>
      </w:r>
    </w:p>
    <w:p w14:paraId="713724EF" w14:textId="77777777" w:rsidR="00DA301E" w:rsidRPr="00E35CCB" w:rsidRDefault="00DA301E" w:rsidP="00B4213F">
      <w:pPr>
        <w:ind w:left="-270" w:right="-270"/>
        <w:jc w:val="both"/>
        <w:rPr>
          <w:rFonts w:ascii="Times New Roman" w:eastAsia="Times New Roman" w:hAnsi="Times New Roman" w:cs="Times New Roman"/>
        </w:rPr>
      </w:pPr>
    </w:p>
    <w:p w14:paraId="6B90D0DE" w14:textId="0E585E5E" w:rsidR="00DA301E" w:rsidRPr="00E35CCB" w:rsidRDefault="00CB2F7F" w:rsidP="00B4213F">
      <w:pPr>
        <w:ind w:left="-270" w:right="-270"/>
        <w:jc w:val="both"/>
        <w:rPr>
          <w:rFonts w:ascii="Times New Roman" w:eastAsia="Times New Roman" w:hAnsi="Times New Roman" w:cs="Times New Roman"/>
        </w:rPr>
      </w:pP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007312B3" w:rsidRPr="00E35CCB">
        <w:rPr>
          <w:rFonts w:ascii="Times New Roman" w:eastAsia="Times New Roman" w:hAnsi="Times New Roman" w:cs="Times New Roman"/>
        </w:rPr>
        <w:t>is a useful tool in monitoring endangered populations as it can inform how likely alleles in the population are to be lost or fixed</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{"citationItems":[{"id":"ITEM-1","itemData":{"DOI":"10.1016/j.biocon.2005.05.002","ISBN":"0006-3207, 0006-3207","ISSN":"00063207","PMID":"4245","abstract":"The role of genetic factors in extinction has been a controversial issue, especially since Lande's paper [Genetics and demography in biological conservation, Science 241 (1988) 1455-1460] paper in Science. Here I review the evidence on the contribution of genetic factors to extinction risk. Inbreeding depression, loss of genetic diversity and mutation accumulation have been hypothesised to increase extinction risk. There is now compelling evidence that inbreeding depression and loss of genetic diversity increase extinction risk in laboratory populations of naturally outbreeding species. There is now clear evidence for inbreeding depression in wild species of naturally outbreeding species and strong grounds from individual case studies and from computer projections for believing that this contributes to extinction risk. Further, most species are not driven to extinction before genetic factors have time to impact. The contributions of mutation accumulation to extinction risk in threatened taxa appear to be small and to require very many generations. Thus, there is now sufficient evidence to regard the controversies regarding the contribution of genetic factors to extinction risk as resolved. If genetic factors are ignored, extinction risk will be underestimated and inappropriate recovery strategies may be used. © 2005 Elsevier Ltd. All rights reserved.","author":[{"dropping-particle":"","family":"Frankham","given":"Richard","non-dropping-particle":"","parse-names":false,"suffix":""}],"container-title":"Biological Conservation","id":"ITEM-1","issue":"2","issued":{"date-parts":[["2005"]]},"page":"131-140","title":"Genetics and extinction","type":"article-journal","volume":"126"},"uris":["http://www.mendeley.com/documents/?uuid=2b645802-4850-42da-800e-434555e1e54b"]},{"id":"ITEM-2","itemData":{"DOI":"10.1007/s10592-010-0050-7","ISBN":"1566-0621\\r1572-9737","ISSN":"15660621","abstract":"Population census size (NC) and effective population sizes (Ne) are two crucial parameters that influence population viability, wildlife management deci- sions, and conservation planning. Genetic estimators of both NC and Ne are increasingly widely used because molecular markers are increasingly available, statistical methods are improving rapidly, and genetic estimators complement or improve upon traditional demographic estimators. We review the kinds and applications of estimators of both NC and Ne, and the often undervalued and misunderstood ratio of effective-to-census size (Ne/NC). We focus on recently improved and well evalu- ated methods that are most likely to facilitate conservation. Finally, we outline areas of future research to improve Ne and NC estimation in wild populations.","author":[{"dropping-particle":"","family":"Luikart","given":"Gordon","non-dropping-particle":"","parse-names":false,"suffix":""},{"dropping-particle":"","family":"Ryman","given":"Nils","non-dropping-particle":"","parse-names":false,"suffix":""},{"dropping-particle":"","family":"Tallmon","given":"David A.","non-dropping-particle":"","parse-names":false,"suffix":""},{"dropping-particle":"","family":"Schwartz","given":"Michael K.","non-dropping-particle":"","parse-names":false,"suffix":""},{"dropping-particle":"","family":"Allendorf","given":"Fred W.","non-dropping-particle":"","parse-names":false,"suffix":""}],"container-title":"Conservation Genetics","id":"ITEM-2","issue":"2","issued":{"date-parts":[["2010"]]},"page":"355-373","title":"Estimation of census and effective population sizes: The increasing usefulness of DNA-based approaches","type":"article-journal","volume":"11"},"uris":["http://www.mendeley.com/documents/?uuid=7a4a6caa-c6d0-4f70-86be-c8c0618ac22e"]}],"mendeley":{"formattedCitation":"&lt;sup&gt;30,31&lt;/sup&gt;","plainTextFormattedCitation":"30,31","previouslyFormattedCitation":"&lt;sup&gt;30,31&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30,31</w:t>
      </w:r>
      <w:r w:rsidR="00244E72" w:rsidRPr="00E35CCB">
        <w:rPr>
          <w:rFonts w:ascii="Times New Roman" w:eastAsia="Times New Roman" w:hAnsi="Times New Roman" w:cs="Times New Roman"/>
        </w:rPr>
        <w:fldChar w:fldCharType="end"/>
      </w:r>
      <w:r w:rsidR="00244E72" w:rsidRPr="00E35CCB">
        <w:rPr>
          <w:rFonts w:ascii="Times New Roman" w:eastAsia="Times New Roman" w:hAnsi="Times New Roman" w:cs="Times New Roman"/>
        </w:rPr>
        <w:t xml:space="preserve"> </w:t>
      </w:r>
      <w:r w:rsidR="007312B3" w:rsidRPr="00E35CCB">
        <w:rPr>
          <w:rFonts w:ascii="Times New Roman" w:eastAsia="Times New Roman" w:hAnsi="Times New Roman" w:cs="Times New Roman"/>
        </w:rPr>
        <w:t xml:space="preserve">The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007312B3" w:rsidRPr="00E35CCB">
        <w:rPr>
          <w:rFonts w:ascii="Times New Roman" w:eastAsia="Times New Roman" w:hAnsi="Times New Roman" w:cs="Times New Roman"/>
        </w:rPr>
        <w:t>of a given species is defined as the size of a Wright Fisher population that would have the same rate of change of a genetic parameter as the population under study</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{"citationItems":[{"id":"ITEM-1","itemData":{"ISSN":"0016-6731","PMID":"17246615","abstract":"One of the major incentives in the pioneer studies of heredity and variation which led to modern genetics was the hope of obtaining a deeper insight into the evolutionary process. Following the rediscovery of the Mendelian mechanism. there came a feeling that the ... \\n","author":[{"dropping-particle":"","family":"Wright","given":"S","non-dropping-particle":"","parse-names":false,"suffix":""}],"container-title":"Genetics","id":"ITEM-1","issue":"2","issued":{"date-parts":[["1931"]]},"page":"97-159","title":"Evolution in Mendelian Populations.","type":"article-journal","volume":"16"},"uris":["http://www.mendeley.com/documents/?uuid=2f019c74-7e4f-429e-b343-56e7f88947a9"]}],"mendeley":{"formattedCitation":"&lt;sup&gt;32&lt;/sup&gt;","plainTextFormattedCitation":"32","previouslyFormattedCitation":"&lt;sup&gt;32&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32</w:t>
      </w:r>
      <w:r w:rsidR="00244E72" w:rsidRPr="00E35CCB">
        <w:rPr>
          <w:rFonts w:ascii="Times New Roman" w:eastAsia="Times New Roman" w:hAnsi="Times New Roman" w:cs="Times New Roman"/>
        </w:rPr>
        <w:fldChar w:fldCharType="end"/>
      </w:r>
      <w:r w:rsidR="007312B3" w:rsidRPr="00E35CCB">
        <w:rPr>
          <w:rFonts w:ascii="Times New Roman" w:eastAsia="Times New Roman" w:hAnsi="Times New Roman" w:cs="Times New Roman"/>
        </w:rPr>
        <w:t xml:space="preserve"> A number of methods exist to estimate both historical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007312B3" w:rsidRPr="00E35CCB">
        <w:rPr>
          <w:rFonts w:ascii="Times New Roman" w:eastAsia="Times New Roman" w:hAnsi="Times New Roman" w:cs="Times New Roman"/>
        </w:rPr>
        <w:t xml:space="preserve">for evolutionary purposes, as well as contemporary, or short-term,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007312B3" w:rsidRPr="00E35CCB">
        <w:rPr>
          <w:rFonts w:ascii="Times New Roman" w:eastAsia="Times New Roman" w:hAnsi="Times New Roman" w:cs="Times New Roman"/>
        </w:rPr>
        <w:t>to quantify modern day genetic diversity</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{"citationItems":[{"id":"ITEM-1","itemData":{"DOI":"10.1098/rstb.2005.1682","ISBN":"0962-8436","ISSN":"0962-8436","PMID":"16048783","abstract":"The effective population size (Ne) is an important parameter in ecology, evolutionary biology and conservation biology. It is, however, notoriously difficult to estimate, mainly because of the highly stochastic nature of the processes of inbreeding and genetic drift for which Ne is usually defined and measured, and because of the many factors (such as time and spatial scales, systematic forces) confounding such processes. Many methods have been developed in the past three decades to estimate the current, past and ancient effective population sizes using different information extracted from some genetic markers in a sample of individuals. This paper reviews the methodologies proposed for estimating Ne from genetic data using information on heterozygosity excess, linkage disequilibrium, temporal changes in allele frequency, and pattern and amount of genetic variation within and between populations. For each methodology, I describe mainly the logic and genetic model on which it is based, the data required and information used, the interpretation of the estimate obtained, some results from applications to simulated or empirical datasets and future developments that are needed.","author":[{"dropping-particle":"","family":"Wang","given":"J.","non-dropping-particle":"","parse-names":false,"suffix":""}],"container-title":"Philosophical Transactions of the Royal Society B: Biological Sciences","id":"ITEM-1","issue":"1459","issued":{"date-parts":[["2005"]]},"page":"1395-1409","title":"Estimation of effective population sizes from data on genetic markers","type":"article-journal","volume":"360"},"uris":["http://www.mendeley.com/documents/?uuid=dd6e8d60-7ab6-4c3a-acc8-6fb211dec206"]}],"mendeley":{"formattedCitation":"&lt;sup&gt;33&lt;/sup&gt;","plainTextFormattedCitation":"33","previouslyFormattedCitation":"&lt;sup&gt;33&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33</w:t>
      </w:r>
      <w:r w:rsidR="00244E72" w:rsidRPr="00E35CCB">
        <w:rPr>
          <w:rFonts w:ascii="Times New Roman" w:eastAsia="Times New Roman" w:hAnsi="Times New Roman" w:cs="Times New Roman"/>
        </w:rPr>
        <w:fldChar w:fldCharType="end"/>
      </w:r>
      <w:r w:rsidR="007312B3" w:rsidRPr="00E35CCB">
        <w:rPr>
          <w:rFonts w:ascii="Times New Roman" w:eastAsia="Times New Roman" w:hAnsi="Times New Roman" w:cs="Times New Roman"/>
        </w:rPr>
        <w:t xml:space="preserve"> Contemporary methods use different genetic parameters such as linkage disequilibrium (LD) between two allele frequencies (inbreeding), allele frequency variance between generations (genetic drift), the difference in the number of heterozygotes with respect of Hardy-Weinberg equilibrium (heterozygote excess) and molecular co-ancestry (coalescent)</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{"citationItems":[{"id":"ITEM-1","itemData":{"DOI":"10.1017/S0016672300020553","ISSN":"0016-6723","author":[{"dropping-particle":"","family":"Hill","given":"William G.","non-dropping-particle":"","parse-names":false,"suffix":""}],"container-title":"Genetical Research","id":"ITEM-1","issue":"03","issued":{"date-parts":[["1981","12","14"]]},"page":"209","publisher":"Cambridge University Press","title":"Estimation of effective population size from data on linkage disequilibrium","type":"article-journal","volume":"38"},"uris":["http://www.mendeley.com/documents/?uuid=0c984971-cd8a-3232-a9f3-218ae59a80c8"]},{"id":"ITEM-2","itemData":{"author":[{"dropping-particle":"","family":"Krimbas","given":"C. B.","non-dropping-particle":"","parse-names":false,"suffix":""},{"dropping-particle":"","family":"Tsakas","given":"S.","non-dropping-particle":"","parse-names":false,"suffix":""}],"container-title":"Evolution","id":"ITEM-2","issue":"25","issued":{"date-parts":[["1971"]]},"page":"454-460","title":"THE GENETICS OF DACUS OLEAE. V. CHANGES OF ESTERASE POLYMORPHISM IN A NATURAL POPULA- TION FOLLOWING INSECTICIDE CONTROL-SELECTION OR DRIFT?","type":"article-journal"},"uris":["http://www.mendeley.com/documents/?uuid=a02123bf-3e2b-4d59-a3ed-315192e422ca"]},{"id":"ITEM-3","itemData":{"author":[{"dropping-particle":"","family":"Watterson","given":"G. A.","non-dropping-particle":"","parse-names":false,"suffix":""}],"container-title":"Theoretical Population Biology","id":"ITEM-3","issue":"7","issued":{"date-parts":[["1975"]]},"page":"256-276","title":"On the Number of Segragating Sites in Genetic Models without Recombination","type":"article-journal","volume":"276"},"uris":["http://www.mendeley.com/documents/?uuid=cf35679a-c5f4-4599-b7cd-b436c8d9d8ed"]},{"id":"ITEM-4","itemData":{"DOI":"10.1038/hdy.1994.174","ISSN":"13652540","abstract":"Effective population size is a key parameter in evolutionary and quantitative genetics because it measures the rate of genetic drift and inbreeding. Predictive equations of effective size under a range of circumstances and some of their implications are reviewed in this paper. Derivations are made for the simplest cases, and inter-relations between different formulae and methods are discussed.","author":[{"dropping-particle":"","family":"Caballero","given":"Armando","non-dropping-particle":"","parse-names":false,"suffix":""}],"container-title":"Heredity","id":"ITEM-4","issue":"6","issued":{"date-parts":[["1994"]]},"page":"657-679","title":"Developments in the prediction of effective population size","type":"article-journal","volume":"73"},"uris":["http://www.mendeley.com/documents/?uuid=8a662a47-f33b-444d-9234-ebb7d3d4213e"]},{"id":"ITEM-5","itemData":{"DOI":"10.1017/S0003356100025770","ISSN":"0003-3561","abstract":"&lt;p&gt; If, from a population, samples of individuals are drawn with a small number of parents, it is shown that there will be on average an apparent excess of heterozygotes above the number calculated from the gene frequency in each sample. The apparent proportional excess is &lt;inline-graphic href=\"S0003356100025770_inline1\" mime-subtype=\"gif\"/&gt; where M and F are the number of male and female parents. This is independent of the number of alleles at the locus concerned. The use of the usual significance tests will also be affected. If analyses are done within herds of domestic livestock, particularly cattle, the number of sires in use at any time is likely to lead to a bias of a size which is of biological importance. The conditions under which genotypic ratios can usefully be examined are discussed. &lt;/p&gt;","author":[{"dropping-particle":"","family":"Robertson","given":"Alan","non-dropping-particle":"","parse-names":false,"suffix":""}],"container-title":"Animal Production","id":"ITEM-5","issue":"03","issued":{"date-parts":[["1965","10","2"]]},"page":"319-324","publisher":"Cambridge University Press","title":"The interpretation of genotypic ratios in domestic animal populations","type":"article-journal","volume":"7"},"uris":["http://www.mendeley.com/documents/?uuid=14fac74c-941d-32d8-ba31-bc9470c43041"]},{"id":"ITEM-6","itemData":{"ISBN":"0016-6731","ISSN":"00166731","PMID":"17249104","abstract":"The statistical properties of the standardized variance of gene frequency changes (a quantity equivalent to Wright's inbreeding coefficient) in a random mating population are studied, and new formulae for estimating the effective population size are developed. The accuracy of the formulae depends on the ratio of sample size to effective size, the number of generations involved (t), and the number of loci or alleles used. It is shown that the standardized variance approximately follows the chi(2) distribution unless t is very large, and the confidence interval of the estimate of effective size can be obtained by using this property. Application of the formulae to data from an isolated population of Dacus oleae has shown that the effective size of this population is about one tenth of the minimum census size, though there was a possibility that the procedure of sampling genes was improper.","author":[{"dropping-particle":"","family":"Nei","given":"M.","non-dropping-particle":"","parse-names":false,"suffix":""},{"dropping-particle":"","family":"Tajima","given":"F.","non-dropping-particle":"","parse-names":false,"suffix":""}],"container-title":"Genetics","id":"ITEM-6","issue":"3","issued":{"date-parts":[["1981"]]},"page":"625-640","title":"Genetic drift and estimation of effective population size","type":"article-journal","volume":"98"},"uris":["http://www.mendeley.com/documents/?uuid=ec0e53ce-cf23-40b1-9470-c4b7f7ebde7a"]}],"mendeley":{"formattedCitation":"&lt;sup&gt;34–39&lt;/sup&gt;","plainTextFormattedCitation":"34–39","previouslyFormattedCitation":"&lt;sup&gt;34–39&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34–39</w:t>
      </w:r>
      <w:r w:rsidR="00244E72" w:rsidRPr="00E35CCB">
        <w:rPr>
          <w:rFonts w:ascii="Times New Roman" w:eastAsia="Times New Roman" w:hAnsi="Times New Roman" w:cs="Times New Roman"/>
        </w:rPr>
        <w:fldChar w:fldCharType="end"/>
      </w:r>
      <w:r w:rsidR="007312B3" w:rsidRPr="00E35CCB">
        <w:rPr>
          <w:rFonts w:ascii="Times New Roman" w:eastAsia="Times New Roman" w:hAnsi="Times New Roman" w:cs="Times New Roman"/>
        </w:rPr>
        <w:t xml:space="preserve"> Today, LD and temporal methods are commonly used in conservation genetic studies and management as they can detect population declines within one generation post-decline</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{"citationItems":[{"id":"ITEM-1","itemData":{"DOI":"10.1111/j.1752-4571.2010.00150.x","ISBN":"1752-4571","ISSN":"17524563","PMID":"25567959","abstract":"Early detection of population declines is essential to prevent extinctions and to ensure sustainable harvest. We evaluated the performance of two Ne estimators to detect population declines: the two-sample temporal method and a one-sample method based on linkage disequilibrium (LD). We used simulated data representing a wide range of population sizes, sample sizes and number of loci. Both methods usually detect a population decline only one generation after it occurs if Ne drops to less than approximately 100, and 40 microsatellite loci and 50 individuals are sampled. However, the LD method often out performed the temporal method by allowing earlier detection of less severe population declines (Ne approximately 200). Power for early detection increased more rapidly with the number of individuals sampled than with the number of loci genotyped, primarily for the LD method. The number of samples available is therefore an important criterion when choosing between the LD and temporal methods. We provide guidelines regarding design of studies targeted at monitoring for population declines. We also report that 40 single nucleotide polymorphism (SNP) markers give slightly lower precision than 10 microsatellite markers. Our results suggest that conservation management and monitoring strategies can reliably use genetic based methods for early detection of population declines.","author":[{"dropping-particle":"","family":"Antao","given":"Tiago","non-dropping-particle":"","parse-names":false,"suffix":""},{"dropping-particle":"","family":"Pérez-Figueroa","given":"Andrés","non-dropping-particle":"","parse-names":false,"suffix":""},{"dropping-particle":"","family":"Luikart","given":"Gordon","non-dropping-particle":"","parse-names":false,"suffix":""}],"container-title":"Evolutionary Applications","id":"ITEM-1","issue":"1","issued":{"date-parts":[["2011"]]},"page":"144-154","title":"Early detection of population declines: High power of genetic monitoring using effective population size estimators","type":"article-journal","volume":"4"},"uris":["http://www.mendeley.com/documents/?uuid=e56e71c8-ef6d-4dd9-9156-928797a28828"]}],"mendeley":{"formattedCitation":"&lt;sup&gt;40&lt;/sup&gt;","plainTextFormattedCitation":"40","previouslyFormattedCitation":"&lt;sup&gt;40&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40</w:t>
      </w:r>
      <w:r w:rsidR="00244E72" w:rsidRPr="00E35CCB">
        <w:rPr>
          <w:rFonts w:ascii="Times New Roman" w:eastAsia="Times New Roman" w:hAnsi="Times New Roman" w:cs="Times New Roman"/>
        </w:rPr>
        <w:fldChar w:fldCharType="end"/>
      </w:r>
      <w:r w:rsidR="007312B3" w:rsidRPr="00E35CCB">
        <w:rPr>
          <w:rFonts w:ascii="Times New Roman" w:eastAsia="Times New Roman" w:hAnsi="Times New Roman" w:cs="Times New Roman"/>
        </w:rPr>
        <w:t xml:space="preserve"> and reliably detect population declines ten generations post decline</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{"citationItems":[{"id":"ITEM-1","itemData":{"DOI":"10.1038/s41437-017-0037-y","ISSN":"13652540","abstract":"Large genomic data sets generated with restriction site-associated DNA sequencing (RADseq), in combination with demographic inference methods, are improving our ability to gain insights into the population history of species. We used a simulation approach to examine the potential for RADseq data sets to accurately estimate effective population size (N\n                e) over the course of stable and declining population trends, and we compare the ability of two methods of analysis to accurately distinguish stable from steadily declining populations over a contemporary time scale (20 generations). Using a linkage disequilibrium-based analysis, individual sampling (i.e., n ≥ 30) had the greatest effect on N\n                e estimation and the detection of population size declines, with declines reliably detected across scenarios ~10 generations after they began. Coalescent-based inference required fewer sampled individuals (i.e., n = 15), and instead was most influenced by the size of the SNP data set, with 25,000–50,000 SNPs required for accurate detection of population trends and at least 20 generations after decline began. The number of samples available and targeted number of RADseq loci are important criteria when choosing between these methods. Neither method suffered any apparent bias due to the effects of allele dropout typical of RAD data. With an understanding of the limitations and biases of these approaches, researchers can make more informed decisions when designing their sampling and analyses. Overall, our results reveal that demographic inference using RADseq data can be successfully applied to infer recent population size change and may be an important tool for population monitoring and conservation biology.","author":[{"dropping-particle":"","family":"Nunziata","given":"Schyler O.","non-dropping-particle":"","parse-names":false,"suffix":""},{"dropping-particle":"","family":"Weisrock","given":"David W.","non-dropping-particle":"","parse-names":false,"suffix":""}],"container-title":"Heredity","id":"ITEM-1","issue":"3","issued":{"date-parts":[["2018"]]},"page":"196-207","title":"Estimation of contemporary effective population size and population declines using RAD sequence data","type":"article-journal","volume":"120"},"uris":["http://www.mendeley.com/documents/?uuid=9799aed3-713c-48ef-99d2-e5c2a4b0e2e5"]}],"mendeley":{"formattedCitation":"&lt;sup&gt;14&lt;/sup&gt;","plainTextFormattedCitation":"14","previouslyFormattedCitation":"&lt;sup&gt;14&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14</w:t>
      </w:r>
      <w:r w:rsidR="00244E72" w:rsidRPr="00E35CCB">
        <w:rPr>
          <w:rFonts w:ascii="Times New Roman" w:eastAsia="Times New Roman" w:hAnsi="Times New Roman" w:cs="Times New Roman"/>
        </w:rPr>
        <w:fldChar w:fldCharType="end"/>
      </w:r>
      <w:r w:rsidR="007312B3" w:rsidRPr="00E35CCB">
        <w:rPr>
          <w:rFonts w:ascii="Times New Roman" w:eastAsia="Times New Roman" w:hAnsi="Times New Roman" w:cs="Times New Roman"/>
        </w:rPr>
        <w:t xml:space="preserve"> Early and reliable detection of diminished genetic diversity is important when protecting endangered species because conservation programs seek to increase or maintain genetic </w:t>
      </w:r>
      <w:r w:rsidR="00C85ACA">
        <w:rPr>
          <w:rFonts w:ascii="Times New Roman" w:eastAsia="Times New Roman" w:hAnsi="Times New Roman" w:cs="Times New Roman"/>
        </w:rPr>
        <w:t>diversity</w:t>
      </w:r>
      <w:r w:rsidR="007312B3" w:rsidRPr="00E35CCB">
        <w:rPr>
          <w:rFonts w:ascii="Times New Roman" w:eastAsia="Times New Roman" w:hAnsi="Times New Roman" w:cs="Times New Roman"/>
        </w:rPr>
        <w:t>, as it is the raw component for natural selection to act on</w:t>
      </w:r>
      <w:r w:rsidR="00C36248">
        <w:rPr>
          <w:rFonts w:ascii="Times New Roman" w:eastAsia="Times New Roman" w:hAnsi="Times New Roman" w:cs="Times New Roman"/>
        </w:rPr>
        <w:t>.</w:t>
      </w:r>
      <w:r w:rsidR="00244E72" w:rsidRPr="00E35CCB">
        <w:rPr>
          <w:rFonts w:ascii="Times New Roman" w:eastAsia="Times New Roman" w:hAnsi="Times New Roman" w:cs="Times New Roman"/>
        </w:rPr>
        <w:t xml:space="preserve"> </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ISBN":"0716735970","author":[{"dropping-particle":"","family":"Griffiths","given":"AJF","non-dropping-particle":"","parse-names":false,"suffix":""},{"dropping-particle":"","family":"Gelbart","given":"WH","non-dropping-particle":"","parse-names":false,"suffix":""},{"dropping-particle":"","family":"Miller","given":"JH","non-dropping-particle":"","parse-names":false,"suffix":""},{"dropping-particle":"","family":"Lewontin","given":"RC","non-dropping-particle":"","parse-names":false,"suffix":""}],"id":"ITEM-1","issued":{"date-parts":[["1999"]]},"publisher":"W. H. Freeman","publisher-place":"New York","title":"Modern Genetic Analysis","type":"book"},"uris":["http://www.mendeley.com/documents/?uuid=ca0575f2-5cc7-4d4b-b9ef-2e584a2786db"]}],"mendeley":{"formattedCitation":"&lt;sup&gt;41&lt;/sup&gt;","plainTextFormattedCitation":"41","previouslyFormattedCitation":"&lt;sup&gt;41&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41</w:t>
      </w:r>
      <w:r w:rsidR="00244E72" w:rsidRPr="00E35CCB">
        <w:rPr>
          <w:rFonts w:ascii="Times New Roman" w:eastAsia="Times New Roman" w:hAnsi="Times New Roman" w:cs="Times New Roman"/>
        </w:rPr>
        <w:fldChar w:fldCharType="end"/>
      </w:r>
    </w:p>
    <w:p w14:paraId="2DA9D228" w14:textId="77777777"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 </w:t>
      </w:r>
    </w:p>
    <w:p w14:paraId="66F00599" w14:textId="34D95092"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Two previous studies estimated</w:t>
      </w:r>
      <w:r w:rsidR="00C85ACA">
        <w:rPr>
          <w:rFonts w:ascii="Times New Roman" w:eastAsia="Times New Roman" w:hAnsi="Times New Roman" w:cs="Times New Roman"/>
        </w:rPr>
        <w:t xml:space="preserve"> contemporary</w:t>
      </w:r>
      <w:r w:rsidRPr="00E35CCB">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Pr="00E35CCB">
        <w:rPr>
          <w:rFonts w:ascii="Times New Roman" w:eastAsia="Times New Roman" w:hAnsi="Times New Roman" w:cs="Times New Roman"/>
        </w:rPr>
        <w:t>in the wild popul</w:t>
      </w:r>
      <w:proofErr w:type="spellStart"/>
      <w:r w:rsidRPr="00E35CCB">
        <w:rPr>
          <w:rFonts w:ascii="Times New Roman" w:eastAsia="Times New Roman" w:hAnsi="Times New Roman" w:cs="Times New Roman"/>
        </w:rPr>
        <w:t>ation</w:t>
      </w:r>
      <w:proofErr w:type="spellEnd"/>
      <w:r w:rsidRPr="00E35CCB">
        <w:rPr>
          <w:rFonts w:ascii="Times New Roman" w:eastAsia="Times New Roman" w:hAnsi="Times New Roman" w:cs="Times New Roman"/>
        </w:rPr>
        <w:t xml:space="preserve"> of delta smelt using 12-15</w:t>
      </w:r>
      <m:oMath>
        <m:r>
          <w:rPr>
            <w:rFonts w:ascii="Cambria Math" w:hAnsi="Cambria Math"/>
          </w:rPr>
          <m:t>μ</m:t>
        </m:r>
        <m:r>
          <w:rPr>
            <w:rFonts w:ascii="Times New Roman" w:eastAsia="Times New Roman" w:hAnsi="Times New Roman" w:cs="Times New Roman"/>
          </w:rPr>
          <m:t>sat</m:t>
        </m:r>
      </m:oMath>
      <w:r w:rsidRPr="00E35CCB">
        <w:rPr>
          <w:rFonts w:ascii="Times New Roman" w:eastAsia="Times New Roman" w:hAnsi="Times New Roman" w:cs="Times New Roman"/>
        </w:rPr>
        <w:t xml:space="preserve"> markers. Fisch et al. 2011</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uris":["http://www.mendeley.com/documents/?uuid=23e53af3-288d-48bc-b9a7-174ca5e00a87"]}],"mendeley":{"formattedCitation":"&lt;sup&gt;3&lt;/sup&gt;","plainTextFormattedCitation":"3","previouslyFormattedCitation":"&lt;sup&gt;3&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3</w:t>
      </w:r>
      <w:r w:rsidR="00244E72"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found the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Pr="00E35CCB">
        <w:rPr>
          <w:rFonts w:ascii="Times New Roman" w:eastAsia="Times New Roman" w:hAnsi="Times New Roman" w:cs="Times New Roman"/>
        </w:rPr>
        <w:t>to be decreasing from 2003 to 2009 study period. In contrast, Finger et al. 2017</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{"citationItems":[{"id":"ITEM-1","itemData":{"DOI":"10.15447/sfews.2017v15iss2art5","ISSN":"15462366","abstract":"Delta Smelt have collapsed demographically, but little is known about their current genetic status. We used 12 microsatellite loci to evaluate two measures of the effective population size (Ne) of Delta Smelt. Ne is a measure that offers predictive power regarding the loss of genetic diversity in a population over time, as well as the short and long-term genetic risks for loss of fitness resulting from low diversity. We found that the Ne of Delta Smelt is too high to accurately estimate with the data (upper 95% confidence intervals were infinity), but the lower confidence intervals of NeLD (linkage disequilibrium Ne) were above 1,000, while some of the lower confidence intervals of NeV (variance Ne) were below 1,000. We interpret this to indicate that Delta Smelt are not declining because of genetic factors, and are not at immediate risk of losing genetic diversity from low Ne. We caution that these estimates are from a short- term data set estimated from a population that has already been declining for decades, and that it is likely that Delta Smelt have lost diversity. We suggest continuing efforts to maximize abundance to prevent further loss of genetic diversity.","author":[{"dropping-particle":"","family":"Finger","given":"Amanda J.","non-dropping-particle":"","parse-names":false,"suffix":""},{"dropping-particle":"","family":"Schumer","given":"Gregg","non-dropping-particle":"","parse-names":false,"suffix":""},{"dropping-particle":"","family":"Benjamin","given":"Alyssa","non-dropping-particle":"","parse-names":false,"suffix":""},{"dropping-particle":"","family":"Blankenship","given":"Scott","non-dropping-particle":"","parse-names":false,"suffix":""}],"container-title":"San Francisco Estuary and Watershed Science","id":"ITEM-1","issue":"2","issued":{"date-parts":[["2017"]]},"title":"Evaluation and Interpretation of Genetic Effective Population Size of Delta Smelt from 2011–2014","type":"article-journal","volume":"15"},"uris":["http://www.mendeley.com/documents/?uuid=8a1fff3b-b484-4eba-a7c8-379c034ef16f"]}],"mendeley":{"formattedCitation":"&lt;sup&gt;2&lt;/sup&gt;","plainTextFormattedCitation":"2","previouslyFormattedCitation":"&lt;sup&gt;2&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2</w:t>
      </w:r>
      <w:r w:rsidR="00244E72"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found the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Pr="00E35CCB">
        <w:rPr>
          <w:rFonts w:ascii="Times New Roman" w:eastAsia="Times New Roman" w:hAnsi="Times New Roman" w:cs="Times New Roman"/>
        </w:rPr>
        <w:t>could not be accurately estimated from 2011 to 2014</w:t>
      </w:r>
      <w:r w:rsidR="002E433B" w:rsidRPr="00E35CCB">
        <w:rPr>
          <w:rFonts w:ascii="Times New Roman" w:eastAsia="Times New Roman" w:hAnsi="Times New Roman" w:cs="Times New Roman"/>
        </w:rPr>
        <w:t xml:space="preserve"> due to infinite confidence intervals</w:t>
      </w:r>
      <w:r w:rsidRPr="00E35CCB">
        <w:rPr>
          <w:rFonts w:ascii="Times New Roman" w:eastAsia="Times New Roman" w:hAnsi="Times New Roman" w:cs="Times New Roman"/>
        </w:rPr>
        <w:t>. Multiple factors may have contributed to this discrepancy: 1) different versions of NeEstimator</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{"citationItems":[{"id":"ITEM-1","itemData":{"author":[{"dropping-particle":"","family":"Peel","given":"D.","non-dropping-particle":"","parse-names":false,"suffix":""},{"dropping-particle":"","family":"Ovenden","given":"J. R.","non-dropping-particle":"","parse-names":false,"suffix":""},{"dropping-particle":"","family":"Peel","given":"S.L.","non-dropping-particle":"","parse-names":false,"suffix":""}],"container-title":"Department of Primary Industries and Fisheries, Queensland Government, Brisbane","id":"ITEM-1","issued":{"date-parts":[["2004"]]},"title":"NeEstimator: software for estimating effective population size (version 1.3).","type":"article-journal"},"uris":["http://www.mendeley.com/documents/?uuid=7bc61e7d-d5ef-494d-b56e-0302c53f4652"]},{"id":"ITEM-2","itemData":{"DOI":"10.1111/1755-0998.12157","author":[{"dropping-particle":"","family":"Do","given":"Chi","non-dropping-particle":"","parse-names":false,"suffix":""},{"dropping-particle":"","family":"Waples","given":"Robin S.","non-dropping-particle":"","parse-names":false,"suffix":""},{"dropping-particle":"","family":"Peel","given":"D.","non-dropping-particle":"","parse-names":false,"suffix":""},{"dropping-particle":"","family":"Macbeth","given":"G. M.","non-dropping-particle":"","parse-names":false,"suffix":""},{"dropping-particle":"","family":"Tillett","given":"J.","non-dropping-particle":"","parse-names":false,"suffix":""},{"dropping-particle":"","family":"Ovenden","given":"J. R.","non-dropping-particle":"","parse-names":false,"suffix":""}],"container-title":"Molecular Ecology Resources","id":"ITEM-2","issued":{"date-parts":[["2014"]]},"page":"209-214","title":"Ne ESTIMATOR v2 : re - implementation of software for the estimation of contemporary effective population size ( N e ) from genetic data","type":"article-journal","volume":"14"},"uris":["http://www.mendeley.com/documents/?uuid=8dc3e6a5-7528-4e13-ad54-3450be07e314"]}],"mendeley":{"formattedCitation":"&lt;sup&gt;42,43&lt;/sup&gt;","plainTextFormattedCitation":"42,43","previouslyFormattedCitation":"&lt;sup&gt;42,43&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42,43</w:t>
      </w:r>
      <w:r w:rsidR="00244E72"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were used between the two studies; 2) differences in the number of informative loci analyzed; or 3) the number of generations factored into the analysis. By using </w:t>
      </w:r>
      <w:r w:rsidR="002438DE">
        <w:rPr>
          <w:rFonts w:ascii="Times New Roman" w:eastAsia="Times New Roman" w:hAnsi="Times New Roman" w:cs="Times New Roman"/>
        </w:rPr>
        <w:t xml:space="preserve">more generations and </w:t>
      </w:r>
      <w:r w:rsidR="00093775">
        <w:rPr>
          <w:rFonts w:ascii="Times New Roman" w:eastAsia="Times New Roman" w:hAnsi="Times New Roman" w:cs="Times New Roman"/>
        </w:rPr>
        <w:t>NGS</w:t>
      </w:r>
      <w:r w:rsidRPr="00E35CCB">
        <w:rPr>
          <w:rFonts w:ascii="Times New Roman" w:eastAsia="Times New Roman" w:hAnsi="Times New Roman" w:cs="Times New Roman"/>
        </w:rPr>
        <w:t>, I will increase the power to estimate</w:t>
      </w:r>
      <w:r w:rsidR="002438DE">
        <w:rPr>
          <w:rFonts w:ascii="Times New Roman" w:eastAsia="Times New Roman" w:hAnsi="Times New Roman" w:cs="Times New Roman"/>
        </w:rPr>
        <w:t xml:space="preserve"> contemporary</w:t>
      </w:r>
      <w:r w:rsidRPr="00E35CCB">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Pr="00E35CCB">
        <w:rPr>
          <w:rFonts w:ascii="Times New Roman" w:eastAsia="Times New Roman" w:hAnsi="Times New Roman" w:cs="Times New Roman"/>
        </w:rPr>
        <w:t>through the use of thousands of potentially informative loci.</w:t>
      </w:r>
    </w:p>
    <w:p w14:paraId="24690C8B" w14:textId="77777777" w:rsidR="003D119E" w:rsidRPr="00E35CCB" w:rsidRDefault="003D119E" w:rsidP="003D119E">
      <w:pPr>
        <w:ind w:right="-270"/>
        <w:jc w:val="both"/>
        <w:rPr>
          <w:rFonts w:ascii="Times New Roman" w:eastAsia="Times New Roman" w:hAnsi="Times New Roman" w:cs="Times New Roman"/>
        </w:rPr>
      </w:pPr>
    </w:p>
    <w:p w14:paraId="0801D674" w14:textId="77777777" w:rsidR="00DA301E" w:rsidRPr="00E35CCB" w:rsidRDefault="007312B3" w:rsidP="00B4213F">
      <w:pPr>
        <w:ind w:left="-270" w:right="-270"/>
        <w:jc w:val="both"/>
        <w:rPr>
          <w:rFonts w:ascii="Times New Roman" w:eastAsia="Times New Roman" w:hAnsi="Times New Roman" w:cs="Times New Roman"/>
          <w:b/>
          <w:i/>
        </w:rPr>
      </w:pPr>
      <w:r w:rsidRPr="00E35CCB">
        <w:rPr>
          <w:rFonts w:ascii="Times New Roman" w:eastAsia="Times New Roman" w:hAnsi="Times New Roman" w:cs="Times New Roman"/>
          <w:b/>
          <w:i/>
        </w:rPr>
        <w:t>Experimental Design</w:t>
      </w:r>
    </w:p>
    <w:p w14:paraId="498CD198" w14:textId="312CB2B2" w:rsidR="00DA301E" w:rsidRPr="00E35CCB" w:rsidRDefault="002E433B"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We sequenced archived samples collected in state and federal trawls from 1993-2014</w:t>
      </w:r>
      <w:r w:rsidR="007312B3" w:rsidRPr="00E35CCB">
        <w:rPr>
          <w:rFonts w:ascii="Times New Roman" w:eastAsia="Times New Roman" w:hAnsi="Times New Roman" w:cs="Times New Roman"/>
        </w:rPr>
        <w:t xml:space="preserve">. Contemporary samples were collected as fin clips by Interagency Ecological Program surveys from 2015-2017. Samples from 2018 and 2019 will be collected and transferred into the custody of the Genomic Variation Lab by December 2019. Genomic DNA has been extracted using Qiagen </w:t>
      </w:r>
      <w:proofErr w:type="spellStart"/>
      <w:r w:rsidR="007312B3" w:rsidRPr="00E35CCB">
        <w:rPr>
          <w:rFonts w:ascii="Times New Roman" w:eastAsia="Times New Roman" w:hAnsi="Times New Roman" w:cs="Times New Roman"/>
        </w:rPr>
        <w:t>DNeasy</w:t>
      </w:r>
      <w:proofErr w:type="spellEnd"/>
      <w:r w:rsidR="007312B3" w:rsidRPr="00E35CCB">
        <w:rPr>
          <w:rFonts w:ascii="Times New Roman" w:eastAsia="Times New Roman" w:hAnsi="Times New Roman" w:cs="Times New Roman"/>
        </w:rPr>
        <w:t xml:space="preserve"> Blood and Tissue Kit (Qiagen, Valencia, CA) according to the manufacturer’s protocol for a total of 2,605 samples to date. In order to produce a large number of loci in a cost-effective manner, restriction site associated</w:t>
      </w:r>
      <w:r w:rsidR="002438DE">
        <w:rPr>
          <w:rFonts w:ascii="Times New Roman" w:eastAsia="Times New Roman" w:hAnsi="Times New Roman" w:cs="Times New Roman"/>
        </w:rPr>
        <w:t xml:space="preserve"> DNA</w:t>
      </w:r>
      <w:r w:rsidR="007312B3" w:rsidRPr="00E35CCB">
        <w:rPr>
          <w:rFonts w:ascii="Times New Roman" w:eastAsia="Times New Roman" w:hAnsi="Times New Roman" w:cs="Times New Roman"/>
        </w:rPr>
        <w:t xml:space="preserve"> (RAD) sequencing was carried out for all individuals. RAD libraries were prepared using the </w:t>
      </w:r>
      <w:r w:rsidR="007312B3" w:rsidRPr="00E35CCB">
        <w:rPr>
          <w:rFonts w:ascii="Times New Roman" w:eastAsia="Times New Roman" w:hAnsi="Times New Roman" w:cs="Times New Roman"/>
          <w:i/>
        </w:rPr>
        <w:t>Sbf1</w:t>
      </w:r>
      <w:r w:rsidR="007312B3" w:rsidRPr="00E35CCB">
        <w:rPr>
          <w:rFonts w:ascii="Times New Roman" w:eastAsia="Times New Roman" w:hAnsi="Times New Roman" w:cs="Times New Roman"/>
        </w:rPr>
        <w:t xml:space="preserve"> restriction enzyme according to the ‘new RAD protocol’ described in</w:t>
      </w:r>
      <w:r w:rsidR="00C36248">
        <w:rPr>
          <w:rFonts w:ascii="Times New Roman" w:eastAsia="Times New Roman" w:hAnsi="Times New Roman" w:cs="Times New Roman"/>
        </w:rPr>
        <w:t xml:space="preserve"> Ali et al.,</w:t>
      </w:r>
      <w:r w:rsidR="00244E72" w:rsidRPr="00E35CCB">
        <w:rPr>
          <w:rFonts w:ascii="Times New Roman" w:eastAsia="Times New Roman" w:hAnsi="Times New Roman" w:cs="Times New Roman"/>
        </w:rPr>
        <w:t xml:space="preserve"> </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{"citationItems":[{"id":"ITEM-1","itemData":{"DOI":"10.1534/genetics.115.183665","ISBN":"8013186628","ISSN":"19432631","PMID":"26715661","abstract":"Massively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science.","author":[{"dropping-particle":"","family":"Ali","given":"Omar A.","non-dropping-particle":"","parse-names":false,"suffix":""},{"dropping-particle":"","family":"O’Rourke","given":"Sean M.","non-dropping-particle":"","parse-names":false,"suffix":""},{"dropping-particle":"","family":"Amish","given":"Stephen J.","non-dropping-particle":"","parse-names":false,"suffix":""},{"dropping-particle":"","family":"Meek","given":"Mariah H.","non-dropping-particle":"","parse-names":false,"suffix":""},{"dropping-particle":"","family":"Luikart","given":"Gordon","non-dropping-particle":"","parse-names":false,"suffix":""},{"dropping-particle":"","family":"Jeffres","given":"Carson","non-dropping-particle":"","parse-names":false,"suffix":""},{"dropping-particle":"","family":"Miller","given":"Michael R.","non-dropping-particle":"","parse-names":false,"suffix":""}],"container-title":"Genetics","id":"ITEM-1","issue":"2","issued":{"date-parts":[["2016"]]},"page":"389-400","title":"Rad capture (Rapture): Flexible and efficient sequence-based genotyping","type":"article-journal","volume":"202"},"uris":["http://www.mendeley.com/documents/?uuid=108c1601-9e2f-4f7b-81a8-b381c49c5d30"]}],"mendeley":{"formattedCitation":"&lt;sup&gt;44&lt;/sup&gt;","plainTextFormattedCitation":"44","previouslyFormattedCitation":"&lt;sup&gt;44&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44</w:t>
      </w:r>
      <w:r w:rsidR="00244E72" w:rsidRPr="00E35CCB">
        <w:rPr>
          <w:rFonts w:ascii="Times New Roman" w:eastAsia="Times New Roman" w:hAnsi="Times New Roman" w:cs="Times New Roman"/>
        </w:rPr>
        <w:fldChar w:fldCharType="end"/>
      </w:r>
      <w:r w:rsidR="007312B3" w:rsidRPr="00E35CCB">
        <w:rPr>
          <w:rFonts w:ascii="Times New Roman" w:eastAsia="Times New Roman" w:hAnsi="Times New Roman" w:cs="Times New Roman"/>
        </w:rPr>
        <w:t xml:space="preserve"> and sequenced 100 </w:t>
      </w:r>
      <w:proofErr w:type="spellStart"/>
      <w:r w:rsidR="007312B3" w:rsidRPr="00E35CCB">
        <w:rPr>
          <w:rFonts w:ascii="Times New Roman" w:eastAsia="Times New Roman" w:hAnsi="Times New Roman" w:cs="Times New Roman"/>
        </w:rPr>
        <w:t>bp</w:t>
      </w:r>
      <w:proofErr w:type="spellEnd"/>
      <w:r w:rsidR="007312B3" w:rsidRPr="00E35CCB">
        <w:rPr>
          <w:rFonts w:ascii="Times New Roman" w:eastAsia="Times New Roman" w:hAnsi="Times New Roman" w:cs="Times New Roman"/>
        </w:rPr>
        <w:t xml:space="preserve"> paired-end reads on an Illumina </w:t>
      </w:r>
      <w:proofErr w:type="spellStart"/>
      <w:r w:rsidR="007312B3" w:rsidRPr="00E35CCB">
        <w:rPr>
          <w:rFonts w:ascii="Times New Roman" w:eastAsia="Times New Roman" w:hAnsi="Times New Roman" w:cs="Times New Roman"/>
        </w:rPr>
        <w:t>HiSeq</w:t>
      </w:r>
      <w:proofErr w:type="spellEnd"/>
      <w:r w:rsidR="007312B3" w:rsidRPr="00E35CCB">
        <w:rPr>
          <w:rFonts w:ascii="Times New Roman" w:eastAsia="Times New Roman" w:hAnsi="Times New Roman" w:cs="Times New Roman"/>
        </w:rPr>
        <w:t xml:space="preserve"> 4000.</w:t>
      </w:r>
    </w:p>
    <w:p w14:paraId="3A518990" w14:textId="77777777"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 </w:t>
      </w:r>
    </w:p>
    <w:p w14:paraId="65172EE1" w14:textId="417BCE26"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lastRenderedPageBreak/>
        <w:t>In order to estimate</w:t>
      </w:r>
      <w:r w:rsidR="00C85ACA">
        <w:rPr>
          <w:rFonts w:ascii="Times New Roman" w:eastAsia="Times New Roman" w:hAnsi="Times New Roman" w:cs="Times New Roman"/>
        </w:rPr>
        <w:t xml:space="preserve"> contemporary</w:t>
      </w:r>
      <w:r w:rsidRPr="00E35CCB">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Pr="00E35CCB">
        <w:rPr>
          <w:rFonts w:ascii="Times New Roman" w:eastAsia="Times New Roman" w:hAnsi="Times New Roman" w:cs="Times New Roman"/>
        </w:rPr>
        <w:t xml:space="preserve">of delta smelt I will need to generate a list of high-quality polymorphic loci to make </w:t>
      </w:r>
      <w:r w:rsidR="002438DE">
        <w:rPr>
          <w:rFonts w:ascii="Times New Roman" w:eastAsia="Times New Roman" w:hAnsi="Times New Roman" w:cs="Times New Roman"/>
        </w:rPr>
        <w:t xml:space="preserve">demographic </w:t>
      </w:r>
      <w:r w:rsidRPr="00E35CCB">
        <w:rPr>
          <w:rFonts w:ascii="Times New Roman" w:eastAsia="Times New Roman" w:hAnsi="Times New Roman" w:cs="Times New Roman"/>
        </w:rPr>
        <w:t xml:space="preserve">inferences with. First, I will align all sequences to the reference genome </w:t>
      </w:r>
      <w:r w:rsidR="002438DE">
        <w:rPr>
          <w:rFonts w:ascii="Times New Roman" w:eastAsia="Times New Roman" w:hAnsi="Times New Roman" w:cs="Times New Roman"/>
        </w:rPr>
        <w:t>created</w:t>
      </w:r>
      <w:r w:rsidRPr="00E35CCB">
        <w:rPr>
          <w:rFonts w:ascii="Times New Roman" w:eastAsia="Times New Roman" w:hAnsi="Times New Roman" w:cs="Times New Roman"/>
        </w:rPr>
        <w:t xml:space="preserve"> in Aim #1 using samtools</w:t>
      </w:r>
      <w:r w:rsidR="00244E72"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{"citationItems":[{"id":"ITEM-1","itemData":{"DOI":"10.1093/bioinformatics/btp352","ISBN":"1367-4803\\r1460-2059","ISSN":"13674803","PMID":"19505943","abstract":"SUMMARY: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16","issued":{"date-parts":[["2009"]]},"page":"2078-2079","title":"The Sequence Alignment/Map format and SAMtools","type":"article-journal","volume":"25"},"uris":["http://www.mendeley.com/documents/?uuid=1b1f977b-4efb-4b0a-a206-11b71edcfd1c"]}],"mendeley":{"formattedCitation":"&lt;sup&gt;45&lt;/sup&gt;","plainTextFormattedCitation":"45","previouslyFormattedCitation":"&lt;sup&gt;45&lt;/sup&gt;"},"properties":{"noteIndex":0},"schema":"https://github.com/citation-style-language/schema/raw/master/csl-citation.json"}</w:instrText>
      </w:r>
      <w:r w:rsidR="00244E72"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45</w:t>
      </w:r>
      <w:r w:rsidR="00244E72" w:rsidRPr="00E35CCB">
        <w:rPr>
          <w:rFonts w:ascii="Times New Roman" w:eastAsia="Times New Roman" w:hAnsi="Times New Roman" w:cs="Times New Roman"/>
        </w:rPr>
        <w:fldChar w:fldCharType="end"/>
      </w:r>
      <w:r w:rsidR="00D4783E">
        <w:rPr>
          <w:rFonts w:ascii="Times New Roman" w:eastAsia="Times New Roman" w:hAnsi="Times New Roman" w:cs="Times New Roman"/>
        </w:rPr>
        <w:t xml:space="preserve"> or, if I do not complete Aim #1 I will align to a</w:t>
      </w:r>
      <w:r w:rsidR="00D4783E" w:rsidRPr="00E35CCB">
        <w:rPr>
          <w:rFonts w:ascii="Times New Roman" w:eastAsia="Times New Roman" w:hAnsi="Times New Roman" w:cs="Times New Roman"/>
        </w:rPr>
        <w:t xml:space="preserve"> RAD-</w:t>
      </w:r>
      <w:proofErr w:type="spellStart"/>
      <w:r w:rsidR="00D4783E" w:rsidRPr="00E35CCB">
        <w:rPr>
          <w:rFonts w:ascii="Times New Roman" w:eastAsia="Times New Roman" w:hAnsi="Times New Roman" w:cs="Times New Roman"/>
        </w:rPr>
        <w:t>seq</w:t>
      </w:r>
      <w:proofErr w:type="spellEnd"/>
      <w:r w:rsidR="00D4783E" w:rsidRPr="00E35CCB">
        <w:rPr>
          <w:rFonts w:ascii="Times New Roman" w:eastAsia="Times New Roman" w:hAnsi="Times New Roman" w:cs="Times New Roman"/>
        </w:rPr>
        <w:t xml:space="preserve"> derived contig assembly</w:t>
      </w:r>
      <w:r w:rsidR="00D4783E">
        <w:rPr>
          <w:rFonts w:ascii="Times New Roman" w:eastAsia="Times New Roman" w:hAnsi="Times New Roman" w:cs="Times New Roman"/>
        </w:rPr>
        <w:t xml:space="preserve"> I created</w:t>
      </w:r>
      <w:r w:rsidR="00D4783E" w:rsidRPr="00E35CCB">
        <w:rPr>
          <w:rFonts w:ascii="Times New Roman" w:eastAsia="Times New Roman" w:hAnsi="Times New Roman" w:cs="Times New Roman"/>
        </w:rPr>
        <w:t xml:space="preserve"> using PRICE, BWA and samtools.</w:t>
      </w:r>
      <w:r w:rsidR="00D4783E"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{"citationItems":[{"id":"ITEM-1","itemData":{"DOI":"10.1534/g3.113.005967","ISBN":"2160-1836","ISSN":"2160-1836","PMID":"23550143","abstract":"Low-cost DNA sequencing technologies have expanded the role for direct nucleic acid sequencing in the analysis of genomes, transcriptomes, and the metagenomes of whole ecosystems. Human and machine comprehension of such large datasets can be simplified via synthesis of sequence fragments into long, contiguous blocks of sequence (contigs), but most of the progress in the field of assembly has focused on genomes in isolation rather than metagenomes. Here, we present software for paired-read iterative contig extension (PRICE), a strategy for focused assembly of particular nucleic acid species using complex metagenomic data as input. We describe the assembly strategy implemented by PRICE and provide examples of its application to the sequence of particular genes, transcripts, and virus genomes from complex multicomponent datasets, including an assembly of the BCBL-1 strain of Kaposi's sarcoma-associated herpesvirus. PRICE is open-source and available for free download (derisilab.ucsf.edu/software/price/ or sourceforge.net/projects/pricedenovo/).","author":[{"dropping-particle":"","family":"Ruby","given":"J. Graham","non-dropping-particle":"","parse-names":false,"suffix":""},{"dropping-particle":"","family":"Bellare","given":"Priya","non-dropping-particle":"","parse-names":false,"suffix":""},{"dropping-particle":"","family":"DeRisi","given":"Joseph L.","non-dropping-particle":"","parse-names":false,"suffix":""}],"container-title":"G3&amp;amp;#58; Genes|Genomes|Genetics","id":"ITEM-1","issue":"5","issued":{"date-parts":[["2013"]]},"page":"865-880","title":"PRICE: Software for the Targeted Assembly of Components of (Meta) Genomic Sequence Data","type":"article-journal","volume":"3"},"uris":["http://www.mendeley.com/documents/?uuid=9ded2439-30ac-4146-97f1-14f70b1d44f0"]},{"id":"ITEM-2","itemData":{"DOI":"10.1093/bioinformatics/btp352","ISBN":"1367-4803\\r1460-2059","ISSN":"13674803","PMID":"19505943","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-2","issue":"16","issued":{"date-parts":[["2009"]]},"page":"2078-2079","title":"The Sequence Alignment/Map format and SAMtools","type":"article-journal","volume":"25"},"uris":["http://www.mendeley.com/documents/?uuid=1b1f977b-4efb-4b0a-a206-11b71edcfd1c"]},{"id":"ITEM-3","itemData":{"DOI":"10.1093/bioinformatics/btp324","ISBN":"1367-4811 (Electronic)\\r1367-4803 (Linking)","ISSN":"13674803","PMID":"19451168","abstract":"MOTIVATION: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author":[{"dropping-particle":"","family":"Li","given":"Heng","non-dropping-particle":"","parse-names":false,"suffix":""},{"dropping-particle":"","family":"Durbin","given":"Richard","non-dropping-particle":"","parse-names":false,"suffix":""}],"container-title":"Bioinformatics","id":"ITEM-3","issue":"14","issued":{"date-parts":[["2009"]]},"page":"1754-1760","title":"Fast and accurate short read alignment with Burrows-Wheeler transform","type":"article-journal","volume":"25"},"uris":["http://www.mendeley.com/documents/?uuid=0d899928-aa34-46c4-813c-ba0a238ff66f"]}],"mendeley":{"formattedCitation":"&lt;sup&gt;45–47&lt;/sup&gt;","plainTextFormattedCitation":"45–47","previouslyFormattedCitation":"&lt;sup&gt;45–47&lt;/sup&gt;"},"properties":{"noteIndex":0},"schema":"https://github.com/citation-style-language/schema/raw/master/csl-citation.json"}</w:instrText>
      </w:r>
      <w:r w:rsidR="00D4783E"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45–47</w:t>
      </w:r>
      <w:r w:rsidR="00D4783E"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Second, I will recalibrate base quality calls using GATK to eliminate sequencer biases in base quality scores and improve downstream SNP discovery</w:t>
      </w:r>
      <w:r w:rsidR="00C36248">
        <w:rPr>
          <w:rFonts w:ascii="Times New Roman" w:eastAsia="Times New Roman" w:hAnsi="Times New Roman" w:cs="Times New Roman"/>
        </w:rPr>
        <w:t>.</w:t>
      </w:r>
      <w:r w:rsidR="00722FD4"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{"citationItems":[{"id":"ITEM-1","itemData":{"DOI":"10.1038/ng.806","ISSN":"10614036","abstract":"Recent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(~4×) 1000 Genomes Project datasets.","author":[{"dropping-particle":"","family":"Depristo","given":"Mark A.","non-dropping-particle":"","parse-names":false,"suffix":""},{"dropping-particle":"","family":"Banks","given":"Eric","non-dropping-particle":"","parse-names":false,"suffix":""},{"dropping-particle":"","family":"Poplin","given":"Ryan","non-dropping-particle":"","parse-names":false,"suffix":""},{"dropping-particle":"V.","family":"Garimella","given":"Kiran","non-dropping-particle":"","parse-names":false,"suffix":""},{"dropping-particle":"","family":"Maguire","given":"Jared R.","non-dropping-particle":"","parse-names":false,"suffix":""},{"dropping-particle":"","family":"Hartl","given":"Christopher","non-dropping-particle":"","parse-names":false,"suffix":""},{"dropping-particle":"","family":"Philippakis","given":"Anthony A.","non-dropping-particle":"","parse-names":false,"suffix":""},{"dropping-particle":"","family":"Angel","given":"Guillermo","non-dropping-particle":"Del","parse-names":false,"suffix":""},{"dropping-particle":"","family":"Rivas","given":"Manuel A.","non-dropping-particle":"","parse-names":false,"suffix":""},{"dropping-particle":"","family":"Hanna","given":"Matt","non-dropping-particle":"","parse-names":false,"suffix":""},{"dropping-particle":"","family":"McKenna","given":"Aaron","non-dropping-particle":"","parse-names":false,"suffix":""},{"dropping-particle":"","family":"Fennell","given":"Tim J.","non-dropping-particle":"","parse-names":false,"suffix":""},{"dropping-particle":"","family":"Kernytsky","given":"Andrew M.","non-dropping-particle":"","parse-names":false,"suffix":""},{"dropping-particle":"","family":"Sivachenko","given":"Andrey Y.","non-dropping-particle":"","parse-names":false,"suffix":""},{"dropping-particle":"","family":"Cibulskis","given":"Kristian","non-dropping-particle":"","parse-names":false,"suffix":""},{"dropping-particle":"","family":"Gabriel","given":"Stacey B.","non-dropping-particle":"","parse-names":false,"suffix":""},{"dropping-particle":"","family":"Altshuler","given":"David","non-dropping-particle":"","parse-names":false,"suffix":""},{"dropping-particle":"","family":"Daly","given":"Mark J.","non-dropping-particle":"","parse-names":false,"suffix":""}],"container-title":"Nature Genetics","id":"ITEM-1","issue":"5","issued":{"date-parts":[["2011"]]},"page":"491-501","title":"A framework for variation discovery and genotyping using next-generation DNA sequencing data","type":"article-journal","volume":"43"},"uris":["http://www.mendeley.com/documents/?uuid=86682215-865f-4ce1-b1f6-5669a37c5219"]},{"id":"ITEM-2","itemData":{"DOI":"10.1101/gr.107524.110.20","ISSN":"1088-9051","PMID":"20644199","abstract":"Next-generation DNA sequencing (NGS) projects, such as the 1000 Genomes Project, are already revolutionizing our understanding of genetic variation among individuals. However,histicated individuals. Indeed, many professionals are limited in the scope and the ease with which they can answer scientific questions by the complexity of accessing and manipulating the data produced by these machines. Here, we discuss the massive data sets generated by NGS—the 1000 Genome pilot alone includes nearly five terabases—make writing feature-rich, efficient, and robust analysis tools difficult for even computationally sop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 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 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author":[{"dropping-particle":"","family":"McKenna","given":"Aaron","non-dropping-particle":"","parse-names":false,"suffix":""},{"dropping-particle":"","family":"Hanna","given":"Matthew","non-dropping-particle":"","parse-names":false,"suffix":""},{"dropping-particle":"","family":"Banks","given":"Eric","non-dropping-particle":"","parse-names":false,"suffix":""},{"dropping-particle":"","family":"Sivachenko","given":"Andrey","non-dropping-particle":"","parse-names":false,"suffix":""},{"dropping-particle":"","family":"Cibulskis","given":"Kristian","non-dropping-particle":"","parse-names":false,"suffix":""},{"dropping-particle":"","family":"Kernytsky","given":"Andrew","non-dropping-particle":"","parse-names":false,"suffix":""},{"dropping-particle":"","family":"Garimella","given":"Kiran","non-dropping-particle":"","parse-names":false,"suffix":""},{"dropping-particle":"","family":"Altshuler","given":"David","non-dropping-particle":"","parse-names":false,"suffix":""},{"dropping-particle":"","family":"Gabriel","given":"Stacey","non-dropping-particle":"","parse-names":false,"suffix":""},{"dropping-particle":"","family":"Daly","given":"Mark","non-dropping-particle":"","parse-names":false,"suffix":""},{"dropping-particle":"","family":"DePristo","given":"Mark A.","non-dropping-particle":"","parse-names":false,"suffix":""}],"container-title":"Genome Research","id":"ITEM-2","issue":"9","issued":{"date-parts":[["2010"]]},"page":"254-260","title":"The Genome Analysis Toolkit: A MapReduce framework for analyzing next-generation DNA sequencing data","type":"article-journal","volume":"20"},"uris":["http://www.mendeley.com/documents/?uuid=f889a45b-16dc-4e6d-bbd9-9c5642dcf0ea"]},{"id":"ITEM-3","itemData":{"DOI":"10.1186/s12864-016-2463-2","ISSN":"14712164","abstract":"BACKGROUND:Minor allele detection in very high coverage sequence data (&gt;1000X) has many applications such as detecting mtDNA heteroplasmy, somatic mutations in cancer or tumors, SNP calling in pool sequencing, etc., where reads with low frequency are not necessarily sequence error but may instead convey biological information. However, the suitability of common base quality recalibration tools for such applications has not been investigated in detail.RESULTS:We show that the widely used tool GATK BaseRecalibration has several limitations in minor allele detection. First, GATK IndelRealignment fails to work if the sequence coverage is above a certain level since it then becomes computationally infeasible. Second, the accuracy of the base quality largely depends on the database of known SNPs as the control, which limits the ability of de novo minor allele detection. Third, GATK reduces the base quality of sequence errors at the cost of reducing scores for true minor alleles. To overcome these limitations, we present a novel approach called SEGREG, which applies segmented regression to control sequences (e.g. phiX174 DNA) spiked into a sequencing run. Based on simulations SEGREG improves both the accuracy of base quality scores and the detection of minor alleles. We further investigate sequence error and recalibration parameters by applying a Logarithm Likelihood Ratio (LLR) approach to SEGREG recalibrated base quality scores for phiX174 DNA sequenced to very high coverage, and for mtDNA genome sequences previously analyzed for heteroplasmic variants.CONCLUSIONS:Our results suggest that SEGREG improves base recalibration without suffering the limitations discussed above, and the LLR approach benefits from SEGREG in identifying more true minor alleles, while avoiding false positives from sequencing error.","author":[{"dropping-particle":"","family":"Ni","given":"Shengyu","non-dropping-particle":"","parse-names":false,"suffix":""},{"dropping-particle":"","family":"Stoneking","given":"Mark","non-dropping-particle":"","parse-names":false,"suffix":""}],"container-title":"BMC Genomics","id":"ITEM-3","issue":"1","issued":{"date-parts":[["2016"]]},"page":"1-12","publisher":"BMC Genomics","title":"Improvement in detection of minor alleles in next generation sequencing by base quality recalibration","type":"article-journal","volume":"17"},"uris":["http://www.mendeley.com/documents/?uuid=834f9f3c-475d-469a-a98a-eeb9549e2276"]}],"mendeley":{"formattedCitation":"&lt;sup&gt;48–50&lt;/sup&gt;","plainTextFormattedCitation":"48–50","previouslyFormattedCitation":"&lt;sup&gt;48–50&lt;/sup&gt;"},"properties":{"noteIndex":0},"schema":"https://github.com/citation-style-language/schema/raw/master/csl-citation.json"}</w:instrText>
      </w:r>
      <w:r w:rsidR="00722FD4"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48–50</w:t>
      </w:r>
      <w:r w:rsidR="00722FD4"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Finally, I will call genotypes using</w:t>
      </w:r>
      <w:r w:rsidR="00B5603F">
        <w:rPr>
          <w:rFonts w:ascii="Times New Roman" w:eastAsia="Times New Roman" w:hAnsi="Times New Roman" w:cs="Times New Roman"/>
        </w:rPr>
        <w:t xml:space="preserve"> site allele frequencies as priors in</w:t>
      </w:r>
      <w:r w:rsidRPr="00E35CCB">
        <w:rPr>
          <w:rFonts w:ascii="Times New Roman" w:eastAsia="Times New Roman" w:hAnsi="Times New Roman" w:cs="Times New Roman"/>
        </w:rPr>
        <w:t xml:space="preserve"> ANGSD</w:t>
      </w:r>
      <w:r w:rsidR="00722FD4"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{"citationItems":[{"id":"ITEM-1","itemData":{"DOI":"10.1186/s12859-014-0356-4","ISBN":"9783319072111","ISSN":"14712105","PMID":"25420514","abstract":"BACKGROUND: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elsewhere.","author":[{"dropping-particle":"","family":"Korneliussen","given":"Thorfinn Sand","non-dropping-particle":"","parse-names":false,"suffix":""},{"dropping-particle":"","family":"Albrechtsen","given":"Anders","non-dropping-particle":"","parse-names":false,"suffix":""},{"dropping-particle":"","family":"Nielsen","given":"Rasmus","non-dropping-particle":"","parse-names":false,"suffix":""}],"container-title":"BMC Bioinformatics","id":"ITEM-1","issue":"1","issued":{"date-parts":[["2014"]]},"page":"1-13","title":"ANGSD: Analysis of Next Generation Sequencing Data","type":"article-journal","volume":"15"},"uris":["http://www.mendeley.com/documents/?uuid=46f586f0-ecac-4bdd-8896-3541f7bbbfd8"]}],"mendeley":{"formattedCitation":"&lt;sup&gt;51&lt;/sup&gt;","plainTextFormattedCitation":"51","previouslyFormattedCitation":"&lt;sup&gt;51&lt;/sup&gt;"},"properties":{"noteIndex":0},"schema":"https://github.com/citation-style-language/schema/raw/master/csl-citation.json"}</w:instrText>
      </w:r>
      <w:r w:rsidR="00722FD4"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51</w:t>
      </w:r>
      <w:r w:rsidR="00722FD4"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and filter sequencing data in the following ways: remove individuals with insufficient read coverage and depth, remove paralogous loci using the site frequency spectrum as a prior, remove reads that do not meet mapping and base call qualities, remove low frequency SNPs</w:t>
      </w:r>
      <w:r w:rsidR="00D4783E">
        <w:rPr>
          <w:rFonts w:ascii="Times New Roman" w:eastAsia="Times New Roman" w:hAnsi="Times New Roman" w:cs="Times New Roman"/>
        </w:rPr>
        <w:t>,</w:t>
      </w:r>
      <w:r w:rsidRPr="00E35CCB">
        <w:rPr>
          <w:rFonts w:ascii="Times New Roman" w:eastAsia="Times New Roman" w:hAnsi="Times New Roman" w:cs="Times New Roman"/>
        </w:rPr>
        <w:t xml:space="preserve"> SNPs not in Hardy-Weinberg equilibrium</w:t>
      </w:r>
      <w:r w:rsidR="00D4783E">
        <w:rPr>
          <w:rFonts w:ascii="Times New Roman" w:eastAsia="Times New Roman" w:hAnsi="Times New Roman" w:cs="Times New Roman"/>
        </w:rPr>
        <w:t xml:space="preserve"> and hybridized individuals</w:t>
      </w:r>
      <w:r w:rsidRPr="00E35CCB">
        <w:rPr>
          <w:rFonts w:ascii="Times New Roman" w:eastAsia="Times New Roman" w:hAnsi="Times New Roman" w:cs="Times New Roman"/>
        </w:rPr>
        <w:t>.</w:t>
      </w:r>
      <w:r w:rsidR="00B5603F">
        <w:rPr>
          <w:rFonts w:ascii="Times New Roman" w:eastAsia="Times New Roman" w:hAnsi="Times New Roman" w:cs="Times New Roman"/>
        </w:rPr>
        <w:t xml:space="preserve"> I will then test for population structure in my dataset by carrying out a principal component analysis in ANGSD</w:t>
      </w:r>
      <w:r w:rsidR="00B5603F">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{"citationItems":[{"id":"ITEM-1","itemData":{"DOI":"10.1186/s12859-014-0356-4","ISBN":"9783319072111","ISSN":"14712105","PMID":"25420514","abstract":"BACKGROUND: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elsewhere.","author":[{"dropping-particle":"","family":"Korneliussen","given":"Thorfinn Sand","non-dropping-particle":"","parse-names":false,"suffix":""},{"dropping-particle":"","family":"Albrechtsen","given":"Anders","non-dropping-particle":"","parse-names":false,"suffix":""},{"dropping-particle":"","family":"Nielsen","given":"Rasmus","non-dropping-particle":"","parse-names":false,"suffix":""}],"container-title":"BMC Bioinformatics","id":"ITEM-1","issue":"1","issued":{"date-parts":[["2014"]]},"page":"1-13","title":"ANGSD: Analysis of Next Generation Sequencing Data","type":"article-journal","volume":"15"},"uris":["http://www.mendeley.com/documents/?uuid=46f586f0-ecac-4bdd-8896-3541f7bbbfd8"]}],"mendeley":{"formattedCitation":"&lt;sup&gt;51&lt;/sup&gt;","plainTextFormattedCitation":"51","previouslyFormattedCitation":"&lt;sup&gt;51&lt;/sup&gt;"},"properties":{"noteIndex":0},"schema":"https://github.com/citation-style-language/schema/raw/master/csl-citation.json"}</w:instrText>
      </w:r>
      <w:r w:rsidR="00B5603F">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51</w:t>
      </w:r>
      <w:r w:rsidR="00B5603F">
        <w:rPr>
          <w:rFonts w:ascii="Times New Roman" w:eastAsia="Times New Roman" w:hAnsi="Times New Roman" w:cs="Times New Roman"/>
        </w:rPr>
        <w:fldChar w:fldCharType="end"/>
      </w:r>
      <w:r w:rsidR="00B5603F">
        <w:rPr>
          <w:rFonts w:ascii="Times New Roman" w:eastAsia="Times New Roman" w:hAnsi="Times New Roman" w:cs="Times New Roman"/>
        </w:rPr>
        <w:t xml:space="preserve"> and running STRUCTURE</w:t>
      </w:r>
      <w:r w:rsidR="00B5603F">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{"citationItems":[{"id":"ITEM-1","itemData":{"DOI":"10.1111/j.1471-8286.2007.01758.x","ISBN":"0016-6731","ISSN":"00166731","PMID":"10835412","abstract":"We describe a model-based clustering method for using multilocus genotype data to infer population structure and assign individuals to populations. We assume a model in which there are K populations (where K may be unknown), each of which is characterized by a set of allele frequencies at each locus. Individuals in the sample are assigned (probabilistically) to populations, or jointly to two or more populations if their genotypes indicate that they are admixed. Our model does not assume a particular mutation process, and it can be applied to most of the commonly used genetic markers, provided that they are not closely linked. Applications of our method include demonstrating the presence of population structure, assigning individuals to populations, studying hybrid zones, and identifying migrants and admixed individuals. We show that the method can produce highly accurate assignments using modest numbers of loci-e.g. , seven microsatellite loci in an example using genotype data from an endangered bird species. The software used for this article is available from http://www.stats.ox.ac.uk/ approximately pritch/home. html.","author":[{"dropping-particle":"","family":"Pritchard","given":"Jonathan K.","non-dropping-particle":"","parse-names":false,"suffix":""},{"dropping-particle":"","family":"Stephens","given":"Matthew","non-dropping-particle":"","parse-names":false,"suffix":""},{"dropping-particle":"","family":"Donnelly","given":"Peter","non-dropping-particle":"","parse-names":false,"suffix":""}],"container-title":"Genetics","id":"ITEM-1","issue":"2","issued":{"date-parts":[["2000"]]},"page":"945-959","title":"Inference of population structure using multilocus genotype data","type":"article-journal","volume":"155"},"uris":["http://www.mendeley.com/documents/?uuid=e072dfbe-67b8-4090-a4be-5451ef26482e"]}],"mendeley":{"formattedCitation":"&lt;sup&gt;52&lt;/sup&gt;","plainTextFormattedCitation":"52","previouslyFormattedCitation":"&lt;sup&gt;52&lt;/sup&gt;"},"properties":{"noteIndex":0},"schema":"https://github.com/citation-style-language/schema/raw/master/csl-citation.json"}</w:instrText>
      </w:r>
      <w:r w:rsidR="00B5603F">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52</w:t>
      </w:r>
      <w:r w:rsidR="00B5603F">
        <w:rPr>
          <w:rFonts w:ascii="Times New Roman" w:eastAsia="Times New Roman" w:hAnsi="Times New Roman" w:cs="Times New Roman"/>
        </w:rPr>
        <w:fldChar w:fldCharType="end"/>
      </w:r>
      <w:r w:rsidR="00B5603F">
        <w:rPr>
          <w:rFonts w:ascii="Times New Roman" w:eastAsia="Times New Roman" w:hAnsi="Times New Roman" w:cs="Times New Roman"/>
        </w:rPr>
        <w:t xml:space="preserve"> for each year.</w:t>
      </w:r>
    </w:p>
    <w:p w14:paraId="456E5836" w14:textId="77777777"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 </w:t>
      </w:r>
    </w:p>
    <w:p w14:paraId="353AEDBA" w14:textId="0D3E043B" w:rsidR="00DA301E" w:rsidRPr="00E35CCB" w:rsidRDefault="007312B3" w:rsidP="007C057E">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Based on results from comparative analysis by Gilbert and Whitlock</w:t>
      </w:r>
      <w:r w:rsidR="00722FD4" w:rsidRPr="00E35CCB">
        <w:rPr>
          <w:rFonts w:ascii="Times New Roman" w:eastAsia="Times New Roman" w:hAnsi="Times New Roman" w:cs="Times New Roman"/>
        </w:rPr>
        <w:t xml:space="preserve"> (2015)</w:t>
      </w:r>
      <w:r w:rsidR="00722FD4"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{"citationItems":[{"id":"ITEM-1","itemData":{"DOI":"10.1111/evo.12713","ISSN":"15585646","PMID":"26118738","abstract":"Effective population size is a fundamental parameter in population genetics, evolutionary biology and conservation biology, yet its estimation can be fraught with difficulties. Several methods to estimate Ne from genetic data have been developed which take advantage of various approaches for inferring Ne . The ability of these methods to accurately estimate Ne , however, has not been comprehensively examined. In this study, we employ seven of the most cited methods for estimating Ne from genetic data (Colony2, CoNe, Estim, MLNe, ONeSAMP, TMVP, and NeEstimator including LDNe) across simulated datasets with populations experiencing migration or no migration. The simulated population demographies are an isolated population with no immigration, an island model metapopulation with a sink population receiving immigrants, and an isolation by distance stepping stone model of populations. We find considerable variance in performance of these methods, both within and across demographic scenarios, with some methods performing very poorly. The most accurate estimates of Ne can be obtained by using LDNe, MLNe, or TMVP; however each of these approaches is outperformed by another in a differing demographic scenario. Knowledge of the approximate demography of population as well as the availability of temporal data largely improves Ne estimates. This article is protected by copyright. All rights reserved.","author":[{"dropping-particle":"","family":"Gilbert","given":"Kimberly J.","non-dropping-particle":"","parse-names":false,"suffix":""},{"dropping-particle":"","family":"Whitlock","given":"Michael C.","non-dropping-particle":"","parse-names":false,"suffix":""}],"container-title":"Evolution","id":"ITEM-1","issue":"8","issued":{"date-parts":[["2015"]]},"page":"2154-2166","title":"Evaluating methods for estimating local effective population size with and without migration","type":"article-journal","volume":"69"},"uris":["http://www.mendeley.com/documents/?uuid=8a922d91-49b5-4424-91a2-f41bef3ddf3b"]}],"mendeley":{"formattedCitation":"&lt;sup&gt;53&lt;/sup&gt;","plainTextFormattedCitation":"53","previouslyFormattedCitation":"&lt;sup&gt;53&lt;/sup&gt;"},"properties":{"noteIndex":0},"schema":"https://github.com/citation-style-language/schema/raw/master/csl-citation.json"}</w:instrText>
      </w:r>
      <w:r w:rsidR="00722FD4"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53</w:t>
      </w:r>
      <w:r w:rsidR="00722FD4" w:rsidRPr="00E35CCB">
        <w:rPr>
          <w:rFonts w:ascii="Times New Roman" w:eastAsia="Times New Roman" w:hAnsi="Times New Roman" w:cs="Times New Roman"/>
        </w:rPr>
        <w:fldChar w:fldCharType="end"/>
      </w:r>
      <w:r w:rsidR="00607071">
        <w:rPr>
          <w:rFonts w:ascii="Times New Roman" w:eastAsia="Times New Roman" w:hAnsi="Times New Roman" w:cs="Times New Roman"/>
        </w:rPr>
        <w:t xml:space="preserve"> and Wang (2016),</w:t>
      </w:r>
      <w:r w:rsidR="00607071">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{"citationItems":[{"id":"ITEM-1","itemData":{"DOI":"10.1111/mec.13725","ISBN":"0962-8436","ISSN":"1365294X","PMID":"16048783","abstract":"The effective population size (Ne) is an important parameter in ecology, evolutionary biology and conservation biology. It is, however, notoriously difficult to estimate, mainly because of the highly stochastic nature of the processes of inbreeding and genetic drift for which Ne is usually defined and measured, and because of the many factors (such as time and spatial scales, systematic forces) confounding such processes. Many methods have been developed in the past three decades to estimate the current, past and ancient effective population sizes using different information extracted from some genetic markers in a sample of individuals. This paper reviews the methodologies proposed for estimating Ne from genetic data using information on heterozygosity excess, linkage disequilibrium, temporal changes in allele frequency, and pattern and amount of genetic variation within and between populations. For each methodology, I describe mainly the logic and genetic model on which it is based, the data required and information used, the interpretation of the estimate obtained, some results from applications to simulated or empirical datasets and future developments that are needed.","author":[{"dropping-particle":"","family":"Wang","given":"Jinliang","non-dropping-particle":"","parse-names":false,"suffix":""}],"container-title":"Molecular ecology","id":"ITEM-1","issue":"19","issued":{"date-parts":[["2016"]]},"page":"4692-4711","title":"A comparison of single-sample estimators of effective population sizes from genetic marker data","type":"article-journal","volume":"25"},"uris":["http://www.mendeley.com/documents/?uuid=90f12439-ad7a-3451-b510-00410c759f42"]}],"mendeley":{"formattedCitation":"&lt;sup&gt;54&lt;/sup&gt;","plainTextFormattedCitation":"54","previouslyFormattedCitation":"&lt;sup&gt;54&lt;/sup&gt;"},"properties":{"noteIndex":0},"schema":"https://github.com/citation-style-language/schema/raw/master/csl-citation.json"}</w:instrText>
      </w:r>
      <w:r w:rsidR="00607071">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54</w:t>
      </w:r>
      <w:r w:rsidR="00607071">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I will use both temporal and LD methods to estimate contemporar</w:t>
      </w:r>
      <w:r w:rsidR="00376466">
        <w:rPr>
          <w:rFonts w:ascii="Times New Roman" w:eastAsia="Times New Roman" w:hAnsi="Times New Roman" w:cs="Times New Roman"/>
        </w:rPr>
        <w:t xml:space="preserve">y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376466">
        <w:rPr>
          <w:rFonts w:ascii="Times New Roman" w:eastAsia="Times New Roman" w:hAnsi="Times New Roman" w:cs="Times New Roman"/>
        </w:rPr>
        <w:t xml:space="preserve"> </w:t>
      </w:r>
      <w:r w:rsidRPr="00E35CCB">
        <w:rPr>
          <w:rFonts w:ascii="Times New Roman" w:eastAsia="Times New Roman" w:hAnsi="Times New Roman" w:cs="Times New Roman"/>
        </w:rPr>
        <w:t xml:space="preserve">in delta smelt through the programs </w:t>
      </w:r>
      <w:proofErr w:type="spellStart"/>
      <w:r w:rsidRPr="00E35CCB">
        <w:rPr>
          <w:rFonts w:ascii="Times New Roman" w:eastAsia="Times New Roman" w:hAnsi="Times New Roman" w:cs="Times New Roman"/>
        </w:rPr>
        <w:t>MLNe</w:t>
      </w:r>
      <w:proofErr w:type="spellEnd"/>
      <w:r w:rsidR="0004486B">
        <w:rPr>
          <w:rFonts w:ascii="Times New Roman" w:eastAsia="Times New Roman" w:hAnsi="Times New Roman" w:cs="Times New Roman"/>
        </w:rPr>
        <w:t xml:space="preserve"> </w:t>
      </w:r>
      <w:r w:rsidRPr="00E35CCB">
        <w:rPr>
          <w:rFonts w:ascii="Times New Roman" w:eastAsia="Times New Roman" w:hAnsi="Times New Roman" w:cs="Times New Roman"/>
        </w:rPr>
        <w:t xml:space="preserve">and </w:t>
      </w:r>
      <w:proofErr w:type="spellStart"/>
      <w:r w:rsidRPr="00E35CCB">
        <w:rPr>
          <w:rFonts w:ascii="Times New Roman" w:eastAsia="Times New Roman" w:hAnsi="Times New Roman" w:cs="Times New Roman"/>
        </w:rPr>
        <w:t>NeEstimator</w:t>
      </w:r>
      <w:proofErr w:type="spellEnd"/>
      <w:r w:rsidRPr="00E35CCB">
        <w:rPr>
          <w:rFonts w:ascii="Times New Roman" w:eastAsia="Times New Roman" w:hAnsi="Times New Roman" w:cs="Times New Roman"/>
        </w:rPr>
        <w:t xml:space="preserve"> v2.01</w:t>
      </w:r>
      <w:r w:rsidR="00241361" w:rsidRPr="00E35CCB">
        <w:rPr>
          <w:rFonts w:ascii="Times New Roman" w:eastAsia="Times New Roman" w:hAnsi="Times New Roman" w:cs="Times New Roman"/>
        </w:rPr>
        <w:t>.</w:t>
      </w:r>
      <w:r w:rsidR="00722FD4"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{"citationItems":[{"id":"ITEM-1","itemData":{"DOI":"10.1017/S0016672301005286","ISBN":"0016-6723","ISSN":"0016-6723","PMID":"11865714","abstract":"Genet. Res., Camb. (2001), 78, pp. 243–257. With 3 figures. # 2001 Cambridge University Press DOI: 10.1017\\S0016672301005286 Printed in the United Kingdom ... A pseudo - likelihood method for estimating effective ... JINLIANG WANG* Institute of Zoology, Zoological Society of ...","author":[{"dropping-particle":"","family":"Wang","given":"Jinliang","non-dropping-particle":"","parse-names":false,"suffix":""}],"container-title":"Genetics Research","id":"ITEM-1","issued":{"date-parts":[["2001"]]},"page":"243-257","publisher":"California Digital LibraryUniversity of California","title":"A pseudo-likelihood method for estimating effective population size from temporally spaced samples","type":"article-journal","volume":"78"},"uris":["http://www.mendeley.com/documents/?uuid=449f9573-601e-4ff7-a2b1-db6a6669b69c"]},{"id":"ITEM-2","itemData":{"DOI":"10.1111/1755-0998.12157","author":[{"dropping-particle":"","family":"Do","given":"Chi","non-dropping-particle":"","parse-names":false,"suffix":""},{"dropping-particle":"","family":"Waples","given":"Robin S.","non-dropping-particle":"","parse-names":false,"suffix":""},{"dropping-particle":"","family":"Peel","given":"D.","non-dropping-particle":"","parse-names":false,"suffix":""},{"dropping-particle":"","family":"Macbeth","given":"G. M.","non-dropping-particle":"","parse-names":false,"suffix":""},{"dropping-particle":"","family":"Tillett","given":"J.","non-dropping-particle":"","parse-names":false,"suffix":""},{"dropping-particle":"","family":"Ovenden","given":"J. R.","non-dropping-particle":"","parse-names":false,"suffix":""}],"container-title":"Molecular Ecology Resources","id":"ITEM-2","issued":{"date-parts":[["2014"]]},"page":"209-214","title":"Ne ESTIMATOR v2 : re - implementation of software for the estimation of contemporary effective population size ( N e ) from genetic data","type":"article-journal","volume":"14"},"uris":["http://www.mendeley.com/documents/?uuid=8dc3e6a5-7528-4e13-ad54-3450be07e314"]}],"mendeley":{"formattedCitation":"&lt;sup&gt;43,55&lt;/sup&gt;","plainTextFormattedCitation":"43,55","previouslyFormattedCitation":"&lt;sup&gt;43,55&lt;/sup&gt;"},"properties":{"noteIndex":0},"schema":"https://github.com/citation-style-language/schema/raw/master/csl-citation.json"}</w:instrText>
      </w:r>
      <w:r w:rsidR="00722FD4"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43,55</w:t>
      </w:r>
      <w:r w:rsidR="00722FD4" w:rsidRPr="00E35CCB">
        <w:rPr>
          <w:rFonts w:ascii="Times New Roman" w:eastAsia="Times New Roman" w:hAnsi="Times New Roman" w:cs="Times New Roman"/>
        </w:rPr>
        <w:fldChar w:fldCharType="end"/>
      </w:r>
      <w:r w:rsidR="00814480">
        <w:rPr>
          <w:rFonts w:ascii="Times New Roman" w:eastAsia="Times New Roman" w:hAnsi="Times New Roman" w:cs="Times New Roman"/>
        </w:rPr>
        <w:t xml:space="preserve"> </w:t>
      </w:r>
      <w:proofErr w:type="spellStart"/>
      <w:r w:rsidR="00814480" w:rsidRPr="00E35CCB">
        <w:rPr>
          <w:rFonts w:ascii="Times New Roman" w:eastAsia="Times New Roman" w:hAnsi="Times New Roman" w:cs="Times New Roman"/>
        </w:rPr>
        <w:t>MLNe</w:t>
      </w:r>
      <w:proofErr w:type="spellEnd"/>
      <w:r w:rsidR="00814480" w:rsidRPr="00E35CCB">
        <w:rPr>
          <w:rFonts w:ascii="Times New Roman" w:eastAsia="Times New Roman" w:hAnsi="Times New Roman" w:cs="Times New Roman"/>
        </w:rPr>
        <w:t xml:space="preserve"> is a pseudo-likelihood method for estimating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814480">
        <w:rPr>
          <w:rFonts w:ascii="Times New Roman" w:eastAsia="Times New Roman" w:hAnsi="Times New Roman" w:cs="Times New Roman"/>
        </w:rPr>
        <w:t xml:space="preserve"> </w:t>
      </w:r>
      <w:r w:rsidR="00814480" w:rsidRPr="00E35CCB">
        <w:rPr>
          <w:rFonts w:ascii="Times New Roman" w:eastAsia="Times New Roman" w:hAnsi="Times New Roman" w:cs="Times New Roman"/>
        </w:rPr>
        <w:t>from temporally-spaced samples</w:t>
      </w:r>
      <w:r w:rsidR="00814480">
        <w:rPr>
          <w:rFonts w:ascii="Times New Roman" w:eastAsia="Times New Roman" w:hAnsi="Times New Roman" w:cs="Times New Roman"/>
        </w:rPr>
        <w:t>.</w:t>
      </w:r>
      <w:r w:rsidR="00814480" w:rsidRPr="00E35CCB">
        <w:rPr>
          <w:rFonts w:ascii="Times New Roman" w:eastAsia="Times New Roman" w:hAnsi="Times New Roman" w:cs="Times New Roman"/>
        </w:rPr>
        <w:t xml:space="preserve"> </w:t>
      </w:r>
      <w:proofErr w:type="spellStart"/>
      <w:r w:rsidR="00814480" w:rsidRPr="00E35CCB">
        <w:rPr>
          <w:rFonts w:ascii="Times New Roman" w:eastAsia="Times New Roman" w:hAnsi="Times New Roman" w:cs="Times New Roman"/>
        </w:rPr>
        <w:t>NeEstimator</w:t>
      </w:r>
      <w:proofErr w:type="spellEnd"/>
      <w:r w:rsidR="00814480" w:rsidRPr="00E35CCB">
        <w:rPr>
          <w:rFonts w:ascii="Times New Roman" w:eastAsia="Times New Roman" w:hAnsi="Times New Roman" w:cs="Times New Roman"/>
        </w:rPr>
        <w:t xml:space="preserve"> v2.01 is a software that implements </w:t>
      </w:r>
      <w:r w:rsidR="00814480">
        <w:rPr>
          <w:rFonts w:ascii="Times New Roman" w:eastAsia="Times New Roman" w:hAnsi="Times New Roman" w:cs="Times New Roman"/>
        </w:rPr>
        <w:t>various updates to the original</w:t>
      </w:r>
      <w:r w:rsidR="00814480" w:rsidRPr="00E35CCB">
        <w:rPr>
          <w:rFonts w:ascii="Times New Roman" w:eastAsia="Times New Roman" w:hAnsi="Times New Roman" w:cs="Times New Roman"/>
        </w:rPr>
        <w:t xml:space="preserve"> </w:t>
      </w:r>
      <w:proofErr w:type="spellStart"/>
      <w:r w:rsidR="00814480" w:rsidRPr="00E35CCB">
        <w:rPr>
          <w:rFonts w:ascii="Times New Roman" w:eastAsia="Times New Roman" w:hAnsi="Times New Roman" w:cs="Times New Roman"/>
        </w:rPr>
        <w:t>LDNe</w:t>
      </w:r>
      <w:proofErr w:type="spellEnd"/>
      <w:r w:rsidR="00814480">
        <w:rPr>
          <w:rFonts w:ascii="Times New Roman" w:eastAsia="Times New Roman" w:hAnsi="Times New Roman" w:cs="Times New Roman"/>
        </w:rPr>
        <w:t xml:space="preserve"> method for estimating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814480">
        <w:rPr>
          <w:rFonts w:ascii="Times New Roman" w:eastAsia="Times New Roman" w:hAnsi="Times New Roman" w:cs="Times New Roman"/>
        </w:rPr>
        <w:t xml:space="preserve"> from single-sample data.</w:t>
      </w:r>
      <w:r w:rsidR="00814480">
        <w:rPr>
          <w:rFonts w:ascii="Times New Roman" w:eastAsia="Times New Roman" w:hAnsi="Times New Roman" w:cs="Times New Roman"/>
        </w:rPr>
        <w:fldChar w:fldCharType="begin" w:fldLock="1"/>
      </w:r>
      <w:r w:rsidR="00814480">
        <w:rPr>
          <w:rFonts w:ascii="Times New Roman" w:eastAsia="Times New Roman" w:hAnsi="Times New Roman" w:cs="Times New Roman"/>
        </w:rPr>
        <w:instrText>ADDIN CSL_CITATION {"citationItems":[{"id":"ITEM-1","itemData":{"ISBN":"0016-6731","ISSN":"0016-6731","PMID":"2731727","abstract":"The temporal method for estimating effective population size (Ne) from the standardized variance in allele frequency change (F) is presented in a generalized form. Whereas previous treatments of this method have adopted rather limiting assumptions, the present analysis shows that the temporal method is generally applicable to a wide variety of organisms. Use of a revised model of gene sampling permits a more generalized interpretation of Ne than that used by some other authors studying this method. It is shown that two sampling plans (individuals for genetic analysis taken before or after reproduction) whose differences have been stressed by previous authors can be treated in a uniform way. Computer simulations using a wide variety of initial conditions show that different formulas for computing F have much less effect on Ne than do sample size (S), number of generations between samples (t), or the number of loci studied (L). Simulation results also indicate that (1) bias of F is small unless alleles with very low frequency are used; (2) precision is typically increased by about the same amount with a doubling of S, t, or L; (3) confidence intervals for Ne computed using a chi 2 approximation are accurate and unbiased under most conditions; (4) the temporal method is best suited for use with organisms having high juvenile mortality and, perhaps, a limited effective population size.","author":[{"dropping-particle":"","family":"Waples","given":"R.S.","non-dropping-particle":"","parse-names":false,"suffix":""}],"container-title":"Genetics","id":"ITEM-1","issue":"2","issued":{"date-parts":[["1989"]]},"page":"379-391","title":"A generalized approach for estimating effective population size from temporal changes in allele frequency.","type":"article-journal","volume":"121"},"uris":["http://www.mendeley.com/documents/?uuid=e8c20b24-a197-4a39-9292-d45d79c39995"]},{"id":"ITEM-2","itemData":{"DOI":"10.1007/s10592-005-9100-y","ISBN":"10.1101/001081","ISSN":"15660621","PMID":"24603985","abstract":"Analysis of linkage disequilibrium (^ r2=mean squared correlation of allele frequencies at different gene loci) provides a means of estimating effective population size (Ne) from a single sample, but this method has seen much less use than the temporal method (which requires at least two samples). It is shown that for realistic numbers of loci and alleles, the linkage disequilibrium method can provide precision comparable to that of the temporal method. However, computer simulations show that estimates of Ne based on ^ r2 for unlinked, diallelic gene loci are sharply biased downwards ( ^ Ne=N&lt;0:1 in some cases) if sample size (S) is less than true Ne. The bias is shown to arise from inaccuracies in published formula for Eð^ r2Þ when S and/or Ne are small. Empirically derived modifications to Eð^ r2Þ for two mating systems (random mating and lifetime monogamy) effectively eliminate the bias (residual bias in ^ Ne&lt;5% in most cases). The modified method also performs well in estimating Ne in non-ideal populations with skewed sex ratio or non-random variance in reproductive success. Recent population declines are not likely to seriously affect ^ Ne, but if N has recently increased from a bottleneck ^ Ne can be biased downwards for a few generations. These results should facilitate application of the disequilibrium method for estimating contemporary Ne in natural populations. However, a comprehensive assessment of performance of ^ r2 with highly polymorphic markers such as microsatellites is needed. Introduction","author":[{"dropping-particle":"","family":"Waples","given":"Robin S.","non-dropping-particle":"","parse-names":false,"suffix":""}],"container-title":"Conservation Genetics","id":"ITEM-2","issue":"2","issued":{"date-parts":[["2006"]]},"page":"167-184","title":"A bias correction for estimates of effective population size based on linkage disequilibrium at unlinked gene loci","type":"article-journal","volume":"7"},"uris":["http://www.mendeley.com/documents/?uuid=7071af0d-7070-4f5b-8208-ef2be5f94bde"]},{"id":"ITEM-3","itemData":{"DOI":"10.1017/S0016672301005286","ISBN":"0016-6723","ISSN":"0016-6723","PMID":"11865714","abstract":"Genet. Res., Camb. (2001), 78, pp. 243–257. With 3 figures. # 2001 Cambridge University Press DOI: 10.1017\\S0016672301005286 Printed in the United Kingdom ... A pseudo - likelihood method for estimating effective ... JINLIANG WANG* Institute of Zoology, Zoological Society of ...","author":[{"dropping-particle":"","family":"Wang","given":"Jinliang","non-dropping-particle":"","parse-names":false,"suffix":""}],"container-title":"Genetics Research","id":"ITEM-3","issued":{"date-parts":[["2001"]]},"page":"243-257","publisher":"California Digital LibraryUniversity of California","title":"A pseudo-likelihood method for estimating effective population size from temporally spaced samples","type":"article-journal","volume":"78"},"uris":["http://www.mendeley.com/documents/?uuid=449f9573-601e-4ff7-a2b1-db6a6669b69c"]},{"id":"ITEM-4","itemData":{"DOI":"10.1111/1755-0998.12157","author":[{"dropping-particle":"","family":"Do","given":"Chi","non-dropping-particle":"","parse-names":false,"suffix":""},{"dropping-particle":"","family":"Waples","given":"Robin S.","non-dropping-particle":"","parse-names":false,"suffix":""},{"dropping-particle":"","family":"Peel","given":"D.","non-dropping-particle":"","parse-names":false,"suffix":""},{"dropping-particle":"","family":"Macbeth","given":"G. M.","non-dropping-particle":"","parse-names":false,"suffix":""},{"dropping-particle":"","family":"Tillett","given":"J.","non-dropping-particle":"","parse-names":false,"suffix":""},{"dropping-particle":"","family":"Ovenden","given":"J. R.","non-dropping-particle":"","parse-names":false,"suffix":""}],"container-title":"Molecular Ecology Resources","id":"ITEM-4","issued":{"date-parts":[["2014"]]},"page":"209-214","title":"Ne ESTIMATOR v2 : re - implementation of software for the estimation of contemporary effective population size ( N e ) from genetic data","type":"article-journal","volume":"14"},"uris":["http://www.mendeley.com/documents/?uuid=8dc3e6a5-7528-4e13-ad54-3450be07e314"]},{"id":"ITEM-5","itemData":{"DOI":"10.1038/hdy.2016.19","ISSN":"0018-067X","author":[{"dropping-particle":"","family":"Jones","given":"A T","non-dropping-particle":"","parse-names":false,"suffix":""},{"dropping-particle":"","family":"Ovenden","given":"J R","non-dropping-particle":"","parse-names":false,"suffix":""},{"dropping-particle":"","family":"Wang","given":"Y-g","non-dropping-particle":"","parse-names":false,"suffix":""}],"container-title":"Nature Publishing Group","id":"ITEM-5","issue":"4","issued":{"date-parts":[["2016"]]},"page":"217-223","publisher":"Nature Publishing Group","title":"Improved conf dence intervals for the linkage disequilibrium method for estimating effective population size","type":"article-journal","volume":"117"},"uris":["http://www.mendeley.com/documents/?uuid=39d1cd2f-28fc-444d-8a62-1e76cd84b8e3"]}],"mendeley":{"formattedCitation":"&lt;sup&gt;13,43,55,57,58&lt;/sup&gt;","plainTextFormattedCitation":"13,43,55,57,58","previouslyFormattedCitation":"&lt;sup&gt;13,43,55,57,58&lt;/sup&gt;"},"properties":{"noteIndex":0},"schema":"https://github.com/citation-style-language/schema/raw/master/csl-citation.json"}</w:instrText>
      </w:r>
      <w:r w:rsidR="00814480">
        <w:rPr>
          <w:rFonts w:ascii="Times New Roman" w:eastAsia="Times New Roman" w:hAnsi="Times New Roman" w:cs="Times New Roman"/>
        </w:rPr>
        <w:fldChar w:fldCharType="separate"/>
      </w:r>
      <w:r w:rsidR="00814480" w:rsidRPr="00B5603F">
        <w:rPr>
          <w:rFonts w:ascii="Times New Roman" w:eastAsia="Times New Roman" w:hAnsi="Times New Roman" w:cs="Times New Roman"/>
          <w:noProof/>
          <w:vertAlign w:val="superscript"/>
        </w:rPr>
        <w:t>13,43,55,57,58</w:t>
      </w:r>
      <w:r w:rsidR="00814480">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w:t>
      </w:r>
      <w:bookmarkStart w:id="0" w:name="_GoBack"/>
      <w:bookmarkEnd w:id="0"/>
      <w:r w:rsidRPr="00E35CCB">
        <w:rPr>
          <w:rFonts w:ascii="Times New Roman" w:eastAsia="Times New Roman" w:hAnsi="Times New Roman" w:cs="Times New Roman"/>
        </w:rPr>
        <w:t>Temporal methods use allele frequency change between generations at individual loci to quantify the level of genetic drift in a population</w:t>
      </w:r>
      <w:r w:rsidR="0004486B">
        <w:rPr>
          <w:rFonts w:ascii="Times New Roman" w:eastAsia="Times New Roman" w:hAnsi="Times New Roman" w:cs="Times New Roman"/>
        </w:rPr>
        <w:t xml:space="preserve"> and estimate the harmonic mean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4486B">
        <w:rPr>
          <w:rFonts w:ascii="Times New Roman" w:eastAsia="Times New Roman" w:hAnsi="Times New Roman" w:cs="Times New Roman"/>
        </w:rPr>
        <w:t>.</w:t>
      </w:r>
      <w:r w:rsidR="00722FD4"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{"citationItems":[{"id":"ITEM-1","itemData":{"author":[{"dropping-particle":"","family":"Krimbas","given":"C. B.","non-dropping-particle":"","parse-names":false,"suffix":""},{"dropping-particle":"","family":"Tsakas","given":"S.","non-dropping-particle":"","parse-names":false,"suffix":""}],"container-title":"Evolution","id":"ITEM-1","issue":"25","issued":{"date-parts":[["1971"]]},"page":"454-460","title":"THE GENETICS OF DACUS OLEAE. V. CHANGES OF ESTERASE POLYMORPHISM IN A NATURAL POPULA- TION FOLLOWING INSECTICIDE CONTROL-SELECTION OR DRIFT?","type":"article-journal"},"uris":["http://www.mendeley.com/documents/?uuid=a02123bf-3e2b-4d59-a3ed-315192e422ca"]},{"id":"ITEM-2","itemData":{"DOI":"10.1111/j.1365-294X.2005.02673.x","ISBN":"0962-1083","ISSN":"09621083","PMID":"16156807","abstract":"Although most genetic estimates of contemporary effective population size (Ne) are based on models that assume Ne is constant, in real populations Ne changes (often dramatically) over time, and estimates (Ne) will be influenced by Ne in specific generations. In such cases, it is important to properly match Ne to the appropriate time periods (for example, in computing Ne/N ratios). Here I consider this problem for semelparous species with two life histories (discrete generations and variable age at maturity--the 'salmon' model), for two different sampling plans, and for estimators based on single samples (linkage disequilibrium, heterozygote excess) and two samples (temporal method). Results include the following. Discrete generations: (i) Temporal samples from generations 0 and t estimate the harmonic mean Ne in generations 0 through t - 1 but do not provide information about Ne in generation t; (ii) Single samples provide an estimate of Ne in the parental generation, not the generation sampled; (iii) single-sample and temporal estimates never provide information about Ne in exactly the same generations; (iv) Recent bottlenecks can downwardly bias estimates based on linkage disequilibrium for several generations. Salmon model: (i) A pair of single-cohort (typically juvenile) samples from years 0 and t provide a temporal estimate of the harmonic mean of the effective numbers of breeders in the two parental years (N b(0) and N b(t)), but adult samples are more difficult to interpret because they are influenced by Nb in a number of previous years; (ii) For single-cohort samples, both one-sample and temporal methods provide estimates of Nb in the same years (contrast with results for discrete generation model); (iii) Residual linkage disequilibrium associated with past population size will not affect single-sample estimates of Nb as much as in the discrete generation model because the disequilibrium diffuses among different years of breeders. These results lead to some general conclusions about genetic estimates of Ne in iteroparous species with overlapping generations and identify areas in need of further research.","author":[{"dropping-particle":"","family":"Waples","given":"Robin S.","non-dropping-particle":"","parse-names":false,"suffix":""}],"container-title":"Molecular Ecology","id":"ITEM-2","issue":"11","issued":{"date-parts":[["2005"]]},"page":"3335-3352","title":"Genetic estimates of contemporary effective population size: To what time periods do the estimates apply?","type":"article-journal","volume":"14"},"uris":["http://www.mendeley.com/documents/?uuid=a9e7c357-33fd-4a88-8c80-269dfbf93a2a"]}],"mendeley":{"formattedCitation":"&lt;sup&gt;35,56&lt;/sup&gt;","plainTextFormattedCitation":"35,56","previouslyFormattedCitation":"&lt;sup&gt;35,56&lt;/sup&gt;"},"properties":{"noteIndex":0},"schema":"https://github.com/citation-style-language/schema/raw/master/csl-citation.json"}</w:instrText>
      </w:r>
      <w:r w:rsidR="00722FD4"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35,56</w:t>
      </w:r>
      <w:r w:rsidR="00722FD4"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LD method</w:t>
      </w:r>
      <w:r w:rsidR="0004486B">
        <w:rPr>
          <w:rFonts w:ascii="Times New Roman" w:eastAsia="Times New Roman" w:hAnsi="Times New Roman" w:cs="Times New Roman"/>
        </w:rPr>
        <w:t>s</w:t>
      </w:r>
      <w:r w:rsidRPr="00E35CCB">
        <w:rPr>
          <w:rFonts w:ascii="Times New Roman" w:eastAsia="Times New Roman" w:hAnsi="Times New Roman" w:cs="Times New Roman"/>
        </w:rPr>
        <w:t xml:space="preserve"> use the non-random association of allele frequencies at different loci to quantify the level of inbreeding within </w:t>
      </w:r>
      <w:r w:rsidR="0004486B">
        <w:rPr>
          <w:rFonts w:ascii="Times New Roman" w:eastAsia="Times New Roman" w:hAnsi="Times New Roman" w:cs="Times New Roman"/>
        </w:rPr>
        <w:t>the population of the</w:t>
      </w:r>
      <w:r w:rsidRPr="00E35CCB">
        <w:rPr>
          <w:rFonts w:ascii="Times New Roman" w:eastAsia="Times New Roman" w:hAnsi="Times New Roman" w:cs="Times New Roman"/>
        </w:rPr>
        <w:t xml:space="preserve"> </w:t>
      </w:r>
      <w:r w:rsidR="0004486B">
        <w:rPr>
          <w:rFonts w:ascii="Times New Roman" w:eastAsia="Times New Roman" w:hAnsi="Times New Roman" w:cs="Times New Roman"/>
        </w:rPr>
        <w:t>parental generation</w:t>
      </w:r>
      <w:r w:rsidR="00722FD4" w:rsidRPr="00E35CCB">
        <w:rPr>
          <w:rFonts w:ascii="Times New Roman" w:eastAsia="Times New Roman" w:hAnsi="Times New Roman" w:cs="Times New Roman"/>
        </w:rPr>
        <w:t>.</w:t>
      </w:r>
      <w:r w:rsidR="00722FD4"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{"citationItems":[{"id":"ITEM-1","itemData":{"DOI":"10.1017/S0016672300020553","ISSN":"0016-6723","author":[{"dropping-particle":"","family":"Hill","given":"William G.","non-dropping-particle":"","parse-names":false,"suffix":""}],"container-title":"Genetical Research","id":"ITEM-1","issue":"03","issued":{"date-parts":[["1981","12","14"]]},"page":"209","publisher":"Cambridge University Press","title":"Estimation of effective population size from data on linkage disequilibrium","type":"article-journal","volume":"38"},"uris":["http://www.mendeley.com/documents/?uuid=0c984971-cd8a-3232-a9f3-218ae59a80c8"]},{"id":"ITEM-2","itemData":{"DOI":"10.1111/j.1365-294X.2005.02673.x","ISBN":"0962-1083","ISSN":"09621083","PMID":"16156807","abstract":"Although most genetic estimates of contemporary effective population size (Ne) are based on models that assume Ne is constant, in real populations Ne changes (often dramatically) over time, and estimates (Ne) will be influenced by Ne in specific generations. In such cases, it is important to properly match Ne to the appropriate time periods (for example, in computing Ne/N ratios). Here I consider this problem for semelparous species with two life histories (discrete generations and variable age at maturity--the 'salmon' model), for two different sampling plans, and for estimators based on single samples (linkage disequilibrium, heterozygote excess) and two samples (temporal method). Results include the following. Discrete generations: (i) Temporal samples from generations 0 and t estimate the harmonic mean Ne in generations 0 through t - 1 but do not provide information about Ne in generation t; (ii) Single samples provide an estimate of Ne in the parental generation, not the generation sampled; (iii) single-sample and temporal estimates never provide information about Ne in exactly the same generations; (iv) Recent bottlenecks can downwardly bias estimates based on linkage disequilibrium for several generations. Salmon model: (i) A pair of single-cohort (typically juvenile) samples from years 0 and t provide a temporal estimate of the harmonic mean of the effective numbers of breeders in the two parental years (N b(0) and N b(t)), but adult samples are more difficult to interpret because they are influenced by Nb in a number of previous years; (ii) For single-cohort samples, both one-sample and temporal methods provide estimates of Nb in the same years (contrast with results for discrete generation model); (iii) Residual linkage disequilibrium associated with past population size will not affect single-sample estimates of Nb as much as in the discrete generation model because the disequilibrium diffuses among different years of breeders. These results lead to some general conclusions about genetic estimates of Ne in iteroparous species with overlapping generations and identify areas in need of further research.","author":[{"dropping-particle":"","family":"Waples","given":"Robin S.","non-dropping-particle":"","parse-names":false,"suffix":""}],"container-title":"Molecular Ecology","id":"ITEM-2","issue":"11","issued":{"date-parts":[["2005"]]},"page":"3335-3352","title":"Genetic estimates of contemporary effective population size: To what time periods do the estimates apply?","type":"article-journal","volume":"14"},"uris":["http://www.mendeley.com/documents/?uuid=a9e7c357-33fd-4a88-8c80-269dfbf93a2a"]}],"mendeley":{"formattedCitation":"&lt;sup&gt;34,56&lt;/sup&gt;","plainTextFormattedCitation":"34,56","previouslyFormattedCitation":"&lt;sup&gt;34,56&lt;/sup&gt;"},"properties":{"noteIndex":0},"schema":"https://github.com/citation-style-language/schema/raw/master/csl-citation.json"}</w:instrText>
      </w:r>
      <w:r w:rsidR="00722FD4"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34,56</w:t>
      </w:r>
      <w:r w:rsidR="00722FD4" w:rsidRPr="00E35CCB">
        <w:rPr>
          <w:rFonts w:ascii="Times New Roman" w:eastAsia="Times New Roman" w:hAnsi="Times New Roman" w:cs="Times New Roman"/>
        </w:rPr>
        <w:fldChar w:fldCharType="end"/>
      </w:r>
      <w:r w:rsidR="00376466">
        <w:rPr>
          <w:rFonts w:ascii="Times New Roman" w:eastAsia="Times New Roman" w:hAnsi="Times New Roman" w:cs="Times New Roman"/>
        </w:rPr>
        <w:t xml:space="preserve"> Thus, the two methods give estimations of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376466">
        <w:rPr>
          <w:rFonts w:ascii="Times New Roman" w:eastAsia="Times New Roman" w:hAnsi="Times New Roman" w:cs="Times New Roman"/>
        </w:rPr>
        <w:t xml:space="preserve"> </w:t>
      </w:r>
      <w:r w:rsidR="00376466">
        <w:rPr>
          <w:rFonts w:ascii="Times New Roman" w:eastAsia="Times New Roman" w:hAnsi="Times New Roman" w:cs="Times New Roman"/>
        </w:rPr>
        <w:t>at different timepoints.</w:t>
      </w:r>
      <w:r w:rsidR="0004486B">
        <w:rPr>
          <w:rFonts w:ascii="Times New Roman" w:eastAsia="Times New Roman" w:hAnsi="Times New Roman" w:cs="Times New Roman"/>
        </w:rPr>
        <w:t xml:space="preserve"> </w:t>
      </w:r>
      <w:r w:rsidR="007C057E">
        <w:rPr>
          <w:rFonts w:ascii="Times New Roman" w:eastAsia="Times New Roman" w:hAnsi="Times New Roman" w:cs="Times New Roman"/>
        </w:rPr>
        <w:t xml:space="preserve">In order to reduce bias and </w:t>
      </w:r>
      <w:r w:rsidR="00296B92">
        <w:rPr>
          <w:rFonts w:ascii="Times New Roman" w:eastAsia="Times New Roman" w:hAnsi="Times New Roman" w:cs="Times New Roman"/>
        </w:rPr>
        <w:t>increase</w:t>
      </w:r>
      <w:r w:rsidR="007C057E">
        <w:rPr>
          <w:rFonts w:ascii="Times New Roman" w:eastAsia="Times New Roman" w:hAnsi="Times New Roman" w:cs="Times New Roman"/>
        </w:rPr>
        <w:t xml:space="preserve"> precision I will incorporate a linkage map into my LD estimates of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00296B92">
        <w:rPr>
          <w:rFonts w:ascii="Times New Roman" w:eastAsia="Times New Roman" w:hAnsi="Times New Roman" w:cs="Times New Roman"/>
        </w:rPr>
        <w:t xml:space="preserve">and use more precise confidence intervals </w:t>
      </w:r>
      <w:r w:rsidR="00DB50A7">
        <w:rPr>
          <w:rFonts w:ascii="Times New Roman" w:eastAsia="Times New Roman" w:hAnsi="Times New Roman" w:cs="Times New Roman"/>
        </w:rPr>
        <w:t xml:space="preserve">and estimate bias according to </w:t>
      </w:r>
      <w:proofErr w:type="spellStart"/>
      <w:r w:rsidR="00AA075E">
        <w:rPr>
          <w:rFonts w:ascii="Times New Roman" w:eastAsia="Times New Roman" w:hAnsi="Times New Roman" w:cs="Times New Roman"/>
        </w:rPr>
        <w:t>Waples</w:t>
      </w:r>
      <w:proofErr w:type="spellEnd"/>
      <w:r w:rsidR="00AA075E">
        <w:rPr>
          <w:rFonts w:ascii="Times New Roman" w:eastAsia="Times New Roman" w:hAnsi="Times New Roman" w:cs="Times New Roman"/>
        </w:rPr>
        <w:t xml:space="preserve"> et al (20</w:t>
      </w:r>
      <w:r w:rsidR="00026C07">
        <w:rPr>
          <w:rFonts w:ascii="Times New Roman" w:eastAsia="Times New Roman" w:hAnsi="Times New Roman" w:cs="Times New Roman"/>
        </w:rPr>
        <w:t>1</w:t>
      </w:r>
      <w:r w:rsidR="00AA075E">
        <w:rPr>
          <w:rFonts w:ascii="Times New Roman" w:eastAsia="Times New Roman" w:hAnsi="Times New Roman" w:cs="Times New Roman"/>
        </w:rPr>
        <w:t>6)</w:t>
      </w:r>
      <w:r w:rsidR="000C0E4D">
        <w:rPr>
          <w:rFonts w:ascii="Times New Roman" w:eastAsia="Times New Roman" w:hAnsi="Times New Roman" w:cs="Times New Roman"/>
        </w:rPr>
        <w:t>.</w:t>
      </w:r>
      <w:r w:rsidR="007C057E">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{"citationItems":[{"id":"ITEM-1","itemData":{"DOI":"10.1080/00028487.2015.1037016","ISBN":"0002-8487","ISSN":"15488659","abstract":"AbstractThe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grea...","author":[{"dropping-particle":"","family":"Lew","given":"Ryan M.","non-dropping-particle":"","parse-names":false,"suffix":""},{"dropping-particle":"","family":"Finger","given":"Amanda J.","non-dropping-particle":"","parse-names":false,"suffix":""},{"dropping-particle":"","family":"Baerwald","given":"Melinda R.","non-dropping-particle":"","parse-names":false,"suffix":""},{"dropping-particle":"","family":"Goodbla","given":"Alisha","non-dropping-particle":"","parse-names":false,"suffix":""},{"dropping-particle":"","family":"May","given":"Bernie","non-dropping-particle":"","parse-names":false,"suffix":""},{"dropping-particle":"","family":"Meek","given":"Mariah H.","non-dropping-particle":"","parse-names":false,"suffix":""}],"container-title":"Transactions of the American Fisheries Society","id":"ITEM-1","issue":"4","issued":{"date-parts":[["2015"]]},"page":"767-779","title":"Using Next-Generation Sequencing to Assist a Conservation Hatchery: a Single-Nucleotide Polymorphism Panel for the Genetic Management of Endangered Delta Smelt","type":"article-journal","volume":"144"},"uris":["http://www.mendeley.com/documents/?uuid=bf1b6c5e-bf1e-475d-b48b-a723c3fdcc4f"]},{"id":"ITEM-2","itemData":{"DOI":"10.1038/hdy.2016.60","ISSN":"13652540","abstract":"Heredity 117, 233 (2016). doi:10.1038/hdy.2016.60","author":[{"dropping-particle":"","family":"Waples","given":"R. K.","non-dropping-particle":"","parse-names":false,"suffix":""},{"dropping-particle":"","family":"Larson","given":"W. A.","non-dropping-particle":"","parse-names":false,"suffix":""},{"dropping-particle":"","family":"Waples","given":"R. S.","non-dropping-particle":"","parse-names":false,"suffix":""}],"container-title":"Heredity","id":"ITEM-2","issue":"4","issued":{"date-parts":[["2016"]]},"page":"233-240","publisher":"Nature Publishing Group","title":"Estimating contemporary effective population size in non-model species using linkage disequilibrium across thousands of loci","type":"article-journal","volume":"117"},"uris":["http://www.mendeley.com/documents/?uuid=cde7447e-73c7-4843-9d47-e0032d06fe56"]}],"mendeley":{"formattedCitation":"&lt;sup&gt;59,60&lt;/sup&gt;","plainTextFormattedCitation":"59,60","previouslyFormattedCitation":"&lt;sup&gt;59,60&lt;/sup&gt;"},"properties":{"noteIndex":0},"schema":"https://github.com/citation-style-language/schema/raw/master/csl-citation.json"}</w:instrText>
      </w:r>
      <w:r w:rsidR="007C057E">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59,60</w:t>
      </w:r>
      <w:r w:rsidR="007C057E">
        <w:rPr>
          <w:rFonts w:ascii="Times New Roman" w:eastAsia="Times New Roman" w:hAnsi="Times New Roman" w:cs="Times New Roman"/>
        </w:rPr>
        <w:fldChar w:fldCharType="end"/>
      </w:r>
    </w:p>
    <w:p w14:paraId="30BED7CE" w14:textId="77777777" w:rsidR="00DA301E" w:rsidRPr="00E35CCB" w:rsidRDefault="00DA301E" w:rsidP="00B4213F">
      <w:pPr>
        <w:ind w:left="-270" w:right="-270"/>
        <w:jc w:val="both"/>
        <w:rPr>
          <w:rFonts w:ascii="Times New Roman" w:eastAsia="Times New Roman" w:hAnsi="Times New Roman" w:cs="Times New Roman"/>
        </w:rPr>
      </w:pPr>
    </w:p>
    <w:p w14:paraId="2469CE82" w14:textId="77777777" w:rsidR="00DA301E" w:rsidRPr="00E35CCB" w:rsidRDefault="007312B3" w:rsidP="00B4213F">
      <w:pPr>
        <w:ind w:left="-270" w:right="-270"/>
        <w:jc w:val="both"/>
        <w:rPr>
          <w:rFonts w:ascii="Times New Roman" w:eastAsia="Times New Roman" w:hAnsi="Times New Roman" w:cs="Times New Roman"/>
          <w:b/>
          <w:i/>
        </w:rPr>
      </w:pPr>
      <w:r w:rsidRPr="00E35CCB">
        <w:rPr>
          <w:rFonts w:ascii="Times New Roman" w:eastAsia="Times New Roman" w:hAnsi="Times New Roman" w:cs="Times New Roman"/>
          <w:b/>
          <w:i/>
        </w:rPr>
        <w:t>Expected Results</w:t>
      </w:r>
    </w:p>
    <w:p w14:paraId="0A240E72" w14:textId="38A6C42E"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I expect to see a decline in the contemporary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Pr="00E35CCB">
        <w:rPr>
          <w:rFonts w:ascii="Times New Roman" w:eastAsia="Times New Roman" w:hAnsi="Times New Roman" w:cs="Times New Roman"/>
        </w:rPr>
        <w:t xml:space="preserve">of delta smelt from 1993 to 2019. </w:t>
      </w:r>
      <w:r w:rsidR="00241361" w:rsidRPr="00E35CCB">
        <w:rPr>
          <w:rFonts w:ascii="Times New Roman" w:eastAsia="Times New Roman" w:hAnsi="Times New Roman" w:cs="Times New Roman"/>
        </w:rPr>
        <w:t>Initial results</w:t>
      </w:r>
      <w:r w:rsidRPr="00E35CCB">
        <w:rPr>
          <w:rFonts w:ascii="Times New Roman" w:eastAsia="Times New Roman" w:hAnsi="Times New Roman" w:cs="Times New Roman"/>
        </w:rPr>
        <w:t xml:space="preserve"> indicate a consistent decline </w:t>
      </w:r>
      <w:r w:rsidR="00D4783E">
        <w:rPr>
          <w:rFonts w:ascii="Times New Roman" w:eastAsia="Times New Roman" w:hAnsi="Times New Roman" w:cs="Times New Roman"/>
        </w:rPr>
        <w:t xml:space="preserve">from </w:t>
      </w:r>
      <w:r w:rsidR="00D4783E">
        <w:rPr>
          <w:rFonts w:ascii="Times New Roman" w:eastAsia="Times New Roman" w:hAnsi="Times New Roman" w:cs="Times New Roman"/>
        </w:rPr>
        <w:t xml:space="preserve">1994 </w:t>
      </w:r>
      <w:r w:rsidR="00D4783E">
        <w:rPr>
          <w:rFonts w:ascii="Times New Roman" w:eastAsia="Times New Roman" w:hAnsi="Times New Roman" w:cs="Times New Roman"/>
        </w:rPr>
        <w:t>–</w:t>
      </w:r>
      <w:r w:rsidR="00D4783E">
        <w:rPr>
          <w:rFonts w:ascii="Times New Roman" w:eastAsia="Times New Roman" w:hAnsi="Times New Roman" w:cs="Times New Roman"/>
        </w:rPr>
        <w:t xml:space="preserve"> 2016</w:t>
      </w:r>
      <w:r w:rsidR="00D4783E">
        <w:rPr>
          <w:rFonts w:ascii="Times New Roman" w:eastAsia="Times New Roman" w:hAnsi="Times New Roman" w:cs="Times New Roman"/>
        </w:rPr>
        <w:t xml:space="preserve"> </w:t>
      </w:r>
      <w:r w:rsidRPr="00E35CCB">
        <w:rPr>
          <w:rFonts w:ascii="Times New Roman" w:eastAsia="Times New Roman" w:hAnsi="Times New Roman" w:cs="Times New Roman"/>
        </w:rPr>
        <w:t xml:space="preserve">in </w:t>
      </w:r>
      <m:oMath>
        <m:sSub>
          <m:sSubPr>
            <m:ctrlPr>
              <w:rPr>
                <w:rFonts w:ascii="Cambria Math" w:eastAsia="Times New Roman" w:hAnsi="Cambria Math" w:cs="Times New Roman"/>
              </w:rPr>
            </m:ctrlPr>
          </m:sSubPr>
          <m:e>
            <m:acc>
              <m:accPr>
                <m:ctrlPr>
                  <w:rPr>
                    <w:rFonts w:ascii="Cambria Math" w:eastAsia="Times New Roman" w:hAnsi="Cambria Math" w:cs="Times New Roman"/>
                  </w:rPr>
                </m:ctrlPr>
              </m:accPr>
              <m:e>
                <m:r>
                  <m:rPr>
                    <m:sty m:val="p"/>
                  </m:rPr>
                  <w:rPr>
                    <w:rFonts w:ascii="Cambria Math" w:eastAsia="Times New Roman" w:hAnsi="Cambria Math" w:cs="Times New Roman"/>
                  </w:rPr>
                  <m:t>N</m:t>
                </m:r>
              </m:e>
            </m:acc>
          </m:e>
          <m:sub>
            <m:r>
              <m:rPr>
                <m:sty m:val="p"/>
              </m:rPr>
              <w:rPr>
                <w:rFonts w:ascii="Cambria Math" w:eastAsia="Times New Roman" w:hAnsi="Cambria Math" w:cs="Times New Roman"/>
              </w:rPr>
              <m:t>e</m:t>
            </m:r>
          </m:sub>
        </m:sSub>
      </m:oMath>
      <w:r w:rsidR="00D4783E">
        <w:rPr>
          <w:rFonts w:ascii="Times New Roman" w:eastAsia="Times New Roman" w:hAnsi="Times New Roman" w:cs="Times New Roman"/>
        </w:rPr>
        <w:t xml:space="preserve"> </w:t>
      </w:r>
      <w:r w:rsidRPr="00E35CCB">
        <w:rPr>
          <w:rFonts w:ascii="Times New Roman" w:eastAsia="Times New Roman" w:hAnsi="Times New Roman" w:cs="Times New Roman"/>
        </w:rPr>
        <w:t xml:space="preserve">when measures of genetic diversity </w:t>
      </w:r>
      <w:r w:rsidR="002438DE">
        <w:rPr>
          <w:rFonts w:ascii="Times New Roman" w:eastAsia="Times New Roman" w:hAnsi="Times New Roman" w:cs="Times New Roman"/>
        </w:rPr>
        <w:t>(</w:t>
      </w:r>
      <m:oMath>
        <m:sSub>
          <m:sSubPr>
            <m:ctrlPr>
              <w:rPr>
                <w:rFonts w:ascii="Cambria Math" w:eastAsia="Times New Roman" w:hAnsi="Cambria Math" w:cs="Times New Roman"/>
                <w:i/>
              </w:rPr>
            </m:ctrlPr>
          </m:sSubPr>
          <m:e>
            <m:acc>
              <m:accPr>
                <m:ctrlPr>
                  <w:rPr>
                    <w:rFonts w:ascii="Cambria Math" w:eastAsia="Times New Roman" w:hAnsi="Cambria Math" w:cs="Times New Roman"/>
                    <w:i/>
                  </w:rPr>
                </m:ctrlPr>
              </m:accPr>
              <m:e>
                <m:r>
                  <w:rPr>
                    <w:rFonts w:ascii="Cambria Math" w:eastAsia="Times New Roman" w:hAnsi="Cambria Math" w:cs="Times New Roman"/>
                  </w:rPr>
                  <m:t>θ</m:t>
                </m:r>
              </m:e>
            </m:acc>
          </m:e>
          <m:sub>
            <m:r>
              <w:rPr>
                <w:rFonts w:ascii="Cambria Math" w:eastAsia="Times New Roman" w:hAnsi="Cambria Math" w:cs="Times New Roman"/>
              </w:rPr>
              <m:t>S</m:t>
            </m:r>
          </m:sub>
        </m:sSub>
      </m:oMath>
      <w:r w:rsidR="002438DE">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acc>
              <m:accPr>
                <m:ctrlPr>
                  <w:rPr>
                    <w:rFonts w:ascii="Cambria Math" w:eastAsia="Times New Roman" w:hAnsi="Cambria Math" w:cs="Times New Roman"/>
                    <w:i/>
                  </w:rPr>
                </m:ctrlPr>
              </m:accPr>
              <m:e>
                <m:r>
                  <w:rPr>
                    <w:rFonts w:ascii="Cambria Math" w:eastAsia="Times New Roman" w:hAnsi="Cambria Math" w:cs="Times New Roman"/>
                  </w:rPr>
                  <m:t>θ</m:t>
                </m:r>
              </m:e>
            </m:acc>
          </m:e>
          <m:sub>
            <m:r>
              <w:rPr>
                <w:rFonts w:ascii="Cambria Math" w:eastAsia="Times New Roman" w:hAnsi="Cambria Math" w:cs="Times New Roman"/>
              </w:rPr>
              <m:t>π</m:t>
            </m:r>
          </m:sub>
        </m:sSub>
      </m:oMath>
      <w:r w:rsidR="002438DE">
        <w:rPr>
          <w:rFonts w:ascii="Times New Roman" w:eastAsia="Times New Roman" w:hAnsi="Times New Roman" w:cs="Times New Roman"/>
        </w:rPr>
        <w:t xml:space="preserve">) </w:t>
      </w:r>
      <w:r w:rsidRPr="00E35CCB">
        <w:rPr>
          <w:rFonts w:ascii="Times New Roman" w:eastAsia="Times New Roman" w:hAnsi="Times New Roman" w:cs="Times New Roman"/>
        </w:rPr>
        <w:t xml:space="preserve">are input into </w:t>
      </w:r>
      <m:oMath>
        <m:r>
          <m:rPr>
            <m:sty m:val="p"/>
          </m:rPr>
          <w:rPr>
            <w:rFonts w:ascii="Cambria Math" w:hAnsi="Cambria Math"/>
          </w:rPr>
          <m:t>θ</m:t>
        </m:r>
        <m:r>
          <m:rPr>
            <m:sty m:val="p"/>
          </m:rPr>
          <w:rPr>
            <w:rFonts w:ascii="Cambria Math" w:eastAsia="Times New Roman" w:hAnsi="Cambria Math" w:cs="Times New Roman"/>
          </w:rPr>
          <m:t>=4</m:t>
        </m:r>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r>
          <m:rPr>
            <m:sty m:val="p"/>
          </m:rPr>
          <w:rPr>
            <w:rFonts w:ascii="Cambria Math" w:eastAsia="Times New Roman" w:hAnsi="Cambria Math" w:cs="Times New Roman"/>
          </w:rPr>
          <m:t>μ</m:t>
        </m:r>
      </m:oMath>
      <w:r w:rsidRPr="00C36248">
        <w:rPr>
          <w:rFonts w:ascii="Times New Roman" w:eastAsia="Times New Roman" w:hAnsi="Times New Roman" w:cs="Times New Roman"/>
        </w:rPr>
        <w:t>.</w:t>
      </w:r>
      <w:r w:rsidRPr="00E35CCB">
        <w:rPr>
          <w:rFonts w:ascii="Times New Roman" w:eastAsia="Times New Roman" w:hAnsi="Times New Roman" w:cs="Times New Roman"/>
        </w:rPr>
        <w:t xml:space="preserve"> While this equation gives a</w:t>
      </w:r>
      <w:r w:rsidR="008E298F">
        <w:rPr>
          <w:rFonts w:ascii="Times New Roman" w:eastAsia="Times New Roman" w:hAnsi="Times New Roman" w:cs="Times New Roman"/>
        </w:rPr>
        <w:t xml:space="preserve"> </w:t>
      </w:r>
      <w:r w:rsidRPr="00E35CCB">
        <w:rPr>
          <w:rFonts w:ascii="Times New Roman" w:eastAsia="Times New Roman" w:hAnsi="Times New Roman" w:cs="Times New Roman"/>
        </w:rPr>
        <w:t xml:space="preserve">long-term estimate of effective population size, the consistent decline in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00D4783E">
        <w:rPr>
          <w:rFonts w:ascii="Times New Roman" w:eastAsia="Times New Roman" w:hAnsi="Times New Roman" w:cs="Times New Roman"/>
        </w:rPr>
        <w:t>indicates</w:t>
      </w:r>
      <w:r w:rsidRPr="00E35CCB">
        <w:rPr>
          <w:rFonts w:ascii="Times New Roman" w:eastAsia="Times New Roman" w:hAnsi="Times New Roman" w:cs="Times New Roman"/>
        </w:rPr>
        <w:t xml:space="preserve"> genetic diversity </w:t>
      </w:r>
      <w:r w:rsidR="00D4783E">
        <w:rPr>
          <w:rFonts w:ascii="Times New Roman" w:eastAsia="Times New Roman" w:hAnsi="Times New Roman" w:cs="Times New Roman"/>
        </w:rPr>
        <w:t>continues to</w:t>
      </w:r>
      <w:r w:rsidRPr="00E35CCB">
        <w:rPr>
          <w:rFonts w:ascii="Times New Roman" w:eastAsia="Times New Roman" w:hAnsi="Times New Roman" w:cs="Times New Roman"/>
        </w:rPr>
        <w:t xml:space="preserve"> decreas</w:t>
      </w:r>
      <w:r w:rsidR="00D4783E">
        <w:rPr>
          <w:rFonts w:ascii="Times New Roman" w:eastAsia="Times New Roman" w:hAnsi="Times New Roman" w:cs="Times New Roman"/>
        </w:rPr>
        <w:t>e</w:t>
      </w:r>
      <w:r w:rsidRPr="00E35CCB">
        <w:rPr>
          <w:rFonts w:ascii="Times New Roman" w:eastAsia="Times New Roman" w:hAnsi="Times New Roman" w:cs="Times New Roman"/>
        </w:rPr>
        <w:t xml:space="preserve"> in the population. I expect that contemporary estimates will show a similar pattern of decreasing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Pr="00E35CCB">
        <w:rPr>
          <w:rFonts w:ascii="Times New Roman" w:eastAsia="Times New Roman" w:hAnsi="Times New Roman" w:cs="Times New Roman"/>
        </w:rPr>
        <w:t xml:space="preserve">through time but with lower estimates of contemporary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Pr="00E35CCB">
        <w:rPr>
          <w:rFonts w:ascii="Times New Roman" w:eastAsia="Times New Roman" w:hAnsi="Times New Roman" w:cs="Times New Roman"/>
        </w:rPr>
        <w:t xml:space="preserve">. </w:t>
      </w:r>
    </w:p>
    <w:p w14:paraId="244AEE41" w14:textId="77777777" w:rsidR="00DA301E" w:rsidRPr="00E35CCB" w:rsidRDefault="00DA301E" w:rsidP="00B4213F">
      <w:pPr>
        <w:ind w:left="-270" w:right="-270"/>
        <w:jc w:val="both"/>
        <w:rPr>
          <w:rFonts w:ascii="Times New Roman" w:eastAsia="Times New Roman" w:hAnsi="Times New Roman" w:cs="Times New Roman"/>
        </w:rPr>
      </w:pPr>
    </w:p>
    <w:p w14:paraId="69A2E7FC" w14:textId="77777777"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b/>
          <w:i/>
        </w:rPr>
        <w:t>Potential Problems</w:t>
      </w:r>
    </w:p>
    <w:p w14:paraId="29AAAD7A" w14:textId="04BE1F74"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Both temporal and LD methods of estimating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Pr="00E35CCB">
        <w:rPr>
          <w:rFonts w:ascii="Times New Roman" w:eastAsia="Times New Roman" w:hAnsi="Times New Roman" w:cs="Times New Roman"/>
        </w:rPr>
        <w:t>account for the expected contribution from random sampling error (</w:t>
      </w:r>
      <m:oMath>
        <m:f>
          <m:fPr>
            <m:type m:val="lin"/>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S</m:t>
            </m:r>
          </m:den>
        </m:f>
      </m:oMath>
      <w:r w:rsidRPr="00E35CCB">
        <w:rPr>
          <w:rFonts w:ascii="Times New Roman" w:eastAsia="Times New Roman" w:hAnsi="Times New Roman" w:cs="Times New Roman"/>
        </w:rPr>
        <w:t xml:space="preserve">) to the observed genetic characteristic of </w:t>
      </w:r>
      <m:oMath>
        <m:acc>
          <m:accPr>
            <m:ctrlPr>
              <w:rPr>
                <w:rFonts w:ascii="Cambria Math" w:eastAsia="Times New Roman" w:hAnsi="Cambria Math" w:cs="Times New Roman"/>
              </w:rPr>
            </m:ctrlPr>
          </m:accPr>
          <m:e>
            <m:r>
              <m:rPr>
                <m:sty m:val="p"/>
              </m:rPr>
              <w:rPr>
                <w:rFonts w:ascii="Cambria Math" w:eastAsia="Times New Roman" w:hAnsi="Cambria Math" w:cs="Times New Roman"/>
              </w:rPr>
              <m:t>F</m:t>
            </m:r>
          </m:e>
        </m:acc>
      </m:oMath>
      <w:r w:rsidRPr="00E35CCB">
        <w:rPr>
          <w:rFonts w:ascii="Times New Roman" w:eastAsia="Times New Roman" w:hAnsi="Times New Roman" w:cs="Times New Roman"/>
        </w:rPr>
        <w:t xml:space="preserve"> or </w:t>
      </w:r>
      <m:oMath>
        <m:sSup>
          <m:sSupPr>
            <m:ctrlPr>
              <w:rPr>
                <w:rFonts w:ascii="Cambria Math" w:eastAsia="Times New Roman" w:hAnsi="Cambria Math" w:cs="Times New Roman"/>
              </w:rPr>
            </m:ctrlPr>
          </m:sSupPr>
          <m:e>
            <m:r>
              <m:rPr>
                <m:sty m:val="p"/>
              </m:rPr>
              <w:rPr>
                <w:rFonts w:ascii="Cambria Math" w:eastAsia="Times New Roman" w:hAnsi="Cambria Math" w:cs="Times New Roman"/>
              </w:rPr>
              <m:t>r</m:t>
            </m:r>
          </m:e>
          <m:sup>
            <m:r>
              <m:rPr>
                <m:sty m:val="p"/>
              </m:rPr>
              <w:rPr>
                <w:rFonts w:ascii="Cambria Math" w:eastAsia="Times New Roman" w:hAnsi="Cambria Math" w:cs="Times New Roman"/>
              </w:rPr>
              <m:t>2</m:t>
            </m:r>
          </m:sup>
        </m:sSup>
      </m:oMath>
      <w:r w:rsidRPr="00E35CCB">
        <w:rPr>
          <w:rFonts w:ascii="Times New Roman" w:eastAsia="Times New Roman" w:hAnsi="Times New Roman" w:cs="Times New Roman"/>
        </w:rPr>
        <w:t>, respectively</w:t>
      </w:r>
      <w:r w:rsidR="0011745E">
        <w:rPr>
          <w:rFonts w:ascii="Times New Roman" w:eastAsia="Times New Roman" w:hAnsi="Times New Roman" w:cs="Times New Roman"/>
        </w:rPr>
        <w:t>.</w:t>
      </w:r>
      <w:r w:rsidRPr="00E35CCB">
        <w:rPr>
          <w:rFonts w:ascii="Times New Roman" w:eastAsia="Times New Roman" w:hAnsi="Times New Roman" w:cs="Times New Roman"/>
        </w:rPr>
        <w:t xml:space="preserve"> </w:t>
      </w:r>
      <w:r w:rsidR="0011745E">
        <w:rPr>
          <w:rFonts w:ascii="Times New Roman" w:eastAsia="Times New Roman" w:hAnsi="Times New Roman" w:cs="Times New Roman"/>
        </w:rPr>
        <w:t>As such,</w:t>
      </w:r>
      <w:r w:rsidRPr="00E35CCB">
        <w:rPr>
          <w:rFonts w:ascii="Times New Roman" w:eastAsia="Times New Roman" w:hAnsi="Times New Roman" w:cs="Times New Roman"/>
        </w:rPr>
        <w:t xml:space="preserve"> estimates of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Pr="00E35CCB">
        <w:rPr>
          <w:rFonts w:ascii="Times New Roman" w:eastAsia="Times New Roman" w:hAnsi="Times New Roman" w:cs="Times New Roman"/>
        </w:rPr>
        <w:t>can be negative with infinite confidence intervals</w:t>
      </w:r>
      <w:r w:rsidR="0011745E">
        <w:rPr>
          <w:rFonts w:ascii="Times New Roman" w:eastAsia="Times New Roman" w:hAnsi="Times New Roman" w:cs="Times New Roman"/>
        </w:rPr>
        <w:t xml:space="preserve"> due to the </w:t>
      </w:r>
      <w:r w:rsidRPr="00E35CCB">
        <w:rPr>
          <w:rFonts w:ascii="Times New Roman" w:eastAsia="Times New Roman" w:hAnsi="Times New Roman" w:cs="Times New Roman"/>
        </w:rPr>
        <w:t xml:space="preserve">expected contribution of random sampling </w:t>
      </w:r>
      <w:r w:rsidR="0011745E">
        <w:rPr>
          <w:rFonts w:ascii="Times New Roman" w:eastAsia="Times New Roman" w:hAnsi="Times New Roman" w:cs="Times New Roman"/>
        </w:rPr>
        <w:t>being</w:t>
      </w:r>
      <w:r w:rsidRPr="00E35CCB">
        <w:rPr>
          <w:rFonts w:ascii="Times New Roman" w:eastAsia="Times New Roman" w:hAnsi="Times New Roman" w:cs="Times New Roman"/>
        </w:rPr>
        <w:t xml:space="preserve"> larger than the actual contribution</w:t>
      </w:r>
      <w:r w:rsidR="0011745E">
        <w:rPr>
          <w:rFonts w:ascii="Times New Roman" w:eastAsia="Times New Roman" w:hAnsi="Times New Roman" w:cs="Times New Roman"/>
        </w:rPr>
        <w:t xml:space="preserve"> </w:t>
      </w:r>
      <w:r w:rsidR="00241361"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{"citationItems":[{"id":"ITEM-1","itemData":{"DOI":"10.1007/s10592-005-9100-y","ISBN":"10.1101/001081","ISSN":"15660621","PMID":"24603985","abstract":"Analysis of linkage disequilibrium (^ r2=mean squared correlation of allele frequencies at different gene loci) provides a means of estimating effective population size (Ne) from a single sample, but this method has seen much less use than the temporal method (which requires at least two samples). It is shown that for realistic numbers of loci and alleles, the linkage disequilibrium method can provide precision comparable to that of the temporal method. However, computer simulations show that estimates of Ne based on ^ r2 for unlinked, diallelic gene loci are sharply biased downwards ( ^ Ne=N&lt;0:1 in some cases) if sample size (S) is less than true Ne. The bias is shown to arise from inaccuracies in published formula for Eð^ r2Þ when S and/or Ne are small. Empirically derived modifications to Eð^ r2Þ for two mating systems (random mating and lifetime monogamy) effectively eliminate the bias (residual bias in ^ Ne&lt;5% in most cases). The modified method also performs well in estimating Ne in non-ideal populations with skewed sex ratio or non-random variance in reproductive success. Recent population declines are not likely to seriously affect ^ Ne, but if N has recently increased from a bottleneck ^ Ne can be biased downwards for a few generations. These results should facilitate application of the disequilibrium method for estimating contemporary Ne in natural populations. However, a comprehensive assessment of performance of ^ r2 with highly polymorphic markers such as microsatellites is needed. Introduction","author":[{"dropping-particle":"","family":"Waples","given":"Robin S.","non-dropping-particle":"","parse-names":false,"suffix":""}],"container-title":"Conservation Genetics","id":"ITEM-1","issue":"2","issued":{"date-parts":[["2006"]]},"page":"167-184","title":"A bias correction for estimates of effective population size based on linkage disequilibrium at unlinked gene loci","type":"article-journal","volume":"7"},"uris":["http://www.mendeley.com/documents/?uuid=7071af0d-7070-4f5b-8208-ef2be5f94bde"]}],"mendeley":{"formattedCitation":"&lt;sup&gt;57&lt;/sup&gt;","plainTextFormattedCitation":"57","previouslyFormattedCitation":"&lt;sup&gt;57&lt;/sup&gt;"},"properties":{"noteIndex":0},"schema":"https://github.com/citation-style-language/schema/raw/master/csl-citation.json"}</w:instrText>
      </w:r>
      <w:r w:rsidR="00241361"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57</w:t>
      </w:r>
      <w:r w:rsidR="00241361"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If I observe negative estimates of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Pr="00E35CCB">
        <w:rPr>
          <w:rFonts w:ascii="Times New Roman" w:eastAsia="Times New Roman" w:hAnsi="Times New Roman" w:cs="Times New Roman"/>
        </w:rPr>
        <w:t xml:space="preserve">, I will run replicate subsets of samples from each year to estimate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Pr="00E35CCB">
        <w:rPr>
          <w:rFonts w:ascii="Times New Roman" w:eastAsia="Times New Roman" w:hAnsi="Times New Roman" w:cs="Times New Roman"/>
        </w:rPr>
        <w:t xml:space="preserve">and obtain an overall estimate of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Pr="00E35CCB">
        <w:rPr>
          <w:rFonts w:ascii="Times New Roman" w:eastAsia="Times New Roman" w:hAnsi="Times New Roman" w:cs="Times New Roman"/>
        </w:rPr>
        <w:t xml:space="preserve">by taking the harmonic mean of all the estimates as prescribed in </w:t>
      </w:r>
      <w:proofErr w:type="spellStart"/>
      <w:r w:rsidRPr="00E35CCB">
        <w:rPr>
          <w:rFonts w:ascii="Times New Roman" w:eastAsia="Times New Roman" w:hAnsi="Times New Roman" w:cs="Times New Roman"/>
        </w:rPr>
        <w:t>Waples</w:t>
      </w:r>
      <w:proofErr w:type="spellEnd"/>
      <w:r w:rsidRPr="00E35CCB">
        <w:rPr>
          <w:rFonts w:ascii="Times New Roman" w:eastAsia="Times New Roman" w:hAnsi="Times New Roman" w:cs="Times New Roman"/>
        </w:rPr>
        <w:t xml:space="preserve"> and Do</w:t>
      </w:r>
      <w:r w:rsidR="00241361" w:rsidRPr="00E35CCB">
        <w:rPr>
          <w:rFonts w:ascii="Times New Roman" w:eastAsia="Times New Roman" w:hAnsi="Times New Roman" w:cs="Times New Roman"/>
        </w:rPr>
        <w:t xml:space="preserve"> (2010).</w:t>
      </w:r>
      <w:r w:rsidR="00241361" w:rsidRPr="00E35CCB">
        <w:rPr>
          <w:rFonts w:ascii="Times New Roman" w:eastAsia="Times New Roman" w:hAnsi="Times New Roman" w:cs="Times New Roman"/>
        </w:rPr>
        <w:fldChar w:fldCharType="begin" w:fldLock="1"/>
      </w:r>
      <w:r w:rsidR="004775B3">
        <w:rPr>
          <w:rFonts w:ascii="Times New Roman" w:eastAsia="Times New Roman" w:hAnsi="Times New Roman" w:cs="Times New Roman"/>
        </w:rPr>
        <w:instrText>ADDIN CSL_CITATION {"citationItems":[{"id":"ITEM-1","itemData":{"DOI":"10.1111/j.1752-4571.2009.00104.x","ISBN":"1752-4571","ISSN":"17524563","PMID":"25567922","abstract":"Genetic methods are routinely used to estimate contemporary effective population size (Ne) in natural populations, but the vast majority of applications have used only the temporal (two-sample) method. We use simulated data to evaluate how highly polymorphic molecular markers affect precision and bias in the single-sample method based on linkage disequilibrium (LD). Results of this study are as follows: (1) Low-frequency alleles upwardly bias ^Ne, but a simple rule can reduce bias to &lt;about 10% without sacrificing much precision. (2) With datasets routinely available today (10–20 loci with 10 alleles; 50 individuals), precise estimates can be obtained for relatively small populations (Ne &lt; 200), and small populations are not likely to be mistaken for large ones. However, it is very difficult to obtain reliable estimates for large populations. (3) With ‘microsatellite’ data, the LD method has greater precision than the temporal method, unless the latter is based on samples taken many generations apart. Our results indicate the LD method has widespread applicability to conservation (which typically focuses on small populations) and the study of evolutionary processes in local populations. Considerable opportunity exists to extract more information about Ne in nature by wider use of single-sample estimators and by combining estimates from different methods.","author":[{"dropping-particle":"","family":"Waples","given":"Robin S.","non-dropping-particle":"","parse-names":false,"suffix":""},{"dropping-particle":"","family":"Do","given":"Chi","non-dropping-particle":"","parse-names":false,"suffix":""}],"container-title":"Evolutionary Applications","id":"ITEM-1","issue":"3","issued":{"date-parts":[["2010"]]},"page":"244-262","title":"Linkage disequilibrium estimates of contemporary Ne using highly variable genetic markers: A largely untapped resource for applied conservation and evolution","type":"article-journal","volume":"3"},"uris":["http://www.mendeley.com/documents/?uuid=c9c48160-c762-477f-8b11-8d202bc5eeff"]}],"mendeley":{"formattedCitation":"&lt;sup&gt;12&lt;/sup&gt;","plainTextFormattedCitation":"12","previouslyFormattedCitation":"&lt;sup&gt;12&lt;/sup&gt;"},"properties":{"noteIndex":0},"schema":"https://github.com/citation-style-language/schema/raw/master/csl-citation.json"}</w:instrText>
      </w:r>
      <w:r w:rsidR="00241361" w:rsidRPr="00E35CCB">
        <w:rPr>
          <w:rFonts w:ascii="Times New Roman" w:eastAsia="Times New Roman" w:hAnsi="Times New Roman" w:cs="Times New Roman"/>
        </w:rPr>
        <w:fldChar w:fldCharType="separate"/>
      </w:r>
      <w:r w:rsidR="006D27C1" w:rsidRPr="00E35CCB">
        <w:rPr>
          <w:rFonts w:ascii="Times New Roman" w:eastAsia="Times New Roman" w:hAnsi="Times New Roman" w:cs="Times New Roman"/>
          <w:noProof/>
          <w:vertAlign w:val="superscript"/>
        </w:rPr>
        <w:t>12</w:t>
      </w:r>
      <w:r w:rsidR="00241361" w:rsidRPr="00E35CCB">
        <w:rPr>
          <w:rFonts w:ascii="Times New Roman" w:eastAsia="Times New Roman" w:hAnsi="Times New Roman" w:cs="Times New Roman"/>
        </w:rPr>
        <w:fldChar w:fldCharType="end"/>
      </w:r>
      <w:r w:rsidR="00AA075E">
        <w:rPr>
          <w:rFonts w:ascii="Times New Roman" w:eastAsia="Times New Roman" w:hAnsi="Times New Roman" w:cs="Times New Roman"/>
        </w:rPr>
        <w:t xml:space="preserve"> Additionally, </w:t>
      </w:r>
      <w:r w:rsidR="00316A89">
        <w:rPr>
          <w:rFonts w:ascii="Times New Roman" w:eastAsia="Times New Roman" w:hAnsi="Times New Roman" w:cs="Times New Roman"/>
        </w:rPr>
        <w:t xml:space="preserve">a </w:t>
      </w:r>
      <w:r w:rsidR="00574A08">
        <w:rPr>
          <w:rFonts w:ascii="Times New Roman" w:eastAsia="Times New Roman" w:hAnsi="Times New Roman" w:cs="Times New Roman"/>
        </w:rPr>
        <w:t xml:space="preserve">new method of jointly estimating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 xml:space="preserve"> </w:t>
      </w:r>
      <w:r w:rsidR="00574A08">
        <w:rPr>
          <w:rFonts w:ascii="Times New Roman" w:eastAsia="Times New Roman" w:hAnsi="Times New Roman" w:cs="Times New Roman"/>
        </w:rPr>
        <w:t xml:space="preserve">and pedigrees </w:t>
      </w:r>
      <w:r w:rsidR="00BE54B2">
        <w:rPr>
          <w:rFonts w:ascii="Times New Roman" w:eastAsia="Times New Roman" w:hAnsi="Times New Roman" w:cs="Times New Roman"/>
        </w:rPr>
        <w:t>as a</w:t>
      </w:r>
      <w:r w:rsidR="00607071">
        <w:rPr>
          <w:rFonts w:ascii="Times New Roman" w:eastAsia="Times New Roman" w:hAnsi="Times New Roman" w:cs="Times New Roman"/>
        </w:rPr>
        <w:t xml:space="preserve"> single-sample</w:t>
      </w:r>
      <w:r w:rsidR="00BE54B2">
        <w:rPr>
          <w:rFonts w:ascii="Times New Roman" w:eastAsia="Times New Roman" w:hAnsi="Times New Roman" w:cs="Times New Roman"/>
        </w:rPr>
        <w:t xml:space="preserve"> method</w:t>
      </w:r>
      <w:r w:rsidR="00607071">
        <w:rPr>
          <w:rFonts w:ascii="Times New Roman" w:eastAsia="Times New Roman" w:hAnsi="Times New Roman" w:cs="Times New Roman"/>
        </w:rPr>
        <w:t xml:space="preserve"> </w:t>
      </w:r>
      <w:r w:rsidR="00316A89">
        <w:rPr>
          <w:rFonts w:ascii="Times New Roman" w:eastAsia="Times New Roman" w:hAnsi="Times New Roman" w:cs="Times New Roman"/>
        </w:rPr>
        <w:t>shows promise to</w:t>
      </w:r>
      <w:r w:rsidR="00574A08">
        <w:rPr>
          <w:rFonts w:ascii="Times New Roman" w:eastAsia="Times New Roman" w:hAnsi="Times New Roman" w:cs="Times New Roman"/>
        </w:rPr>
        <w:t xml:space="preserve"> give accurate estimates of </w:t>
      </w:r>
      <w:r w:rsidR="00CF5161">
        <w:rPr>
          <w:rFonts w:ascii="Times New Roman" w:eastAsia="Times New Roman" w:hAnsi="Times New Roman" w:cs="Times New Roman"/>
        </w:rPr>
        <w:t>contemporary</w:t>
      </w:r>
      <w:r w:rsidR="00574A08">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m:rPr>
                <m:sty m:val="p"/>
              </m:rPr>
              <w:rPr>
                <w:rFonts w:ascii="Cambria Math" w:eastAsia="Times New Roman" w:hAnsi="Cambria Math" w:cs="Times New Roman"/>
              </w:rPr>
              <m:t>N</m:t>
            </m:r>
          </m:e>
          <m:sub>
            <m:r>
              <m:rPr>
                <m:sty m:val="p"/>
              </m:rPr>
              <w:rPr>
                <w:rFonts w:ascii="Cambria Math" w:eastAsia="Times New Roman" w:hAnsi="Cambria Math" w:cs="Times New Roman"/>
              </w:rPr>
              <m:t>e</m:t>
            </m:r>
          </m:sub>
        </m:sSub>
      </m:oMath>
      <w:r w:rsidR="000C0E4D">
        <w:rPr>
          <w:rFonts w:ascii="Times New Roman" w:eastAsia="Times New Roman" w:hAnsi="Times New Roman" w:cs="Times New Roman"/>
        </w:rPr>
        <w:t>.</w:t>
      </w:r>
      <w:r w:rsidR="00316A89">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{"citationItems":[{"id":"ITEM-1","itemData":{"DOI":"10.1534/genetics.XXX.XXXXXX","abstract":"Pedigrees provide the genealogical relationships among individuals at a fine resolution and serve an important function in many areas of genetic studies. One such use of pedigree information is in the estimation of the short-term effective population size (Ne), which is of great relevance in fields such as conservation genetics. Despite the usefulness of pedigrees, however, they are often an unknown parameter and must be inferred from genetic data. In this study, we present a Bayesian method to jointly estimate pedigrees and Ne from genetic markers using Markov Chain Monte Carlo. Our method supports analysis of a large number of markers and individuals with the use of a composite likelihood, which significantly increases computational efficiency. We show on simulated data that our method is able to jointly estimate relationships up to first cousins and Ne with high accuracy. We also apply the method on a real dataset of house sparrows to reconstruct their previously unreported pedigree.","author":[{"dropping-particle":"","family":"Ko","given":"Amy","non-dropping-particle":"","parse-names":false,"suffix":""},{"dropping-particle":"","family":"Nielsen","given":"Rasmus","non-dropping-particle":"","parse-names":false,"suffix":""}],"container-title":"bioRxiv","id":"ITEM-1","issued":{"date-parts":[["2018"]]},"page":"1-6","title":"Joint Estimation of Pedigrees and Effective Population Size Using Markov Chain Monte Carlo","type":"article-journal"},"uris":["http://www.mendeley.com/documents/?uuid=4f60c4c6-c0f2-440d-86ff-d5c554a29e6c"]}],"mendeley":{"formattedCitation":"&lt;sup&gt;61&lt;/sup&gt;","plainTextFormattedCitation":"61","previouslyFormattedCitation":"&lt;sup&gt;61&lt;/sup&gt;"},"properties":{"noteIndex":0},"schema":"https://github.com/citation-style-language/schema/raw/master/csl-citation.json"}</w:instrText>
      </w:r>
      <w:r w:rsidR="00316A89">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61</w:t>
      </w:r>
      <w:r w:rsidR="00316A89">
        <w:rPr>
          <w:rFonts w:ascii="Times New Roman" w:eastAsia="Times New Roman" w:hAnsi="Times New Roman" w:cs="Times New Roman"/>
        </w:rPr>
        <w:fldChar w:fldCharType="end"/>
      </w:r>
      <w:r w:rsidR="00316A89">
        <w:rPr>
          <w:rFonts w:ascii="Times New Roman" w:eastAsia="Times New Roman" w:hAnsi="Times New Roman" w:cs="Times New Roman"/>
        </w:rPr>
        <w:t xml:space="preserve"> However, this method is under review.</w:t>
      </w:r>
    </w:p>
    <w:p w14:paraId="1DC2EACA" w14:textId="77777777" w:rsidR="009411BA" w:rsidRPr="00E35CCB" w:rsidRDefault="009411BA" w:rsidP="00F14C91">
      <w:pPr>
        <w:ind w:right="-270"/>
        <w:jc w:val="both"/>
        <w:rPr>
          <w:rFonts w:ascii="Times New Roman" w:eastAsia="Times New Roman" w:hAnsi="Times New Roman" w:cs="Times New Roman"/>
        </w:rPr>
      </w:pPr>
    </w:p>
    <w:p w14:paraId="5E6E797B" w14:textId="5700E1EB" w:rsidR="00DA301E" w:rsidRPr="00F14C91" w:rsidRDefault="009411BA" w:rsidP="00B4213F">
      <w:pPr>
        <w:ind w:left="-270" w:right="-270"/>
        <w:jc w:val="both"/>
        <w:rPr>
          <w:rFonts w:ascii="Times New Roman" w:eastAsia="Times New Roman" w:hAnsi="Times New Roman" w:cs="Times New Roman"/>
          <w:b/>
          <w:u w:val="single"/>
        </w:rPr>
      </w:pPr>
      <w:r w:rsidRPr="00F14C91">
        <w:rPr>
          <w:rFonts w:ascii="Times New Roman" w:eastAsia="Times New Roman" w:hAnsi="Times New Roman" w:cs="Times New Roman"/>
          <w:b/>
          <w:u w:val="single"/>
        </w:rPr>
        <w:t>AIM</w:t>
      </w:r>
      <w:r w:rsidR="007312B3" w:rsidRPr="00F14C91">
        <w:rPr>
          <w:rFonts w:ascii="Times New Roman" w:eastAsia="Times New Roman" w:hAnsi="Times New Roman" w:cs="Times New Roman"/>
          <w:b/>
          <w:u w:val="single"/>
        </w:rPr>
        <w:t xml:space="preserve"> #3:</w:t>
      </w:r>
      <w:r w:rsidR="007312B3" w:rsidRPr="00F14C91">
        <w:rPr>
          <w:rFonts w:ascii="Times New Roman" w:eastAsia="Times New Roman" w:hAnsi="Times New Roman" w:cs="Times New Roman"/>
          <w:b/>
        </w:rPr>
        <w:t xml:space="preserve"> Discover sex-specific markers for sex identification of delta smelt.</w:t>
      </w:r>
    </w:p>
    <w:p w14:paraId="4F3751E7" w14:textId="77777777"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b/>
          <w:i/>
        </w:rPr>
        <w:t>Rationale</w:t>
      </w:r>
    </w:p>
    <w:p w14:paraId="184DEC2D" w14:textId="324263FB"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Sex determination in fish is a highly variable trait</w:t>
      </w:r>
      <w:r w:rsidR="00241361"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N.","non-dropping-particle":"","parse-names":false,"suffix":""}],"container-title":"Heredity","id":"ITEM-1","issue":"3","issued":{"date-parts":[["2005"]]},"page":"280-294","title":"Genome evolution and biodiversity in teleost fish","type":"article-journal","volume":"94"},"uris":["http://www.mendeley.com/documents/?uuid=56b7b82a-2bfd-4eaa-ae1f-6d641aa6b290"]}],"mendeley":{"formattedCitation":"&lt;sup&gt;62&lt;/sup&gt;","plainTextFormattedCitation":"62","previouslyFormattedCitation":"&lt;sup&gt;62&lt;/sup&gt;"},"properties":{"noteIndex":0},"schema":"https://github.com/citation-style-language/schema/raw/master/csl-citation.json"}</w:instrText>
      </w:r>
      <w:r w:rsidR="00241361"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62</w:t>
      </w:r>
      <w:r w:rsidR="00241361"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w:t>
      </w:r>
      <w:r w:rsidR="002C4982">
        <w:rPr>
          <w:rFonts w:ascii="Times New Roman" w:eastAsia="Times New Roman" w:hAnsi="Times New Roman" w:cs="Times New Roman"/>
        </w:rPr>
        <w:t xml:space="preserve">and understanding its mechanisms is </w:t>
      </w:r>
      <w:r w:rsidRPr="00E35CCB">
        <w:rPr>
          <w:rFonts w:ascii="Times New Roman" w:eastAsia="Times New Roman" w:hAnsi="Times New Roman" w:cs="Times New Roman"/>
        </w:rPr>
        <w:t>crucial for not only</w:t>
      </w:r>
      <w:r w:rsidR="002C4982">
        <w:rPr>
          <w:rFonts w:ascii="Times New Roman" w:eastAsia="Times New Roman" w:hAnsi="Times New Roman" w:cs="Times New Roman"/>
        </w:rPr>
        <w:t xml:space="preserve"> for</w:t>
      </w:r>
      <w:r w:rsidRPr="00E35CCB">
        <w:rPr>
          <w:rFonts w:ascii="Times New Roman" w:eastAsia="Times New Roman" w:hAnsi="Times New Roman" w:cs="Times New Roman"/>
        </w:rPr>
        <w:t xml:space="preserve"> understanding the biology of the individual species of fish but</w:t>
      </w:r>
      <w:r w:rsidR="002C4982">
        <w:rPr>
          <w:rFonts w:ascii="Times New Roman" w:eastAsia="Times New Roman" w:hAnsi="Times New Roman" w:cs="Times New Roman"/>
        </w:rPr>
        <w:t xml:space="preserve"> for gaining insight into</w:t>
      </w:r>
      <w:r w:rsidRPr="00E35CCB">
        <w:rPr>
          <w:rFonts w:ascii="Times New Roman" w:eastAsia="Times New Roman" w:hAnsi="Times New Roman" w:cs="Times New Roman"/>
        </w:rPr>
        <w:t xml:space="preserve"> the evolution of sex chromosomes and genetic mechanisms underlying sex determination</w:t>
      </w:r>
      <w:r w:rsidR="00F73D6A">
        <w:rPr>
          <w:rFonts w:ascii="Times New Roman" w:eastAsia="Times New Roman" w:hAnsi="Times New Roman" w:cs="Times New Roman"/>
        </w:rPr>
        <w:t>.</w:t>
      </w:r>
      <w:r w:rsidR="00BB6164"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{"citationItems":[{"id":"ITEM-1","itemData":{"DOI":"10.1007/s11427-014-4797-9","ISSN":"16747305","abstract":"Aquaculture has made an enormous contribution to the world food production, especially to the sustainable supply of animal proteins. The utility of diverse reproduction strategies in fish, such as the exploiting use of unisexual gynogenesis, has created a typical case of fish genetic breeding. A number of fish species show substantial sexual dimorphism that is closely linked to multiple economic traits including growth rate and body size, and the efficient development of sex-linked genetic markers and sex control biotechnologies has provided significant approaches to increase the production and value for commercial purposes. Along with the rapid development of genomics and molecular genetic techniques, the genetic basis of sexual dimorphism has been gradually deciphered, and great progress has been made in the mechanisms of fish sex determination and identification of sex-determining genes. This review summarizes the progress to provide some directive and objective thinking for further research in this field.","author":[{"dropping-particle":"","family":"Mei","given":"Jie","non-dropping-particle":"","parse-names":false,"suffix":""},{"dropping-particle":"","family":"Gui","given":"Jian Fang","non-dropping-particle":"","parse-names":false,"suffix":""}],"container-title":"Science China Life Sciences","id":"ITEM-1","issue":"2","issued":{"date-parts":[["2015"]]},"page":"124-136","title":"Genetic basis and biotechnological manipulation of sexual dimorphism and sex determination in fish","type":"article-journal","volume":"58"},"uris":["http://www.mendeley.com/documents/?uuid=bf62f766-0bdc-4713-80eb-0c79ca8ca548"]}],"mendeley":{"formattedCitation":"&lt;sup&gt;63&lt;/sup&gt;","plainTextFormattedCitation":"63","previouslyFormattedCitation":"&lt;sup&gt;63&lt;/sup&gt;"},"properties":{"noteIndex":0},"schema":"https://github.com/citation-style-language/schema/raw/master/csl-citation.json"}</w:instrText>
      </w:r>
      <w:r w:rsidR="00BB6164"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63</w:t>
      </w:r>
      <w:r w:rsidR="00BB6164"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Fish represent the most diverse group of vertebrates with over 30,000 described species</w:t>
      </w:r>
      <w:r w:rsidR="00F73D6A">
        <w:rPr>
          <w:rFonts w:ascii="Times New Roman" w:eastAsia="Times New Roman" w:hAnsi="Times New Roman" w:cs="Times New Roman"/>
        </w:rPr>
        <w:t>.</w:t>
      </w:r>
      <w:r w:rsidR="00BB6164"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{"citationItems":[{"id":"ITEM-1","itemData":{"ISBN":"9781118342336","author":[{"dropping-particle":"","family":"Nelson","given":"Joseph S.","non-dropping-particle":"","parse-names":false,"suffix":""},{"dropping-particle":"","family":"Grande","given":"Terry C.","non-dropping-particle":"","parse-names":false,"suffix":""},{"dropping-particle":"","family":"Wilson","given":"Mark V. H.","non-dropping-particle":"","parse-names":false,"suffix":""}],"edition":"5th","id":"ITEM-1","issued":{"date-parts":[["2016"]]},"publisher":"John Wiley &amp; Sons","publisher-place":"Hoboken, New Jersey","title":"Fishes of the World","type":"book"},"uris":["http://www.mendeley.com/documents/?uuid=15be4d65-07bf-4803-90e6-835556babe79"]}],"mendeley":{"formattedCitation":"&lt;sup&gt;64&lt;/sup&gt;","plainTextFormattedCitation":"64","previouslyFormattedCitation":"&lt;sup&gt;64&lt;/sup&gt;"},"properties":{"noteIndex":0},"schema":"https://github.com/citation-style-language/schema/raw/master/csl-citation.json"}</w:instrText>
      </w:r>
      <w:r w:rsidR="00BB6164"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64</w:t>
      </w:r>
      <w:r w:rsidR="00BB6164"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With this diversity and constant exposure to </w:t>
      </w:r>
      <w:r w:rsidR="002C4982">
        <w:rPr>
          <w:rFonts w:ascii="Times New Roman" w:eastAsia="Times New Roman" w:hAnsi="Times New Roman" w:cs="Times New Roman"/>
        </w:rPr>
        <w:t>variable</w:t>
      </w:r>
      <w:r w:rsidRPr="00E35CCB">
        <w:rPr>
          <w:rFonts w:ascii="Times New Roman" w:eastAsia="Times New Roman" w:hAnsi="Times New Roman" w:cs="Times New Roman"/>
        </w:rPr>
        <w:t xml:space="preserve"> environments comes a vast array of morphological, physiological, behavioral, developmental and sexual mechanisms</w:t>
      </w:r>
      <w:r w:rsidR="00F73D6A">
        <w:rPr>
          <w:rFonts w:ascii="Times New Roman" w:eastAsia="Times New Roman" w:hAnsi="Times New Roman" w:cs="Times New Roman"/>
        </w:rPr>
        <w:t>.</w:t>
      </w:r>
      <w:r w:rsidR="00CB6A67"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{"citationItems":[{"id":"ITEM-1","itemData":{"DOI":"10.1007/s10695-006-7590-2","ISBN":"1069500675902","ISSN":"09201742","abstract":"We have used various genetic and molecular approaches to investigate the mechanisms of sex determination and gonadal sex differentiation in fish. DMY was identified as the sex-determining gene of medaka. In tilapia, endogenous estrogens act as natural inducers of ovarian differentiation, while DMRT1 may be important for testicular differentiation. The roles of these regulators in sex determination and gonadal sex differentiation were ascertained using a gene or hormonal blockade strategy.","author":[{"dropping-particle":"","family":"Nagahama","given":"Y.","non-dropping-particle":"","parse-names":false,"suffix":""}],"container-title":"Fish Physiology and Biochemistry","id":"ITEM-1","issued":{"date-parts":[["2005"]]},"page":"105-109","title":"Molecular mechanisms of sex determination and gonadal sex differentiation in fish","type":"article-journal","volume":"31"},"uris":["http://www.mendeley.com/documents/?uuid=195dc493-418d-4e6d-89aa-e5ebfed03d1f"]},{"id":"ITEM-2","itemData":{"DOI":"10.1007/978-3-0348-7781-7_9","abstract":"This paper reviews current knowledge concerning the endocrine and environmental regulation of gonadal sex differentiation in gonochoristic fish. In gonochoristic fish, although potentially active around this period, the hypothalamo-pituitary axis is probably not involved in triggering sex differentiation. Although steroids and steroidogenic enzymes are probably not the initial triggers of sex differentiation, new data, including molecular approaches, have confirmed that they are key physiological steps in the regulation of this process. Environmental factors can strongly influence sex differentiation in gonochoristic fish. The most important environmental determinant of sex would appear to be temperature. Interactions between environmental factors and genotype have been suggested for gonochoristic fish.","author":[{"dropping-particle":"","family":"Baroiller","given":"Jean-François","non-dropping-particle":"","parse-names":false,"suffix":""},{"dropping-particle":"","family":"Guiguen","given":"Yann","non-dropping-particle":"","parse-names":false,"suffix":""},{"dropping-particle":"","family":"Fostier","given":"A","non-dropping-particle":"","parse-names":false,"suffix":""}],"container-title":"Cellular and Molecular Life Sciences","id":"ITEM-2","issued":{"date-parts":[["1999"]]},"page":"910-931","title":"Endocrine and environmental aspects of sex differentiation in fish","type":"article-journal","volume":"55"},"uris":["http://www.mendeley.com/documents/?uuid=aa8e43cc-6d00-4ef8-a00c-76b26ae61859"]},{"id":"ITEM-3","itemData":{"author":[{"dropping-particle":"","family":"Nakamura","given":"Masaru","non-dropping-particle":"","parse-names":false,"suffix":""},{"dropping-particle":"","family":"Kobayashi","given":"Tohru","non-dropping-particle":"","parse-names":false,"suffix":""},{"dropping-particle":"","family":"Chang","given":"Xiao-tian","non-dropping-particle":"","parse-names":false,"suffix":""}],"id":"ITEM-3","issue":"February","issued":{"date-parts":[["1998"]]},"page":"362-372","title":"Gonadal sex differentiation in fishes.pdf","type":"article-journal"},"uris":["http://www.mendeley.com/documents/?uuid=4a7795b5-6b5d-4ddb-8dad-f2a9fa9183f1"]},{"id":"ITEM-4","itemData":{"DOI":"10.1002/dvdy.23927","ISSN":"10588388","abstract":"Although the molecular mechanisms underlying many developmental events are conserved across vertebrate taxa, the lability at the top of the sex-determining (SD) cascade has been evident from the fact that four master SD genes have been identified: mammalian Sry; chicken DMRT1; medaka Dmy; and Xenopus laevis DM-W. This diversity is thought to be associated with the turnover of sex chromosomes, which is likely to be more frequent in fishes and other poikilotherms than in therian mammals and birds. Recently, four novel candidates for vertebrate SD genes were reported, all of them in fishes. These include amhy in the Patagonian pejerrey, Gsdf in Oryzias luzonensis, Amhr2 in fugu and sdY in rainbow trout. These studies provide a good opportunity to infer patterns from the seemingly chaotic picture of sex determination systems. Here, we review recent advances in our understanding of the master SD genes in fishes.","author":[{"dropping-particle":"","family":"Kikuchi","given":"Kiyoshi","non-dropping-particle":"","parse-names":false,"suffix":""},{"dropping-particle":"","family":"Hamaguchi","given":"Satoshi","non-dropping-particle":"","parse-names":false,"suffix":""}],"container-title":"Developmental Dynamics","id":"ITEM-4","issue":"4","issued":{"date-parts":[["2013"]]},"page":"339-353","title":"Novel sex-determining genes in fish and sex chromosome evolution","type":"article-journal","volume":"242"},"uris":["http://www.mendeley.com/documents/?uuid=31f7b719-a731-4e93-8b61-431457911517"]}],"mendeley":{"formattedCitation":"&lt;sup&gt;65–68&lt;/sup&gt;","plainTextFormattedCitation":"65–68","previouslyFormattedCitation":"&lt;sup&gt;65–68&lt;/sup&gt;"},"properties":{"noteIndex":0},"schema":"https://github.com/citation-style-language/schema/raw/master/csl-citation.json"}</w:instrText>
      </w:r>
      <w:r w:rsidR="00CB6A67"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65–68</w:t>
      </w:r>
      <w:r w:rsidR="00CB6A67"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In teleost fishes, sex determination can be genetic or environmental</w:t>
      </w:r>
      <w:r w:rsidR="002C4982">
        <w:rPr>
          <w:rFonts w:ascii="Times New Roman" w:eastAsia="Times New Roman" w:hAnsi="Times New Roman" w:cs="Times New Roman"/>
        </w:rPr>
        <w:t xml:space="preserve"> and </w:t>
      </w:r>
      <w:r w:rsidRPr="00E35CCB">
        <w:rPr>
          <w:rFonts w:ascii="Times New Roman" w:eastAsia="Times New Roman" w:hAnsi="Times New Roman" w:cs="Times New Roman"/>
        </w:rPr>
        <w:t>var</w:t>
      </w:r>
      <w:r w:rsidR="002C4982">
        <w:rPr>
          <w:rFonts w:ascii="Times New Roman" w:eastAsia="Times New Roman" w:hAnsi="Times New Roman" w:cs="Times New Roman"/>
        </w:rPr>
        <w:t>ies</w:t>
      </w:r>
      <w:r w:rsidRPr="00E35CCB">
        <w:rPr>
          <w:rFonts w:ascii="Times New Roman" w:eastAsia="Times New Roman" w:hAnsi="Times New Roman" w:cs="Times New Roman"/>
        </w:rPr>
        <w:t xml:space="preserve"> between closely </w:t>
      </w:r>
      <w:r w:rsidRPr="00E35CCB">
        <w:rPr>
          <w:rFonts w:ascii="Times New Roman" w:eastAsia="Times New Roman" w:hAnsi="Times New Roman" w:cs="Times New Roman"/>
        </w:rPr>
        <w:lastRenderedPageBreak/>
        <w:t>related species</w:t>
      </w:r>
      <w:r w:rsidR="00F73D6A">
        <w:rPr>
          <w:rFonts w:ascii="Times New Roman" w:eastAsia="Times New Roman" w:hAnsi="Times New Roman" w:cs="Times New Roman"/>
        </w:rPr>
        <w:t>.</w:t>
      </w:r>
      <w:r w:rsidR="007214A2"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{"citationItems":[{"id":"ITEM-1","itemData":{"author":[{"dropping-particle":"","family":"Conover","given":"David O","non-dropping-particle":"","parse-names":false,"suffix":""},{"dropping-particle":"","family":"Kynard","given":"Boyd E","non-dropping-particle":"","parse-names":false,"suffix":""}],"id":"ITEM-1","issue":"4507","issued":{"date-parts":[["2013"]]},"page":"577-579","title":"Environmental Sex Determination : Interaction of Temperature and Genotype in a Fish Environmental Sex Determinaffon : Interaction of Temperature and Genotype in a Fish","type":"article-journal","volume":"213"},"uris":["http://www.mendeley.com/documents/?uuid=8b73779d-f525-48e0-ba64-b1dbd7428d63"]},{"id":"ITEM-2","itemData":{"DOI":"10.1016/S0044-8486(02)00057-1","ISBN":"0044-8486","ISSN":"00448486","abstract":"A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-2","issue":"3-4","issued":{"date-parts":[["2002"]]},"page":"191-364","title":"Sex determination and sex differentiation in fish: An overview of genetic, physiological, and environmental influences","type":"article-journal","volume":"208"},"uris":["http://www.mendeley.com/documents/?uuid=a30ee487-33a4-4c79-8bfa-367738cec317"]},{"id":"ITEM-3","itemData":{"DOI":"10.1159/000223071","ISSN":"16615425","abstract":"Sex determination, due to the obvious association with re- production and Darwinian fitness, has been traditionally as- sumed to be a relatively conserved trait. However, research on teleost fishes has shown that this need not be the case, as these animals display a remarkable diversity in the ways that they determine sex. These different mechanisms, which include constitutive genetic mechanisms on sex chromo- somes, polygenic constitutive mechanisms, environmental influences, hermaphroditism, and unisexuality have each originated numerous independent times in the teleosts. The evolutionary lability of sex determination, and the corre- sponding rapid rate of turn-over among different modes, makes the teleost clade an excellent model with which to test theories regarding the evolution of sex determining ad- aptations. Much of the plasticity in sex determination likely results from the dynamic teleost genome, and recent ad- vances in fish genetics and genomics have revealed the role of gene and genome duplication in fostering emergence and turn-over of sex determining mechanisms.","author":[{"dropping-particle":"","family":"Mank","given":"J. E.","non-dropping-particle":"","parse-names":false,"suffix":""},{"dropping-particle":"","family":"Avise","given":"J. C.","non-dropping-particle":"","parse-names":false,"suffix":""}],"container-title":"Sexual Development","id":"ITEM-3","issue":"2-3","issued":{"date-parts":[["2009"]]},"page":"60-67","title":"Evolutionary diversity and turn-over of sex determination in teleost fishes","type":"article-journal","volume":"3"},"uris":["http://www.mendeley.com/documents/?uuid=ca7bd1e9-8e27-4fa2-9b33-fd6639fafc12"]},{"id":"ITEM-4","itemData":{"DOI":"10.1038/sj.hdy.6800635","ISSN":"0018067X","abstract":"Teleost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N.","non-dropping-particle":"","parse-names":false,"suffix":""}],"container-title":"Heredity","id":"ITEM-4","issue":"3","issued":{"date-parts":[["2005"]]},"page":"280-294","title":"Genome evolution and biodiversity in teleost fish","type":"article-journal","volume":"94"},"uris":["http://www.mendeley.com/documents/?uuid=56b7b82a-2bfd-4eaa-ae1f-6d641aa6b290"]}],"mendeley":{"formattedCitation":"&lt;sup&gt;62,69–71&lt;/sup&gt;","plainTextFormattedCitation":"62,69–71","previouslyFormattedCitation":"&lt;sup&gt;62,69–71&lt;/sup&gt;"},"properties":{"noteIndex":0},"schema":"https://github.com/citation-style-language/schema/raw/master/csl-citation.json"}</w:instrText>
      </w:r>
      <w:r w:rsidR="007214A2"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62,69–71</w:t>
      </w:r>
      <w:r w:rsidR="007214A2"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Delta smelt are a unisexual species that do not appear to have </w:t>
      </w:r>
      <w:r w:rsidR="00D4783E">
        <w:rPr>
          <w:rFonts w:ascii="Times New Roman" w:eastAsia="Times New Roman" w:hAnsi="Times New Roman" w:cs="Times New Roman"/>
        </w:rPr>
        <w:t>environmental</w:t>
      </w:r>
      <w:r w:rsidRPr="00E35CCB">
        <w:rPr>
          <w:rFonts w:ascii="Times New Roman" w:eastAsia="Times New Roman" w:hAnsi="Times New Roman" w:cs="Times New Roman"/>
        </w:rPr>
        <w:t xml:space="preserve"> regulation of sex determination which suggests sex may be determined genetically. Endogenous genetic sex determination mechanisms can occur at the chromosomal level where heterogametic males (XY) and females (ZW) have been observed, or they can be at the genic level where single or multiple genes influence the sex determination</w:t>
      </w:r>
      <w:r w:rsidR="004D5A5B" w:rsidRPr="00E35CCB">
        <w:rPr>
          <w:rFonts w:ascii="Times New Roman" w:eastAsia="Times New Roman" w:hAnsi="Times New Roman" w:cs="Times New Roman"/>
        </w:rPr>
        <w:t>.</w:t>
      </w:r>
      <w:r w:rsidR="004D5A5B"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-1","issue":"3-4","issued":{"date-parts":[["2002"]]},"page":"191-364","title":"Sex determination and sex differentiation in fish: An overview of genetic, physiological, and environmental influences","type":"article-journal","volume":"208"},"uris":["http://www.mendeley.com/documents/?uuid=a30ee487-33a4-4c79-8bfa-367738cec317"]}],"mendeley":{"formattedCitation":"&lt;sup&gt;70&lt;/sup&gt;","plainTextFormattedCitation":"70","previouslyFormattedCitation":"&lt;sup&gt;70&lt;/sup&gt;"},"properties":{"noteIndex":0},"schema":"https://github.com/citation-style-language/schema/raw/master/csl-citation.json"}</w:instrText>
      </w:r>
      <w:r w:rsidR="004D5A5B"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70</w:t>
      </w:r>
      <w:r w:rsidR="004D5A5B"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Thus, identifying sex-associated markers is of use for increasing biological knowledge and practical management.</w:t>
      </w:r>
    </w:p>
    <w:p w14:paraId="006A4B59" w14:textId="77777777" w:rsidR="00DA301E" w:rsidRPr="00E35CCB" w:rsidRDefault="00DA301E" w:rsidP="00B4213F">
      <w:pPr>
        <w:ind w:left="-270" w:right="-270"/>
        <w:jc w:val="both"/>
        <w:rPr>
          <w:rFonts w:ascii="Times New Roman" w:eastAsia="Times New Roman" w:hAnsi="Times New Roman" w:cs="Times New Roman"/>
        </w:rPr>
      </w:pPr>
    </w:p>
    <w:p w14:paraId="08D95660" w14:textId="1AEF0BFC"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The ability to identify sex in delta smelt will assist in management of the captive </w:t>
      </w:r>
      <w:r w:rsidR="003E41F2">
        <w:rPr>
          <w:rFonts w:ascii="Times New Roman" w:eastAsia="Times New Roman" w:hAnsi="Times New Roman" w:cs="Times New Roman"/>
        </w:rPr>
        <w:t>colony</w:t>
      </w:r>
      <w:r w:rsidRPr="00E35CCB">
        <w:rPr>
          <w:rFonts w:ascii="Times New Roman" w:eastAsia="Times New Roman" w:hAnsi="Times New Roman" w:cs="Times New Roman"/>
        </w:rPr>
        <w:t xml:space="preserve"> and develop knowledge of the biology of wild </w:t>
      </w:r>
      <w:r w:rsidR="003E41F2">
        <w:rPr>
          <w:rFonts w:ascii="Times New Roman" w:eastAsia="Times New Roman" w:hAnsi="Times New Roman" w:cs="Times New Roman"/>
        </w:rPr>
        <w:t>delta smelt</w:t>
      </w:r>
      <w:r w:rsidRPr="00E35CCB">
        <w:rPr>
          <w:rFonts w:ascii="Times New Roman" w:eastAsia="Times New Roman" w:hAnsi="Times New Roman" w:cs="Times New Roman"/>
        </w:rPr>
        <w:t xml:space="preserve">. Currently, </w:t>
      </w:r>
      <w:r w:rsidR="00053186">
        <w:rPr>
          <w:rFonts w:ascii="Times New Roman" w:eastAsia="Times New Roman" w:hAnsi="Times New Roman" w:cs="Times New Roman"/>
        </w:rPr>
        <w:t>wild fish</w:t>
      </w:r>
      <w:r w:rsidRPr="00E35CCB">
        <w:rPr>
          <w:rFonts w:ascii="Times New Roman" w:eastAsia="Times New Roman" w:hAnsi="Times New Roman" w:cs="Times New Roman"/>
        </w:rPr>
        <w:t xml:space="preserve"> can only be sexed using </w:t>
      </w:r>
      <w:r w:rsidR="002E433B" w:rsidRPr="00E35CCB">
        <w:rPr>
          <w:rFonts w:ascii="Times New Roman" w:eastAsia="Times New Roman" w:hAnsi="Times New Roman" w:cs="Times New Roman"/>
        </w:rPr>
        <w:t>the expression of gametes in</w:t>
      </w:r>
      <w:r w:rsidRPr="00E35CCB">
        <w:rPr>
          <w:rFonts w:ascii="Times New Roman" w:eastAsia="Times New Roman" w:hAnsi="Times New Roman" w:cs="Times New Roman"/>
        </w:rPr>
        <w:t xml:space="preserve"> </w:t>
      </w:r>
      <w:r w:rsidR="00D4783E">
        <w:rPr>
          <w:rFonts w:ascii="Times New Roman" w:eastAsia="Times New Roman" w:hAnsi="Times New Roman" w:cs="Times New Roman"/>
        </w:rPr>
        <w:t xml:space="preserve">ripe </w:t>
      </w:r>
      <w:r w:rsidRPr="00E35CCB">
        <w:rPr>
          <w:rFonts w:ascii="Times New Roman" w:eastAsia="Times New Roman" w:hAnsi="Times New Roman" w:cs="Times New Roman"/>
        </w:rPr>
        <w:t>adult fish. Sex is identified by observing egg excretion through pressure on the abdomen of female</w:t>
      </w:r>
      <w:r w:rsidR="00053186">
        <w:rPr>
          <w:rFonts w:ascii="Times New Roman" w:eastAsia="Times New Roman" w:hAnsi="Times New Roman" w:cs="Times New Roman"/>
        </w:rPr>
        <w:t xml:space="preserve">s </w:t>
      </w:r>
      <w:r w:rsidR="002E433B" w:rsidRPr="00E35CCB">
        <w:rPr>
          <w:rFonts w:ascii="Times New Roman" w:eastAsia="Times New Roman" w:hAnsi="Times New Roman" w:cs="Times New Roman"/>
        </w:rPr>
        <w:t>or</w:t>
      </w:r>
      <w:r w:rsidRPr="00E35CCB">
        <w:rPr>
          <w:rFonts w:ascii="Times New Roman" w:eastAsia="Times New Roman" w:hAnsi="Times New Roman" w:cs="Times New Roman"/>
        </w:rPr>
        <w:t xml:space="preserve"> through running milt in male</w:t>
      </w:r>
      <w:r w:rsidR="00053186">
        <w:rPr>
          <w:rFonts w:ascii="Times New Roman" w:eastAsia="Times New Roman" w:hAnsi="Times New Roman" w:cs="Times New Roman"/>
        </w:rPr>
        <w:t>s</w:t>
      </w:r>
      <w:r w:rsidR="004D5A5B" w:rsidRPr="00E35CCB">
        <w:rPr>
          <w:rFonts w:ascii="Times New Roman" w:eastAsia="Times New Roman" w:hAnsi="Times New Roman" w:cs="Times New Roman"/>
        </w:rPr>
        <w:t>.</w:t>
      </w:r>
      <w:r w:rsidR="004D5A5B"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{"citationItems":[{"id":"ITEM-1","itemData":{"DOI":"10.1080/15222055.2012.751942","ISSN":"15222055","abstract":"In response to Federal listing of the Delta Smelt Hypomesus transpacificus as a threatened species in 1993, intensive fish culture techniques were developed to provide a supply of fish for research activities. The Delta Smelt was listed as endangered by the state of California in 2009, and several agencies worked quickly to develop a captive refuge population under genetic management. Captive 2-year-old wild-origin Delta Smelt served as the founding population in 2008. Each year, 250 genetically selected, single pair crosses are made in vitro, and the resultant full-sibling families are combined to rear in multifamily groups. Typically, eight families are reared together from egg to adult stage, with 80% or more of the initial families represented at the adult stage. Multifamily rearing provides an efficient way of achieving a breeding population of 500 in a smaller facility. Juvenile survival increased from 18% in 2009 to 39% in 2010, as facilities and methodologies improved. Growth rate also increased significantly from 2009 to 2010 (from 0.19 to 0.25mm/d). Subdermal alphanumeric tags identified individuals and allowed spawning of select individuals to preserve genetic diversity in the refuge population. Group marking, by adipose fin clip, provided efficiencies in time and space. Tagging and genetic analyses enabled in vitro spawning of recommended pair crosses each year. At present, we recommend completing the majority of spawning from February to mid-May and continuing to augment the refuge population with wild fish each year. The refuge population provides one type of safeguard against species extinction and provides an example for endangered fish culture. Received March 16, 2012; accepted November 18, 2012","author":[{"dropping-particle":"","family":"Lindberg","given":"Joan C.","non-dropping-particle":"","parse-names":false,"suffix":""},{"dropping-particle":"","family":"Tigan","given":"Galen","non-dropping-particle":"","parse-names":false,"suffix":""},{"dropping-particle":"","family":"Ellison","given":"Luke","non-dropping-particle":"","parse-names":false,"suffix":""},{"dropping-particle":"","family":"Rettinghouse","given":"Theresa","non-dropping-particle":"","parse-names":false,"suffix":""},{"dropping-particle":"","family":"Nagel","given":"Meredith M.","non-dropping-particle":"","parse-names":false,"suffix":""},{"dropping-particle":"","family":"Fisch","given":"Kathleen M.","non-dropping-particle":"","parse-names":false,"suffix":""}],"container-title":"North American Journal of Aquaculture","id":"ITEM-1","issue":"2","issued":{"date-parts":[["2013"]]},"page":"186-196","title":"Aquaculture methods for a genetically managed population of endangered Delta Dmelt","type":"article-journal","volume":"75"},"uris":["http://www.mendeley.com/documents/?uuid=e74e19e3-22ac-4d49-8301-3bbaf171abf9"]}],"mendeley":{"formattedCitation":"&lt;sup&gt;72&lt;/sup&gt;","plainTextFormattedCitation":"72","previouslyFormattedCitation":"&lt;sup&gt;72&lt;/sup&gt;"},"properties":{"noteIndex":0},"schema":"https://github.com/citation-style-language/schema/raw/master/csl-citation.json"}</w:instrText>
      </w:r>
      <w:r w:rsidR="004D5A5B"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72</w:t>
      </w:r>
      <w:r w:rsidR="004D5A5B"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Because identification relies on the physiological status of an individual fish, only about two-thirds of wild adult delta smelt sampled can be sexed </w:t>
      </w:r>
      <w:r w:rsidR="002E433B" w:rsidRPr="00E35CCB">
        <w:rPr>
          <w:rFonts w:ascii="Times New Roman" w:eastAsia="Times New Roman" w:hAnsi="Times New Roman" w:cs="Times New Roman"/>
        </w:rPr>
        <w:t>(</w:t>
      </w:r>
      <w:r w:rsidRPr="00E35CCB">
        <w:rPr>
          <w:rFonts w:ascii="Times New Roman" w:eastAsia="Times New Roman" w:hAnsi="Times New Roman" w:cs="Times New Roman"/>
        </w:rPr>
        <w:t>Hammock pers</w:t>
      </w:r>
      <w:r w:rsidR="003E41F2">
        <w:rPr>
          <w:rFonts w:ascii="Times New Roman" w:eastAsia="Times New Roman" w:hAnsi="Times New Roman" w:cs="Times New Roman"/>
        </w:rPr>
        <w:t>.</w:t>
      </w:r>
      <w:r w:rsidRPr="00E35CCB">
        <w:rPr>
          <w:rFonts w:ascii="Times New Roman" w:eastAsia="Times New Roman" w:hAnsi="Times New Roman" w:cs="Times New Roman"/>
        </w:rPr>
        <w:t xml:space="preserve"> com</w:t>
      </w:r>
      <w:r w:rsidR="003E41F2">
        <w:rPr>
          <w:rFonts w:ascii="Times New Roman" w:eastAsia="Times New Roman" w:hAnsi="Times New Roman" w:cs="Times New Roman"/>
        </w:rPr>
        <w:t>m.</w:t>
      </w:r>
      <w:r w:rsidR="002E433B" w:rsidRPr="00E35CCB">
        <w:rPr>
          <w:rFonts w:ascii="Times New Roman" w:eastAsia="Times New Roman" w:hAnsi="Times New Roman" w:cs="Times New Roman"/>
        </w:rPr>
        <w:t>)</w:t>
      </w:r>
      <w:r w:rsidRPr="00E35CCB">
        <w:rPr>
          <w:rFonts w:ascii="Times New Roman" w:eastAsia="Times New Roman" w:hAnsi="Times New Roman" w:cs="Times New Roman"/>
        </w:rPr>
        <w:t>. Knowledge of the genetic underpinnings of sex determination in fishes assists with management of captive populations, basic knowledge of life history characteristics of the species, ecological surveys and management regarding population metrics, species modeling, demographic inference, and sex-based survival</w:t>
      </w:r>
      <w:r w:rsidR="004D5A5B" w:rsidRPr="00E35CCB">
        <w:rPr>
          <w:rFonts w:ascii="Times New Roman" w:eastAsia="Times New Roman" w:hAnsi="Times New Roman" w:cs="Times New Roman"/>
        </w:rPr>
        <w:t>.</w:t>
      </w:r>
      <w:r w:rsidR="004D5A5B"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{"citationItems":[{"id":"ITEM-1","itemData":{"DOI":"10.3389/fgene.2014.00340","ISSN":"16648021","abstract":"Controlling the sex ratio is essential in finfish farming. A balanced sex ratio is usually good for broodstock management, since it enables to develop appropriate breeding schemes. However, in some species the production of monosex populations is desirable because the existence of sexual dimorphism, primarily in growth or first time of sexual maturation, but also in color or shape, can render one sex more valuable. The knowledge of the genetic architecture of sex determination (SD) is convenient for controlling sex ratio and for the implementation of breeding programs. Unlike mammals and birds, which show highly conserved master genes that control a conserved genetic network responsible for gonad differentiation (GD), a huge diversity of SD mechanisms has been reported in fish. Despite theory predictions, more than one gene is in many cases involved in fish SD and genetic differences have been observed in the GD network. Environmental factors also play a relevant role and epigenetic mechanisms are becoming increasingly recognized for the establishment and maintenance of the GD pathways. Although major genetic factors are frequently involved in fish SD, these observations strongly suggest that SD in this group resembles a complex trait. Accordingly, the application of quantitative genetics combined with genomic tools is desirable to address its study and in fact, when applied, it has frequently demonstrated a multigene trait interacting with environmental factors in model and cultured fish species. This scenario has notable implications for aquaculture and, depending upon the species, from chromosome manipulation or environmental control techniques up to classical selection or marker assisted selection programs, are being applied. In this review, we selected four relevant species or fish groups to illustrate this diversity and hence the technologies that can be used by the industry for the control of sex ratio: turbot and European sea bass, two reference species of the European aquaculture, and salmonids and tilapia, representing the fish for which there are well established breeding programs.","author":[{"dropping-particle":"","family":"Martínez","given":"Paulino","non-dropping-particle":"","parse-names":false,"suffix":""},{"dropping-particle":"","family":"Viñas","given":"Ana M.","non-dropping-particle":"","parse-names":false,"suffix":""},{"dropping-particle":"","family":"Sánchez","given":"Laura","non-dropping-particle":"","parse-names":false,"suffix":""},{"dropping-particle":"","family":"Díaz","given":"Noelia","non-dropping-particle":"","parse-names":false,"suffix":""},{"dropping-particle":"","family":"Ribas","given":"Laia","non-dropping-particle":"","parse-names":false,"suffix":""},{"dropping-particle":"","family":"Piferrer","given":"Francesc","non-dropping-particle":"","parse-names":false,"suffix":""}],"container-title":"Frontiers in Genetics","id":"ITEM-1","issue":"SEP","issued":{"date-parts":[["2014"]]},"page":"1-13","title":"Genetic architecture of sex determination in fish: Applications to sex ratio control in aquaculture","type":"article-journal","volume":"5"},"uris":["http://www.mendeley.com/documents/?uuid=3af4d83b-2c36-4da1-8342-03a91ca7e55d"]}],"mendeley":{"formattedCitation":"&lt;sup&gt;73&lt;/sup&gt;","plainTextFormattedCitation":"73","previouslyFormattedCitation":"&lt;sup&gt;73&lt;/sup&gt;"},"properties":{"noteIndex":0},"schema":"https://github.com/citation-style-language/schema/raw/master/csl-citation.json"}</w:instrText>
      </w:r>
      <w:r w:rsidR="004D5A5B"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73</w:t>
      </w:r>
      <w:r w:rsidR="004D5A5B" w:rsidRPr="00E35CCB">
        <w:rPr>
          <w:rFonts w:ascii="Times New Roman" w:eastAsia="Times New Roman" w:hAnsi="Times New Roman" w:cs="Times New Roman"/>
        </w:rPr>
        <w:fldChar w:fldCharType="end"/>
      </w:r>
    </w:p>
    <w:p w14:paraId="14D34778" w14:textId="77777777" w:rsidR="00DA301E" w:rsidRPr="00E35CCB" w:rsidRDefault="00DA301E" w:rsidP="00B4213F">
      <w:pPr>
        <w:ind w:left="-270" w:right="-270"/>
        <w:jc w:val="both"/>
        <w:rPr>
          <w:rFonts w:ascii="Times New Roman" w:eastAsia="Times New Roman" w:hAnsi="Times New Roman" w:cs="Times New Roman"/>
        </w:rPr>
      </w:pPr>
    </w:p>
    <w:p w14:paraId="0869741E" w14:textId="77777777" w:rsidR="00DA301E" w:rsidRPr="00E35CCB" w:rsidRDefault="007312B3" w:rsidP="00B4213F">
      <w:pPr>
        <w:ind w:left="-270" w:right="-270"/>
        <w:jc w:val="both"/>
        <w:rPr>
          <w:rFonts w:ascii="Times New Roman" w:eastAsia="Times New Roman" w:hAnsi="Times New Roman" w:cs="Times New Roman"/>
          <w:b/>
          <w:i/>
        </w:rPr>
      </w:pPr>
      <w:r w:rsidRPr="00E35CCB">
        <w:rPr>
          <w:rFonts w:ascii="Times New Roman" w:eastAsia="Times New Roman" w:hAnsi="Times New Roman" w:cs="Times New Roman"/>
        </w:rPr>
        <w:t xml:space="preserve"> </w:t>
      </w:r>
      <w:r w:rsidRPr="00E35CCB">
        <w:rPr>
          <w:rFonts w:ascii="Times New Roman" w:eastAsia="Times New Roman" w:hAnsi="Times New Roman" w:cs="Times New Roman"/>
          <w:b/>
          <w:i/>
        </w:rPr>
        <w:t>Experimental Design</w:t>
      </w:r>
    </w:p>
    <w:p w14:paraId="5098507E" w14:textId="2881F914"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I proposed to discover sex-specific SNPs for the identification of male and female delta smelt by identifying SNPs associated with each corresponding sex</w:t>
      </w:r>
      <w:r w:rsidR="00FE4B42" w:rsidRPr="00E35CCB">
        <w:rPr>
          <w:rFonts w:ascii="Times New Roman" w:eastAsia="Times New Roman" w:hAnsi="Times New Roman" w:cs="Times New Roman"/>
        </w:rPr>
        <w:t xml:space="preserve"> using RAD-</w:t>
      </w:r>
      <w:proofErr w:type="spellStart"/>
      <w:r w:rsidR="00FE4B42" w:rsidRPr="00E35CCB">
        <w:rPr>
          <w:rFonts w:ascii="Times New Roman" w:eastAsia="Times New Roman" w:hAnsi="Times New Roman" w:cs="Times New Roman"/>
        </w:rPr>
        <w:t>seq</w:t>
      </w:r>
      <w:proofErr w:type="spellEnd"/>
      <w:r w:rsidR="00FE4B42" w:rsidRPr="00E35CCB">
        <w:rPr>
          <w:rFonts w:ascii="Times New Roman" w:eastAsia="Times New Roman" w:hAnsi="Times New Roman" w:cs="Times New Roman"/>
        </w:rPr>
        <w:t xml:space="preserve"> data</w:t>
      </w:r>
      <w:r w:rsidR="004D5A5B" w:rsidRPr="00E35CCB">
        <w:rPr>
          <w:rFonts w:ascii="Times New Roman" w:eastAsia="Times New Roman" w:hAnsi="Times New Roman" w:cs="Times New Roman"/>
        </w:rPr>
        <w:t>.</w:t>
      </w:r>
      <w:r w:rsidR="00FE4B42"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{"citationItems":[{"id":"ITEM-1","itemData":{"DOI":"10.1093/dnares/dsx054","ISSN":"17561663","abstract":"Sex-specific markers are powerful tools for identifying sex-determination system in various ani-mals. Bighead carp (Hypophthalmichehys nobilis) and silver carp (Hypophthalmichthys molitrix) are two of the most important edible fish in Asia, which have a long juvenility period that can lasts for 4–5 years. In this study, we found one sex-specific marker by next-generation sequencing together with bioinformatics analysis in bighead carp. The male-specific markers were used to per-form molecular sexing in the progenies of artificial gynogenetic diploids and found all progenies (n ¼ 160) were females. Meanwhile, around 1 : 1 sex ratio was observed in a total of 579 juvenile offspring from three other families. To further extend the male-specific region, we performed genome walking and got a male-specific sequence of 8,661 bp. Five pairs of primers were designed and could be used to efficiently distinguish males from females in bighead carp and sil-ver carp. The development of these male-specific markers and results of their molecular sexing in different populations provide strong evidence for a sex determination system of female homoga-metry or male heterogametry (XX/XY) in bighead carp and silver carp. To the best of our knowl-edge, this is the first report of effective sex-specific markers in these two large carp species.","author":[{"dropping-particle":"","family":"Liu","given":"Haiyang","non-dropping-particle":"","parse-names":false,"suffix":""},{"dropping-particle":"","family":"Pang","given":"Meixia","non-dropping-particle":"","parse-names":false,"suffix":""},{"dropping-particle":"","family":"Yu","given":"Xiaomu","non-dropping-particle":"","parse-names":false,"suffix":""},{"dropping-particle":"","family":"Zhou","given":"Ying","non-dropping-particle":"","parse-names":false,"suffix":""},{"dropping-particle":"","family":"Tong","given":"Jingou","non-dropping-particle":"","parse-names":false,"suffix":""},{"dropping-particle":"","family":"Fu","given":"Beide","non-dropping-particle":"","parse-names":false,"suffix":""}],"container-title":"DNA Research","id":"ITEM-1","issue":"3","issued":{"date-parts":[["2018"]]},"page":"257-264","title":"Sex-specific markers developed by next-generation sequencing confirmed an XX/XY sex determination system in bighead carp (Hypophthalmichthys nobilis) and silver carp (Hypophthalmichthys molitrix)","type":"article-journal","volume":"25"},"uris":["http://www.mendeley.com/documents/?uuid=58c62c88-2bef-486b-abe7-e6d221767e5a"]},{"id":"ITEM-2","itemData":{"DOI":"10.1371/journal.pone.0077832","ISSN":"19326203","abstract":"The salmon louse (Lepeophtheirus salmonis (Krøyer, 1837)) is a parasitic copepod that can, if untreated, cause considerable damage to Atlantic salmon (Salmo salar Linnaeus, 1758) and incurs significant costs to the Atlantic salmon mariculture industry. Salmon lice are gonochoristic and normally show sex ratios close to 1:1. While this observation suggests that sex determination in salmon lice is genetic, with only minor environmental influences, the mechanism of sex determination in the salmon louse is unknown. This paper describes the identification of a sex-linked Single Nucleotide Polymorphism (SNP) marker, providing the first evidence for a genetic mechanism of sex determination in the salmon louse. Restriction site-associated DNA sequencing (RAD-seq) was used to isolate SNP markers in a laboratory-maintained salmon louse strain. A total of 85 million raw Illumina 100 base paired-end reads produced 281,838 unique RAD-tags across 24 unrelated individuals. RAD marker Lsa101901 showed complete association with phenotypic sex for all individuals analysed, being heterozygous in females and homozygous in males. Using an allele-specific PCR assay for genotyping, this SNP association pattern was further confirmed for three unrelated salmon louse strains, displaying complete association with phenotypic sex in a total of 96 genotyped individuals. The marker Lsa101901 was located in the coding region of the prohibitin-2 gene, which showed a sex-dependent differential expression, with mRNA levels determined by RT-qPCR about 1.8-fold higher in adult female than adult male salmon lice. This study's observations of a novel sex-linked SNP marker are consistent with sex determination in the salmon louse being genetic and following a female heterozygous system. Marker Lsa101901 provides a tool to determine the genetic sex of salmon lice, and could be useful in the development of control strategies.","author":[{"dropping-particle":"","family":"Carmichael","given":"Stephen N.","non-dropping-particle":"","parse-names":false,"suffix":""},{"dropping-particle":"","family":"Bekaert","given":"Michaël","non-dropping-particle":"","parse-names":false,"suffix":""},{"dropping-particle":"","family":"Taggart","given":"John B.","non-dropping-particle":"","parse-names":false,"suffix":""},{"dropping-particle":"","family":"Christie","given":"Hayden R L","non-dropping-particle":"","parse-names":false,"suffix":""},{"dropping-particle":"","family":"Bassett","given":"David I.","non-dropping-particle":"","parse-names":false,"suffix":""},{"dropping-particle":"","family":"Bron","given":"James E.","non-dropping-particle":"","parse-names":false,"suffix":""},{"dropping-particle":"","family":"Skuce","given":"Philip J.","non-dropping-particle":"","parse-names":false,"suffix":""},{"dropping-particle":"","family":"Gharbi","given":"Karim","non-dropping-particle":"","parse-names":false,"suffix":""},{"dropping-particle":"","family":"Skern-Mauritzen","given":"Rasmus","non-dropping-particle":"","parse-names":false,"suffix":""},{"dropping-particle":"","family":"Sturm","given":"Armin","non-dropping-particle":"","parse-names":false,"suffix":""}],"container-title":"PLoS ONE","id":"ITEM-2","issue":"10","issued":{"date-parts":[["2013"]]},"page":"1-8","title":"Identification of a Sex-Linked SNP Marker in the Salmon Louse (Lepeophtheirus salmonis) Using RAD Sequencing","type":"article-journal","volume":"8"},"uris":["http://www.mendeley.com/documents/?uuid=a3ed903c-18f7-4488-ac23-a199287d1808"]},{"id":"ITEM-3","itemData":{"DOI":"10.1186/s12864-015-1326-6","ISSN":"14712164","abstract":"BACKGROUND: Pistachio (Pistacia vera L.) is a dioecious species that has a long juvenility period. Therefore, development of marker-assisted selection (MAS) techniques would greatly facilitate pistachio cultivar-breeding programs. The sex determination mechanism is presently unknown in pistachio. The generation of sex-linked markers is likely to reduce time, labor, and costs associated with breeding programs, and will help to clarify the sex determination system in pistachio.\\n\\nRESULTS: Restriction site-associated DNA (RAD) markers were used to identify sex-linked markers and to elucidate the sex determination system in pistachio. Eight male and eight female F1 progenies from a Pistacia vera L. Siirt × Bağyolu cross, along with the parents, were subjected to RAD sequencing in two lanes of a Hi-Seq 2000 sequencing platform. This generated 449 million reads, comprising approximately 37.7 Gb of sequences. There were 33,757 polymorphic single nucleotide polymorphism (SNP) loci between the parents. Thirty-eight of these, from 28 RAD reads, were detected as putative sex-associated loci in pistachio. Validation was performed by SNaPshot analysis in 42 mature F1 progenies and in 124 cultivars and genotypes in a germplasm collection. Eight loci could distinguish sex with 100% accuracy in pistachio. To ascertain cost-effective application of markers in a breeding program, high-resolution melting (HRM) analysis was performed; four markers were found to perfectly separate sexes in pistachio. Because of the female heterogamety in all candidate SNP loci, we report for the first time that pistachio has a ZZ/ZW sex determination system. As the reported female-to-male segregation ratio is 1:1 in all known segregating populations and there is no previous report of super-female genotypes or female heteromorphic chromosomes in pistachio, it appears that the WW genotype is not viable.\\n\\nCONCLUSION: Sex-linked SNP markers were identified and validated in a large germplasm and proved their suitability for MAS in pistachio. HRM analysis successfully validated the sex-linked markers for MAS. For the first time in dioecious pistachio, a female heterogamety ZW/ZZ sex determination system is suggested.","author":[{"dropping-particle":"","family":"Kafkas","given":"Salih","non-dropping-particle":"","parse-names":false,"suffix":""},{"dropping-particle":"","family":"Khodaeiaminjan","given":"Mortaza","non-dropping-particle":"","parse-names":false,"suffix":""},{"dropping-particle":"","family":"Güney","given":"Murat","non-dropping-particle":"","parse-names":false,"suffix":""},{"dropping-particle":"","family":"Kafkas","given":"Ebru","non-dropping-particle":"","parse-names":false,"suffix":""}],"container-title":"BMC Genomics","id":"ITEM-3","issue":"1","issued":{"date-parts":[["2015"]]},"page":"1-11","title":"Identification of sex-linked SNP markers using RAD sequencing suggests ZW/ZZ sex determination in Pistacia vera L.","type":"article-journal","volume":"16"},"uris":["http://www.mendeley.com/documents/?uuid=0e3d61d8-c2a1-42e7-8d98-b61c4d3dabb4"]},{"id":"ITEM-4","itemData":{"DOI":"10.1111/1755-0998.12237","ISSN":"17550998","abstract":"A major barrier to evolutionary studies of sex determination and sex chromosomes has been a lack of information on the types of sex-determining mechanisms that occur among different species. This is particularly problematic in groups where most species lack visually heteromorphic sex chromosomes, such as fish, amphibians and reptiles, because cytogenetic analyses will fail to identify the sex chromosomes in these species. We describe the use of restriction site-associated DNA (RAD) sequencing, or RAD-seq, to identify sex-specific molecular markers and subsequently determine whether a species has male or female heterogamety. To test the accuracy of this technique, we examined the lizard Anolis carolinensis. We performed RAD-seq on seven male and ten female A. carolinensis and found one male-specific molecular marker. Anolis carolinensis has previously been shown to possess male heterogamety and the recently published A. carolinensis genome facilitated the characterization of the sex-specific RAD-seq marker. We validated the male specificity of the new marker using PCR on additional individuals and also found that it is conserved in some other Anolis species. We discuss the utility of using RAD-seq to identify sex-determining mechanisms in other species with cryptic or homomorphic sex chromosomes and the implications for the evolution of male heterogamety in Anolis.","author":[{"dropping-particle":"","family":"Gamble","given":"Tony","non-dropping-particle":"","parse-names":false,"suffix":""},{"dropping-particle":"","family":"Zarkower","given":"David","non-dropping-particle":"","parse-names":false,"suffix":""}],"container-title":"Molecular Ecology Resources","id":"ITEM-4","issue":"5","issued":{"date-parts":[["2014"]]},"page":"902-913","title":"Identification of sex-specific molecular markers using restriction site-associated DNA sequencing","type":"article-journal","volume":"14"},"uris":["http://www.mendeley.com/documents/?uuid=2e4d44d4-ec41-4020-9a15-e803a66411ee"]},{"id":"ITEM-5","itemData":{"DOI":"10.1111/mec.13594","ISSN":"1365294X","abstract":"Fish have evolved a variety of sex-determining (SD) systems including male hetero- gamy (XY), female heterogamy (ZW) and environmental SD. Little is known about SD mechanisms of Sebastes rockfishes, a highly speciose genus of importance to evolu- tionary and conservation biology. Here, we characterize the sex determination system in the sympatrically distributed sister species Sebastes chrysomelas and Sebastes carna- tus. To identify sex-specific genotypic markers, double digest restriction site – associ- ated DNA sequencing (ddRAD-seq) of genomic DNA from 40 sexed individuals of both species was performed. Loci were filtered for presence in all of the individuals of one sex, absence in the other sex and no heterozygosity. Of the 74 965 loci present in all males, 33 male-specific loci met the criteria in at least one species and 17 in both. Conversely, no female-specific loci were detected, together providing evidence of an XY sex determination system in both species. When aligned to a draft reference gen- ome from Sebastes aleutianus, 26 sex-specific loci were interspersed among 1168 loci that were identical between sexes. The nascent Y chromosome averaged 5% divergence from the X chromosome and mapped to reference Sebastes genome scaffolds totalling 6.9Mbp in length. These scaffolds aligned to a single chromosome in three model fish genomes. Read coverage differences were also detected between sex-specific and auto- somal loci. A PCR-RFLP assay validated the bioinformatic results and correctly identi- fied sex of five additional individuals of known sex. A sex-determining gene in other teleosts gonadal soma-derived factor (gsdf) was present in the model fish chromosomes that spanned our sex-specific markers.","author":[{"dropping-particle":"","family":"Fowler","given":"Benjamin L.S.","non-dropping-particle":"","parse-names":false,"suffix":""},{"dropping-particle":"","family":"Buonaccorsi","given":"Vincent P.","non-dropping-particle":"","parse-names":false,"suffix":""}],"container-title":"Molecular Ecology","id":"ITEM-5","issue":"10","issued":{"date-parts":[["2016"]]},"page":"2165-2175","title":"Genomic characterization of sex-identification markers in Sebastes carnatus and Sebastes chrysomelas rockfishes","type":"article-journal","volume":"25"},"uris":["http://www.mendeley.com/documents/?uuid=7de27b45-9c9c-44bd-a0fb-042f177d7b1a"]},{"id":"ITEM-6","itemData":{"DOI":"10.1111/mec.13648","ISSN":"1365294X","abstract":"Next-generation sequencing methods have initiated a rev- olution in molecular ecology and evolution (Tautz et al. 2010). Among the most impressive of these sequencing innovations is restriction site-associated DNA sequencing or RAD-seq (Baird et al. 2008; Andrews et al. 2016). RAD-seq uses the Illumina sequencing platform to sequence fragments of DNA cut by a specific restriction enzyme and can generate tens of thousands of molecular genetic markers for analysis. One of the many uses of RAD-seq data has been to identify sex-specific genetic markers, markers found in one sex but not the other (Baxter et al. 2011; Gamble &amp; Zarkower 2014). Sex-speci- fic markers are a powerful tool for biologists. At their most basic, they can be used to identify the sex of an individual via PCR. This is useful in cases where a spe- cies lacks obvious sexual dimorphism at some or all life history stages. For example, such tests have been impor- tant for studying sex differences in life history (Sheldon 1998; Mossman &amp; Waser 1999), the management and breeding of endangered species (Taberlet et al. 1993; Griffiths &amp; Tiwari 1995; Robertson et al. 2006) and sexing embryonic material (Hacker et al. 1995; Smith et al. 1999). Furthermore, sex-specific markers allow recognition of the sex chromosome system in cases where standard cyto- genetic methods fail (Charlesworth &amp; Mank 2010; Gam- ble &amp; Zarkower 2014). Thus, species with male-specific markers have male heterogamety (XY) while species with female-specific markers have female heterogamety (ZW). In this issue, Fowler &amp; Buonaccorsi (2016) illustrate the ease by which RAD-seq data can generate sex-specific genetic markers in rockfish (Sebastes). Moreover, by examining RAD-seq data from two closely related rock- fish species, Sebastes chrysomelas and Sebastes carnatus (Fig. 1), Fowler &amp; Buonaccorsi (2016) uncover shared sex-specific markers and a conserved sex chromosome system.","author":[{"dropping-particle":"","family":"Gamble","given":"Tony","non-dropping-particle":"","parse-names":false,"suffix":""}],"container-title":"Molecular ecology","id":"ITEM-6","issue":"10","issued":{"date-parts":[["2016"]]},"page":"2114-2116","title":"Using RAD-seq to recognize sex-specific markers and sex chromosome systems","type":"article-journal","volume":"25"},"uris":["http://www.mendeley.com/documents/?uuid=d398b595-27a2-40e3-913b-fe532281436e"]}],"mendeley":{"formattedCitation":"&lt;sup&gt;74–79&lt;/sup&gt;","plainTextFormattedCitation":"74–79","previouslyFormattedCitation":"&lt;sup&gt;74–79&lt;/sup&gt;"},"properties":{"noteIndex":0},"schema":"https://github.com/citation-style-language/schema/raw/master/csl-citation.json"}</w:instrText>
      </w:r>
      <w:r w:rsidR="00FE4B42"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74–79</w:t>
      </w:r>
      <w:r w:rsidR="00FE4B42"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To discover markers, I </w:t>
      </w:r>
      <w:r w:rsidR="00FE4B42" w:rsidRPr="00E35CCB">
        <w:rPr>
          <w:rFonts w:ascii="Times New Roman" w:eastAsia="Times New Roman" w:hAnsi="Times New Roman" w:cs="Times New Roman"/>
        </w:rPr>
        <w:t>sequenced</w:t>
      </w:r>
      <w:r w:rsidRPr="00E35CCB">
        <w:rPr>
          <w:rFonts w:ascii="Times New Roman" w:eastAsia="Times New Roman" w:hAnsi="Times New Roman" w:cs="Times New Roman"/>
        </w:rPr>
        <w:t xml:space="preserve"> 24 female and 24 male samples from a captive colony of delta smelt</w:t>
      </w:r>
      <w:r w:rsidR="00FE4B42" w:rsidRPr="00E35CCB">
        <w:rPr>
          <w:rFonts w:ascii="Times New Roman" w:eastAsia="Times New Roman" w:hAnsi="Times New Roman" w:cs="Times New Roman"/>
        </w:rPr>
        <w:t xml:space="preserve">. </w:t>
      </w:r>
      <w:r w:rsidRPr="00E35CCB">
        <w:rPr>
          <w:rFonts w:ascii="Times New Roman" w:eastAsia="Times New Roman" w:hAnsi="Times New Roman" w:cs="Times New Roman"/>
        </w:rPr>
        <w:t xml:space="preserve">Due to the possibility of having only a single gene influence sex determination in delta smelt, it is essential to survey as many sites across the genome as possible. To maximize the number of cut sites, we digested DNA using the </w:t>
      </w:r>
      <w:r w:rsidRPr="00E35CCB">
        <w:rPr>
          <w:rFonts w:ascii="Times New Roman" w:eastAsia="Times New Roman" w:hAnsi="Times New Roman" w:cs="Times New Roman"/>
          <w:i/>
        </w:rPr>
        <w:t xml:space="preserve">Pst1 </w:t>
      </w:r>
      <w:r w:rsidRPr="00E35CCB">
        <w:rPr>
          <w:rFonts w:ascii="Times New Roman" w:eastAsia="Times New Roman" w:hAnsi="Times New Roman" w:cs="Times New Roman"/>
        </w:rPr>
        <w:t xml:space="preserve">restriction enzyme, which shears DNA </w:t>
      </w:r>
      <w:r w:rsidR="00D4783E">
        <w:rPr>
          <w:rFonts w:ascii="Times New Roman" w:eastAsia="Times New Roman" w:hAnsi="Times New Roman" w:cs="Times New Roman"/>
        </w:rPr>
        <w:t>sixteen</w:t>
      </w:r>
      <w:r w:rsidRPr="00E35CCB">
        <w:rPr>
          <w:rFonts w:ascii="Times New Roman" w:eastAsia="Times New Roman" w:hAnsi="Times New Roman" w:cs="Times New Roman"/>
        </w:rPr>
        <w:t xml:space="preserve"> times as often as the </w:t>
      </w:r>
      <w:r w:rsidRPr="00E35CCB">
        <w:rPr>
          <w:rFonts w:ascii="Times New Roman" w:eastAsia="Times New Roman" w:hAnsi="Times New Roman" w:cs="Times New Roman"/>
          <w:i/>
        </w:rPr>
        <w:t>Sbf1</w:t>
      </w:r>
      <w:r w:rsidRPr="00E35CCB">
        <w:rPr>
          <w:rFonts w:ascii="Times New Roman" w:eastAsia="Times New Roman" w:hAnsi="Times New Roman" w:cs="Times New Roman"/>
        </w:rPr>
        <w:t xml:space="preserve"> restriction enzyme used in Aim #2. We prepared RAD libraries and sequenced with 150 </w:t>
      </w:r>
      <w:proofErr w:type="spellStart"/>
      <w:r w:rsidRPr="00E35CCB">
        <w:rPr>
          <w:rFonts w:ascii="Times New Roman" w:eastAsia="Times New Roman" w:hAnsi="Times New Roman" w:cs="Times New Roman"/>
        </w:rPr>
        <w:t>bp</w:t>
      </w:r>
      <w:proofErr w:type="spellEnd"/>
      <w:r w:rsidRPr="00E35CCB">
        <w:rPr>
          <w:rFonts w:ascii="Times New Roman" w:eastAsia="Times New Roman" w:hAnsi="Times New Roman" w:cs="Times New Roman"/>
        </w:rPr>
        <w:t xml:space="preserve"> paired-end reads on an Illumina </w:t>
      </w:r>
      <w:proofErr w:type="spellStart"/>
      <w:r w:rsidRPr="00E35CCB">
        <w:rPr>
          <w:rFonts w:ascii="Times New Roman" w:eastAsia="Times New Roman" w:hAnsi="Times New Roman" w:cs="Times New Roman"/>
        </w:rPr>
        <w:t>HiSeq</w:t>
      </w:r>
      <w:proofErr w:type="spellEnd"/>
      <w:r w:rsidRPr="00E35CCB">
        <w:rPr>
          <w:rFonts w:ascii="Times New Roman" w:eastAsia="Times New Roman" w:hAnsi="Times New Roman" w:cs="Times New Roman"/>
        </w:rPr>
        <w:t>.</w:t>
      </w:r>
    </w:p>
    <w:p w14:paraId="7E54CCB2" w14:textId="1A93852A" w:rsidR="00DA301E"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 </w:t>
      </w:r>
    </w:p>
    <w:p w14:paraId="58E2C1FF" w14:textId="515895A4" w:rsidR="004A4663" w:rsidRDefault="00B5603F" w:rsidP="00B5603F">
      <w:pPr>
        <w:ind w:left="-270" w:right="-270"/>
        <w:jc w:val="both"/>
        <w:rPr>
          <w:rFonts w:ascii="Times New Roman" w:eastAsia="Times New Roman" w:hAnsi="Times New Roman" w:cs="Times New Roman"/>
        </w:rPr>
      </w:pPr>
      <w:r>
        <w:rPr>
          <w:rFonts w:ascii="Times New Roman" w:eastAsia="Times New Roman" w:hAnsi="Times New Roman" w:cs="Times New Roman"/>
        </w:rPr>
        <w:t>After sequencing, I will align, filter and test for population structure as I did in Aim #2</w:t>
      </w:r>
      <w:r w:rsidR="0017594F">
        <w:rPr>
          <w:rFonts w:ascii="Times New Roman" w:eastAsia="Times New Roman" w:hAnsi="Times New Roman" w:cs="Times New Roman"/>
        </w:rPr>
        <w:t>,</w:t>
      </w:r>
      <w:r w:rsidRPr="00B5603F">
        <w:rPr>
          <w:rFonts w:ascii="Times New Roman" w:eastAsia="Times New Roman" w:hAnsi="Times New Roman" w:cs="Times New Roman"/>
          <w:noProof/>
          <w:vertAlign w:val="superscript"/>
        </w:rPr>
        <w:t xml:space="preserve"> </w:t>
      </w:r>
      <w:r>
        <w:rPr>
          <w:rFonts w:ascii="Times New Roman" w:eastAsia="Times New Roman" w:hAnsi="Times New Roman" w:cs="Times New Roman"/>
        </w:rPr>
        <w:fldChar w:fldCharType="begin" w:fldLock="1"/>
      </w:r>
      <w:r w:rsidR="0017594F">
        <w:rPr>
          <w:rFonts w:ascii="Times New Roman" w:eastAsia="Times New Roman" w:hAnsi="Times New Roman" w:cs="Times New Roman"/>
        </w:rPr>
        <w:instrText>ADDIN CSL_CITATION {"citationItems":[{"id":"ITEM-1","itemData":{"DOI":"10.1534/g3.113.005967","ISBN":"2160-1836","ISSN":"2160-1836","PMID":"23550143","abstract":"Low-cost DNA sequencing technologies have expanded the role for direct nucleic acid sequencing in the analysis of genomes, transcriptomes, and the metagenomes of whole ecosystems. Human and machine comprehension of such large datasets can be simplified via synthesis of sequence fragments into long, contiguous blocks of sequence (contigs), but most of the progress in the field of assembly has focused on genomes in isolation rather than metagenomes. Here, we present software for paired-read iterative contig extension (PRICE), a strategy for focused assembly of particular nucleic acid species using complex metagenomic data as input. We describe the assembly strategy implemented by PRICE and provide examples of its application to the sequence of particular genes, transcripts, and virus genomes from complex multicomponent datasets, including an assembly of the BCBL-1 strain of Kaposi's sarcoma-associated herpesvirus. PRICE is open-source and available for free download (derisilab.ucsf.edu/software/price/ or sourceforge.net/projects/pricedenovo/).","author":[{"dropping-particle":"","family":"Ruby","given":"J. Graham","non-dropping-particle":"","parse-names":false,"suffix":""},{"dropping-particle":"","family":"Bellare","given":"Priya","non-dropping-particle":"","parse-names":false,"suffix":""},{"dropping-particle":"","family":"DeRisi","given":"Joseph L.","non-dropping-particle":"","parse-names":false,"suffix":""}],"container-title":"G3&amp;amp;#58; Genes|Genomes|Genetics","id":"ITEM-1","issue":"5","issued":{"date-parts":[["2013"]]},"page":"865-880","title":"PRICE: Software for the Targeted Assembly of Components of (Meta) Genomic Sequence Data","type":"article-journal","volume":"3"},"uris":["http://www.mendeley.com/documents/?uuid=9ded2439-30ac-4146-97f1-14f70b1d44f0"]},{"id":"ITEM-2","itemData":{"DOI":"10.1093/bioinformatics/btp352","ISBN":"1367-4803\\r1460-2059","ISSN":"13674803","PMID":"19505943","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-2","issue":"16","issued":{"date-parts":[["2009"]]},"page":"2078-2079","title":"The Sequence Alignment/Map format and SAMtools","type":"article-journal","volume":"25"},"uris":["http://www.mendeley.com/documents/?uuid=1b1f977b-4efb-4b0a-a206-11b71edcfd1c"]},{"id":"ITEM-3","itemData":{"DOI":"10.1093/bioinformatics/btp324","ISBN":"1367-4811 (Electronic)\\r1367-4803 (Linking)","ISSN":"13674803","PMID":"19451168","abstract":"MOTIVATION: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author":[{"dropping-particle":"","family":"Li","given":"Heng","non-dropping-particle":"","parse-names":false,"suffix":""},{"dropping-particle":"","family":"Durbin","given":"Richard","non-dropping-particle":"","parse-names":false,"suffix":""}],"container-title":"Bioinformatics","id":"ITEM-3","issue":"14","issued":{"date-parts":[["2009"]]},"page":"1754-1760","title":"Fast and accurate short read alignment with Burrows-Wheeler transform","type":"article-journal","volume":"25"},"uris":["http://www.mendeley.com/documents/?uuid=0d899928-aa34-46c4-813c-ba0a238ff66f"]},{"id":"ITEM-4","itemData":{"DOI":"10.1186/s12859-014-0356-4","ISBN":"9783319072111","ISSN":"14712105","PMID":"25420514","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elsewhere.","author":[{"dropping-particle":"","family":"Korneliussen","given":"Thorfinn Sand","non-dropping-particle":"","parse-names":false,"suffix":""},{"dropping-particle":"","family":"Albrechtsen","given":"Anders","non-dropping-particle":"","parse-names":false,"suffix":""},{"dropping-particle":"","family":"Nielsen","given":"Rasmus","non-dropping-particle":"","parse-names":false,"suffix":""}],"container-title":"BMC Bioinformatics","id":"ITEM-4","issue":"1","issued":{"date-parts":[["2014"]]},"page":"1-13","title":"ANGSD: Analysis of Next Generation Sequencing Data","type":"article-journal","volume":"15"},"uris":["http://www.mendeley.com/documents/?uuid=46f586f0-ecac-4bdd-8896-3541f7bbbfd8"]},{"id":"ITEM-5","itemData":{"DOI":"10.1038/ng.806","ISSN":"10614036","abstract":"Recent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(~4×) 1000 Genomes Project datasets.","author":[{"dropping-particle":"","family":"Depristo","given":"Mark A.","non-dropping-particle":"","parse-names":false,"suffix":""},{"dropping-particle":"","family":"Banks","given":"Eric","non-dropping-particle":"","parse-names":false,"suffix":""},{"dropping-particle":"","family":"Poplin","given":"Ryan","non-dropping-particle":"","parse-names":false,"suffix":""},{"dropping-particle":"V.","family":"Garimella","given":"Kiran","non-dropping-particle":"","parse-names":false,"suffix":""},{"dropping-particle":"","family":"Maguire","given":"Jared R.","non-dropping-particle":"","parse-names":false,"suffix":""},{"dropping-particle":"","family":"Hartl","given":"Christopher","non-dropping-particle":"","parse-names":false,"suffix":""},{"dropping-particle":"","family":"Philippakis","given":"Anthony A.","non-dropping-particle":"","parse-names":false,"suffix":""},{"dropping-particle":"","family":"Angel","given":"Guillermo","non-dropping-particle":"Del","parse-names":false,"suffix":""},{"dropping-particle":"","family":"Rivas","given":"Manuel A.","non-dropping-particle":"","parse-names":false,"suffix":""},{"dropping-particle":"","family":"Hanna","given":"Matt","non-dropping-particle":"","parse-names":false,"suffix":""},{"dropping-particle":"","family":"McKenna","given":"Aaron","non-dropping-particle":"","parse-names":false,"suffix":""},{"dropping-particle":"","family":"Fennell","given":"Tim J.","non-dropping-particle":"","parse-names":false,"suffix":""},{"dropping-particle":"","family":"Kernytsky","given":"Andrew M.","non-dropping-particle":"","parse-names":false,"suffix":""},{"dropping-particle":"","family":"Sivachenko","given":"Andrey Y.","non-dropping-particle":"","parse-names":false,"suffix":""},{"dropping-particle":"","family":"Cibulskis","given":"Kristian","non-dropping-particle":"","parse-names":false,"suffix":""},{"dropping-particle":"","family":"Gabriel","given":"Stacey B.","non-dropping-particle":"","parse-names":false,"suffix":""},{"dropping-particle":"","family":"Altshuler","given":"David","non-dropping-particle":"","parse-names":false,"suffix":""},{"dropping-particle":"","family":"Daly","given":"Mark J.","non-dropping-particle":"","parse-names":false,"suffix":""}],"container-title":"Nature Genetics","id":"ITEM-5","issue":"5","issued":{"date-parts":[["2011"]]},"page":"491-501","title":"A framework for variation discovery and genotyping using next-generation DNA sequencing data","type":"article-journal","volume":"43"},"uris":["http://www.mendeley.com/documents/?uuid=86682215-865f-4ce1-b1f6-5669a37c5219"]},{"id":"ITEM-6","itemData":{"DOI":"10.1101/gr.107524.110.20","ISSN":"1088-9051","PMID":"20644199","abstract":"Next-generation DNA sequencing (NGS) projects, such as the 1000 Genomes Project, are already revolutionizing our understanding of genetic variation among individuals. However,histicated individuals. Indeed, many professionals are limited in the scope and the ease with which they can answer scientific questions by the complexity of accessing and manipulating the data produced by these machines. Here, we discuss the massive data sets generated by NGS—the 1000 Genome pilot alone includes nearly five terabases—make writing feature-rich, efficient, and robust analysis tools difficult for even computationally sop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 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 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author":[{"dropping-particle":"","family":"McKenna","given":"Aaron","non-dropping-particle":"","parse-names":false,"suffix":""},{"dropping-particle":"","family":"Hanna","given":"Matthew","non-dropping-particle":"","parse-names":false,"suffix":""},{"dropping-particle":"","family":"Banks","given":"Eric","non-dropping-particle":"","parse-names":false,"suffix":""},{"dropping-particle":"","family":"Sivachenko","given":"Andrey","non-dropping-particle":"","parse-names":false,"suffix":""},{"dropping-particle":"","family":"Cibulskis","given":"Kristian","non-dropping-particle":"","parse-names":false,"suffix":""},{"dropping-particle":"","family":"Kernytsky","given":"Andrew","non-dropping-particle":"","parse-names":false,"suffix":""},{"dropping-particle":"","family":"Garimella","given":"Kiran","non-dropping-particle":"","parse-names":false,"suffix":""},{"dropping-particle":"","family":"Altshuler","given":"David","non-dropping-particle":"","parse-names":false,"suffix":""},{"dropping-particle":"","family":"Gabriel","given":"Stacey","non-dropping-particle":"","parse-names":false,"suffix":""},{"dropping-particle":"","family":"Daly","given":"Mark","non-dropping-particle":"","parse-names":false,"suffix":""},{"dropping-particle":"","family":"DePristo","given":"Mark A.","non-dropping-particle":"","parse-names":false,"suffix":""}],"container-title":"Genome Research","id":"ITEM-6","issue":"9","issued":{"date-parts":[["2010"]]},"page":"254-260","title":"The Genome Analysis Toolkit: A MapReduce framework for analyzing next-generation DNA sequencing data","type":"article-journal","volume":"20"},"uris":["http://www.mendeley.com/documents/?uuid=f889a45b-16dc-4e6d-bbd9-9c5642dcf0ea"]},{"id":"ITEM-7","itemData":{"DOI":"10.1186/s12864-016-2463-2","ISSN":"14712164","abstract":"BACKGROUND:Minor allele detection in very high coverage sequence data (&gt;1000X) has many applications such as detecting mtDNA heteroplasmy, somatic mutations in cancer or tumors, SNP calling in pool sequencing, etc., where reads with low frequency are not necessarily sequence error but may instead convey biological information. However, the suitability of common base quality recalibration tools for such applications has not been investigated in detail.RESULTS:We show that the widely used tool GATK BaseRecalibration has several limitations in minor allele detection. First, GATK IndelRealignment fails to work if the sequence coverage is above a certain level since it then becomes computationally infeasible. Second, the accuracy of the base quality largely depends on the database of known SNPs as the control, which limits the ability of de novo minor allele detection. Third, GATK reduces the base quality of sequence errors at the cost of reducing scores for true minor alleles. To overcome these limitations, we present a novel approach called SEGREG, which applies segmented regression to control sequences (e.g. phiX174 DNA) spiked into a sequencing run. Based on simulations SEGREG improves both the accuracy of base quality scores and the detection of minor alleles. We further investigate sequence error and recalibration parameters by applying a Logarithm Likelihood Ratio (LLR) approach to SEGREG recalibrated base quality scores for phiX174 DNA sequenced to very high coverage, and for mtDNA genome sequences previously analyzed for heteroplasmic variants.CONCLUSIONS:Our results suggest that SEGREG improves base recalibration without suffering the limitations discussed above, and the LLR approach benefits from SEGREG in identifying more true minor alleles, while avoiding false positives from sequencing error.","author":[{"dropping-particle":"","family":"Ni","given":"Shengyu","non-dropping-particle":"","parse-names":false,"suffix":""},{"dropping-particle":"","family":"Stoneking","given":"Mark","non-dropping-particle":"","parse-names":false,"suffix":""}],"container-title":"BMC Genomics","id":"ITEM-7","issue":"1","issued":{"date-parts":[["2016"]]},"page":"1-12","publisher":"BMC Genomics","title":"Improvement in detection of minor alleles in next generation sequencing by base quality recalibration","type":"article-journal","volume":"17"},"uris":["http://www.mendeley.com/documents/?uuid=834f9f3c-475d-469a-a98a-eeb9549e2276"]},{"id":"ITEM-8","itemData":{"DOI":"10.1111/j.1471-8286.2007.01758.x","ISBN":"0016-6731","ISSN":"00166731","PMID":"10835412","abstract":"We describe a model-based clustering method for using multilocus genotype data to infer population structure and assign individuals to populations. We assume a model in which there are K populations (where K may be unknown), each of which is characterized by a set of allele frequencies at each locus. Individuals in the sample are assigned (probabilistically) to populations, or jointly to two or more populations if their genotypes indicate that they are admixed. Our model does not assume a particular mutation process, and it can be applied to most of the commonly used genetic markers, provided that they are not closely linked. Applications of our method include demonstrating the presence of population structure, assigning individuals to populations, studying hybrid zones, and identifying migrants and admixed individuals. We show that the method can produce highly accurate assignments using modest numbers of loci-e.g. , seven microsatellite loci in an example using genotype data from an endangered bird species. The software used for this article is available from http://www.stats.ox.ac.uk/ approximately pritch/home. html.","author":[{"dropping-particle":"","family":"Pritchard","given":"Jonathan K.","non-dropping-particle":"","parse-names":false,"suffix":""},{"dropping-particle":"","family":"Stephens","given":"Matthew","non-dropping-particle":"","parse-names":false,"suffix":""},{"dropping-particle":"","family":"Donnelly","given":"Peter","non-dropping-particle":"","parse-names":false,"suffix":""}],"container-title":"Genetics","id":"ITEM-8","issue":"2","issued":{"date-parts":[["2000"]]},"page":"945-959","title":"Inference of population structure using multilocus genotype data","type":"article-journal","volume":"155"},"uris":["http://www.mendeley.com/documents/?uuid=e072dfbe-67b8-4090-a4be-5451ef26482e"]}],"mendeley":{"formattedCitation":"&lt;sup&gt;45–52&lt;/sup&gt;","plainTextFormattedCitation":"45–52","previouslyFormattedCitation":"&lt;sup&gt;45–52&lt;/sup&gt;"},"properties":{"noteIndex":0},"schema":"https://github.com/citation-style-language/schema/raw/master/csl-citation.json"}</w:instrText>
      </w:r>
      <w:r>
        <w:rPr>
          <w:rFonts w:ascii="Times New Roman" w:eastAsia="Times New Roman" w:hAnsi="Times New Roman" w:cs="Times New Roman"/>
        </w:rPr>
        <w:fldChar w:fldCharType="separate"/>
      </w:r>
      <w:r w:rsidRPr="00B5603F">
        <w:rPr>
          <w:rFonts w:ascii="Times New Roman" w:eastAsia="Times New Roman" w:hAnsi="Times New Roman" w:cs="Times New Roman"/>
          <w:noProof/>
          <w:vertAlign w:val="superscript"/>
        </w:rPr>
        <w:t>45–52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17594F">
        <w:rPr>
          <w:rFonts w:ascii="Times New Roman" w:eastAsia="Times New Roman" w:hAnsi="Times New Roman" w:cs="Times New Roman"/>
        </w:rPr>
        <w:t>and</w:t>
      </w:r>
      <w:r w:rsidR="007312B3" w:rsidRPr="00E35CCB">
        <w:rPr>
          <w:rFonts w:ascii="Times New Roman" w:eastAsia="Times New Roman" w:hAnsi="Times New Roman" w:cs="Times New Roman"/>
        </w:rPr>
        <w:t xml:space="preserve"> carry out a case-control genome</w:t>
      </w:r>
      <w:r w:rsidR="0017594F">
        <w:rPr>
          <w:rFonts w:ascii="Times New Roman" w:eastAsia="Times New Roman" w:hAnsi="Times New Roman" w:cs="Times New Roman"/>
        </w:rPr>
        <w:t>-</w:t>
      </w:r>
      <w:r w:rsidR="007312B3" w:rsidRPr="00E35CCB">
        <w:rPr>
          <w:rFonts w:ascii="Times New Roman" w:eastAsia="Times New Roman" w:hAnsi="Times New Roman" w:cs="Times New Roman"/>
        </w:rPr>
        <w:t>wide association study using PLINK</w:t>
      </w:r>
      <w:r w:rsidR="00FE4B42" w:rsidRPr="00E35CCB">
        <w:rPr>
          <w:rFonts w:ascii="Times New Roman" w:eastAsia="Times New Roman" w:hAnsi="Times New Roman" w:cs="Times New Roman"/>
        </w:rPr>
        <w:t>.</w:t>
      </w:r>
      <w:r w:rsidR="00FE4B42" w:rsidRPr="00E35CCB">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10.1086/519795","author":[{"dropping-particle":"","family":"Purcell","given":"Shaun","non-dropping-particle":"","parse-names":false,"suffix":""},{"dropping-particle":"","family":"Neale","given":"Benjamin","non-dropping-particle":"","parse-names":false,"suffix":""},{"dropping-particle":"","family":"Todd-brown","given":"Kathe","non-dropping-particle":"","parse-names":false,"suffix":""},{"dropping-particle":"","family":"Thomas","given":"Lori","non-dropping-particle":"","parse-names":false,"suffix":""},{"dropping-particle":"","family":"Ferreira","given":"Manuel A R","non-dropping-particle":"","parse-names":false,"suffix":""},{"dropping-particle":"","family":"Bender","given":"David","non-dropping-particle":"","parse-names":false,"suffix":""},{"dropping-particle":"","family":"Maller","given":"Julian","non-dropping-particle":"","parse-names":false,"suffix":""},{"dropping-particle":"","family":"Sklar","given":"Pamela","non-dropping-particle":"","parse-names":false,"suffix":""},{"dropping-particle":"De","family":"Bakker","given":"Paul I W","non-dropping-particle":"","parse-names":false,"suffix":""},{"dropping-particle":"","family":"Daly","given":"Mark J","non-dropping-particle":"","parse-names":false,"suffix":""},{"dropping-particle":"","family":"Sham","given":"Pak C","non-dropping-particle":"","parse-names":false,"suffix":""}],"container-title":"The American Journal of Human Genetics","id":"ITEM-1","issue":"September","issued":{"date-parts":[["2007"]]},"page":"559-575","title":"PLINK : A Tool Set for Whole-Genome Association and Population-Based Linkage Analyses","type":"article-journal","volume":"81"},"uris":["http://www.mendeley.com/documents/?uuid=26bdc049-7955-405e-9943-db19e7e40bed"]}],"mendeley":{"formattedCitation":"&lt;sup&gt;80&lt;/sup&gt;","plainTextFormattedCitation":"80","previouslyFormattedCitation":"&lt;sup&gt;80&lt;/sup&gt;"},"properties":{"noteIndex":0},"schema":"https://github.com/citation-style-language/schema/raw/master/csl-citation.json"}</w:instrText>
      </w:r>
      <w:r w:rsidR="00FE4B42" w:rsidRPr="00E35CCB">
        <w:rPr>
          <w:rFonts w:ascii="Times New Roman" w:eastAsia="Times New Roman" w:hAnsi="Times New Roman" w:cs="Times New Roman"/>
        </w:rPr>
        <w:fldChar w:fldCharType="separate"/>
      </w:r>
      <w:r w:rsidRPr="00B5603F">
        <w:rPr>
          <w:rFonts w:ascii="Times New Roman" w:eastAsia="Times New Roman" w:hAnsi="Times New Roman" w:cs="Times New Roman"/>
          <w:noProof/>
          <w:vertAlign w:val="superscript"/>
        </w:rPr>
        <w:t>80</w:t>
      </w:r>
      <w:r w:rsidR="00FE4B42" w:rsidRPr="00E35CCB">
        <w:rPr>
          <w:rFonts w:ascii="Times New Roman" w:eastAsia="Times New Roman" w:hAnsi="Times New Roman" w:cs="Times New Roman"/>
        </w:rPr>
        <w:fldChar w:fldCharType="end"/>
      </w:r>
      <w:r w:rsidR="007312B3" w:rsidRPr="00E35CCB">
        <w:rPr>
          <w:rFonts w:ascii="Times New Roman" w:eastAsia="Times New Roman" w:hAnsi="Times New Roman" w:cs="Times New Roman"/>
        </w:rPr>
        <w:t xml:space="preserve"> </w:t>
      </w:r>
      <w:r w:rsidR="004A4663">
        <w:rPr>
          <w:rFonts w:ascii="Times New Roman" w:eastAsia="Times New Roman" w:hAnsi="Times New Roman" w:cs="Times New Roman"/>
        </w:rPr>
        <w:t xml:space="preserve">I will correct for multiple testing </w:t>
      </w:r>
      <w:r w:rsidR="0017594F">
        <w:rPr>
          <w:rFonts w:ascii="Times New Roman" w:eastAsia="Times New Roman" w:hAnsi="Times New Roman" w:cs="Times New Roman"/>
        </w:rPr>
        <w:t xml:space="preserve">by determining significance using a </w:t>
      </w:r>
      <w:proofErr w:type="spellStart"/>
      <w:r w:rsidR="0017594F">
        <w:rPr>
          <w:rFonts w:ascii="Times New Roman" w:eastAsia="Times New Roman" w:hAnsi="Times New Roman" w:cs="Times New Roman"/>
        </w:rPr>
        <w:t>Benjamini</w:t>
      </w:r>
      <w:proofErr w:type="spellEnd"/>
      <w:r w:rsidR="0017594F">
        <w:rPr>
          <w:rFonts w:ascii="Times New Roman" w:eastAsia="Times New Roman" w:hAnsi="Times New Roman" w:cs="Times New Roman"/>
        </w:rPr>
        <w:t>-Hochberg false discovery rate</w:t>
      </w:r>
      <w:r w:rsidR="0017594F">
        <w:rPr>
          <w:rFonts w:ascii="Times New Roman" w:eastAsia="Times New Roman" w:hAnsi="Times New Roman" w:cs="Times New Roman"/>
        </w:rPr>
        <w:fldChar w:fldCharType="begin" w:fldLock="1"/>
      </w:r>
      <w:r w:rsidR="0017594F">
        <w:rPr>
          <w:rFonts w:ascii="Times New Roman" w:eastAsia="Times New Roman" w:hAnsi="Times New Roman" w:cs="Times New Roman"/>
        </w:rPr>
        <w:instrText>ADDIN CSL_CITATION {"citationItems":[{"id":"ITEM-1","itemData":{"DOI":"10.1111/j.2517-6161.1995.tb02031.x","abstract":"JSTOR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 -the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(Methodological)","id":"ITEM-1","issue":"1","issued":{"date-parts":[["2018"]]},"page":"289-300","title":"Controlling the False Discovery Rate: A Practical and Powerful Approach to Multiple Testing","type":"article-journal","volume":"57"},"uris":["http://www.mendeley.com/documents/?uuid=b63de51a-b19f-4c3a-8786-e3068c88bd0b"]}],"mendeley":{"formattedCitation":"&lt;sup&gt;81&lt;/sup&gt;","plainTextFormattedCitation":"81","previouslyFormattedCitation":"&lt;sup&gt;81&lt;/sup&gt;"},"properties":{"noteIndex":0},"schema":"https://github.com/citation-style-language/schema/raw/master/csl-citation.json"}</w:instrText>
      </w:r>
      <w:r w:rsidR="0017594F">
        <w:rPr>
          <w:rFonts w:ascii="Times New Roman" w:eastAsia="Times New Roman" w:hAnsi="Times New Roman" w:cs="Times New Roman"/>
        </w:rPr>
        <w:fldChar w:fldCharType="separate"/>
      </w:r>
      <w:r w:rsidR="0017594F" w:rsidRPr="0017594F">
        <w:rPr>
          <w:rFonts w:ascii="Times New Roman" w:eastAsia="Times New Roman" w:hAnsi="Times New Roman" w:cs="Times New Roman"/>
          <w:noProof/>
          <w:vertAlign w:val="superscript"/>
        </w:rPr>
        <w:t>81</w:t>
      </w:r>
      <w:r w:rsidR="0017594F">
        <w:rPr>
          <w:rFonts w:ascii="Times New Roman" w:eastAsia="Times New Roman" w:hAnsi="Times New Roman" w:cs="Times New Roman"/>
        </w:rPr>
        <w:fldChar w:fldCharType="end"/>
      </w:r>
      <w:r w:rsidR="0017594F">
        <w:rPr>
          <w:rFonts w:ascii="Times New Roman" w:eastAsia="Times New Roman" w:hAnsi="Times New Roman" w:cs="Times New Roman"/>
        </w:rPr>
        <w:t xml:space="preserve"> and permutation testing through PLINK.</w:t>
      </w:r>
      <w:r w:rsidR="0017594F">
        <w:rPr>
          <w:rFonts w:ascii="Times New Roman" w:eastAsia="Times New Roman" w:hAnsi="Times New Roman" w:cs="Times New Roman"/>
        </w:rPr>
        <w:fldChar w:fldCharType="begin" w:fldLock="1"/>
      </w:r>
      <w:r w:rsidR="0017594F">
        <w:rPr>
          <w:rFonts w:ascii="Times New Roman" w:eastAsia="Times New Roman" w:hAnsi="Times New Roman" w:cs="Times New Roman"/>
        </w:rPr>
        <w:instrText>ADDIN CSL_CITATION {"citationItems":[{"id":"ITEM-1","itemData":{"DOI":"10.1086/519795","author":[{"dropping-particle":"","family":"Purcell","given":"Shaun","non-dropping-particle":"","parse-names":false,"suffix":""},{"dropping-particle":"","family":"Neale","given":"Benjamin","non-dropping-particle":"","parse-names":false,"suffix":""},{"dropping-particle":"","family":"Todd-brown","given":"Kathe","non-dropping-particle":"","parse-names":false,"suffix":""},{"dropping-particle":"","family":"Thomas","given":"Lori","non-dropping-particle":"","parse-names":false,"suffix":""},{"dropping-particle":"","family":"Ferreira","given":"Manuel A R","non-dropping-particle":"","parse-names":false,"suffix":""},{"dropping-particle":"","family":"Bender","given":"David","non-dropping-particle":"","parse-names":false,"suffix":""},{"dropping-particle":"","family":"Maller","given":"Julian","non-dropping-particle":"","parse-names":false,"suffix":""},{"dropping-particle":"","family":"Sklar","given":"Pamela","non-dropping-particle":"","parse-names":false,"suffix":""},{"dropping-particle":"De","family":"Bakker","given":"Paul I W","non-dropping-particle":"","parse-names":false,"suffix":""},{"dropping-particle":"","family":"Daly","given":"Mark J","non-dropping-particle":"","parse-names":false,"suffix":""},{"dropping-particle":"","family":"Sham","given":"Pak C","non-dropping-particle":"","parse-names":false,"suffix":""}],"container-title":"The American Journal of Human Genetics","id":"ITEM-1","issue":"September","issued":{"date-parts":[["2007"]]},"page":"559-575","title":"PLINK : A Tool Set for Whole-Genome Association and Population-Based Linkage Analyses","type":"article-journal","volume":"81"},"uris":["http://www.mendeley.com/documents/?uuid=26bdc049-7955-405e-9943-db19e7e40bed"]}],"mendeley":{"formattedCitation":"&lt;sup&gt;80&lt;/sup&gt;","plainTextFormattedCitation":"80"},"properties":{"noteIndex":0},"schema":"https://github.com/citation-style-language/schema/raw/master/csl-citation.json"}</w:instrText>
      </w:r>
      <w:r w:rsidR="0017594F">
        <w:rPr>
          <w:rFonts w:ascii="Times New Roman" w:eastAsia="Times New Roman" w:hAnsi="Times New Roman" w:cs="Times New Roman"/>
        </w:rPr>
        <w:fldChar w:fldCharType="separate"/>
      </w:r>
      <w:r w:rsidR="0017594F" w:rsidRPr="0017594F">
        <w:rPr>
          <w:rFonts w:ascii="Times New Roman" w:eastAsia="Times New Roman" w:hAnsi="Times New Roman" w:cs="Times New Roman"/>
          <w:noProof/>
          <w:vertAlign w:val="superscript"/>
        </w:rPr>
        <w:t>80</w:t>
      </w:r>
      <w:r w:rsidR="0017594F">
        <w:rPr>
          <w:rFonts w:ascii="Times New Roman" w:eastAsia="Times New Roman" w:hAnsi="Times New Roman" w:cs="Times New Roman"/>
        </w:rPr>
        <w:fldChar w:fldCharType="end"/>
      </w:r>
    </w:p>
    <w:p w14:paraId="5AD9E3C5" w14:textId="454A690E" w:rsidR="00DA301E" w:rsidRPr="00E35CCB" w:rsidRDefault="00DA301E" w:rsidP="00B4213F">
      <w:pPr>
        <w:ind w:left="-270" w:right="-270"/>
        <w:jc w:val="both"/>
        <w:rPr>
          <w:rFonts w:ascii="Times New Roman" w:eastAsia="Times New Roman" w:hAnsi="Times New Roman" w:cs="Times New Roman"/>
        </w:rPr>
      </w:pPr>
    </w:p>
    <w:p w14:paraId="7403F366" w14:textId="2E323E74" w:rsidR="00DA301E" w:rsidRPr="00E35CCB" w:rsidRDefault="007312B3" w:rsidP="00B4213F">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 xml:space="preserve">Sequences containing sex associated SNPs will be submitted to </w:t>
      </w:r>
      <w:proofErr w:type="spellStart"/>
      <w:r w:rsidRPr="00E35CCB">
        <w:rPr>
          <w:rFonts w:ascii="Times New Roman" w:eastAsia="Times New Roman" w:hAnsi="Times New Roman" w:cs="Times New Roman"/>
        </w:rPr>
        <w:t>Fluidigm</w:t>
      </w:r>
      <w:proofErr w:type="spellEnd"/>
      <w:r w:rsidRPr="00E35CCB">
        <w:rPr>
          <w:rFonts w:ascii="Times New Roman" w:eastAsia="Times New Roman" w:hAnsi="Times New Roman" w:cs="Times New Roman"/>
        </w:rPr>
        <w:t xml:space="preserve"> for SNP Type assay design as described in Benjamin et al. </w:t>
      </w:r>
      <w:r w:rsidR="00FE4B42" w:rsidRPr="00E35CCB">
        <w:rPr>
          <w:rFonts w:ascii="Times New Roman" w:eastAsia="Times New Roman" w:hAnsi="Times New Roman" w:cs="Times New Roman"/>
        </w:rPr>
        <w:t>(2018).</w:t>
      </w:r>
      <w:r w:rsidR="00FE4B42" w:rsidRPr="00E35CCB">
        <w:rPr>
          <w:rFonts w:ascii="Times New Roman" w:eastAsia="Times New Roman" w:hAnsi="Times New Roman" w:cs="Times New Roman"/>
        </w:rPr>
        <w:fldChar w:fldCharType="begin" w:fldLock="1"/>
      </w:r>
      <w:r w:rsidR="0017594F">
        <w:rPr>
          <w:rFonts w:ascii="Times New Roman" w:eastAsia="Times New Roman" w:hAnsi="Times New Roman" w:cs="Times New Roman"/>
        </w:rPr>
        <w:instrText>ADDIN CSL_CITATION {"citationItems":[{"id":"ITEM-1","itemData":{"DOI":"10.1007/s10592-018-1048-9","ISBN":"0123456789","ISSN":"1566-0621","author":[{"dropping-particle":"","family":"Benjamin","given":"Alyssa","non-dropping-particle":"","parse-names":false,"suffix":""},{"dropping-particle":"","family":"Sağlam","given":"İsmail K","non-dropping-particle":"","parse-names":false,"suffix":""},{"dropping-particle":"","family":"Mahardja","given":"Brian","non-dropping-particle":"","parse-names":false,"suffix":""},{"dropping-particle":"","family":"Hobbs","given":"James","non-dropping-particle":"","parse-names":false,"suffix":""},{"dropping-particle":"","family":"Chieh","given":"Tien","non-dropping-particle":"","parse-names":false,"suffix":""},{"dropping-particle":"","family":"Amanda","given":"Hung","non-dropping-particle":"","parse-names":false,"suffix":""}],"container-title":"Conservation Genetics","id":"ITEM-1","issue":"0123456789","issued":{"date-parts":[["2018"]]},"page":"0","title":"Use of single nucleotide polymorphisms identifies backcrossing and species misidentifications among three San Francisco estuary osmerids Collection Sites for Unknown Fish Yolo Bypass sites Lower Sacramento River site","type":"article-journal","volume":"0"},"uris":["http://www.mendeley.com/documents/?uuid=4ee2f14e-5471-4fbe-ba95-dad112148af4"]}],"mendeley":{"formattedCitation":"&lt;sup&gt;82&lt;/sup&gt;","plainTextFormattedCitation":"82","previouslyFormattedCitation":"&lt;sup&gt;82&lt;/sup&gt;"},"properties":{"noteIndex":0},"schema":"https://github.com/citation-style-language/schema/raw/master/csl-citation.json"}</w:instrText>
      </w:r>
      <w:r w:rsidR="00FE4B42" w:rsidRPr="00E35CCB">
        <w:rPr>
          <w:rFonts w:ascii="Times New Roman" w:eastAsia="Times New Roman" w:hAnsi="Times New Roman" w:cs="Times New Roman"/>
        </w:rPr>
        <w:fldChar w:fldCharType="separate"/>
      </w:r>
      <w:r w:rsidR="0017594F" w:rsidRPr="0017594F">
        <w:rPr>
          <w:rFonts w:ascii="Times New Roman" w:eastAsia="Times New Roman" w:hAnsi="Times New Roman" w:cs="Times New Roman"/>
          <w:noProof/>
          <w:vertAlign w:val="superscript"/>
        </w:rPr>
        <w:t>82</w:t>
      </w:r>
      <w:r w:rsidR="00FE4B42" w:rsidRPr="00E35CCB">
        <w:rPr>
          <w:rFonts w:ascii="Times New Roman" w:eastAsia="Times New Roman" w:hAnsi="Times New Roman" w:cs="Times New Roman"/>
        </w:rPr>
        <w:fldChar w:fldCharType="end"/>
      </w:r>
      <w:r w:rsidR="00FE4B42" w:rsidRPr="00E35CCB">
        <w:rPr>
          <w:rFonts w:ascii="Times New Roman" w:eastAsia="Times New Roman" w:hAnsi="Times New Roman" w:cs="Times New Roman"/>
        </w:rPr>
        <w:t xml:space="preserve"> </w:t>
      </w:r>
      <w:r w:rsidRPr="00E35CCB">
        <w:rPr>
          <w:rFonts w:ascii="Times New Roman" w:eastAsia="Times New Roman" w:hAnsi="Times New Roman" w:cs="Times New Roman"/>
        </w:rPr>
        <w:t>SNPs will be validated using</w:t>
      </w:r>
      <w:r w:rsidR="00B7595D" w:rsidRPr="00E35CCB">
        <w:rPr>
          <w:rFonts w:ascii="Times New Roman" w:eastAsia="Times New Roman" w:hAnsi="Times New Roman" w:cs="Times New Roman"/>
        </w:rPr>
        <w:t xml:space="preserve"> an additional</w:t>
      </w:r>
      <w:r w:rsidR="008948DC" w:rsidRPr="00E35CCB">
        <w:rPr>
          <w:rFonts w:ascii="Times New Roman" w:eastAsia="Times New Roman" w:hAnsi="Times New Roman" w:cs="Times New Roman"/>
        </w:rPr>
        <w:t xml:space="preserve"> 24 female</w:t>
      </w:r>
      <w:r w:rsidR="00B7595D" w:rsidRPr="00E35CCB">
        <w:rPr>
          <w:rFonts w:ascii="Times New Roman" w:eastAsia="Times New Roman" w:hAnsi="Times New Roman" w:cs="Times New Roman"/>
        </w:rPr>
        <w:t>s</w:t>
      </w:r>
      <w:r w:rsidR="008948DC" w:rsidRPr="00E35CCB">
        <w:rPr>
          <w:rFonts w:ascii="Times New Roman" w:eastAsia="Times New Roman" w:hAnsi="Times New Roman" w:cs="Times New Roman"/>
        </w:rPr>
        <w:t xml:space="preserve"> and 24 males</w:t>
      </w:r>
      <w:r w:rsidR="00B7595D" w:rsidRPr="00E35CCB">
        <w:rPr>
          <w:rFonts w:ascii="Times New Roman" w:eastAsia="Times New Roman" w:hAnsi="Times New Roman" w:cs="Times New Roman"/>
        </w:rPr>
        <w:t xml:space="preserve"> sexed through either dissection or gametic expression,</w:t>
      </w:r>
      <w:r w:rsidR="008948DC" w:rsidRPr="00E35CCB">
        <w:rPr>
          <w:rFonts w:ascii="Times New Roman" w:eastAsia="Times New Roman" w:hAnsi="Times New Roman" w:cs="Times New Roman"/>
        </w:rPr>
        <w:t xml:space="preserve"> </w:t>
      </w:r>
      <w:r w:rsidR="00B7595D" w:rsidRPr="00E35CCB">
        <w:rPr>
          <w:rFonts w:ascii="Times New Roman" w:eastAsia="Times New Roman" w:hAnsi="Times New Roman" w:cs="Times New Roman"/>
        </w:rPr>
        <w:t xml:space="preserve">which were </w:t>
      </w:r>
      <w:r w:rsidRPr="00E35CCB">
        <w:rPr>
          <w:rFonts w:ascii="Times New Roman" w:eastAsia="Times New Roman" w:hAnsi="Times New Roman" w:cs="Times New Roman"/>
        </w:rPr>
        <w:t>not included in the initial dataset.</w:t>
      </w:r>
    </w:p>
    <w:p w14:paraId="569D9367" w14:textId="77777777" w:rsidR="00DA301E" w:rsidRPr="00E35CCB" w:rsidRDefault="00DA301E" w:rsidP="00B4213F">
      <w:pPr>
        <w:ind w:left="-270" w:right="-270"/>
        <w:jc w:val="both"/>
        <w:rPr>
          <w:rFonts w:ascii="Times New Roman" w:eastAsia="Times New Roman" w:hAnsi="Times New Roman" w:cs="Times New Roman"/>
        </w:rPr>
      </w:pPr>
    </w:p>
    <w:p w14:paraId="762CC04A" w14:textId="77777777" w:rsidR="00DA301E" w:rsidRPr="00E35CCB" w:rsidRDefault="007312B3" w:rsidP="00B4213F">
      <w:pPr>
        <w:ind w:left="-270" w:right="-270"/>
        <w:jc w:val="both"/>
        <w:rPr>
          <w:rFonts w:ascii="Times New Roman" w:eastAsia="Times New Roman" w:hAnsi="Times New Roman" w:cs="Times New Roman"/>
          <w:b/>
          <w:i/>
        </w:rPr>
      </w:pPr>
      <w:r w:rsidRPr="00E35CCB">
        <w:rPr>
          <w:rFonts w:ascii="Times New Roman" w:eastAsia="Times New Roman" w:hAnsi="Times New Roman" w:cs="Times New Roman"/>
          <w:b/>
          <w:i/>
        </w:rPr>
        <w:t>Expected Results</w:t>
      </w:r>
    </w:p>
    <w:p w14:paraId="2DD9C9F9" w14:textId="3DD3B10D" w:rsidR="00DA301E" w:rsidRPr="00E35CCB" w:rsidRDefault="007312B3" w:rsidP="00672109">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If sex determination is determined by sex-specific chromosomes or a small number of genes I expect to find SNPs that differentiate female from male fish from RAD</w:t>
      </w:r>
      <w:r w:rsidR="00672109">
        <w:rPr>
          <w:rFonts w:ascii="Times New Roman" w:eastAsia="Times New Roman" w:hAnsi="Times New Roman" w:cs="Times New Roman"/>
        </w:rPr>
        <w:t>-</w:t>
      </w:r>
      <w:proofErr w:type="spellStart"/>
      <w:r w:rsidRPr="00E35CCB">
        <w:rPr>
          <w:rFonts w:ascii="Times New Roman" w:eastAsia="Times New Roman" w:hAnsi="Times New Roman" w:cs="Times New Roman"/>
        </w:rPr>
        <w:t>se</w:t>
      </w:r>
      <w:r w:rsidR="00672109">
        <w:rPr>
          <w:rFonts w:ascii="Times New Roman" w:eastAsia="Times New Roman" w:hAnsi="Times New Roman" w:cs="Times New Roman"/>
        </w:rPr>
        <w:t>q</w:t>
      </w:r>
      <w:proofErr w:type="spellEnd"/>
      <w:r w:rsidR="00672109">
        <w:rPr>
          <w:rFonts w:ascii="Times New Roman" w:eastAsia="Times New Roman" w:hAnsi="Times New Roman" w:cs="Times New Roman"/>
        </w:rPr>
        <w:t xml:space="preserve"> data</w:t>
      </w:r>
      <w:r w:rsidR="00FE4B42" w:rsidRPr="00E35CCB">
        <w:rPr>
          <w:rFonts w:ascii="Times New Roman" w:eastAsia="Times New Roman" w:hAnsi="Times New Roman" w:cs="Times New Roman"/>
        </w:rPr>
        <w:t>.</w:t>
      </w:r>
      <w:r w:rsidR="00FE4B42" w:rsidRPr="00E35CCB">
        <w:rPr>
          <w:rFonts w:ascii="Times New Roman" w:eastAsia="Times New Roman" w:hAnsi="Times New Roman" w:cs="Times New Roman"/>
        </w:rPr>
        <w:fldChar w:fldCharType="begin" w:fldLock="1"/>
      </w:r>
      <w:r w:rsidR="00B5603F">
        <w:rPr>
          <w:rFonts w:ascii="Times New Roman" w:eastAsia="Times New Roman" w:hAnsi="Times New Roman" w:cs="Times New Roman"/>
        </w:rPr>
        <w:instrText>ADDIN CSL_CITATION {"citationItems":[{"id":"ITEM-1","itemData":{"DOI":"10.1093/dnares/dsx054","ISSN":"17561663","abstract":"Sex-specific markers are powerful tools for identifying sex-determination system in various ani-mals. Bighead carp (Hypophthalmichehys nobilis) and silver carp (Hypophthalmichthys molitrix) are two of the most important edible fish in Asia, which have a long juvenility period that can lasts for 4–5 years. In this study, we found one sex-specific marker by next-generation sequencing together with bioinformatics analysis in bighead carp. The male-specific markers were used to per-form molecular sexing in the progenies of artificial gynogenetic diploids and found all progenies (n ¼ 160) were females. Meanwhile, around 1 : 1 sex ratio was observed in a total of 579 juvenile offspring from three other families. To further extend the male-specific region, we performed genome walking and got a male-specific sequence of 8,661 bp. Five pairs of primers were designed and could be used to efficiently distinguish males from females in bighead carp and sil-ver carp. The development of these male-specific markers and results of their molecular sexing in different populations provide strong evidence for a sex determination system of female homoga-metry or male heterogametry (XX/XY) in bighead carp and silver carp. To the best of our knowl-edge, this is the first report of effective sex-specific markers in these two large carp species.","author":[{"dropping-particle":"","family":"Liu","given":"Haiyang","non-dropping-particle":"","parse-names":false,"suffix":""},{"dropping-particle":"","family":"Pang","given":"Meixia","non-dropping-particle":"","parse-names":false,"suffix":""},{"dropping-particle":"","family":"Yu","given":"Xiaomu","non-dropping-particle":"","parse-names":false,"suffix":""},{"dropping-particle":"","family":"Zhou","given":"Ying","non-dropping-particle":"","parse-names":false,"suffix":""},{"dropping-particle":"","family":"Tong","given":"Jingou","non-dropping-particle":"","parse-names":false,"suffix":""},{"dropping-particle":"","family":"Fu","given":"Beide","non-dropping-particle":"","parse-names":false,"suffix":""}],"container-title":"DNA Research","id":"ITEM-1","issue":"3","issued":{"date-parts":[["2018"]]},"page":"257-264","title":"Sex-specific markers developed by next-generation sequencing confirmed an XX/XY sex determination system in bighead carp (Hypophthalmichthys nobilis) and silver carp (Hypophthalmichthys molitrix)","type":"article-journal","volume":"25"},"uris":["http://www.mendeley.com/documents/?uuid=58c62c88-2bef-486b-abe7-e6d221767e5a"]},{"id":"ITEM-2","itemData":{"DOI":"10.1371/journal.pone.0077832","ISSN":"19326203","abstract":"The salmon louse (Lepeophtheirus salmonis (Krøyer, 1837)) is a parasitic copepod that can, if untreated, cause considerable damage to Atlantic salmon (Salmo salar Linnaeus, 1758) and incurs significant costs to the Atlantic salmon mariculture industry. Salmon lice are gonochoristic and normally show sex ratios close to 1:1. While this observation suggests that sex determination in salmon lice is genetic, with only minor environmental influences, the mechanism of sex determination in the salmon louse is unknown. This paper describes the identification of a sex-linked Single Nucleotide Polymorphism (SNP) marker, providing the first evidence for a genetic mechanism of sex determination in the salmon louse. Restriction site-associated DNA sequencing (RAD-seq) was used to isolate SNP markers in a laboratory-maintained salmon louse strain. A total of 85 million raw Illumina 100 base paired-end reads produced 281,838 unique RAD-tags across 24 unrelated individuals. RAD marker Lsa101901 showed complete association with phenotypic sex for all individuals analysed, being heterozygous in females and homozygous in males. Using an allele-specific PCR assay for genotyping, this SNP association pattern was further confirmed for three unrelated salmon louse strains, displaying complete association with phenotypic sex in a total of 96 genotyped individuals. The marker Lsa101901 was located in the coding region of the prohibitin-2 gene, which showed a sex-dependent differential expression, with mRNA levels determined by RT-qPCR about 1.8-fold higher in adult female than adult male salmon lice. This study's observations of a novel sex-linked SNP marker are consistent with sex determination in the salmon louse being genetic and following a female heterozygous system. Marker Lsa101901 provides a tool to determine the genetic sex of salmon lice, and could be useful in the development of control strategies.","author":[{"dropping-particle":"","family":"Carmichael","given":"Stephen N.","non-dropping-particle":"","parse-names":false,"suffix":""},{"dropping-particle":"","family":"Bekaert","given":"Michaël","non-dropping-particle":"","parse-names":false,"suffix":""},{"dropping-particle":"","family":"Taggart","given":"John B.","non-dropping-particle":"","parse-names":false,"suffix":""},{"dropping-particle":"","family":"Christie","given":"Hayden R L","non-dropping-particle":"","parse-names":false,"suffix":""},{"dropping-particle":"","family":"Bassett","given":"David I.","non-dropping-particle":"","parse-names":false,"suffix":""},{"dropping-particle":"","family":"Bron","given":"James E.","non-dropping-particle":"","parse-names":false,"suffix":""},{"dropping-particle":"","family":"Skuce","given":"Philip J.","non-dropping-particle":"","parse-names":false,"suffix":""},{"dropping-particle":"","family":"Gharbi","given":"Karim","non-dropping-particle":"","parse-names":false,"suffix":""},{"dropping-particle":"","family":"Skern-Mauritzen","given":"Rasmus","non-dropping-particle":"","parse-names":false,"suffix":""},{"dropping-particle":"","family":"Sturm","given":"Armin","non-dropping-particle":"","parse-names":false,"suffix":""}],"container-title":"PLoS ONE","id":"ITEM-2","issue":"10","issued":{"date-parts":[["2013"]]},"page":"1-8","title":"Identification of a Sex-Linked SNP Marker in the Salmon Louse (Lepeophtheirus salmonis) Using RAD Sequencing","type":"article-journal","volume":"8"},"uris":["http://www.mendeley.com/documents/?uuid=a3ed903c-18f7-4488-ac23-a199287d1808"]},{"id":"ITEM-3","itemData":{"DOI":"10.1186/s12864-015-1326-6","ISSN":"14712164","abstract":"BACKGROUND: Pistachio (Pistacia vera L.) is a dioecious species that has a long juvenility period. Therefore, development of marker-assisted selection (MAS) techniques would greatly facilitate pistachio cultivar-breeding programs. The sex determination mechanism is presently unknown in pistachio. The generation of sex-linked markers is likely to reduce time, labor, and costs associated with breeding programs, and will help to clarify the sex determination system in pistachio.\\n\\nRESULTS: Restriction site-associated DNA (RAD) markers were used to identify sex-linked markers and to elucidate the sex determination system in pistachio. Eight male and eight female F1 progenies from a Pistacia vera L. Siirt × Bağyolu cross, along with the parents, were subjected to RAD sequencing in two lanes of a Hi-Seq 2000 sequencing platform. This generated 449 million reads, comprising approximately 37.7 Gb of sequences. There were 33,757 polymorphic single nucleotide polymorphism (SNP) loci between the parents. Thirty-eight of these, from 28 RAD reads, were detected as putative sex-associated loci in pistachio. Validation was performed by SNaPshot analysis in 42 mature F1 progenies and in 124 cultivars and genotypes in a germplasm collection. Eight loci could distinguish sex with 100% accuracy in pistachio. To ascertain cost-effective application of markers in a breeding program, high-resolution melting (HRM) analysis was performed; four markers were found to perfectly separate sexes in pistachio. Because of the female heterogamety in all candidate SNP loci, we report for the first time that pistachio has a ZZ/ZW sex determination system. As the reported female-to-male segregation ratio is 1:1 in all known segregating populations and there is no previous report of super-female genotypes or female heteromorphic chromosomes in pistachio, it appears that the WW genotype is not viable.\\n\\nCONCLUSION: Sex-linked SNP markers were identified and validated in a large germplasm and proved their suitability for MAS in pistachio. HRM analysis successfully validated the sex-linked markers for MAS. For the first time in dioecious pistachio, a female heterogamety ZW/ZZ sex determination system is suggested.","author":[{"dropping-particle":"","family":"Kafkas","given":"Salih","non-dropping-particle":"","parse-names":false,"suffix":""},{"dropping-particle":"","family":"Khodaeiaminjan","given":"Mortaza","non-dropping-particle":"","parse-names":false,"suffix":""},{"dropping-particle":"","family":"Güney","given":"Murat","non-dropping-particle":"","parse-names":false,"suffix":""},{"dropping-particle":"","family":"Kafkas","given":"Ebru","non-dropping-particle":"","parse-names":false,"suffix":""}],"container-title":"BMC Genomics","id":"ITEM-3","issue":"1","issued":{"date-parts":[["2015"]]},"page":"1-11","title":"Identification of sex-linked SNP markers using RAD sequencing suggests ZW/ZZ sex determination in Pistacia vera L.","type":"article-journal","volume":"16"},"uris":["http://www.mendeley.com/documents/?uuid=0e3d61d8-c2a1-42e7-8d98-b61c4d3dabb4"]},{"id":"ITEM-4","itemData":{"DOI":"10.1111/1755-0998.12237","ISSN":"17550998","abstract":"A major barrier to evolutionary studies of sex determination and sex chromosomes has been a lack of information on the types of sex-determining mechanisms that occur among different species. This is particularly problematic in groups where most species lack visually heteromorphic sex chromosomes, such as fish, amphibians and reptiles, because cytogenetic analyses will fail to identify the sex chromosomes in these species. We describe the use of restriction site-associated DNA (RAD) sequencing, or RAD-seq, to identify sex-specific molecular markers and subsequently determine whether a species has male or female heterogamety. To test the accuracy of this technique, we examined the lizard Anolis carolinensis. We performed RAD-seq on seven male and ten female A. carolinensis and found one male-specific molecular marker. Anolis carolinensis has previously been shown to possess male heterogamety and the recently published A. carolinensis genome facilitated the characterization of the sex-specific RAD-seq marker. We validated the male specificity of the new marker using PCR on additional individuals and also found that it is conserved in some other Anolis species. We discuss the utility of using RAD-seq to identify sex-determining mechanisms in other species with cryptic or homomorphic sex chromosomes and the implications for the evolution of male heterogamety in Anolis.","author":[{"dropping-particle":"","family":"Gamble","given":"Tony","non-dropping-particle":"","parse-names":false,"suffix":""},{"dropping-particle":"","family":"Zarkower","given":"David","non-dropping-particle":"","parse-names":false,"suffix":""}],"container-title":"Molecular Ecology Resources","id":"ITEM-4","issue":"5","issued":{"date-parts":[["2014"]]},"page":"902-913","title":"Identification of sex-specific molecular markers using restriction site-associated DNA sequencing","type":"article-journal","volume":"14"},"uris":["http://www.mendeley.com/documents/?uuid=2e4d44d4-ec41-4020-9a15-e803a66411ee"]},{"id":"ITEM-5","itemData":{"DOI":"10.1111/mec.13594","ISSN":"1365294X","abstract":"Fish have evolved a variety of sex-determining (SD) systems including male hetero- gamy (XY), female heterogamy (ZW) and environmental SD. Little is known about SD mechanisms of Sebastes rockfishes, a highly speciose genus of importance to evolu- tionary and conservation biology. Here, we characterize the sex determination system in the sympatrically distributed sister species Sebastes chrysomelas and Sebastes carna- tus. To identify sex-specific genotypic markers, double digest restriction site – associ- ated DNA sequencing (ddRAD-seq) of genomic DNA from 40 sexed individuals of both species was performed. Loci were filtered for presence in all of the individuals of one sex, absence in the other sex and no heterozygosity. Of the 74 965 loci present in all males, 33 male-specific loci met the criteria in at least one species and 17 in both. Conversely, no female-specific loci were detected, together providing evidence of an XY sex determination system in both species. When aligned to a draft reference gen- ome from Sebastes aleutianus, 26 sex-specific loci were interspersed among 1168 loci that were identical between sexes. The nascent Y chromosome averaged 5% divergence from the X chromosome and mapped to reference Sebastes genome scaffolds totalling 6.9Mbp in length. These scaffolds aligned to a single chromosome in three model fish genomes. Read coverage differences were also detected between sex-specific and auto- somal loci. A PCR-RFLP assay validated the bioinformatic results and correctly identi- fied sex of five additional individuals of known sex. A sex-determining gene in other teleosts gonadal soma-derived factor (gsdf) was present in the model fish chromosomes that spanned our sex-specific markers.","author":[{"dropping-particle":"","family":"Fowler","given":"Benjamin L.S.","non-dropping-particle":"","parse-names":false,"suffix":""},{"dropping-particle":"","family":"Buonaccorsi","given":"Vincent P.","non-dropping-particle":"","parse-names":false,"suffix":""}],"container-title":"Molecular Ecology","id":"ITEM-5","issue":"10","issued":{"date-parts":[["2016"]]},"page":"2165-2175","title":"Genomic characterization of sex-identification markers in Sebastes carnatus and Sebastes chrysomelas rockfishes","type":"article-journal","volume":"25"},"uris":["http://www.mendeley.com/documents/?uuid=7de27b45-9c9c-44bd-a0fb-042f177d7b1a"]},{"id":"ITEM-6","itemData":{"DOI":"10.1111/mec.13648","ISSN":"1365294X","abstract":"Next-generation sequencing methods have initiated a rev- olution in molecular ecology and evolution (Tautz et al. 2010). Among the most impressive of these sequencing innovations is restriction site-associated DNA sequencing or RAD-seq (Baird et al. 2008; Andrews et al. 2016). RAD-seq uses the Illumina sequencing platform to sequence fragments of DNA cut by a specific restriction enzyme and can generate tens of thousands of molecular genetic markers for analysis. One of the many uses of RAD-seq data has been to identify sex-specific genetic markers, markers found in one sex but not the other (Baxter et al. 2011; Gamble &amp; Zarkower 2014). Sex-speci- fic markers are a powerful tool for biologists. At their most basic, they can be used to identify the sex of an individual via PCR. This is useful in cases where a spe- cies lacks obvious sexual dimorphism at some or all life history stages. For example, such tests have been impor- tant for studying sex differences in life history (Sheldon 1998; Mossman &amp; Waser 1999), the management and breeding of endangered species (Taberlet et al. 1993; Griffiths &amp; Tiwari 1995; Robertson et al. 2006) and sexing embryonic material (Hacker et al. 1995; Smith et al. 1999). Furthermore, sex-specific markers allow recognition of the sex chromosome system in cases where standard cyto- genetic methods fail (Charlesworth &amp; Mank 2010; Gam- ble &amp; Zarkower 2014). Thus, species with male-specific markers have male heterogamety (XY) while species with female-specific markers have female heterogamety (ZW). In this issue, Fowler &amp; Buonaccorsi (2016) illustrate the ease by which RAD-seq data can generate sex-specific genetic markers in rockfish (Sebastes). Moreover, by examining RAD-seq data from two closely related rock- fish species, Sebastes chrysomelas and Sebastes carnatus (Fig. 1), Fowler &amp; Buonaccorsi (2016) uncover shared sex-specific markers and a conserved sex chromosome system.","author":[{"dropping-particle":"","family":"Gamble","given":"Tony","non-dropping-particle":"","parse-names":false,"suffix":""}],"container-title":"Molecular ecology","id":"ITEM-6","issue":"10","issued":{"date-parts":[["2016"]]},"page":"2114-2116","title":"Using RAD-seq to recognize sex-specific markers and sex chromosome systems","type":"article-journal","volume":"25"},"uris":["http://www.mendeley.com/documents/?uuid=d398b595-27a2-40e3-913b-fe532281436e"]}],"mendeley":{"formattedCitation":"&lt;sup&gt;74–79&lt;/sup&gt;","plainTextFormattedCitation":"74–79","previouslyFormattedCitation":"&lt;sup&gt;74–79&lt;/sup&gt;"},"properties":{"noteIndex":0},"schema":"https://github.com/citation-style-language/schema/raw/master/csl-citation.json"}</w:instrText>
      </w:r>
      <w:r w:rsidR="00FE4B42" w:rsidRPr="00E35CCB">
        <w:rPr>
          <w:rFonts w:ascii="Times New Roman" w:eastAsia="Times New Roman" w:hAnsi="Times New Roman" w:cs="Times New Roman"/>
        </w:rPr>
        <w:fldChar w:fldCharType="separate"/>
      </w:r>
      <w:r w:rsidR="00B5603F" w:rsidRPr="00B5603F">
        <w:rPr>
          <w:rFonts w:ascii="Times New Roman" w:eastAsia="Times New Roman" w:hAnsi="Times New Roman" w:cs="Times New Roman"/>
          <w:noProof/>
          <w:vertAlign w:val="superscript"/>
        </w:rPr>
        <w:t>74–79</w:t>
      </w:r>
      <w:r w:rsidR="00FE4B42"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w:t>
      </w:r>
      <w:r w:rsidR="004775B3" w:rsidRPr="00E35CCB">
        <w:rPr>
          <w:rFonts w:ascii="Times New Roman" w:eastAsia="Times New Roman" w:hAnsi="Times New Roman" w:cs="Times New Roman"/>
        </w:rPr>
        <w:t>Determining sex in wild and captive populations is an important parameter, as it can assist in demographic estimates and ecological modeling.</w:t>
      </w:r>
      <w:r w:rsidR="00672109">
        <w:rPr>
          <w:rFonts w:ascii="Times New Roman" w:eastAsia="Times New Roman" w:hAnsi="Times New Roman" w:cs="Times New Roman"/>
        </w:rPr>
        <w:t xml:space="preserve"> </w:t>
      </w:r>
      <w:r w:rsidRPr="00E35CCB">
        <w:rPr>
          <w:rFonts w:ascii="Times New Roman" w:eastAsia="Times New Roman" w:hAnsi="Times New Roman" w:cs="Times New Roman"/>
        </w:rPr>
        <w:t xml:space="preserve">This study will produce a SNP assay </w:t>
      </w:r>
      <w:r w:rsidR="00672109">
        <w:rPr>
          <w:rFonts w:ascii="Times New Roman" w:eastAsia="Times New Roman" w:hAnsi="Times New Roman" w:cs="Times New Roman"/>
        </w:rPr>
        <w:t>which will</w:t>
      </w:r>
      <w:r w:rsidRPr="00E35CCB">
        <w:rPr>
          <w:rFonts w:ascii="Times New Roman" w:eastAsia="Times New Roman" w:hAnsi="Times New Roman" w:cs="Times New Roman"/>
        </w:rPr>
        <w:t xml:space="preserve"> contribute a valuable resource for </w:t>
      </w:r>
      <w:r w:rsidR="00672109">
        <w:rPr>
          <w:rFonts w:ascii="Times New Roman" w:eastAsia="Times New Roman" w:hAnsi="Times New Roman" w:cs="Times New Roman"/>
        </w:rPr>
        <w:t>identifying</w:t>
      </w:r>
      <w:r w:rsidRPr="00E35CCB">
        <w:rPr>
          <w:rFonts w:ascii="Times New Roman" w:eastAsia="Times New Roman" w:hAnsi="Times New Roman" w:cs="Times New Roman"/>
        </w:rPr>
        <w:t xml:space="preserve"> sex in delta smelt. </w:t>
      </w:r>
    </w:p>
    <w:p w14:paraId="17262F4D" w14:textId="77777777" w:rsidR="00DA301E" w:rsidRPr="00E35CCB" w:rsidRDefault="00DA301E" w:rsidP="00B4213F">
      <w:pPr>
        <w:ind w:left="-270" w:right="-270"/>
        <w:jc w:val="both"/>
        <w:rPr>
          <w:rFonts w:ascii="Times New Roman" w:eastAsia="Times New Roman" w:hAnsi="Times New Roman" w:cs="Times New Roman"/>
          <w:b/>
          <w:i/>
        </w:rPr>
      </w:pPr>
    </w:p>
    <w:p w14:paraId="2EF14848" w14:textId="77777777" w:rsidR="00DA301E" w:rsidRPr="00E35CCB" w:rsidRDefault="007312B3" w:rsidP="00B4213F">
      <w:pPr>
        <w:ind w:left="-270" w:right="-270"/>
        <w:jc w:val="both"/>
        <w:rPr>
          <w:rFonts w:ascii="Times New Roman" w:eastAsia="Times New Roman" w:hAnsi="Times New Roman" w:cs="Times New Roman"/>
          <w:b/>
          <w:i/>
        </w:rPr>
      </w:pPr>
      <w:r w:rsidRPr="00E35CCB">
        <w:rPr>
          <w:rFonts w:ascii="Times New Roman" w:eastAsia="Times New Roman" w:hAnsi="Times New Roman" w:cs="Times New Roman"/>
          <w:b/>
          <w:i/>
        </w:rPr>
        <w:t>Potential Problems</w:t>
      </w:r>
    </w:p>
    <w:p w14:paraId="6C4F424D" w14:textId="1ADDED79" w:rsidR="00F14C91" w:rsidRDefault="007312B3" w:rsidP="00EE1DC6">
      <w:pPr>
        <w:ind w:left="-270" w:right="-270"/>
        <w:jc w:val="both"/>
        <w:rPr>
          <w:rFonts w:ascii="Times New Roman" w:eastAsia="Times New Roman" w:hAnsi="Times New Roman" w:cs="Times New Roman"/>
        </w:rPr>
      </w:pPr>
      <w:r w:rsidRPr="00E35CCB">
        <w:rPr>
          <w:rFonts w:ascii="Times New Roman" w:eastAsia="Times New Roman" w:hAnsi="Times New Roman" w:cs="Times New Roman"/>
        </w:rPr>
        <w:t>It is possible, that RAD</w:t>
      </w:r>
      <w:r w:rsidR="0030411D" w:rsidRPr="00E35CCB">
        <w:rPr>
          <w:rFonts w:ascii="Times New Roman" w:eastAsia="Times New Roman" w:hAnsi="Times New Roman" w:cs="Times New Roman"/>
        </w:rPr>
        <w:t>-</w:t>
      </w:r>
      <w:proofErr w:type="spellStart"/>
      <w:r w:rsidR="0030411D" w:rsidRPr="00E35CCB">
        <w:rPr>
          <w:rFonts w:ascii="Times New Roman" w:eastAsia="Times New Roman" w:hAnsi="Times New Roman" w:cs="Times New Roman"/>
        </w:rPr>
        <w:t>seq</w:t>
      </w:r>
      <w:proofErr w:type="spellEnd"/>
      <w:r w:rsidR="0030411D" w:rsidRPr="00E35CCB">
        <w:rPr>
          <w:rFonts w:ascii="Times New Roman" w:eastAsia="Times New Roman" w:hAnsi="Times New Roman" w:cs="Times New Roman"/>
        </w:rPr>
        <w:t xml:space="preserve"> </w:t>
      </w:r>
      <w:r w:rsidRPr="00E35CCB">
        <w:rPr>
          <w:rFonts w:ascii="Times New Roman" w:eastAsia="Times New Roman" w:hAnsi="Times New Roman" w:cs="Times New Roman"/>
        </w:rPr>
        <w:t>alone does not have high enough resolution to find sex associated markers if sex determination is a complex trait in delta smelt</w:t>
      </w:r>
      <w:r w:rsidR="00FE4B42" w:rsidRPr="00E35CCB">
        <w:rPr>
          <w:rFonts w:ascii="Times New Roman" w:eastAsia="Times New Roman" w:hAnsi="Times New Roman" w:cs="Times New Roman"/>
        </w:rPr>
        <w:t>.</w:t>
      </w:r>
      <w:r w:rsidR="00FE4B42" w:rsidRPr="00E35CCB">
        <w:rPr>
          <w:rFonts w:ascii="Times New Roman" w:eastAsia="Times New Roman" w:hAnsi="Times New Roman" w:cs="Times New Roman"/>
        </w:rPr>
        <w:fldChar w:fldCharType="begin" w:fldLock="1"/>
      </w:r>
      <w:r w:rsidR="0017594F">
        <w:rPr>
          <w:rFonts w:ascii="Times New Roman" w:eastAsia="Times New Roman" w:hAnsi="Times New Roman" w:cs="Times New Roman"/>
        </w:rPr>
        <w:instrText>ADDIN CSL_CITATION {"citationItems":[{"id":"ITEM-1","itemData":{"DOI":"10.1371/journal.pone.0016599","ISSN":"19326203","abstract":"Among vertebrates, teleost fish exhibit a considerably wide range of sex determination patterns that may be influenced by extrinsic parameters. However even for model fish species like the zebrafish Danio rerio the precise mechanisms involved in primary sex determination have not been studied extensively. The zebrafish, a gonochoristic species, is lacking discernible sex chromosomes and the sex of juvenile fish is difficult to determine. Sequential protandrous hermaphrodite species provide distinct determination of the gender and allow studying the sex determination process by looking at the mechanism of sex reversal. This is the first attempt to understand the genetic basis of phenotypic variation for sex determination and body weight in a sequential protandrous hermaphrodite species, the gilthead sea bream (Sparus aurata). This work demonstrates a fast and efficient strategy for Quantitative Trait Loci (QTL) detection in the gilthead sea bream, a non-model but target hermaphrodite fish species. Therefore a comparative mapping approach was performed to query syntenies against two other Perciformes, the European sea bass (Dicentrarchus labrax), a gonochoristic species and the Asian sea bass (Lates calcarifer) a protandrous hermaphrodite. In this manner two significant QTLs, one QTL affecting both body weight and sex and one QTL affecting sex, were detected on the same linkage group. The co-segregation of the two QTLs provides a genomic base to the observed genetic correlation between these two traits in sea bream as well as in other teleosts. The identification of QTLs linked to sex reversal and growth, will contribute significantly to a better understanding of the complex nature of sex determination in S. aurata where most individuals reverse to the female sex at the age of two years through development and maturation of the ovarian portion of the gonad and regression of the testicular area. [Genomic sequences reported in this manuscript have been submitted to GenBank under accession numbers HQ021443-HQ021749.].","author":[{"dropping-particle":"","family":"Loukovitis","given":"Dimitrios","non-dropping-particle":"","parse-names":false,"suffix":""},{"dropping-particle":"","family":"Sarropoulou","given":"Elena","non-dropping-particle":"","parse-names":false,"suffix":""},{"dropping-particle":"","family":"Tsigenopoulos","given":"Costas S.","non-dropping-particle":"","parse-names":false,"suffix":""},{"dropping-particle":"","family":"Batargias","given":"Costas","non-dropping-particle":"","parse-names":false,"suffix":""},{"dropping-particle":"","family":"Magoulas","given":"Antonios","non-dropping-particle":"","parse-names":false,"suffix":""},{"dropping-particle":"","family":"Apostolidis","given":"Apostolos P.","non-dropping-particle":"","parse-names":false,"suffix":""},{"dropping-particle":"","family":"Chatziplis","given":"Dimitrios","non-dropping-particle":"","parse-names":false,"suffix":""},{"dropping-particle":"","family":"Kotoulas","given":"Georgios","non-dropping-particle":"","parse-names":false,"suffix":""}],"container-title":"PLoS ONE","id":"ITEM-1","issue":"1","issued":{"date-parts":[["2011"]]},"title":"Quantitative Trait Loci involved in sex determination and body growth in the gilthead sea bream (Sparus aurata L.) through targeted genome scan","type":"article-journal","volume":"6"},"uris":["http://www.mendeley.com/documents/?uuid=a113a90a-c7e3-4a63-b7c9-c95fa4faf13c"]},{"id":"ITEM-2","itemData":{"DOI":"10.3389/fgene.2014.00432","ISSN":"16648021","abstract":"Since the middle of the 1990s, parentage assignment using microsatellite markers has been introduced as a tool in aquaculture breeding. It now allows close to 100% assignment success, and offered new ways to develop aquaculture breeding using mixed family designs in commercial conditions. Its main achievements are the knowledge and control of family representation and inbreeding, especially in mass spawning species, above all the capacity to estimate reliable genetic parameters in any species and rearing system with no prior investment in structures, and the development of new breeding programs in many species. Parentage assignment should not be seen as a way to replace physical tagging, but as a new way to conceive breeding programs, which have to be optimized with its specific constraints, one of the most important being to well define the number of individuals to genotype to limit costs, maximize genetic gain while minimizing inbreeding. The recent possible shift to (for the moment) more costly single nucleotide polymorphism markers should benefit from future developments in genomics and marker-assisted selection to combine parentage assignment and indirect prediction of breeding values.","author":[{"dropping-particle":"","family":"Vandeputte","given":"Marc","non-dropping-particle":"","parse-names":false,"suffix":""},{"dropping-particle":"","family":"Haffray","given":"Pierrick","non-dropping-particle":"","parse-names":false,"suffix":""}],"container-title":"Frontiers in Genetics","id":"ITEM-2","issue":"DEC","issued":{"date-parts":[["2014"]]},"page":"1-8","title":"Parentage assignment with genomic markers: A major advance for understanding and exploiting genetic variation of quantitative traits in farmed aquatic animals","type":"article-journal","volume":"5"},"uris":["http://www.mendeley.com/documents/?uuid=0ec07820-4b46-4e9a-ac40-d9c572be90d7"]}],"mendeley":{"formattedCitation":"&lt;sup&gt;83,84&lt;/sup&gt;","plainTextFormattedCitation":"83,84","previouslyFormattedCitation":"&lt;sup&gt;83,84&lt;/sup&gt;"},"properties":{"noteIndex":0},"schema":"https://github.com/citation-style-language/schema/raw/master/csl-citation.json"}</w:instrText>
      </w:r>
      <w:r w:rsidR="00FE4B42" w:rsidRPr="00E35CCB">
        <w:rPr>
          <w:rFonts w:ascii="Times New Roman" w:eastAsia="Times New Roman" w:hAnsi="Times New Roman" w:cs="Times New Roman"/>
        </w:rPr>
        <w:fldChar w:fldCharType="separate"/>
      </w:r>
      <w:r w:rsidR="0017594F" w:rsidRPr="0017594F">
        <w:rPr>
          <w:rFonts w:ascii="Times New Roman" w:eastAsia="Times New Roman" w:hAnsi="Times New Roman" w:cs="Times New Roman"/>
          <w:noProof/>
          <w:vertAlign w:val="superscript"/>
        </w:rPr>
        <w:t>83,84</w:t>
      </w:r>
      <w:r w:rsidR="00FE4B42" w:rsidRPr="00E35CCB">
        <w:rPr>
          <w:rFonts w:ascii="Times New Roman" w:eastAsia="Times New Roman" w:hAnsi="Times New Roman" w:cs="Times New Roman"/>
        </w:rPr>
        <w:fldChar w:fldCharType="end"/>
      </w:r>
      <w:r w:rsidR="0030411D" w:rsidRPr="00E35CCB">
        <w:rPr>
          <w:rFonts w:ascii="Times New Roman" w:eastAsia="Times New Roman" w:hAnsi="Times New Roman" w:cs="Times New Roman"/>
        </w:rPr>
        <w:t xml:space="preserve"> </w:t>
      </w:r>
      <w:r w:rsidRPr="00E35CCB">
        <w:rPr>
          <w:rFonts w:ascii="Times New Roman" w:eastAsia="Times New Roman" w:hAnsi="Times New Roman" w:cs="Times New Roman"/>
        </w:rPr>
        <w:t xml:space="preserve">If </w:t>
      </w:r>
      <w:r w:rsidR="0030411D" w:rsidRPr="00E35CCB">
        <w:rPr>
          <w:rFonts w:ascii="Times New Roman" w:eastAsia="Times New Roman" w:hAnsi="Times New Roman" w:cs="Times New Roman"/>
        </w:rPr>
        <w:t>RAD-</w:t>
      </w:r>
      <w:proofErr w:type="spellStart"/>
      <w:r w:rsidR="0030411D" w:rsidRPr="00E35CCB">
        <w:rPr>
          <w:rFonts w:ascii="Times New Roman" w:eastAsia="Times New Roman" w:hAnsi="Times New Roman" w:cs="Times New Roman"/>
        </w:rPr>
        <w:t>seq</w:t>
      </w:r>
      <w:proofErr w:type="spellEnd"/>
      <w:r w:rsidR="0030411D" w:rsidRPr="00E35CCB">
        <w:rPr>
          <w:rFonts w:ascii="Times New Roman" w:eastAsia="Times New Roman" w:hAnsi="Times New Roman" w:cs="Times New Roman"/>
        </w:rPr>
        <w:t xml:space="preserve"> is not sufficient</w:t>
      </w:r>
      <w:r w:rsidRPr="00E35CCB">
        <w:rPr>
          <w:rFonts w:ascii="Times New Roman" w:eastAsia="Times New Roman" w:hAnsi="Times New Roman" w:cs="Times New Roman"/>
        </w:rPr>
        <w:t>, whole-genome sequencing data of male and female fish will provide higher resolution and increase the probability of detecting linked SNPs associated with sex.</w:t>
      </w:r>
      <w:r w:rsidR="002963E3" w:rsidRPr="00E35CCB">
        <w:rPr>
          <w:rFonts w:ascii="Times New Roman" w:eastAsia="Times New Roman" w:hAnsi="Times New Roman" w:cs="Times New Roman"/>
        </w:rPr>
        <w:fldChar w:fldCharType="begin" w:fldLock="1"/>
      </w:r>
      <w:r w:rsidR="0017594F">
        <w:rPr>
          <w:rFonts w:ascii="Times New Roman" w:eastAsia="Times New Roman" w:hAnsi="Times New Roman" w:cs="Times New Roman"/>
        </w:rPr>
        <w:instrText>ADDIN CSL_CITATION {"citationItems":[{"id":"ITEM-1","itemData":{"DOI":"10.1038/ng.2890","ISSN":"15461718","abstract":"Genetic sex determination by W and Z chromosomes has developed independently in different groups of organisms. To better understand the evolution of sex chromosomes and the plasticity of sex-determination mechanisms, we sequenced the whole genomes of a male (ZZ) and a female (ZW) half-smooth tongue sole (Cynoglossus semilaevis). In addition to insights into adaptation to a benthic lifestyle, we find that the sex chromosomes of these fish are derived from the same ancestral vertebrate protochromosome as the avian W and Z chromosomes. Notably, the same gene on the Z chromosome, dmrt1, which is the male-determining gene in birds, showed convergent evolution of features that are compatible with a similar function in tongue sole. Comparison of the relatively young tongue sole sex chromosomes with those of mammals and birds identified events that occurred during the early phase of sex-chromosome evolution. Pertinent to the current debate about heterogametic sex-chromosome decay, we find that massive gene loss occurred in the wake of sex-chromosome 'birth'.","author":[{"dropping-particle":"","family":"Chen","given":"Songlin","non-dropping-particle":"","parse-names":false,"suffix":""},{"dropping-particle":"","family":"Zhang","given":"Guojie","non-dropping-particle":"","parse-names":false,"suffix":""},{"dropping-particle":"","family":"Shao","given":"Changwei","non-dropping-particle":"","parse-names":false,"suffix":""},{"dropping-particle":"","family":"Huang","given":"Quanfei","non-dropping-particle":"","parse-names":false,"suffix":""},{"dropping-particle":"","family":"Liu","given":"Geng","non-dropping-particle":"","parse-names":false,"suffix":""},{"dropping-particle":"","family":"Zhang","given":"Pei","non-dropping-particle":"","parse-names":false,"suffix":""},{"dropping-particle":"","family":"Song","given":"Wentao","non-dropping-particle":"","parse-names":false,"suffix":""},{"dropping-particle":"","family":"An","given":"Na","non-dropping-particle":"","parse-names":false,"suffix":""},{"dropping-particle":"","family":"Chalopin","given":"Domitille","non-dropping-particle":"","parse-names":false,"suffix":""},{"dropping-particle":"","family":"Volff","given":"Jean Nicolas","non-dropping-particle":"","parse-names":false,"suffix":""},{"dropping-particle":"","family":"Hong","given":"Yunhan","non-dropping-particle":"","parse-names":false,"suffix":""},{"dropping-particle":"","family":"Li","given":"Qiye","non-dropping-particle":"","parse-names":false,"suffix":""},{"dropping-particle":"","family":"Sha","given":"Zhenxia","non-dropping-particle":"","parse-names":false,"suffix":""},{"dropping-particle":"","family":"Zhou","given":"Heling","non-dropping-particle":"","parse-names":false,"suffix":""},{"dropping-particle":"","family":"Xie","given":"Mingshu","non-dropping-particle":"","parse-names":false,"suffix":""},{"dropping-particle":"","family":"Yu","given":"Qiulin","non-dropping-particle":"","parse-names":false,"suffix":""},{"dropping-particle":"","family":"Liu","given":"Yang","non-dropping-particle":"","parse-names":false,"suffix":""},{"dropping-particle":"","family":"Xiang","given":"Hui","non-dropping-particle":"","parse-names":false,"suffix":""},{"dropping-particle":"","family":"Wang","given":"Na","non-dropping-particle":"","parse-names":false,"suffix":""},{"dropping-particle":"","family":"Wu","given":"Kui","non-dropping-particle":"","parse-names":false,"suffix":""},{"dropping-particle":"","family":"Yang","given":"Changgeng","non-dropping-particle":"","parse-names":false,"suffix":""},{"dropping-particle":"","family":"Zhou","given":"Qian","non-dropping-particle":"","parse-names":false,"suffix":""},{"dropping-particle":"","family":"Liao","given":"Xiaolin","non-dropping-particle":"","parse-names":false,"suffix":""},{"dropping-particle":"","family":"Yang","given":"Linfeng","non-dropping-particle":"","parse-names":false,"suffix":""},{"dropping-particle":"","family":"Hu","given":"Qiaomu","non-dropping-particle":"","parse-names":false,"suffix":""},{"dropping-particle":"","family":"Zhang","given":"Jilin","non-dropping-particle":"","parse-names":false,"suffix":""},{"dropping-particle":"","family":"Meng","given":"Liang","non-dropping-particle":"","parse-names":false,"suffix":""},{"dropping-particle":"","family":"Jin","given":"Lijun","non-dropping-particle":"","parse-names":false,"suffix":""},{"dropping-particle":"","family":"Tian","given":"Yongsheng","non-dropping-particle":"","parse-names":false,"suffix":""},{"dropping-particle":"","family":"Lian","given":"Jinmin","non-dropping-particle":"","parse-names":false,"suffix":""},{"dropping-particle":"","family":"Yang","given":"Jingfeng","non-dropping-particle":"","parse-names":false,"suffix":""},{"dropping-particle":"","family":"Miao","given":"Guidong","non-dropping-particle":"","parse-names":false,"suffix":""},{"dropping-particle":"","family":"Liu","given":"Shanshan","non-dropping-particle":"","parse-names":false,"suffix":""},{"dropping-particle":"","family":"Liang","given":"Zhuo","non-dropping-particle":"","parse-names":false,"suffix":""},{"dropping-particle":"","family":"Yan","given":"Fang","non-dropping-particle":"","parse-names":false,"suffix":""},{"dropping-particle":"","family":"Li","given":"Yangzhen","non-dropping-particle":"","parse-names":false,"suffix":""},{"dropping-particle":"","family":"Sun","given":"Bin","non-dropping-particle":"","parse-names":false,"suffix":""},{"dropping-particle":"","family":"Zhang","given":"Hong","non-dropping-particle":"","parse-names":false,"suffix":""},{"dropping-particle":"","family":"Zhang","given":"Jing","non-dropping-particle":"","parse-names":false,"suffix":""},{"dropping-particle":"","family":"Zhu","given":"Ying","non-dropping-particle":"","parse-names":false,"suffix":""},{"dropping-particle":"","family":"Du","given":"Min","non-dropping-particle":"","parse-names":false,"suffix":""},{"dropping-particle":"","family":"Zhao","given":"Yongwei","non-dropping-particle":"","parse-names":false,"suffix":""},{"dropping-particle":"","family":"Schartl","given":"Manfred","non-dropping-particle":"","parse-names":false,"suffix":""},{"dropping-particle":"","family":"Tang","given":"Qisheng","non-dropping-particle":"","parse-names":false,"suffix":""},{"dropping-particle":"","family":"Wang","given":"Jun","non-dropping-particle":"","parse-names":false,"suffix":""}],"container-title":"Nature Genetics","id":"ITEM-1","issue":"3","issued":{"date-parts":[["2014"]]},"page":"253-260","title":"Whole-genome sequence of a flatfish provides insights into ZW sex chromosome evolution and adaptation to a benthic lifestyle","type":"article-journal","volume":"46"},"uris":["http://www.mendeley.com/documents/?uuid=5994fd74-2d73-4bc1-88fe-3dc1f58c30da"]}],"mendeley":{"formattedCitation":"&lt;sup&gt;85&lt;/sup&gt;","plainTextFormattedCitation":"85","previouslyFormattedCitation":"&lt;sup&gt;85&lt;/sup&gt;"},"properties":{"noteIndex":0},"schema":"https://github.com/citation-style-language/schema/raw/master/csl-citation.json"}</w:instrText>
      </w:r>
      <w:r w:rsidR="002963E3" w:rsidRPr="00E35CCB">
        <w:rPr>
          <w:rFonts w:ascii="Times New Roman" w:eastAsia="Times New Roman" w:hAnsi="Times New Roman" w:cs="Times New Roman"/>
        </w:rPr>
        <w:fldChar w:fldCharType="separate"/>
      </w:r>
      <w:r w:rsidR="0017594F" w:rsidRPr="0017594F">
        <w:rPr>
          <w:rFonts w:ascii="Times New Roman" w:eastAsia="Times New Roman" w:hAnsi="Times New Roman" w:cs="Times New Roman"/>
          <w:noProof/>
          <w:vertAlign w:val="superscript"/>
        </w:rPr>
        <w:t>85</w:t>
      </w:r>
      <w:r w:rsidR="002963E3"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If </w:t>
      </w:r>
      <w:r w:rsidR="0030411D" w:rsidRPr="00E35CCB">
        <w:rPr>
          <w:rFonts w:ascii="Times New Roman" w:eastAsia="Times New Roman" w:hAnsi="Times New Roman" w:cs="Times New Roman"/>
        </w:rPr>
        <w:t xml:space="preserve">it appears sex determination is a </w:t>
      </w:r>
      <w:r w:rsidR="004775B3">
        <w:rPr>
          <w:rFonts w:ascii="Times New Roman" w:eastAsia="Times New Roman" w:hAnsi="Times New Roman" w:cs="Times New Roman"/>
        </w:rPr>
        <w:t>polygenic</w:t>
      </w:r>
      <w:r w:rsidR="0030411D" w:rsidRPr="00E35CCB">
        <w:rPr>
          <w:rFonts w:ascii="Times New Roman" w:eastAsia="Times New Roman" w:hAnsi="Times New Roman" w:cs="Times New Roman"/>
        </w:rPr>
        <w:t xml:space="preserve"> trait,</w:t>
      </w:r>
      <w:r w:rsidRPr="00E35CCB">
        <w:rPr>
          <w:rFonts w:ascii="Times New Roman" w:eastAsia="Times New Roman" w:hAnsi="Times New Roman" w:cs="Times New Roman"/>
        </w:rPr>
        <w:t xml:space="preserve"> a GWAS may result in nonsignificant associations of loci that are indeed linked to sex determining genes. To increase the GWAS power, I can use the reference genome created in Aim #1 with the software FINDOR to leverage functional enrichment in my analysis</w:t>
      </w:r>
      <w:r w:rsidR="002963E3" w:rsidRPr="00E35CCB">
        <w:rPr>
          <w:rFonts w:ascii="Times New Roman" w:eastAsia="Times New Roman" w:hAnsi="Times New Roman" w:cs="Times New Roman"/>
        </w:rPr>
        <w:t>.</w:t>
      </w:r>
      <w:r w:rsidR="002963E3" w:rsidRPr="00E35CCB">
        <w:rPr>
          <w:rFonts w:ascii="Times New Roman" w:eastAsia="Times New Roman" w:hAnsi="Times New Roman" w:cs="Times New Roman"/>
        </w:rPr>
        <w:fldChar w:fldCharType="begin" w:fldLock="1"/>
      </w:r>
      <w:r w:rsidR="0017594F">
        <w:rPr>
          <w:rFonts w:ascii="Times New Roman" w:eastAsia="Times New Roman" w:hAnsi="Times New Roman" w:cs="Times New Roman"/>
        </w:rPr>
        <w:instrText>ADDIN CSL_CITATION {"citationItems":[{"id":"ITEM-1","itemData":{"DOI":"10.1016/j.ajhg.2018.11.008","ISSN":"1537-6605","PMID":"30595370","abstract":"Functional genomics data has the potential to increase GWAS power by identifying SNPs that have a higher prior probability of association. Here, we introduce a method that leverages polygenic functional enrichment to incorporate coding, conserved, regulatory, and LD-related genomic annotations into association analyses. We show via simulations with real genotypes that the method, functionally informed novel discovery of risk loci (FINDOR), correctly controls the false-positive rate at null loci and attains a 9%–38% increase in the number of independent associations detected at causal loci, depending on trait polygenicity and sample size. We applied FINDOR to 27 independent complex traits and diseases from the interim UK Biobank release (average N = 130K). Averaged across traits, we attained a 13% increase in genome-wide significant loci detected (including a 20% increase for disease traits) compared to unweighted raw p values that do not use functional data. We replicated the additional loci in independent UK Biobank and non-UK Biobank data, yielding a highly statistically significant replication slope (0.66–0.69) in each case. Finally, we applied FINDOR to the full UK Biobank release (average N = 416K), attaining smaller relative improvements (consistent with simulations) but larger absolute improvements, detecting an additional 583 GWAS loci. In conclusion, leveraging functional enrichment using our method robustly increases GWAS power.","author":[{"dropping-particle":"","family":"Kichaev","given":"Gleb","non-dropping-particle":"","parse-names":false,"suffix":""},{"dropping-particle":"","family":"Bhatia","given":"Gaurav","non-dropping-particle":"","parse-names":false,"suffix":""},{"dropping-particle":"","family":"Loh","given":"Po-Ru","non-dropping-particle":"","parse-names":false,"suffix":""},{"dropping-particle":"","family":"Gazal","given":"Steven","non-dropping-particle":"","parse-names":false,"suffix":""},{"dropping-particle":"","family":"Burch","given":"Kathryn","non-dropping-particle":"","parse-names":false,"suffix":""},{"dropping-particle":"","family":"Freund","given":"Malika K","non-dropping-particle":"","parse-names":false,"suffix":""},{"dropping-particle":"","family":"Schoech","given":"Armin","non-dropping-particle":"","parse-names":false,"suffix":""},{"dropping-particle":"","family":"Pasaniuc","given":"Bogdan","non-dropping-particle":"","parse-names":false,"suffix":""},{"dropping-particle":"","family":"Price","given":"Alkes L","non-dropping-particle":"","parse-names":false,"suffix":""}],"container-title":"American journal of human genetics","id":"ITEM-1","issue":"1","issued":{"date-parts":[["2019"]]},"page":"65-75","publisher":"ElsevierCompany.","title":"Leveraging Polygenic Functional Enrichment to Improve GWAS Power.","type":"article-journal","volume":"104"},"uris":["http://www.mendeley.com/documents/?uuid=ed06c98e-c7a8-4b1b-ab69-de8a77259b6d"]}],"mendeley":{"formattedCitation":"&lt;sup&gt;86&lt;/sup&gt;","plainTextFormattedCitation":"86","previouslyFormattedCitation":"&lt;sup&gt;86&lt;/sup&gt;"},"properties":{"noteIndex":0},"schema":"https://github.com/citation-style-language/schema/raw/master/csl-citation.json"}</w:instrText>
      </w:r>
      <w:r w:rsidR="002963E3" w:rsidRPr="00E35CCB">
        <w:rPr>
          <w:rFonts w:ascii="Times New Roman" w:eastAsia="Times New Roman" w:hAnsi="Times New Roman" w:cs="Times New Roman"/>
        </w:rPr>
        <w:fldChar w:fldCharType="separate"/>
      </w:r>
      <w:r w:rsidR="0017594F" w:rsidRPr="0017594F">
        <w:rPr>
          <w:rFonts w:ascii="Times New Roman" w:eastAsia="Times New Roman" w:hAnsi="Times New Roman" w:cs="Times New Roman"/>
          <w:noProof/>
          <w:vertAlign w:val="superscript"/>
        </w:rPr>
        <w:t>86</w:t>
      </w:r>
      <w:r w:rsidR="002963E3"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If this method does not work, I can perform QTL mapping analysis to identify sex-specific markers using RAD data</w:t>
      </w:r>
      <w:r w:rsidR="003F547B" w:rsidRPr="00E35CCB">
        <w:rPr>
          <w:rFonts w:ascii="Times New Roman" w:eastAsia="Times New Roman" w:hAnsi="Times New Roman" w:cs="Times New Roman"/>
        </w:rPr>
        <w:fldChar w:fldCharType="begin" w:fldLock="1"/>
      </w:r>
      <w:r w:rsidR="0017594F">
        <w:rPr>
          <w:rFonts w:ascii="Times New Roman" w:eastAsia="Times New Roman" w:hAnsi="Times New Roman" w:cs="Times New Roman"/>
        </w:rPr>
        <w:instrText>ADDIN CSL_CITATION {"citationItems":[{"id":"ITEM-1","itemData":{"DOI":"10.1186/1471-2164-14-566","ISSN":"14712164","abstract":"BACKGROUND: Atlantic halibut (Hippoglossus hippoglossus) is a high-value, niche market species for cold-water marine aquaculture. Production of monosex female stocks is desirable in commercial production since females grow faster and mature later than males. Understanding the sex determination mechanism and developing sex-associated markers will shorten the time for the development of monosex female production, thus decreasing the costs of farming.\\n\\nRESULTS: Halibut juveniles were masculinised with 17 alpha-methyldihydrotestosterone (MDHT) and grown to maturity. Progeny groups from four treated males were reared and sexed. Two of these groups (n = 26 and 70) consisted of only females, while the other two (n = 30 and 71) contained balanced sex ratios (50% and 48% females respectively). DNA from parents and offspring from the two mixed-sex families were used as a template for Restriction-site Associated DNA (RAD) sequencing. The 648 million raw reads produced 90,105 unique RAD-tags. A linkage map was constructed based on 5703 Single Nucleotide Polymorphism (SNP) markers and 7 microsatellites consisting of 24 linkage groups, which corresponds to the number of chromosome pairs in this species. A major sex determining locus was mapped to linkage group 13 in both families. Assays for 10 SNPs with significant association with phenotypic sex were tested in both population data and in 3 additional families. Using a variety of machine-learning algorithms 97% correct classification could be obtained with the 3% of errors being phenotypic males predicted to be females.\\n\\nCONCLUSION: Altogether our findings support the hypothesis that the Atlantic halibut has an XX/XY sex determination system. Assays are described for sex-associated DNA markers developed from the RAD sequencing analysis to fast track progeny testing and implement monosex female halibut production for an immediate improvement in productivity. These should also help to speed up the inclusion of neomales derived from many families to maintain a larger effective population size and ensure long-term improvement through selective breeding.","author":[{"dropping-particle":"","family":"Palaiokostas","given":"Christos","non-dropping-particle":"","parse-names":false,"suffix":""},{"dropping-particle":"","family":"Bekaert","given":"Michaël","non-dropping-particle":"","parse-names":false,"suffix":""},{"dropping-particle":"","family":"Davie","given":"Andrew","non-dropping-particle":"","parse-names":false,"suffix":""},{"dropping-particle":"","family":"Cowan","given":"Mairi E.","non-dropping-particle":"","parse-names":false,"suffix":""},{"dropping-particle":"","family":"Oral","given":"Münevver","non-dropping-particle":"","parse-names":false,"suffix":""},{"dropping-particle":"","family":"Taggart","given":"John B.","non-dropping-particle":"","parse-names":false,"suffix":""},{"dropping-particle":"","family":"Gharbi","given":"Karim","non-dropping-particle":"","parse-names":false,"suffix":""},{"dropping-particle":"","family":"McAndrew","given":"Brendan J.","non-dropping-particle":"","parse-names":false,"suffix":""},{"dropping-particle":"","family":"Penman","given":"David J.","non-dropping-particle":"","parse-names":false,"suffix":""},{"dropping-particle":"","family":"Migaud","given":"Hervé","non-dropping-particle":"","parse-names":false,"suffix":""}],"container-title":"BMC Genomics","id":"ITEM-1","issue":"1","issued":{"date-parts":[["2013"]]},"page":"1-12","title":"Mapping the sex determination locus in the Atlantic halibut (Hippoglossus hippoglossus) using RAD sequencing","type":"article-journal","volume":"14"},"uris":["http://www.mendeley.com/documents/?uuid=533dc0ff-efe3-4829-b1d4-af3b0673d2d2"]},{"id":"ITEM-2","itemData":{"DOI":"10.1371/journal.pone.0068389","ISSN":"19326203","abstract":"Sex in Oreochromis niloticus (Nile tilapia) is principally determined by an XX/XY locus but other genetic and environmental factors also influence sex ratio. Restriction Associated DNA (RAD) sequencing was used in two families derived from crossing XY males with females from an isogenic clonal line, in order to identify Single Nucleotide Polymorphisms (SNPs) and map the sex-determining region(s). We constructed a linkage map with 3,802 SNPs, which corresponded to 3,280 informative markers, and identified a major sex-determining region on linkage group 1, explaining nearly 96% of the phenotypic variance. This sex-determining region was mapped in a 2 cM interval, corresponding to approximately 1.2 Mb in the O. niloticus draft genome. In order to validate this, a diverse family (4 families; 96 individuals in total) and population (40 broodstock individuals) test panel were genotyped for five of the SNPs showing the highest association with phenotypic sex. From the expanded data set, SNPs Oni23063 and Oni28137 showed the highest association, which persisted both in the case of family and population data. Across the entire dataset all females were found to be homozygous for these two SNPs. Males were heterozygous, with the exception of five individuals in the population and two in the family dataset. These fish possessed the homozygous genotype expected of females. Progeny sex ratios (over 95% females) from two of the males with the \"female\" genotype indicated that they were neomales (XX males). Sex reversal induced by elevated temperature during sexual differentiation also resulted in phenotypic males with the \"female\" genotype. This study narrows down the region containing the main sex-determining locus, and provides genetic markers tightly linked to this locus, with an association that persisted across the population. These markers will be of use in refining the production of genetically male O. niloticus for aquaculture.","author":[{"dropping-particle":"","family":"Palaiokostas","given":"Christos","non-dropping-particle":"","parse-names":false,"suffix":""},{"dropping-particle":"","family":"Bekaert","given":"Michaël","non-dropping-particle":"","parse-names":false,"suffix":""},{"dropping-particle":"","family":"Khan","given":"Mohd G.Q.","non-dropping-particle":"","parse-names":false,"suffix":""},{"dropping-particle":"","family":"Taggart","given":"John B.","non-dropping-particle":"","parse-names":false,"suffix":""},{"dropping-particle":"","family":"Gharbi","given":"Karim","non-dropping-particle":"","parse-names":false,"suffix":""},{"dropping-particle":"","family":"McAndrew","given":"Brendan J.","non-dropping-particle":"","parse-names":false,"suffix":""},{"dropping-particle":"","family":"Penman","given":"David J.","non-dropping-particle":"","parse-names":false,"suffix":""}],"container-title":"PLoS ONE","id":"ITEM-2","issue":"7","issued":{"date-parts":[["2013"]]},"page":"1-9","title":"Mapping and Validation of the Major Sex-Determining Region in Nile Tilapia (Oreochromis niloticus L.) Using RAD Sequencing","type":"article-journal","volume":"8"},"uris":["http://www.mendeley.com/documents/?uuid=3eecf920-2e7f-4edc-98a9-367b684a1578"]},{"id":"ITEM-3","itemData":{"DOI":"10.1186/s12864-015-1383-x","ISSN":"14712164","abstract":"Fish species often exhibit significant sexual dimorphism for commercially important traits. Accordingly, the control of phenotypic sex, and in particular the production of monosex cultures, is of particular interest to the aquaculture industry. Sex determination in the widely farmed Nile tilapia (Oreochromis niloticus) is complex, involving genomic regions on at least three chromosomes (chromosomes 1, 3 and 23) and interacting in certain cases with elevated early rearing temperature as well. Thus, sex ratios may vary substantially from 50%. This study focused on mapping sex-determining quantitative trait loci (QTL) in families with skewed sex ratios. These included four families that showed an excess of males (male ratio varied between 64% and 93%) when reared at standard temperature (28°C) and a fifth family in which an excess of males (96%) was observed when fry were reared at 36°C for ten days from first feeding. All the samples used in the current study were genotyped for two single-nucleotide polymorphisms (rs397507167 and rs397507165) located in the expected major sex-determining region in linkage group 1 (LG 1). The only misassigned individuals were phenotypic males with the expected female genotype, suggesting that those offspring had undergone sex-reversal with respect to the major sex-determining locus. We mapped SNPs identified from double digest Restriction-site Associated DNA (ddRAD) sequencing in these five families. Three genetic maps were constructed consisting of 641, 175 and 1,155 SNPs from the three largest families. QTL analyses provided evidence for a novel genome-wide significant QTL in LG 20. Evidence was also found for another sex-determining QTL in the fifth family, in the proximal region of LG 1. Overall, the results from this study suggest that these previously undetected QTLs are involved in sex determination in the Nile tilapia, causing sex reversal (masculinisation) with respect to the XX genotype at the major sex-determining locus in LG 1.","author":[{"dropping-particle":"","family":"Palaiokostas","given":"Christos","non-dropping-particle":"","parse-names":false,"suffix":""},{"dropping-particle":"","family":"Bekaert","given":"Michaël","non-dropping-particle":"","parse-names":false,"suffix":""},{"dropping-particle":"","family":"Khan","given":"Mohd G.Q.","non-dropping-particle":"","parse-names":false,"suffix":""},{"dropping-particle":"","family":"Taggart","given":"John B.","non-dropping-particle":"","parse-names":false,"suffix":""},{"dropping-particle":"","family":"Gharbi","given":"Karim","non-dropping-particle":"","parse-names":false,"suffix":""},{"dropping-particle":"","family":"McAndrew","given":"Brendan J.","non-dropping-particle":"","parse-names":false,"suffix":""},{"dropping-particle":"","family":"Penman","given":"David J.","non-dropping-particle":"","parse-names":false,"suffix":""}],"container-title":"BMC Genomics","id":"ITEM-3","issue":"1","issued":{"date-parts":[["2015"]]},"page":"1-10","title":"A novel sex-determining QTL in Nile tilapia (Oreochromis niloticus)","type":"article-journal","volume":"16"},"uris":["http://www.mendeley.com/documents/?uuid=d83fd98e-2e73-42c7-ab3d-2a6da512dcd5"]},{"id":"ITEM-4","itemData":{"DOI":"10.1186/s12711-015-0148-y","ISSN":"12979686","abstract":"BACKGROUND: European sea bass (Dicentrarchus labrax) is one of the most important farmed species in Mediterranean aquaculture. The observed sexual growth and maturity dimorphism in favour of females adds value towards deciphering the sex determination system of this species. Current knowledge indicates the existence of a polygenic sex determining determination system that interacts with temperature. This was explored by restriction-site associated DNA (RAD) marker analysis in a test panel of 175 offspring that originated from a factorial cross between two dams and four sires from a single full-sib family.\\n\\nRESULTS: The first high-density single nucleotide polymorphism (SNP) based linkage map for sea bass was constructed, consisting of 6706 SNPs on 24 linkage groups. Indications for putative sex-determining QTL (quantitative trait loci) that were significant at the genome-wide threshold were detected on linkage groups 6, 11 and 18 to 21, although a genome-wide association study (GWAS) did not identify individual significant SNPs at a genome-wide threshold. A preliminary genomic prediction approach that tested the efficiency of SNP-based selection for female sea bass showed a slight advantage compared to traditional pedigree-based selection. However, when the same models were tested on the same animals for selection for greater length, a clear advantage of the SNP-based selection was observed.\\n\\nCONCLUSIONS: Overall, the results of this study provide additional support to the polygenic sex determination hypothesis in sea bass. In addition, identification of sex-ratio QTL may provide new opportunities for sex-ratio control in sea bass.","author":[{"dropping-particle":"","family":"Palaiokostas","given":"Christos","non-dropping-particle":"","parse-names":false,"suffix":""},{"dropping-particle":"","family":"Bekaert","given":"Michaël","non-dropping-particle":"","parse-names":false,"suffix":""},{"dropping-particle":"","family":"Taggart","given":"John B.","non-dropping-particle":"","parse-names":false,"suffix":""},{"dropping-particle":"","family":"Gharbi","given":"Karim","non-dropping-particle":"","parse-names":false,"suffix":""},{"dropping-particle":"","family":"McAndrew","given":"Brendan J.","non-dropping-particle":"","parse-names":false,"suffix":""},{"dropping-particle":"","family":"Chatain","given":"Béatrice","non-dropping-particle":"","parse-names":false,"suffix":""},{"dropping-particle":"","family":"Penman","given":"David J.","non-dropping-particle":"","parse-names":false,"suffix":""},{"dropping-particle":"","family":"Vandeputte","given":"Marc","non-dropping-particle":"","parse-names":false,"suffix":""}],"container-title":"Genetics Selection Evolution","id":"ITEM-4","issue":"1","issued":{"date-parts":[["2015"]]},"page":"1-10","publisher":"Genetics Selection Evolution","title":"A new SNP-based vision of the genetics of sex determination in European sea bass (Dicentrarchus labrax)","type":"article-journal","volume":"47"},"uris":["http://www.mendeley.com/documents/?uuid=5f2665cc-e368-4624-b67f-a314c06fbabb"]},{"id":"ITEM-5","itemData":{"DOI":"10.1371/journal.pone.0040701","ISSN":"19326203","abstract":"Within vertebrates, major sex determining genes can differ among taxa and even within species. In zebrafish (Danio rerio), neither heteromorphic sex chromosomes nor single sex determination genes of large effect, like Sry in mammals, have yet been identified. Furthermore, environmental factors can influence zebrafish sex determination. Although progress has been made in understanding zebrafish gonad differentiation (e.g. the influence of germ cells on gonad fate), the primary genetic basis of zebrafish sex determination remains poorly understood. To identify genetic loci associated with sex, we analyzed F2 offspring of reciprocal crosses between Oregon *AB and Nadia (NA) wild-type zebrafish stocks. Genome-wide linkage analysis, using more than 5,000 sequence-based polymorphic restriction site associated (RAD-tag) markers and population genomic analysis of more than 30,000 single nucleotide polymorphisms in our *ABxNA crosses revealed a sex-associated locus on the end of the long arm of chr-4 for both cross families, and an additional locus in the middle of chr-3 in one cross family. Additional sequencing showed that two SNPs in dmrt1 previously suggested to be functional candidates for sex determination in a cross of ABxIndia wild-type zebrafish, are not associated with sex in our AB fish. Our data show that sex determination in zebrafish is polygenic and that different genes may influence sex determination in different strains or that different genes become more important under different environmental conditions. The association of the end of chr-4 with sex is remarkable because, unique in the karyotype, this chromosome arm shares features with known sex chromosomes: it is highly heterochromatic, repetitive, late replicating, and has reduced recombination. Our results reveal that chr-4 has functional and structural properties expected of a sex chromosome.","author":[{"dropping-particle":"","family":"Anderson","given":"Jennifer L.","non-dropping-particle":"","parse-names":false,"suffix":""},{"dropping-particle":"","family":"Marí","given":"Adriana","non-dropping-particle":"","parse-names":false,"suffix":""},{"dropping-particle":"","family":"Braasch","given":"Ingo","non-dropping-particle":"","parse-names":false,"suffix":""},{"dropping-particle":"","family":"Amores","given":"Angel","non-dropping-particle":"","parse-names":false,"suffix":""},{"dropping-particle":"","family":"Hohenlohe","given":"Paul","non-dropping-particle":"","parse-names":false,"suffix":""},{"dropping-particle":"","family":"Batzel","given":"Peter","non-dropping-particle":"","parse-names":false,"suffix":""},{"dropping-particle":"","family":"Postlethwait","given":"John H.","non-dropping-particle":"","parse-names":false,"suffix":""}],"container-title":"PLoS ONE","id":"ITEM-5","issue":"7","issued":{"date-parts":[["2012"]]},"title":"Multiple sex-associated regions and a putative sex chromosome in zebrafish revealed by RAD mapping and population genomics","type":"article-journal","volume":"7"},"uris":["http://www.mendeley.com/documents/?uuid=cf8ad44c-729b-4e02-a818-d35424c9daaf"]}],"mendeley":{"formattedCitation":"&lt;sup&gt;87–91&lt;/sup&gt;","plainTextFormattedCitation":"87–91","previouslyFormattedCitation":"&lt;sup&gt;87–91&lt;/sup&gt;"},"properties":{"noteIndex":0},"schema":"https://github.com/citation-style-language/schema/raw/master/csl-citation.json"}</w:instrText>
      </w:r>
      <w:r w:rsidR="003F547B" w:rsidRPr="00E35CCB">
        <w:rPr>
          <w:rFonts w:ascii="Times New Roman" w:eastAsia="Times New Roman" w:hAnsi="Times New Roman" w:cs="Times New Roman"/>
        </w:rPr>
        <w:fldChar w:fldCharType="separate"/>
      </w:r>
      <w:r w:rsidR="0017594F" w:rsidRPr="0017594F">
        <w:rPr>
          <w:rFonts w:ascii="Times New Roman" w:eastAsia="Times New Roman" w:hAnsi="Times New Roman" w:cs="Times New Roman"/>
          <w:noProof/>
          <w:vertAlign w:val="superscript"/>
        </w:rPr>
        <w:t>87–91</w:t>
      </w:r>
      <w:r w:rsidR="003F547B" w:rsidRPr="00E35CCB">
        <w:rPr>
          <w:rFonts w:ascii="Times New Roman" w:eastAsia="Times New Roman" w:hAnsi="Times New Roman" w:cs="Times New Roman"/>
        </w:rPr>
        <w:fldChar w:fldCharType="end"/>
      </w:r>
      <w:r w:rsidRPr="00E35CCB">
        <w:rPr>
          <w:rFonts w:ascii="Times New Roman" w:eastAsia="Times New Roman" w:hAnsi="Times New Roman" w:cs="Times New Roman"/>
        </w:rPr>
        <w:t xml:space="preserve"> </w:t>
      </w:r>
      <w:r w:rsidRPr="00E35CCB">
        <w:rPr>
          <w:rFonts w:ascii="Times New Roman" w:eastAsia="Times New Roman" w:hAnsi="Times New Roman" w:cs="Times New Roman"/>
          <w:highlight w:val="white"/>
        </w:rPr>
        <w:t>or find sex specifically expressed genes using RNA-seq</w:t>
      </w:r>
      <w:r w:rsidR="002963E3" w:rsidRPr="00E35CCB">
        <w:rPr>
          <w:rFonts w:ascii="Times New Roman" w:eastAsia="Times New Roman" w:hAnsi="Times New Roman" w:cs="Times New Roman"/>
          <w:highlight w:val="white"/>
        </w:rPr>
        <w:t>.</w:t>
      </w:r>
      <w:r w:rsidR="002963E3" w:rsidRPr="00E35CCB">
        <w:rPr>
          <w:rFonts w:ascii="Times New Roman" w:eastAsia="Times New Roman" w:hAnsi="Times New Roman" w:cs="Times New Roman"/>
          <w:highlight w:val="white"/>
        </w:rPr>
        <w:fldChar w:fldCharType="begin" w:fldLock="1"/>
      </w:r>
      <w:r w:rsidR="0017594F">
        <w:rPr>
          <w:rFonts w:ascii="Times New Roman" w:eastAsia="Times New Roman" w:hAnsi="Times New Roman" w:cs="Times New Roman"/>
          <w:highlight w:val="white"/>
        </w:rPr>
        <w:instrText>ADDIN CSL_CITATION {"citationItems":[{"id":"ITEM-1","itemData":{"DOI":"10.1371/journal.pone.0118214","ISSN":"19326203","abstract":"Sex-specific markers are a prerequisite for understanding reproductive biology, genetic factors involved in sex differences, mechanisms of sex determination, and ultimately the evolution of sex chromosomes. The Western mosquitofish, Gambusia affinis, may be considered a model species for sex-chromosome evolution, as it displays female heterogamety (ZW/ ZZ), and is also ecologically interesting as a worldwide invasive species. Here, de novo RNA-sequencing on the gonads of sexually mature G. affinis was used to identify contigs that were highly transcribed in females but not in males (i.e., transcripts with ovary-specific expression). Subsequently, 129 primer pairs spanning 79 contigs were tested by PCR to identify sex-specific transcripts. Of those primer pairs, one female-specific DNA marker was identified, Sanger sequenced and subsequently validated in 115 fish. Sequence analyses revealed a high similarity between the identified sex-specific marker and the 3´ UTR of the aminomethyl transferase (amt) gene of the closely related platyfish (Xiphophorus maculatus). This is the first time that RNA-seq has been used to successfully characterize a sexspecific marker in a fish species in the absence of a genome map. Additionally, the identified sex-specific marker represents one of only a handful of such markers in fishes.","author":[{"dropping-particle":"","family":"Lamatsch","given":"Dunja K.","non-dropping-particle":"","parse-names":false,"suffix":""},{"dropping-particle":"","family":"Adolfsson","given":"Sofia","non-dropping-particle":"","parse-names":false,"suffix":""},{"dropping-particle":"","family":"Senior","given":"Alistair M.","non-dropping-particle":"","parse-names":false,"suffix":""},{"dropping-particle":"","family":"Christiansen","given":"Guntram","non-dropping-particle":"","parse-names":false,"suffix":""},{"dropping-particle":"","family":"Pichler","given":"Maria","non-dropping-particle":"","parse-names":false,"suffix":""},{"dropping-particle":"","family":"Ozaki","given":"Yuichi","non-dropping-particle":"","parse-names":false,"suffix":""},{"dropping-particle":"","family":"Smeds","given":"Linnea","non-dropping-particle":"","parse-names":false,"suffix":""},{"dropping-particle":"","family":"Schartl","given":"Manfred","non-dropping-particle":"","parse-names":false,"suffix":""},{"dropping-particle":"","family":"Nakagawa","given":"Shinichi","non-dropping-particle":"","parse-names":false,"suffix":""}],"container-title":"PLoS ONE","id":"ITEM-1","issue":"2","issued":{"date-parts":[["2015"]]},"page":"1-16","title":"A transcriptome derived female-specific marker from the invasive western mosquitofish (Gambusia affinis)","type":"article-journal","volume":"10"},"uris":["http://www.mendeley.com/documents/?uuid=05b176ad-19b5-4fb8-89e3-0bd09d3d2112"]},{"id":"ITEM-2","itemData":{"DOI":"10.1007/s10126-015-9650-z","ISSN":"14362236","abstract":"Yellow catfish (Pelteobagrus fulvidraco) is a pivotal freshwater aquaculture species in China. It shows sexual size dimorphism favoring male in growth. Whole transcriptome approach is required to get the overview of genetic toolkit for understanding the sex determination mechanism aiming at devising its monosex production. Beside gonads, the brain is also considered as a major organ for vertebrate reproduction. Transcriptomic analyses on the brain and of different developmental stages will provide the dynamic view necessary for better understanding its sex determination. In this regard, we have performed a de novo assembly of yellow catfish brain transcriptome by high throughput Illumina sequencing. A total number of 154,507 contigs were obtained with the lengths ranging from 201 to 27,822 bp and N50 of 2,101 bp, as well as 20,699 unigenes were identified. Of these unigenes, 13 and 54 unigenes were detected to be XY-specifically expressed genes (SEGs) for one and 2-year-old yellow catfish, while the corresponding numbers of XX-SEGs for those two stages were 19 and 13, respectively. Our work identifies a set of annotated genes that are candidate factors affecting sexual dimorphism as well as simple sequence repeat (SSR) and single nucleotide variation (SNV) in yellow catfish. To validate the expression patterns of the sex-related genes, we performed quantitative real-time PCR (qRT-PCR) indicating the reliability and accuracy of our analysis. The results in our study may enhance our understanding of yellow catfish sex determination and potentially help to improve the production of all-male yellow catfish for aquaculture.","author":[{"dropping-particle":"","family":"Lu","given":"Jianguo","non-dropping-particle":"","parse-names":false,"suffix":""},{"dropping-particle":"","family":"Zheng","given":"Min","non-dropping-particle":"","parse-names":false,"suffix":""},{"dropping-particle":"","family":"Zheng","given":"Jiajia","non-dropping-particle":"","parse-names":false,"suffix":""},{"dropping-particle":"","family":"Liu","given":"Jian","non-dropping-particle":"","parse-names":false,"suffix":""},{"dropping-particle":"","family":"Liu","given":"Yongzhuang","non-dropping-particle":"","parse-names":false,"suffix":""},{"dropping-particle":"","family":"Peng","given":"Lina","non-dropping-particle":"","parse-names":false,"suffix":""},{"dropping-particle":"","family":"Wang","given":"Pingping","non-dropping-particle":"","parse-names":false,"suffix":""},{"dropping-particle":"","family":"Zhang","given":"Xiaofeng","non-dropping-particle":"","parse-names":false,"suffix":""},{"dropping-particle":"","family":"Wang","given":"Qiushi","non-dropping-particle":"","parse-names":false,"suffix":""},{"dropping-particle":"","family":"Luan","given":"Peixian","non-dropping-particle":"","parse-names":false,"suffix":""},{"dropping-particle":"","family":"Mahbooband","given":"Shahid","non-dropping-particle":"","parse-names":false,"suffix":""},{"dropping-particle":"","family":"Sun","given":"Xiaowen","non-dropping-particle":"","parse-names":false,"suffix":""}],"container-title":"Marine Biotechnology","id":"ITEM-2","issue":"5","issued":{"date-parts":[["2015"]]},"page":"613-623","title":"Transcriptomic Analyses Reveal Novel Genes with Sexually Dimorphic Expression in Yellow Catfish (Pelteobagrus fulvidraco) Brain","type":"article-journal","volume":"17"},"uris":["http://www.mendeley.com/documents/?uuid=80e41a10-f1f3-41fa-9f5d-badba7ecd80c"]}],"mendeley":{"formattedCitation":"&lt;sup&gt;92,93&lt;/sup&gt;","plainTextFormattedCitation":"92,93","previouslyFormattedCitation":"&lt;sup&gt;92,93&lt;/sup&gt;"},"properties":{"noteIndex":0},"schema":"https://github.com/citation-style-language/schema/raw/master/csl-citation.json"}</w:instrText>
      </w:r>
      <w:r w:rsidR="002963E3" w:rsidRPr="00E35CCB">
        <w:rPr>
          <w:rFonts w:ascii="Times New Roman" w:eastAsia="Times New Roman" w:hAnsi="Times New Roman" w:cs="Times New Roman"/>
          <w:highlight w:val="white"/>
        </w:rPr>
        <w:fldChar w:fldCharType="separate"/>
      </w:r>
      <w:r w:rsidR="0017594F" w:rsidRPr="0017594F">
        <w:rPr>
          <w:rFonts w:ascii="Times New Roman" w:eastAsia="Times New Roman" w:hAnsi="Times New Roman" w:cs="Times New Roman"/>
          <w:noProof/>
          <w:highlight w:val="white"/>
          <w:vertAlign w:val="superscript"/>
        </w:rPr>
        <w:t>92,93</w:t>
      </w:r>
      <w:r w:rsidR="002963E3" w:rsidRPr="00E35CCB">
        <w:rPr>
          <w:rFonts w:ascii="Times New Roman" w:eastAsia="Times New Roman" w:hAnsi="Times New Roman" w:cs="Times New Roman"/>
          <w:highlight w:val="white"/>
        </w:rPr>
        <w:fldChar w:fldCharType="end"/>
      </w:r>
    </w:p>
    <w:p w14:paraId="7A69B6EA" w14:textId="77777777" w:rsidR="002430AE" w:rsidRPr="00EE1DC6" w:rsidRDefault="002430AE" w:rsidP="00EE1DC6">
      <w:pPr>
        <w:ind w:left="-270" w:right="-270"/>
        <w:jc w:val="both"/>
        <w:rPr>
          <w:rFonts w:ascii="Times New Roman" w:eastAsia="Times New Roman" w:hAnsi="Times New Roman" w:cs="Times New Roman"/>
        </w:rPr>
      </w:pPr>
    </w:p>
    <w:p w14:paraId="48198E5D" w14:textId="3AB5D23D" w:rsidR="00DA301E" w:rsidRPr="009411BA" w:rsidRDefault="007312B3" w:rsidP="009411BA">
      <w:pPr>
        <w:spacing w:line="360" w:lineRule="auto"/>
        <w:ind w:left="-270" w:right="-270"/>
        <w:jc w:val="both"/>
        <w:rPr>
          <w:rFonts w:ascii="Times New Roman" w:eastAsia="Times New Roman" w:hAnsi="Times New Roman" w:cs="Times New Roman"/>
          <w:sz w:val="24"/>
          <w:szCs w:val="24"/>
        </w:rPr>
      </w:pPr>
      <w:r w:rsidRPr="009411BA">
        <w:rPr>
          <w:rFonts w:ascii="Times New Roman" w:eastAsia="Times New Roman" w:hAnsi="Times New Roman" w:cs="Times New Roman"/>
          <w:b/>
          <w:sz w:val="24"/>
          <w:szCs w:val="24"/>
          <w:u w:val="single"/>
        </w:rPr>
        <w:t>Figures</w:t>
      </w:r>
    </w:p>
    <w:p w14:paraId="177766AC" w14:textId="77777777" w:rsidR="00DA301E" w:rsidRDefault="007312B3" w:rsidP="00E35CCB">
      <w:pPr>
        <w:ind w:left="-180" w:right="-9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FEFB4F" wp14:editId="658FEE46">
            <wp:extent cx="5644055" cy="6692462"/>
            <wp:effectExtent l="0" t="0" r="0" b="63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54737" cy="6705129"/>
                    </a:xfrm>
                    <a:prstGeom prst="rect">
                      <a:avLst/>
                    </a:prstGeom>
                    <a:ln/>
                  </pic:spPr>
                </pic:pic>
              </a:graphicData>
            </a:graphic>
          </wp:inline>
        </w:drawing>
      </w:r>
    </w:p>
    <w:p w14:paraId="5AAA82A4" w14:textId="5651BB90" w:rsidR="00DA301E" w:rsidRDefault="007312B3" w:rsidP="00E35CCB">
      <w:pPr>
        <w:ind w:left="-180" w:right="-90"/>
        <w:jc w:val="both"/>
        <w:rPr>
          <w:rFonts w:ascii="Times New Roman" w:eastAsia="Times New Roman" w:hAnsi="Times New Roman" w:cs="Times New Roman"/>
          <w:color w:val="1155CC"/>
          <w:u w:val="single"/>
        </w:rPr>
      </w:pPr>
      <w:r>
        <w:rPr>
          <w:rFonts w:ascii="Times New Roman" w:eastAsia="Times New Roman" w:hAnsi="Times New Roman" w:cs="Times New Roman"/>
        </w:rPr>
        <w:t>Figure 1. A map of the habitat range of delta smelt in the San Francisco Estuary</w:t>
      </w:r>
      <w:r w:rsidR="008E25D6">
        <w:rPr>
          <w:rFonts w:ascii="Times New Roman" w:eastAsia="Times New Roman" w:hAnsi="Times New Roman" w:cs="Times New Roman"/>
        </w:rPr>
        <w:t xml:space="preserve"> in Northern California</w:t>
      </w:r>
      <w:r>
        <w:rPr>
          <w:rFonts w:ascii="Times New Roman" w:eastAsia="Times New Roman" w:hAnsi="Times New Roman" w:cs="Times New Roman"/>
        </w:rPr>
        <w:t>. Source:</w:t>
      </w:r>
      <w:hyperlink r:id="rId11">
        <w:r>
          <w:rPr>
            <w:rFonts w:ascii="Times New Roman" w:eastAsia="Times New Roman" w:hAnsi="Times New Roman" w:cs="Times New Roman"/>
          </w:rPr>
          <w:t xml:space="preserve"> </w:t>
        </w:r>
      </w:hyperlink>
      <w:r>
        <w:fldChar w:fldCharType="begin"/>
      </w:r>
      <w:r>
        <w:instrText xml:space="preserve"> HYPERLINK "https://news.nationalgeographic.com/2015/04/150403-smelt-california-bay-delta-extinction-endangered-species-drought-fish/" </w:instrText>
      </w:r>
      <w:r>
        <w:fldChar w:fldCharType="separate"/>
      </w:r>
      <w:r>
        <w:rPr>
          <w:rFonts w:ascii="Times New Roman" w:eastAsia="Times New Roman" w:hAnsi="Times New Roman" w:cs="Times New Roman"/>
          <w:color w:val="1155CC"/>
          <w:u w:val="single"/>
        </w:rPr>
        <w:t>https://news.nationalgeographic.com/2015/04/150403-smelt-california-bay-delta-extinction-endangered-species-drought-fish/</w:t>
      </w:r>
    </w:p>
    <w:p w14:paraId="513862DC" w14:textId="44EEB722" w:rsidR="004775B3" w:rsidRDefault="007312B3" w:rsidP="004775B3">
      <w:pPr>
        <w:ind w:left="-180" w:right="-90"/>
        <w:jc w:val="both"/>
      </w:pPr>
      <w:r>
        <w:fldChar w:fldCharType="end"/>
      </w:r>
    </w:p>
    <w:p w14:paraId="14F45C8F" w14:textId="66610FCC" w:rsidR="005C64AF" w:rsidRDefault="005C64AF" w:rsidP="004775B3">
      <w:pPr>
        <w:ind w:left="-180" w:right="-90"/>
        <w:jc w:val="both"/>
        <w:rPr>
          <w:rFonts w:ascii="Times New Roman" w:hAnsi="Times New Roman" w:cs="Times New Roman"/>
        </w:rPr>
      </w:pPr>
      <w:r>
        <w:rPr>
          <w:rFonts w:ascii="Times New Roman" w:hAnsi="Times New Roman" w:cs="Times New Roman"/>
          <w:noProof/>
        </w:rPr>
        <w:lastRenderedPageBreak/>
        <w:drawing>
          <wp:inline distT="0" distB="0" distL="0" distR="0" wp14:anchorId="2377189F" wp14:editId="603823DD">
            <wp:extent cx="5943600" cy="6953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MWDNA_09_Delta_Smelt_10112018_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953885"/>
                    </a:xfrm>
                    <a:prstGeom prst="rect">
                      <a:avLst/>
                    </a:prstGeom>
                  </pic:spPr>
                </pic:pic>
              </a:graphicData>
            </a:graphic>
          </wp:inline>
        </w:drawing>
      </w:r>
    </w:p>
    <w:p w14:paraId="34A7DFC6" w14:textId="73745F9C" w:rsidR="005C64AF" w:rsidRPr="005C64AF" w:rsidRDefault="005C64AF" w:rsidP="004775B3">
      <w:pPr>
        <w:ind w:left="-180" w:right="-90"/>
        <w:jc w:val="both"/>
        <w:rPr>
          <w:rFonts w:ascii="Times New Roman" w:hAnsi="Times New Roman" w:cs="Times New Roman"/>
        </w:rPr>
      </w:pPr>
      <w:r>
        <w:rPr>
          <w:rFonts w:ascii="Times New Roman" w:eastAsia="Times New Roman" w:hAnsi="Times New Roman" w:cs="Times New Roman"/>
        </w:rPr>
        <w:t xml:space="preserve">Figure 2. </w:t>
      </w:r>
      <w:r w:rsidR="008E61F1">
        <w:rPr>
          <w:rFonts w:ascii="Times New Roman" w:eastAsia="Times New Roman" w:hAnsi="Times New Roman" w:cs="Times New Roman"/>
        </w:rPr>
        <w:t>Image of a p</w:t>
      </w:r>
      <w:r>
        <w:rPr>
          <w:rFonts w:ascii="Times New Roman" w:eastAsia="Times New Roman" w:hAnsi="Times New Roman" w:cs="Times New Roman"/>
        </w:rPr>
        <w:t xml:space="preserve">ulse field gel </w:t>
      </w:r>
      <w:r w:rsidR="008E61F1">
        <w:rPr>
          <w:rFonts w:ascii="Times New Roman" w:eastAsia="Times New Roman" w:hAnsi="Times New Roman" w:cs="Times New Roman"/>
        </w:rPr>
        <w:t>containing</w:t>
      </w:r>
      <w:r>
        <w:rPr>
          <w:rFonts w:ascii="Times New Roman" w:eastAsia="Times New Roman" w:hAnsi="Times New Roman" w:cs="Times New Roman"/>
        </w:rPr>
        <w:t xml:space="preserve"> extracted high molecular weight genomic DNA from female (DeltaSmelt_F2) and male (DeltaSmelt_M3_HSPC). The female lane shows more extracted gDNA larger than the 48kb size band.</w:t>
      </w:r>
    </w:p>
    <w:p w14:paraId="576BADD6" w14:textId="5B9A2E4A" w:rsidR="005C64AF" w:rsidRPr="005C64AF" w:rsidRDefault="005C64AF" w:rsidP="004775B3">
      <w:pPr>
        <w:ind w:left="-180" w:right="-90"/>
        <w:jc w:val="both"/>
        <w:rPr>
          <w:rFonts w:ascii="Times New Roman" w:hAnsi="Times New Roman" w:cs="Times New Roman"/>
        </w:rPr>
      </w:pPr>
    </w:p>
    <w:p w14:paraId="2607178A" w14:textId="791EDE8C" w:rsidR="004775B3" w:rsidRDefault="004775B3">
      <w:r>
        <w:br w:type="page"/>
      </w:r>
    </w:p>
    <w:p w14:paraId="304CA3C3" w14:textId="2E48AB17" w:rsidR="004775B3" w:rsidRPr="009411BA" w:rsidRDefault="004775B3" w:rsidP="009411BA">
      <w:pPr>
        <w:spacing w:line="360" w:lineRule="auto"/>
        <w:ind w:left="-180" w:right="-90"/>
        <w:jc w:val="both"/>
        <w:rPr>
          <w:rFonts w:ascii="Times New Roman" w:eastAsia="Times New Roman" w:hAnsi="Times New Roman" w:cs="Times New Roman"/>
          <w:b/>
          <w:sz w:val="24"/>
          <w:szCs w:val="24"/>
          <w:u w:val="single"/>
        </w:rPr>
      </w:pPr>
      <w:r w:rsidRPr="009411BA">
        <w:rPr>
          <w:rFonts w:ascii="Times New Roman" w:eastAsia="Times New Roman" w:hAnsi="Times New Roman" w:cs="Times New Roman"/>
          <w:b/>
          <w:sz w:val="24"/>
          <w:szCs w:val="24"/>
          <w:u w:val="single"/>
        </w:rPr>
        <w:lastRenderedPageBreak/>
        <w:t>Works Cited</w:t>
      </w:r>
    </w:p>
    <w:p w14:paraId="63815FC0" w14:textId="73FCD37D" w:rsidR="0017594F" w:rsidRPr="0017594F" w:rsidRDefault="004775B3" w:rsidP="0017594F">
      <w:pPr>
        <w:widowControl w:val="0"/>
        <w:autoSpaceDE w:val="0"/>
        <w:autoSpaceDN w:val="0"/>
        <w:adjustRightInd w:val="0"/>
        <w:spacing w:line="240" w:lineRule="auto"/>
        <w:ind w:left="640" w:hanging="640"/>
        <w:rPr>
          <w:rFonts w:ascii="Times New Roman" w:hAnsi="Times New Roman" w:cs="Times New Roman"/>
          <w:noProof/>
        </w:rPr>
      </w:pPr>
      <w:r>
        <w:fldChar w:fldCharType="begin" w:fldLock="1"/>
      </w:r>
      <w:r>
        <w:instrText xml:space="preserve">ADDIN Mendeley Bibliography CSL_BIBLIOGRAPHY </w:instrText>
      </w:r>
      <w:r>
        <w:fldChar w:fldCharType="separate"/>
      </w:r>
      <w:r w:rsidR="0017594F" w:rsidRPr="0017594F">
        <w:rPr>
          <w:rFonts w:ascii="Times New Roman" w:hAnsi="Times New Roman" w:cs="Times New Roman"/>
          <w:noProof/>
        </w:rPr>
        <w:t>1.</w:t>
      </w:r>
      <w:r w:rsidR="0017594F" w:rsidRPr="0017594F">
        <w:rPr>
          <w:rFonts w:ascii="Times New Roman" w:hAnsi="Times New Roman" w:cs="Times New Roman"/>
          <w:noProof/>
        </w:rPr>
        <w:tab/>
        <w:t xml:space="preserve">Zhang, J. The impact of next-generation on genomics. </w:t>
      </w:r>
      <w:r w:rsidR="0017594F" w:rsidRPr="0017594F">
        <w:rPr>
          <w:rFonts w:ascii="Times New Roman" w:hAnsi="Times New Roman" w:cs="Times New Roman"/>
          <w:i/>
          <w:iCs/>
          <w:noProof/>
        </w:rPr>
        <w:t>J Genet Genomics</w:t>
      </w:r>
      <w:r w:rsidR="0017594F" w:rsidRPr="0017594F">
        <w:rPr>
          <w:rFonts w:ascii="Times New Roman" w:hAnsi="Times New Roman" w:cs="Times New Roman"/>
          <w:noProof/>
        </w:rPr>
        <w:t xml:space="preserve"> </w:t>
      </w:r>
      <w:r w:rsidR="0017594F" w:rsidRPr="0017594F">
        <w:rPr>
          <w:rFonts w:ascii="Times New Roman" w:hAnsi="Times New Roman" w:cs="Times New Roman"/>
          <w:b/>
          <w:bCs/>
          <w:noProof/>
        </w:rPr>
        <w:t>38,</w:t>
      </w:r>
      <w:r w:rsidR="0017594F" w:rsidRPr="0017594F">
        <w:rPr>
          <w:rFonts w:ascii="Times New Roman" w:hAnsi="Times New Roman" w:cs="Times New Roman"/>
          <w:noProof/>
        </w:rPr>
        <w:t xml:space="preserve"> 95–109 (2011).</w:t>
      </w:r>
    </w:p>
    <w:p w14:paraId="75434401"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2.</w:t>
      </w:r>
      <w:r w:rsidRPr="0017594F">
        <w:rPr>
          <w:rFonts w:ascii="Times New Roman" w:hAnsi="Times New Roman" w:cs="Times New Roman"/>
          <w:noProof/>
        </w:rPr>
        <w:tab/>
        <w:t xml:space="preserve">Finger, A. J., Schumer, G., Benjamin, A. &amp; Blankenship, S. Evaluation and Interpretation of Genetic Effective Population Size of Delta Smelt from 2011–2014. </w:t>
      </w:r>
      <w:r w:rsidRPr="0017594F">
        <w:rPr>
          <w:rFonts w:ascii="Times New Roman" w:hAnsi="Times New Roman" w:cs="Times New Roman"/>
          <w:i/>
          <w:iCs/>
          <w:noProof/>
        </w:rPr>
        <w:t>San Fr. Estuary Watershed Sci.</w:t>
      </w:r>
      <w:r w:rsidRPr="0017594F">
        <w:rPr>
          <w:rFonts w:ascii="Times New Roman" w:hAnsi="Times New Roman" w:cs="Times New Roman"/>
          <w:noProof/>
        </w:rPr>
        <w:t xml:space="preserve"> </w:t>
      </w:r>
      <w:r w:rsidRPr="0017594F">
        <w:rPr>
          <w:rFonts w:ascii="Times New Roman" w:hAnsi="Times New Roman" w:cs="Times New Roman"/>
          <w:b/>
          <w:bCs/>
          <w:noProof/>
        </w:rPr>
        <w:t>15,</w:t>
      </w:r>
      <w:r w:rsidRPr="0017594F">
        <w:rPr>
          <w:rFonts w:ascii="Times New Roman" w:hAnsi="Times New Roman" w:cs="Times New Roman"/>
          <w:noProof/>
        </w:rPr>
        <w:t xml:space="preserve"> (2017).</w:t>
      </w:r>
    </w:p>
    <w:p w14:paraId="3094D2D9"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3.</w:t>
      </w:r>
      <w:r w:rsidRPr="0017594F">
        <w:rPr>
          <w:rFonts w:ascii="Times New Roman" w:hAnsi="Times New Roman" w:cs="Times New Roman"/>
          <w:noProof/>
        </w:rPr>
        <w:tab/>
        <w:t xml:space="preserve">Fisch, K. M., Henderson, J. M., Burton, R. S. &amp; May, B. Population genetics and conservation implications for the endangered delta smelt in the San Francisco Bay-Delta. </w:t>
      </w:r>
      <w:r w:rsidRPr="0017594F">
        <w:rPr>
          <w:rFonts w:ascii="Times New Roman" w:hAnsi="Times New Roman" w:cs="Times New Roman"/>
          <w:i/>
          <w:iCs/>
          <w:noProof/>
        </w:rPr>
        <w:t>Conserv. Genet.</w:t>
      </w:r>
      <w:r w:rsidRPr="0017594F">
        <w:rPr>
          <w:rFonts w:ascii="Times New Roman" w:hAnsi="Times New Roman" w:cs="Times New Roman"/>
          <w:noProof/>
        </w:rPr>
        <w:t xml:space="preserve"> </w:t>
      </w:r>
      <w:r w:rsidRPr="0017594F">
        <w:rPr>
          <w:rFonts w:ascii="Times New Roman" w:hAnsi="Times New Roman" w:cs="Times New Roman"/>
          <w:b/>
          <w:bCs/>
          <w:noProof/>
        </w:rPr>
        <w:t>12,</w:t>
      </w:r>
      <w:r w:rsidRPr="0017594F">
        <w:rPr>
          <w:rFonts w:ascii="Times New Roman" w:hAnsi="Times New Roman" w:cs="Times New Roman"/>
          <w:noProof/>
        </w:rPr>
        <w:t xml:space="preserve"> 1421–1434 (2011).</w:t>
      </w:r>
    </w:p>
    <w:p w14:paraId="5869ABAB"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4.</w:t>
      </w:r>
      <w:r w:rsidRPr="0017594F">
        <w:rPr>
          <w:rFonts w:ascii="Times New Roman" w:hAnsi="Times New Roman" w:cs="Times New Roman"/>
          <w:noProof/>
        </w:rPr>
        <w:tab/>
        <w:t xml:space="preserve">Moyle, P. B. </w:t>
      </w:r>
      <w:r w:rsidRPr="0017594F">
        <w:rPr>
          <w:rFonts w:ascii="Times New Roman" w:hAnsi="Times New Roman" w:cs="Times New Roman"/>
          <w:i/>
          <w:iCs/>
          <w:noProof/>
        </w:rPr>
        <w:t>Inland Fishes of California</w:t>
      </w:r>
      <w:r w:rsidRPr="0017594F">
        <w:rPr>
          <w:rFonts w:ascii="Times New Roman" w:hAnsi="Times New Roman" w:cs="Times New Roman"/>
          <w:noProof/>
        </w:rPr>
        <w:t>. (University of California Press, 2002).</w:t>
      </w:r>
    </w:p>
    <w:p w14:paraId="68EB9AFB"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5.</w:t>
      </w:r>
      <w:r w:rsidRPr="0017594F">
        <w:rPr>
          <w:rFonts w:ascii="Times New Roman" w:hAnsi="Times New Roman" w:cs="Times New Roman"/>
          <w:noProof/>
        </w:rPr>
        <w:tab/>
        <w:t xml:space="preserve">Moyle, Peter B., Brown, Larry R., Durand, John R., Hobbs, J. A. Delta Smelt: LIfe History and Decline of a Once-Adundant Species in the San Francisco Estuary. </w:t>
      </w:r>
      <w:r w:rsidRPr="0017594F">
        <w:rPr>
          <w:rFonts w:ascii="Times New Roman" w:hAnsi="Times New Roman" w:cs="Times New Roman"/>
          <w:i/>
          <w:iCs/>
          <w:noProof/>
        </w:rPr>
        <w:t>San Fr. Estuary Watershed Sci.</w:t>
      </w:r>
      <w:r w:rsidRPr="0017594F">
        <w:rPr>
          <w:rFonts w:ascii="Times New Roman" w:hAnsi="Times New Roman" w:cs="Times New Roman"/>
          <w:noProof/>
        </w:rPr>
        <w:t xml:space="preserve"> </w:t>
      </w:r>
      <w:r w:rsidRPr="0017594F">
        <w:rPr>
          <w:rFonts w:ascii="Times New Roman" w:hAnsi="Times New Roman" w:cs="Times New Roman"/>
          <w:b/>
          <w:bCs/>
          <w:noProof/>
        </w:rPr>
        <w:t>14,</w:t>
      </w:r>
      <w:r w:rsidRPr="0017594F">
        <w:rPr>
          <w:rFonts w:ascii="Times New Roman" w:hAnsi="Times New Roman" w:cs="Times New Roman"/>
          <w:noProof/>
        </w:rPr>
        <w:t xml:space="preserve"> 1–40 (2016).</w:t>
      </w:r>
    </w:p>
    <w:p w14:paraId="31A5838C"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6.</w:t>
      </w:r>
      <w:r w:rsidRPr="0017594F">
        <w:rPr>
          <w:rFonts w:ascii="Times New Roman" w:hAnsi="Times New Roman" w:cs="Times New Roman"/>
          <w:noProof/>
        </w:rPr>
        <w:tab/>
        <w:t xml:space="preserve">Sommer, T., Mejia, F., Nobriga, M., Feyrer, F. &amp; Grimaldo, L. The Spawning Migration of Delta Smelt in the Upper San Francisco Estuary. </w:t>
      </w:r>
      <w:r w:rsidRPr="0017594F">
        <w:rPr>
          <w:rFonts w:ascii="Times New Roman" w:hAnsi="Times New Roman" w:cs="Times New Roman"/>
          <w:i/>
          <w:iCs/>
          <w:noProof/>
        </w:rPr>
        <w:t>San Fr. Estuary Watershed Sci.</w:t>
      </w:r>
      <w:r w:rsidRPr="0017594F">
        <w:rPr>
          <w:rFonts w:ascii="Times New Roman" w:hAnsi="Times New Roman" w:cs="Times New Roman"/>
          <w:noProof/>
        </w:rPr>
        <w:t xml:space="preserve"> </w:t>
      </w:r>
      <w:r w:rsidRPr="0017594F">
        <w:rPr>
          <w:rFonts w:ascii="Times New Roman" w:hAnsi="Times New Roman" w:cs="Times New Roman"/>
          <w:b/>
          <w:bCs/>
          <w:noProof/>
        </w:rPr>
        <w:t>9,</w:t>
      </w:r>
      <w:r w:rsidRPr="0017594F">
        <w:rPr>
          <w:rFonts w:ascii="Times New Roman" w:hAnsi="Times New Roman" w:cs="Times New Roman"/>
          <w:noProof/>
        </w:rPr>
        <w:t xml:space="preserve"> 1–44 (2011).</w:t>
      </w:r>
    </w:p>
    <w:p w14:paraId="35B46F12"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7.</w:t>
      </w:r>
      <w:r w:rsidRPr="0017594F">
        <w:rPr>
          <w:rFonts w:ascii="Times New Roman" w:hAnsi="Times New Roman" w:cs="Times New Roman"/>
          <w:noProof/>
        </w:rPr>
        <w:tab/>
        <w:t xml:space="preserve">McAllister, D. E. </w:t>
      </w:r>
      <w:r w:rsidRPr="0017594F">
        <w:rPr>
          <w:rFonts w:ascii="Times New Roman" w:hAnsi="Times New Roman" w:cs="Times New Roman"/>
          <w:i/>
          <w:iCs/>
          <w:noProof/>
        </w:rPr>
        <w:t>Revision of the smelt family, Osmeridae.</w:t>
      </w:r>
      <w:r w:rsidRPr="0017594F">
        <w:rPr>
          <w:rFonts w:ascii="Times New Roman" w:hAnsi="Times New Roman" w:cs="Times New Roman"/>
          <w:noProof/>
        </w:rPr>
        <w:t xml:space="preserve"> (National Museum of Canada, Biological Series 191, 1963).</w:t>
      </w:r>
    </w:p>
    <w:p w14:paraId="6615DDE1"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8.</w:t>
      </w:r>
      <w:r w:rsidRPr="0017594F">
        <w:rPr>
          <w:rFonts w:ascii="Times New Roman" w:hAnsi="Times New Roman" w:cs="Times New Roman"/>
          <w:noProof/>
        </w:rPr>
        <w:tab/>
        <w:t xml:space="preserve">Rosenfield, J. A. &amp; Baxter, R. D. Population Dynamics and Distribution Patterns of Longfin Smelt in the San Francisco Estuary. </w:t>
      </w:r>
      <w:r w:rsidRPr="0017594F">
        <w:rPr>
          <w:rFonts w:ascii="Times New Roman" w:hAnsi="Times New Roman" w:cs="Times New Roman"/>
          <w:i/>
          <w:iCs/>
          <w:noProof/>
        </w:rPr>
        <w:t>Trans. Am. Fish. Soc.</w:t>
      </w:r>
      <w:r w:rsidRPr="0017594F">
        <w:rPr>
          <w:rFonts w:ascii="Times New Roman" w:hAnsi="Times New Roman" w:cs="Times New Roman"/>
          <w:noProof/>
        </w:rPr>
        <w:t xml:space="preserve"> </w:t>
      </w:r>
      <w:r w:rsidRPr="0017594F">
        <w:rPr>
          <w:rFonts w:ascii="Times New Roman" w:hAnsi="Times New Roman" w:cs="Times New Roman"/>
          <w:b/>
          <w:bCs/>
          <w:noProof/>
        </w:rPr>
        <w:t>136,</w:t>
      </w:r>
      <w:r w:rsidRPr="0017594F">
        <w:rPr>
          <w:rFonts w:ascii="Times New Roman" w:hAnsi="Times New Roman" w:cs="Times New Roman"/>
          <w:noProof/>
        </w:rPr>
        <w:t xml:space="preserve"> 1577–1592 (2007).</w:t>
      </w:r>
    </w:p>
    <w:p w14:paraId="6FEDE07E"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9.</w:t>
      </w:r>
      <w:r w:rsidRPr="0017594F">
        <w:rPr>
          <w:rFonts w:ascii="Times New Roman" w:hAnsi="Times New Roman" w:cs="Times New Roman"/>
          <w:noProof/>
        </w:rPr>
        <w:tab/>
        <w:t xml:space="preserve">Moyle, P. B., Herbold, B., Stevens, D. E. &amp; Miller, L. W. Transactions of the American Fisheries Society Life History and Status of Delta Smelt in the Sacramento-San Joaquin Estuary , California. </w:t>
      </w:r>
      <w:r w:rsidRPr="0017594F">
        <w:rPr>
          <w:rFonts w:ascii="Times New Roman" w:hAnsi="Times New Roman" w:cs="Times New Roman"/>
          <w:i/>
          <w:iCs/>
          <w:noProof/>
        </w:rPr>
        <w:t>Trans. Am. Fish. Soc.</w:t>
      </w:r>
      <w:r w:rsidRPr="0017594F">
        <w:rPr>
          <w:rFonts w:ascii="Times New Roman" w:hAnsi="Times New Roman" w:cs="Times New Roman"/>
          <w:noProof/>
        </w:rPr>
        <w:t xml:space="preserve"> </w:t>
      </w:r>
      <w:r w:rsidRPr="0017594F">
        <w:rPr>
          <w:rFonts w:ascii="Times New Roman" w:hAnsi="Times New Roman" w:cs="Times New Roman"/>
          <w:b/>
          <w:bCs/>
          <w:noProof/>
        </w:rPr>
        <w:t>121,</w:t>
      </w:r>
      <w:r w:rsidRPr="0017594F">
        <w:rPr>
          <w:rFonts w:ascii="Times New Roman" w:hAnsi="Times New Roman" w:cs="Times New Roman"/>
          <w:noProof/>
        </w:rPr>
        <w:t xml:space="preserve"> 67–77 (1992).</w:t>
      </w:r>
    </w:p>
    <w:p w14:paraId="13CA4739"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10.</w:t>
      </w:r>
      <w:r w:rsidRPr="0017594F">
        <w:rPr>
          <w:rFonts w:ascii="Times New Roman" w:hAnsi="Times New Roman" w:cs="Times New Roman"/>
          <w:noProof/>
        </w:rPr>
        <w:tab/>
        <w:t xml:space="preserve">Newman, K. B., Mitchell, L. &amp; Barnard, D. </w:t>
      </w:r>
      <w:r w:rsidRPr="0017594F">
        <w:rPr>
          <w:rFonts w:ascii="Times New Roman" w:hAnsi="Times New Roman" w:cs="Times New Roman"/>
          <w:i/>
          <w:iCs/>
          <w:noProof/>
        </w:rPr>
        <w:t>Summary of Enhanced Delta Smelt Monitoring for LOBO Independent Review Panel</w:t>
      </w:r>
      <w:r w:rsidRPr="0017594F">
        <w:rPr>
          <w:rFonts w:ascii="Times New Roman" w:hAnsi="Times New Roman" w:cs="Times New Roman"/>
          <w:noProof/>
        </w:rPr>
        <w:t>. (2017).</w:t>
      </w:r>
    </w:p>
    <w:p w14:paraId="521B1C83"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11.</w:t>
      </w:r>
      <w:r w:rsidRPr="0017594F">
        <w:rPr>
          <w:rFonts w:ascii="Times New Roman" w:hAnsi="Times New Roman" w:cs="Times New Roman"/>
          <w:noProof/>
        </w:rPr>
        <w:tab/>
        <w:t xml:space="preserve">Newman, K. B. Sample design-based methodology for estimating delta smelt abundance. </w:t>
      </w:r>
      <w:r w:rsidRPr="0017594F">
        <w:rPr>
          <w:rFonts w:ascii="Times New Roman" w:hAnsi="Times New Roman" w:cs="Times New Roman"/>
          <w:i/>
          <w:iCs/>
          <w:noProof/>
        </w:rPr>
        <w:t>San Fr. Estuary Watershed Sci.</w:t>
      </w:r>
      <w:r w:rsidRPr="0017594F">
        <w:rPr>
          <w:rFonts w:ascii="Times New Roman" w:hAnsi="Times New Roman" w:cs="Times New Roman"/>
          <w:noProof/>
        </w:rPr>
        <w:t xml:space="preserve"> </w:t>
      </w:r>
      <w:r w:rsidRPr="0017594F">
        <w:rPr>
          <w:rFonts w:ascii="Times New Roman" w:hAnsi="Times New Roman" w:cs="Times New Roman"/>
          <w:b/>
          <w:bCs/>
          <w:noProof/>
        </w:rPr>
        <w:t>6,</w:t>
      </w:r>
      <w:r w:rsidRPr="0017594F">
        <w:rPr>
          <w:rFonts w:ascii="Times New Roman" w:hAnsi="Times New Roman" w:cs="Times New Roman"/>
          <w:noProof/>
        </w:rPr>
        <w:t xml:space="preserve"> 1–18 (2008).</w:t>
      </w:r>
    </w:p>
    <w:p w14:paraId="7521C061"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12.</w:t>
      </w:r>
      <w:r w:rsidRPr="0017594F">
        <w:rPr>
          <w:rFonts w:ascii="Times New Roman" w:hAnsi="Times New Roman" w:cs="Times New Roman"/>
          <w:noProof/>
        </w:rPr>
        <w:tab/>
        <w:t xml:space="preserve">Waples, R. S. &amp; Do, C. Linkage disequilibrium estimates of contemporary Ne using highly variable genetic markers: A largely untapped resource for applied conservation and evolution. </w:t>
      </w:r>
      <w:r w:rsidRPr="0017594F">
        <w:rPr>
          <w:rFonts w:ascii="Times New Roman" w:hAnsi="Times New Roman" w:cs="Times New Roman"/>
          <w:i/>
          <w:iCs/>
          <w:noProof/>
        </w:rPr>
        <w:t>Evol. Appl.</w:t>
      </w:r>
      <w:r w:rsidRPr="0017594F">
        <w:rPr>
          <w:rFonts w:ascii="Times New Roman" w:hAnsi="Times New Roman" w:cs="Times New Roman"/>
          <w:noProof/>
        </w:rPr>
        <w:t xml:space="preserve"> </w:t>
      </w:r>
      <w:r w:rsidRPr="0017594F">
        <w:rPr>
          <w:rFonts w:ascii="Times New Roman" w:hAnsi="Times New Roman" w:cs="Times New Roman"/>
          <w:b/>
          <w:bCs/>
          <w:noProof/>
        </w:rPr>
        <w:t>3,</w:t>
      </w:r>
      <w:r w:rsidRPr="0017594F">
        <w:rPr>
          <w:rFonts w:ascii="Times New Roman" w:hAnsi="Times New Roman" w:cs="Times New Roman"/>
          <w:noProof/>
        </w:rPr>
        <w:t xml:space="preserve"> 244–262 (2010).</w:t>
      </w:r>
    </w:p>
    <w:p w14:paraId="2ADE2D92"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13.</w:t>
      </w:r>
      <w:r w:rsidRPr="0017594F">
        <w:rPr>
          <w:rFonts w:ascii="Times New Roman" w:hAnsi="Times New Roman" w:cs="Times New Roman"/>
          <w:noProof/>
        </w:rPr>
        <w:tab/>
        <w:t xml:space="preserve">Waples, R. S. A generalized approach for estimating effective population size from temporal changes in allele frequency. </w:t>
      </w:r>
      <w:r w:rsidRPr="0017594F">
        <w:rPr>
          <w:rFonts w:ascii="Times New Roman" w:hAnsi="Times New Roman" w:cs="Times New Roman"/>
          <w:i/>
          <w:iCs/>
          <w:noProof/>
        </w:rPr>
        <w:t>Genetics</w:t>
      </w:r>
      <w:r w:rsidRPr="0017594F">
        <w:rPr>
          <w:rFonts w:ascii="Times New Roman" w:hAnsi="Times New Roman" w:cs="Times New Roman"/>
          <w:noProof/>
        </w:rPr>
        <w:t xml:space="preserve"> </w:t>
      </w:r>
      <w:r w:rsidRPr="0017594F">
        <w:rPr>
          <w:rFonts w:ascii="Times New Roman" w:hAnsi="Times New Roman" w:cs="Times New Roman"/>
          <w:b/>
          <w:bCs/>
          <w:noProof/>
        </w:rPr>
        <w:t>121,</w:t>
      </w:r>
      <w:r w:rsidRPr="0017594F">
        <w:rPr>
          <w:rFonts w:ascii="Times New Roman" w:hAnsi="Times New Roman" w:cs="Times New Roman"/>
          <w:noProof/>
        </w:rPr>
        <w:t xml:space="preserve"> 379–391 (1989).</w:t>
      </w:r>
    </w:p>
    <w:p w14:paraId="2886F5E9"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14.</w:t>
      </w:r>
      <w:r w:rsidRPr="0017594F">
        <w:rPr>
          <w:rFonts w:ascii="Times New Roman" w:hAnsi="Times New Roman" w:cs="Times New Roman"/>
          <w:noProof/>
        </w:rPr>
        <w:tab/>
        <w:t xml:space="preserve">Nunziata, S. O. &amp; Weisrock, D. W. Estimation of contemporary effective population size and population declines using RAD sequence data. </w:t>
      </w:r>
      <w:r w:rsidRPr="0017594F">
        <w:rPr>
          <w:rFonts w:ascii="Times New Roman" w:hAnsi="Times New Roman" w:cs="Times New Roman"/>
          <w:i/>
          <w:iCs/>
          <w:noProof/>
        </w:rPr>
        <w:t>Heredity (Edinb).</w:t>
      </w:r>
      <w:r w:rsidRPr="0017594F">
        <w:rPr>
          <w:rFonts w:ascii="Times New Roman" w:hAnsi="Times New Roman" w:cs="Times New Roman"/>
          <w:noProof/>
        </w:rPr>
        <w:t xml:space="preserve"> </w:t>
      </w:r>
      <w:r w:rsidRPr="0017594F">
        <w:rPr>
          <w:rFonts w:ascii="Times New Roman" w:hAnsi="Times New Roman" w:cs="Times New Roman"/>
          <w:b/>
          <w:bCs/>
          <w:noProof/>
        </w:rPr>
        <w:t>120,</w:t>
      </w:r>
      <w:r w:rsidRPr="0017594F">
        <w:rPr>
          <w:rFonts w:ascii="Times New Roman" w:hAnsi="Times New Roman" w:cs="Times New Roman"/>
          <w:noProof/>
        </w:rPr>
        <w:t xml:space="preserve"> 196–207 (2018).</w:t>
      </w:r>
    </w:p>
    <w:p w14:paraId="5C94A424"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15.</w:t>
      </w:r>
      <w:r w:rsidRPr="0017594F">
        <w:rPr>
          <w:rFonts w:ascii="Times New Roman" w:hAnsi="Times New Roman" w:cs="Times New Roman"/>
          <w:noProof/>
        </w:rPr>
        <w:tab/>
        <w:t xml:space="preserve">Malmstrøm, M., Matschiner, M., Tørresen, O. K., Jakobsen, K. S. &amp; Jentoft, S. Data descriptor: Whole genome sequencing data and de novo draft assemblies for 66 teleost species. </w:t>
      </w:r>
      <w:r w:rsidRPr="0017594F">
        <w:rPr>
          <w:rFonts w:ascii="Times New Roman" w:hAnsi="Times New Roman" w:cs="Times New Roman"/>
          <w:i/>
          <w:iCs/>
          <w:noProof/>
        </w:rPr>
        <w:t>Sci. Data</w:t>
      </w:r>
      <w:r w:rsidRPr="0017594F">
        <w:rPr>
          <w:rFonts w:ascii="Times New Roman" w:hAnsi="Times New Roman" w:cs="Times New Roman"/>
          <w:noProof/>
        </w:rPr>
        <w:t xml:space="preserve"> </w:t>
      </w:r>
      <w:r w:rsidRPr="0017594F">
        <w:rPr>
          <w:rFonts w:ascii="Times New Roman" w:hAnsi="Times New Roman" w:cs="Times New Roman"/>
          <w:b/>
          <w:bCs/>
          <w:noProof/>
        </w:rPr>
        <w:t>4,</w:t>
      </w:r>
      <w:r w:rsidRPr="0017594F">
        <w:rPr>
          <w:rFonts w:ascii="Times New Roman" w:hAnsi="Times New Roman" w:cs="Times New Roman"/>
          <w:noProof/>
        </w:rPr>
        <w:t xml:space="preserve"> 1–13 (2017).</w:t>
      </w:r>
    </w:p>
    <w:p w14:paraId="4D69D145"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16.</w:t>
      </w:r>
      <w:r w:rsidRPr="0017594F">
        <w:rPr>
          <w:rFonts w:ascii="Times New Roman" w:hAnsi="Times New Roman" w:cs="Times New Roman"/>
          <w:noProof/>
        </w:rPr>
        <w:tab/>
        <w:t xml:space="preserve">Lewin, H. A. </w:t>
      </w:r>
      <w:r w:rsidRPr="0017594F">
        <w:rPr>
          <w:rFonts w:ascii="Times New Roman" w:hAnsi="Times New Roman" w:cs="Times New Roman"/>
          <w:i/>
          <w:iCs/>
          <w:noProof/>
        </w:rPr>
        <w:t>et al.</w:t>
      </w:r>
      <w:r w:rsidRPr="0017594F">
        <w:rPr>
          <w:rFonts w:ascii="Times New Roman" w:hAnsi="Times New Roman" w:cs="Times New Roman"/>
          <w:noProof/>
        </w:rPr>
        <w:t xml:space="preserve"> Earth BioGenome Project: Sequencing life for the future of life. </w:t>
      </w:r>
      <w:r w:rsidRPr="0017594F">
        <w:rPr>
          <w:rFonts w:ascii="Times New Roman" w:hAnsi="Times New Roman" w:cs="Times New Roman"/>
          <w:i/>
          <w:iCs/>
          <w:noProof/>
        </w:rPr>
        <w:t>Proc. Natl. Acad. Sci.</w:t>
      </w:r>
      <w:r w:rsidRPr="0017594F">
        <w:rPr>
          <w:rFonts w:ascii="Times New Roman" w:hAnsi="Times New Roman" w:cs="Times New Roman"/>
          <w:noProof/>
        </w:rPr>
        <w:t xml:space="preserve"> </w:t>
      </w:r>
      <w:r w:rsidRPr="0017594F">
        <w:rPr>
          <w:rFonts w:ascii="Times New Roman" w:hAnsi="Times New Roman" w:cs="Times New Roman"/>
          <w:b/>
          <w:bCs/>
          <w:noProof/>
        </w:rPr>
        <w:t>115,</w:t>
      </w:r>
      <w:r w:rsidRPr="0017594F">
        <w:rPr>
          <w:rFonts w:ascii="Times New Roman" w:hAnsi="Times New Roman" w:cs="Times New Roman"/>
          <w:noProof/>
        </w:rPr>
        <w:t xml:space="preserve"> 4325–4333 (2018).</w:t>
      </w:r>
    </w:p>
    <w:p w14:paraId="6F8E15E3"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17.</w:t>
      </w:r>
      <w:r w:rsidRPr="0017594F">
        <w:rPr>
          <w:rFonts w:ascii="Times New Roman" w:hAnsi="Times New Roman" w:cs="Times New Roman"/>
          <w:noProof/>
        </w:rPr>
        <w:tab/>
        <w:t xml:space="preserve">Koepfli, K.-P., Paten, B., Scientists,  the G. 10k C. of &amp; O’Brien, S. J. The Genome 10K Project: A Way Forward. </w:t>
      </w:r>
      <w:r w:rsidRPr="0017594F">
        <w:rPr>
          <w:rFonts w:ascii="Times New Roman" w:hAnsi="Times New Roman" w:cs="Times New Roman"/>
          <w:i/>
          <w:iCs/>
          <w:noProof/>
        </w:rPr>
        <w:t>Annu. Rev. Anim. Biosci.</w:t>
      </w:r>
      <w:r w:rsidRPr="0017594F">
        <w:rPr>
          <w:rFonts w:ascii="Times New Roman" w:hAnsi="Times New Roman" w:cs="Times New Roman"/>
          <w:noProof/>
        </w:rPr>
        <w:t xml:space="preserve"> </w:t>
      </w:r>
      <w:r w:rsidRPr="0017594F">
        <w:rPr>
          <w:rFonts w:ascii="Times New Roman" w:hAnsi="Times New Roman" w:cs="Times New Roman"/>
          <w:b/>
          <w:bCs/>
          <w:noProof/>
        </w:rPr>
        <w:t>3,</w:t>
      </w:r>
      <w:r w:rsidRPr="0017594F">
        <w:rPr>
          <w:rFonts w:ascii="Times New Roman" w:hAnsi="Times New Roman" w:cs="Times New Roman"/>
          <w:noProof/>
        </w:rPr>
        <w:t xml:space="preserve"> 57–111 (2015).</w:t>
      </w:r>
    </w:p>
    <w:p w14:paraId="38EA8CCB"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18.</w:t>
      </w:r>
      <w:r w:rsidRPr="0017594F">
        <w:rPr>
          <w:rFonts w:ascii="Times New Roman" w:hAnsi="Times New Roman" w:cs="Times New Roman"/>
          <w:noProof/>
        </w:rPr>
        <w:tab/>
        <w:t xml:space="preserve">Wasko, A. P., Martins, C., Oliveira, C. &amp; Foresti, F. Non-destructive genetic sampling in fish. An improved method for DNA extraction from fish fins and scales. </w:t>
      </w:r>
      <w:r w:rsidRPr="0017594F">
        <w:rPr>
          <w:rFonts w:ascii="Times New Roman" w:hAnsi="Times New Roman" w:cs="Times New Roman"/>
          <w:i/>
          <w:iCs/>
          <w:noProof/>
        </w:rPr>
        <w:t>Hereditas</w:t>
      </w:r>
      <w:r w:rsidRPr="0017594F">
        <w:rPr>
          <w:rFonts w:ascii="Times New Roman" w:hAnsi="Times New Roman" w:cs="Times New Roman"/>
          <w:noProof/>
        </w:rPr>
        <w:t xml:space="preserve"> </w:t>
      </w:r>
      <w:r w:rsidRPr="0017594F">
        <w:rPr>
          <w:rFonts w:ascii="Times New Roman" w:hAnsi="Times New Roman" w:cs="Times New Roman"/>
          <w:b/>
          <w:bCs/>
          <w:noProof/>
        </w:rPr>
        <w:t>138,</w:t>
      </w:r>
      <w:r w:rsidRPr="0017594F">
        <w:rPr>
          <w:rFonts w:ascii="Times New Roman" w:hAnsi="Times New Roman" w:cs="Times New Roman"/>
          <w:noProof/>
        </w:rPr>
        <w:t xml:space="preserve"> 161–165 (2003).</w:t>
      </w:r>
    </w:p>
    <w:p w14:paraId="19280DCF"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19.</w:t>
      </w:r>
      <w:r w:rsidRPr="0017594F">
        <w:rPr>
          <w:rFonts w:ascii="Times New Roman" w:hAnsi="Times New Roman" w:cs="Times New Roman"/>
          <w:noProof/>
        </w:rPr>
        <w:tab/>
        <w:t xml:space="preserve">Weisenfeld, N. I., Kumar, V., Shah, P., Church, D. M. &amp; Jaffe, D. B. Corrigendum: Direct determination of diploid genome sequences. </w:t>
      </w:r>
      <w:r w:rsidRPr="0017594F">
        <w:rPr>
          <w:rFonts w:ascii="Times New Roman" w:hAnsi="Times New Roman" w:cs="Times New Roman"/>
          <w:i/>
          <w:iCs/>
          <w:noProof/>
        </w:rPr>
        <w:t>Genome Res.</w:t>
      </w:r>
      <w:r w:rsidRPr="0017594F">
        <w:rPr>
          <w:rFonts w:ascii="Times New Roman" w:hAnsi="Times New Roman" w:cs="Times New Roman"/>
          <w:noProof/>
        </w:rPr>
        <w:t xml:space="preserve"> </w:t>
      </w:r>
      <w:r w:rsidRPr="0017594F">
        <w:rPr>
          <w:rFonts w:ascii="Times New Roman" w:hAnsi="Times New Roman" w:cs="Times New Roman"/>
          <w:b/>
          <w:bCs/>
          <w:noProof/>
        </w:rPr>
        <w:t>27,</w:t>
      </w:r>
      <w:r w:rsidRPr="0017594F">
        <w:rPr>
          <w:rFonts w:ascii="Times New Roman" w:hAnsi="Times New Roman" w:cs="Times New Roman"/>
          <w:noProof/>
        </w:rPr>
        <w:t xml:space="preserve"> 757–767 (2017).</w:t>
      </w:r>
    </w:p>
    <w:p w14:paraId="30A66B4F"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20.</w:t>
      </w:r>
      <w:r w:rsidRPr="0017594F">
        <w:rPr>
          <w:rFonts w:ascii="Times New Roman" w:hAnsi="Times New Roman" w:cs="Times New Roman"/>
          <w:noProof/>
        </w:rPr>
        <w:tab/>
        <w:t xml:space="preserve">Gurevich, A., Saveliev, V., Vyahhi, N. &amp; Tesler, G. QUAST: Quality assessment tool for genome assemblies. </w:t>
      </w:r>
      <w:r w:rsidRPr="0017594F">
        <w:rPr>
          <w:rFonts w:ascii="Times New Roman" w:hAnsi="Times New Roman" w:cs="Times New Roman"/>
          <w:i/>
          <w:iCs/>
          <w:noProof/>
        </w:rPr>
        <w:t>Bioinformatics</w:t>
      </w:r>
      <w:r w:rsidRPr="0017594F">
        <w:rPr>
          <w:rFonts w:ascii="Times New Roman" w:hAnsi="Times New Roman" w:cs="Times New Roman"/>
          <w:noProof/>
        </w:rPr>
        <w:t xml:space="preserve"> </w:t>
      </w:r>
      <w:r w:rsidRPr="0017594F">
        <w:rPr>
          <w:rFonts w:ascii="Times New Roman" w:hAnsi="Times New Roman" w:cs="Times New Roman"/>
          <w:b/>
          <w:bCs/>
          <w:noProof/>
        </w:rPr>
        <w:t>29,</w:t>
      </w:r>
      <w:r w:rsidRPr="0017594F">
        <w:rPr>
          <w:rFonts w:ascii="Times New Roman" w:hAnsi="Times New Roman" w:cs="Times New Roman"/>
          <w:noProof/>
        </w:rPr>
        <w:t xml:space="preserve"> 1072–1075 (2013).</w:t>
      </w:r>
    </w:p>
    <w:p w14:paraId="7B6F7682"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21.</w:t>
      </w:r>
      <w:r w:rsidRPr="0017594F">
        <w:rPr>
          <w:rFonts w:ascii="Times New Roman" w:hAnsi="Times New Roman" w:cs="Times New Roman"/>
          <w:noProof/>
        </w:rPr>
        <w:tab/>
        <w:t xml:space="preserve">Simão, F. A., Waterhouse, R. M., Ioannidis, P., Kriventseva, E. V. &amp; Zdobnov, E. M. BUSCO: Assessing genome assembly and annotation completeness with single-copy orthologs. </w:t>
      </w:r>
      <w:r w:rsidRPr="0017594F">
        <w:rPr>
          <w:rFonts w:ascii="Times New Roman" w:hAnsi="Times New Roman" w:cs="Times New Roman"/>
          <w:i/>
          <w:iCs/>
          <w:noProof/>
        </w:rPr>
        <w:t>Bioinformatics</w:t>
      </w:r>
      <w:r w:rsidRPr="0017594F">
        <w:rPr>
          <w:rFonts w:ascii="Times New Roman" w:hAnsi="Times New Roman" w:cs="Times New Roman"/>
          <w:noProof/>
        </w:rPr>
        <w:t xml:space="preserve"> </w:t>
      </w:r>
      <w:r w:rsidRPr="0017594F">
        <w:rPr>
          <w:rFonts w:ascii="Times New Roman" w:hAnsi="Times New Roman" w:cs="Times New Roman"/>
          <w:b/>
          <w:bCs/>
          <w:noProof/>
        </w:rPr>
        <w:t>31,</w:t>
      </w:r>
      <w:r w:rsidRPr="0017594F">
        <w:rPr>
          <w:rFonts w:ascii="Times New Roman" w:hAnsi="Times New Roman" w:cs="Times New Roman"/>
          <w:noProof/>
        </w:rPr>
        <w:t xml:space="preserve"> 3210–3212 (2015).</w:t>
      </w:r>
    </w:p>
    <w:p w14:paraId="7E225DFF"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22.</w:t>
      </w:r>
      <w:r w:rsidRPr="0017594F">
        <w:rPr>
          <w:rFonts w:ascii="Times New Roman" w:hAnsi="Times New Roman" w:cs="Times New Roman"/>
          <w:noProof/>
        </w:rPr>
        <w:tab/>
        <w:t xml:space="preserve">Korbel, J. O. &amp; Lee, C. Genome assembly and haplotyping with Hi-C. </w:t>
      </w:r>
      <w:r w:rsidRPr="0017594F">
        <w:rPr>
          <w:rFonts w:ascii="Times New Roman" w:hAnsi="Times New Roman" w:cs="Times New Roman"/>
          <w:i/>
          <w:iCs/>
          <w:noProof/>
        </w:rPr>
        <w:t>Nat. Biotechnol.</w:t>
      </w:r>
      <w:r w:rsidRPr="0017594F">
        <w:rPr>
          <w:rFonts w:ascii="Times New Roman" w:hAnsi="Times New Roman" w:cs="Times New Roman"/>
          <w:noProof/>
        </w:rPr>
        <w:t xml:space="preserve"> </w:t>
      </w:r>
      <w:r w:rsidRPr="0017594F">
        <w:rPr>
          <w:rFonts w:ascii="Times New Roman" w:hAnsi="Times New Roman" w:cs="Times New Roman"/>
          <w:b/>
          <w:bCs/>
          <w:noProof/>
        </w:rPr>
        <w:t>31,</w:t>
      </w:r>
      <w:r w:rsidRPr="0017594F">
        <w:rPr>
          <w:rFonts w:ascii="Times New Roman" w:hAnsi="Times New Roman" w:cs="Times New Roman"/>
          <w:noProof/>
        </w:rPr>
        <w:t xml:space="preserve"> 1099–1101 (2013).</w:t>
      </w:r>
    </w:p>
    <w:p w14:paraId="077CFABF"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23.</w:t>
      </w:r>
      <w:r w:rsidRPr="0017594F">
        <w:rPr>
          <w:rFonts w:ascii="Times New Roman" w:hAnsi="Times New Roman" w:cs="Times New Roman"/>
          <w:noProof/>
        </w:rPr>
        <w:tab/>
        <w:t xml:space="preserve">Kaplan, N. &amp; Dekker, J. High-throughput genome scaffolding from in vivo DNA interaction frequency. </w:t>
      </w:r>
      <w:r w:rsidRPr="0017594F">
        <w:rPr>
          <w:rFonts w:ascii="Times New Roman" w:hAnsi="Times New Roman" w:cs="Times New Roman"/>
          <w:i/>
          <w:iCs/>
          <w:noProof/>
        </w:rPr>
        <w:t>Nat. Biotechnol.</w:t>
      </w:r>
      <w:r w:rsidRPr="0017594F">
        <w:rPr>
          <w:rFonts w:ascii="Times New Roman" w:hAnsi="Times New Roman" w:cs="Times New Roman"/>
          <w:noProof/>
        </w:rPr>
        <w:t xml:space="preserve"> </w:t>
      </w:r>
      <w:r w:rsidRPr="0017594F">
        <w:rPr>
          <w:rFonts w:ascii="Times New Roman" w:hAnsi="Times New Roman" w:cs="Times New Roman"/>
          <w:b/>
          <w:bCs/>
          <w:noProof/>
        </w:rPr>
        <w:t>31,</w:t>
      </w:r>
      <w:r w:rsidRPr="0017594F">
        <w:rPr>
          <w:rFonts w:ascii="Times New Roman" w:hAnsi="Times New Roman" w:cs="Times New Roman"/>
          <w:noProof/>
        </w:rPr>
        <w:t xml:space="preserve"> 1143–1147 (2013).</w:t>
      </w:r>
    </w:p>
    <w:p w14:paraId="60AC35A5"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24.</w:t>
      </w:r>
      <w:r w:rsidRPr="0017594F">
        <w:rPr>
          <w:rFonts w:ascii="Times New Roman" w:hAnsi="Times New Roman" w:cs="Times New Roman"/>
          <w:noProof/>
        </w:rPr>
        <w:tab/>
        <w:t xml:space="preserve">Lajoie, B. R., Dekker, J. &amp; Kaplan, N. The Hitchhiker’s guide to Hi-C analysis: Practical guidelines. </w:t>
      </w:r>
      <w:r w:rsidRPr="0017594F">
        <w:rPr>
          <w:rFonts w:ascii="Times New Roman" w:hAnsi="Times New Roman" w:cs="Times New Roman"/>
          <w:i/>
          <w:iCs/>
          <w:noProof/>
        </w:rPr>
        <w:t>Methods</w:t>
      </w:r>
      <w:r w:rsidRPr="0017594F">
        <w:rPr>
          <w:rFonts w:ascii="Times New Roman" w:hAnsi="Times New Roman" w:cs="Times New Roman"/>
          <w:noProof/>
        </w:rPr>
        <w:t xml:space="preserve"> </w:t>
      </w:r>
      <w:r w:rsidRPr="0017594F">
        <w:rPr>
          <w:rFonts w:ascii="Times New Roman" w:hAnsi="Times New Roman" w:cs="Times New Roman"/>
          <w:b/>
          <w:bCs/>
          <w:noProof/>
        </w:rPr>
        <w:t>72,</w:t>
      </w:r>
      <w:r w:rsidRPr="0017594F">
        <w:rPr>
          <w:rFonts w:ascii="Times New Roman" w:hAnsi="Times New Roman" w:cs="Times New Roman"/>
          <w:noProof/>
        </w:rPr>
        <w:t xml:space="preserve"> 65–75 (2015).</w:t>
      </w:r>
    </w:p>
    <w:p w14:paraId="4992E6FD"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lastRenderedPageBreak/>
        <w:t>25.</w:t>
      </w:r>
      <w:r w:rsidRPr="0017594F">
        <w:rPr>
          <w:rFonts w:ascii="Times New Roman" w:hAnsi="Times New Roman" w:cs="Times New Roman"/>
          <w:noProof/>
        </w:rPr>
        <w:tab/>
        <w:t xml:space="preserve">Jiao, Y. </w:t>
      </w:r>
      <w:r w:rsidRPr="0017594F">
        <w:rPr>
          <w:rFonts w:ascii="Times New Roman" w:hAnsi="Times New Roman" w:cs="Times New Roman"/>
          <w:i/>
          <w:iCs/>
          <w:noProof/>
        </w:rPr>
        <w:t>et al.</w:t>
      </w:r>
      <w:r w:rsidRPr="0017594F">
        <w:rPr>
          <w:rFonts w:ascii="Times New Roman" w:hAnsi="Times New Roman" w:cs="Times New Roman"/>
          <w:noProof/>
        </w:rPr>
        <w:t xml:space="preserve"> Improved maize reference genome with single-molecule technologies. </w:t>
      </w:r>
      <w:r w:rsidRPr="0017594F">
        <w:rPr>
          <w:rFonts w:ascii="Times New Roman" w:hAnsi="Times New Roman" w:cs="Times New Roman"/>
          <w:i/>
          <w:iCs/>
          <w:noProof/>
        </w:rPr>
        <w:t>Nature</w:t>
      </w:r>
      <w:r w:rsidRPr="0017594F">
        <w:rPr>
          <w:rFonts w:ascii="Times New Roman" w:hAnsi="Times New Roman" w:cs="Times New Roman"/>
          <w:noProof/>
        </w:rPr>
        <w:t xml:space="preserve"> </w:t>
      </w:r>
      <w:r w:rsidRPr="0017594F">
        <w:rPr>
          <w:rFonts w:ascii="Times New Roman" w:hAnsi="Times New Roman" w:cs="Times New Roman"/>
          <w:b/>
          <w:bCs/>
          <w:noProof/>
        </w:rPr>
        <w:t>546,</w:t>
      </w:r>
      <w:r w:rsidRPr="0017594F">
        <w:rPr>
          <w:rFonts w:ascii="Times New Roman" w:hAnsi="Times New Roman" w:cs="Times New Roman"/>
          <w:noProof/>
        </w:rPr>
        <w:t xml:space="preserve"> 524–527 (2017).</w:t>
      </w:r>
    </w:p>
    <w:p w14:paraId="23B44EE7"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26.</w:t>
      </w:r>
      <w:r w:rsidRPr="0017594F">
        <w:rPr>
          <w:rFonts w:ascii="Times New Roman" w:hAnsi="Times New Roman" w:cs="Times New Roman"/>
          <w:noProof/>
        </w:rPr>
        <w:tab/>
        <w:t xml:space="preserve">Burton, J. N., Liachko, I., Dunham, M. J. &amp; Shendure, J. Species-Level Deconvolution of Metagenome Assemblies with Hi-C–Based Contact Probability Maps. </w:t>
      </w:r>
      <w:r w:rsidRPr="0017594F">
        <w:rPr>
          <w:rFonts w:ascii="Times New Roman" w:hAnsi="Times New Roman" w:cs="Times New Roman"/>
          <w:i/>
          <w:iCs/>
          <w:noProof/>
        </w:rPr>
        <w:t>G3&amp;amp;#58; Genes|Genomes|Genetics</w:t>
      </w:r>
      <w:r w:rsidRPr="0017594F">
        <w:rPr>
          <w:rFonts w:ascii="Times New Roman" w:hAnsi="Times New Roman" w:cs="Times New Roman"/>
          <w:noProof/>
        </w:rPr>
        <w:t xml:space="preserve"> </w:t>
      </w:r>
      <w:r w:rsidRPr="0017594F">
        <w:rPr>
          <w:rFonts w:ascii="Times New Roman" w:hAnsi="Times New Roman" w:cs="Times New Roman"/>
          <w:b/>
          <w:bCs/>
          <w:noProof/>
        </w:rPr>
        <w:t>4,</w:t>
      </w:r>
      <w:r w:rsidRPr="0017594F">
        <w:rPr>
          <w:rFonts w:ascii="Times New Roman" w:hAnsi="Times New Roman" w:cs="Times New Roman"/>
          <w:noProof/>
        </w:rPr>
        <w:t xml:space="preserve"> 1339–1346 (2014).</w:t>
      </w:r>
    </w:p>
    <w:p w14:paraId="5743C956"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27.</w:t>
      </w:r>
      <w:r w:rsidRPr="0017594F">
        <w:rPr>
          <w:rFonts w:ascii="Times New Roman" w:hAnsi="Times New Roman" w:cs="Times New Roman"/>
          <w:noProof/>
        </w:rPr>
        <w:tab/>
        <w:t xml:space="preserve">Burton, J. N. </w:t>
      </w:r>
      <w:r w:rsidRPr="0017594F">
        <w:rPr>
          <w:rFonts w:ascii="Times New Roman" w:hAnsi="Times New Roman" w:cs="Times New Roman"/>
          <w:i/>
          <w:iCs/>
          <w:noProof/>
        </w:rPr>
        <w:t>et al.</w:t>
      </w:r>
      <w:r w:rsidRPr="0017594F">
        <w:rPr>
          <w:rFonts w:ascii="Times New Roman" w:hAnsi="Times New Roman" w:cs="Times New Roman"/>
          <w:noProof/>
        </w:rPr>
        <w:t xml:space="preserve"> Chromosome-scale scaffolding of de novo genome assemblies based on chromatin interactions. </w:t>
      </w:r>
      <w:r w:rsidRPr="0017594F">
        <w:rPr>
          <w:rFonts w:ascii="Times New Roman" w:hAnsi="Times New Roman" w:cs="Times New Roman"/>
          <w:i/>
          <w:iCs/>
          <w:noProof/>
        </w:rPr>
        <w:t>Nat. Biotechnol.</w:t>
      </w:r>
      <w:r w:rsidRPr="0017594F">
        <w:rPr>
          <w:rFonts w:ascii="Times New Roman" w:hAnsi="Times New Roman" w:cs="Times New Roman"/>
          <w:noProof/>
        </w:rPr>
        <w:t xml:space="preserve"> </w:t>
      </w:r>
      <w:r w:rsidRPr="0017594F">
        <w:rPr>
          <w:rFonts w:ascii="Times New Roman" w:hAnsi="Times New Roman" w:cs="Times New Roman"/>
          <w:b/>
          <w:bCs/>
          <w:noProof/>
        </w:rPr>
        <w:t>31,</w:t>
      </w:r>
      <w:r w:rsidRPr="0017594F">
        <w:rPr>
          <w:rFonts w:ascii="Times New Roman" w:hAnsi="Times New Roman" w:cs="Times New Roman"/>
          <w:noProof/>
        </w:rPr>
        <w:t xml:space="preserve"> 1119–1125 (2013).</w:t>
      </w:r>
    </w:p>
    <w:p w14:paraId="5E8FC4C7"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28.</w:t>
      </w:r>
      <w:r w:rsidRPr="0017594F">
        <w:rPr>
          <w:rFonts w:ascii="Times New Roman" w:hAnsi="Times New Roman" w:cs="Times New Roman"/>
          <w:noProof/>
        </w:rPr>
        <w:tab/>
        <w:t xml:space="preserve">Rose, K. A., Kimmerer, W. J., Edwards, K. P. &amp; Bennett, W. A. Individual-based modeling of delta smelt population dynamics in the upper san francisco estuary: I. model description and baseline results. </w:t>
      </w:r>
      <w:r w:rsidRPr="0017594F">
        <w:rPr>
          <w:rFonts w:ascii="Times New Roman" w:hAnsi="Times New Roman" w:cs="Times New Roman"/>
          <w:i/>
          <w:iCs/>
          <w:noProof/>
        </w:rPr>
        <w:t>Trans. Am. Fish. Soc.</w:t>
      </w:r>
      <w:r w:rsidRPr="0017594F">
        <w:rPr>
          <w:rFonts w:ascii="Times New Roman" w:hAnsi="Times New Roman" w:cs="Times New Roman"/>
          <w:noProof/>
        </w:rPr>
        <w:t xml:space="preserve"> </w:t>
      </w:r>
      <w:r w:rsidRPr="0017594F">
        <w:rPr>
          <w:rFonts w:ascii="Times New Roman" w:hAnsi="Times New Roman" w:cs="Times New Roman"/>
          <w:b/>
          <w:bCs/>
          <w:noProof/>
        </w:rPr>
        <w:t>142,</w:t>
      </w:r>
      <w:r w:rsidRPr="0017594F">
        <w:rPr>
          <w:rFonts w:ascii="Times New Roman" w:hAnsi="Times New Roman" w:cs="Times New Roman"/>
          <w:noProof/>
        </w:rPr>
        <w:t xml:space="preserve"> 1238–1259 (2013).</w:t>
      </w:r>
    </w:p>
    <w:p w14:paraId="4C7CECA5"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29.</w:t>
      </w:r>
      <w:r w:rsidRPr="0017594F">
        <w:rPr>
          <w:rFonts w:ascii="Times New Roman" w:hAnsi="Times New Roman" w:cs="Times New Roman"/>
          <w:noProof/>
        </w:rPr>
        <w:tab/>
        <w:t xml:space="preserve">Fish, U. S. &amp; Service, W. </w:t>
      </w:r>
      <w:r w:rsidRPr="0017594F">
        <w:rPr>
          <w:rFonts w:ascii="Times New Roman" w:hAnsi="Times New Roman" w:cs="Times New Roman"/>
          <w:i/>
          <w:iCs/>
          <w:noProof/>
        </w:rPr>
        <w:t>Enhanced Delta Smelt Monitoring 2018-2019 Phase 1 Sampling Preliminary Analysis: DRAFT</w:t>
      </w:r>
      <w:r w:rsidRPr="0017594F">
        <w:rPr>
          <w:rFonts w:ascii="Times New Roman" w:hAnsi="Times New Roman" w:cs="Times New Roman"/>
          <w:noProof/>
        </w:rPr>
        <w:t>. (2019).</w:t>
      </w:r>
    </w:p>
    <w:p w14:paraId="6F8F546C"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30.</w:t>
      </w:r>
      <w:r w:rsidRPr="0017594F">
        <w:rPr>
          <w:rFonts w:ascii="Times New Roman" w:hAnsi="Times New Roman" w:cs="Times New Roman"/>
          <w:noProof/>
        </w:rPr>
        <w:tab/>
        <w:t xml:space="preserve">Frankham, R. Genetics and extinction. </w:t>
      </w:r>
      <w:r w:rsidRPr="0017594F">
        <w:rPr>
          <w:rFonts w:ascii="Times New Roman" w:hAnsi="Times New Roman" w:cs="Times New Roman"/>
          <w:i/>
          <w:iCs/>
          <w:noProof/>
        </w:rPr>
        <w:t>Biol. Conserv.</w:t>
      </w:r>
      <w:r w:rsidRPr="0017594F">
        <w:rPr>
          <w:rFonts w:ascii="Times New Roman" w:hAnsi="Times New Roman" w:cs="Times New Roman"/>
          <w:noProof/>
        </w:rPr>
        <w:t xml:space="preserve"> </w:t>
      </w:r>
      <w:r w:rsidRPr="0017594F">
        <w:rPr>
          <w:rFonts w:ascii="Times New Roman" w:hAnsi="Times New Roman" w:cs="Times New Roman"/>
          <w:b/>
          <w:bCs/>
          <w:noProof/>
        </w:rPr>
        <w:t>126,</w:t>
      </w:r>
      <w:r w:rsidRPr="0017594F">
        <w:rPr>
          <w:rFonts w:ascii="Times New Roman" w:hAnsi="Times New Roman" w:cs="Times New Roman"/>
          <w:noProof/>
        </w:rPr>
        <w:t xml:space="preserve"> 131–140 (2005).</w:t>
      </w:r>
    </w:p>
    <w:p w14:paraId="68A6B54F"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31.</w:t>
      </w:r>
      <w:r w:rsidRPr="0017594F">
        <w:rPr>
          <w:rFonts w:ascii="Times New Roman" w:hAnsi="Times New Roman" w:cs="Times New Roman"/>
          <w:noProof/>
        </w:rPr>
        <w:tab/>
        <w:t xml:space="preserve">Luikart, G., Ryman, N., Tallmon, D. A., Schwartz, M. K. &amp; Allendorf, F. W. Estimation of census and effective population sizes: The increasing usefulness of DNA-based approaches. </w:t>
      </w:r>
      <w:r w:rsidRPr="0017594F">
        <w:rPr>
          <w:rFonts w:ascii="Times New Roman" w:hAnsi="Times New Roman" w:cs="Times New Roman"/>
          <w:i/>
          <w:iCs/>
          <w:noProof/>
        </w:rPr>
        <w:t>Conserv. Genet.</w:t>
      </w:r>
      <w:r w:rsidRPr="0017594F">
        <w:rPr>
          <w:rFonts w:ascii="Times New Roman" w:hAnsi="Times New Roman" w:cs="Times New Roman"/>
          <w:noProof/>
        </w:rPr>
        <w:t xml:space="preserve"> </w:t>
      </w:r>
      <w:r w:rsidRPr="0017594F">
        <w:rPr>
          <w:rFonts w:ascii="Times New Roman" w:hAnsi="Times New Roman" w:cs="Times New Roman"/>
          <w:b/>
          <w:bCs/>
          <w:noProof/>
        </w:rPr>
        <w:t>11,</w:t>
      </w:r>
      <w:r w:rsidRPr="0017594F">
        <w:rPr>
          <w:rFonts w:ascii="Times New Roman" w:hAnsi="Times New Roman" w:cs="Times New Roman"/>
          <w:noProof/>
        </w:rPr>
        <w:t xml:space="preserve"> 355–373 (2010).</w:t>
      </w:r>
    </w:p>
    <w:p w14:paraId="5E867E20"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32.</w:t>
      </w:r>
      <w:r w:rsidRPr="0017594F">
        <w:rPr>
          <w:rFonts w:ascii="Times New Roman" w:hAnsi="Times New Roman" w:cs="Times New Roman"/>
          <w:noProof/>
        </w:rPr>
        <w:tab/>
        <w:t xml:space="preserve">Wright, S. Evolution in Mendelian Populations. </w:t>
      </w:r>
      <w:r w:rsidRPr="0017594F">
        <w:rPr>
          <w:rFonts w:ascii="Times New Roman" w:hAnsi="Times New Roman" w:cs="Times New Roman"/>
          <w:i/>
          <w:iCs/>
          <w:noProof/>
        </w:rPr>
        <w:t>Genetics</w:t>
      </w:r>
      <w:r w:rsidRPr="0017594F">
        <w:rPr>
          <w:rFonts w:ascii="Times New Roman" w:hAnsi="Times New Roman" w:cs="Times New Roman"/>
          <w:noProof/>
        </w:rPr>
        <w:t xml:space="preserve"> </w:t>
      </w:r>
      <w:r w:rsidRPr="0017594F">
        <w:rPr>
          <w:rFonts w:ascii="Times New Roman" w:hAnsi="Times New Roman" w:cs="Times New Roman"/>
          <w:b/>
          <w:bCs/>
          <w:noProof/>
        </w:rPr>
        <w:t>16,</w:t>
      </w:r>
      <w:r w:rsidRPr="0017594F">
        <w:rPr>
          <w:rFonts w:ascii="Times New Roman" w:hAnsi="Times New Roman" w:cs="Times New Roman"/>
          <w:noProof/>
        </w:rPr>
        <w:t xml:space="preserve"> 97–159 (1931).</w:t>
      </w:r>
    </w:p>
    <w:p w14:paraId="68A17713"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33.</w:t>
      </w:r>
      <w:r w:rsidRPr="0017594F">
        <w:rPr>
          <w:rFonts w:ascii="Times New Roman" w:hAnsi="Times New Roman" w:cs="Times New Roman"/>
          <w:noProof/>
        </w:rPr>
        <w:tab/>
        <w:t xml:space="preserve">Wang, J. Estimation of effective population sizes from data on genetic markers. </w:t>
      </w:r>
      <w:r w:rsidRPr="0017594F">
        <w:rPr>
          <w:rFonts w:ascii="Times New Roman" w:hAnsi="Times New Roman" w:cs="Times New Roman"/>
          <w:i/>
          <w:iCs/>
          <w:noProof/>
        </w:rPr>
        <w:t>Philos. Trans. R. Soc. B Biol. Sci.</w:t>
      </w:r>
      <w:r w:rsidRPr="0017594F">
        <w:rPr>
          <w:rFonts w:ascii="Times New Roman" w:hAnsi="Times New Roman" w:cs="Times New Roman"/>
          <w:noProof/>
        </w:rPr>
        <w:t xml:space="preserve"> </w:t>
      </w:r>
      <w:r w:rsidRPr="0017594F">
        <w:rPr>
          <w:rFonts w:ascii="Times New Roman" w:hAnsi="Times New Roman" w:cs="Times New Roman"/>
          <w:b/>
          <w:bCs/>
          <w:noProof/>
        </w:rPr>
        <w:t>360,</w:t>
      </w:r>
      <w:r w:rsidRPr="0017594F">
        <w:rPr>
          <w:rFonts w:ascii="Times New Roman" w:hAnsi="Times New Roman" w:cs="Times New Roman"/>
          <w:noProof/>
        </w:rPr>
        <w:t xml:space="preserve"> 1395–1409 (2005).</w:t>
      </w:r>
    </w:p>
    <w:p w14:paraId="156211DC"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34.</w:t>
      </w:r>
      <w:r w:rsidRPr="0017594F">
        <w:rPr>
          <w:rFonts w:ascii="Times New Roman" w:hAnsi="Times New Roman" w:cs="Times New Roman"/>
          <w:noProof/>
        </w:rPr>
        <w:tab/>
        <w:t xml:space="preserve">Hill, W. G. Estimation of effective population size from data on linkage disequilibrium. </w:t>
      </w:r>
      <w:r w:rsidRPr="0017594F">
        <w:rPr>
          <w:rFonts w:ascii="Times New Roman" w:hAnsi="Times New Roman" w:cs="Times New Roman"/>
          <w:i/>
          <w:iCs/>
          <w:noProof/>
        </w:rPr>
        <w:t>Genet. Res.</w:t>
      </w:r>
      <w:r w:rsidRPr="0017594F">
        <w:rPr>
          <w:rFonts w:ascii="Times New Roman" w:hAnsi="Times New Roman" w:cs="Times New Roman"/>
          <w:noProof/>
        </w:rPr>
        <w:t xml:space="preserve"> </w:t>
      </w:r>
      <w:r w:rsidRPr="0017594F">
        <w:rPr>
          <w:rFonts w:ascii="Times New Roman" w:hAnsi="Times New Roman" w:cs="Times New Roman"/>
          <w:b/>
          <w:bCs/>
          <w:noProof/>
        </w:rPr>
        <w:t>38,</w:t>
      </w:r>
      <w:r w:rsidRPr="0017594F">
        <w:rPr>
          <w:rFonts w:ascii="Times New Roman" w:hAnsi="Times New Roman" w:cs="Times New Roman"/>
          <w:noProof/>
        </w:rPr>
        <w:t xml:space="preserve"> 209 (1981).</w:t>
      </w:r>
    </w:p>
    <w:p w14:paraId="6E53E55C"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35.</w:t>
      </w:r>
      <w:r w:rsidRPr="0017594F">
        <w:rPr>
          <w:rFonts w:ascii="Times New Roman" w:hAnsi="Times New Roman" w:cs="Times New Roman"/>
          <w:noProof/>
        </w:rPr>
        <w:tab/>
        <w:t xml:space="preserve">Krimbas, C. B. &amp; Tsakas, S. THE GENETICS OF DACUS OLEAE. V. CHANGES OF ESTERASE POLYMORPHISM IN A NATURAL POPULA- TION FOLLOWING INSECTICIDE CONTROL-SELECTION OR DRIFT? </w:t>
      </w:r>
      <w:r w:rsidRPr="0017594F">
        <w:rPr>
          <w:rFonts w:ascii="Times New Roman" w:hAnsi="Times New Roman" w:cs="Times New Roman"/>
          <w:i/>
          <w:iCs/>
          <w:noProof/>
        </w:rPr>
        <w:t>Evolution (N. Y).</w:t>
      </w:r>
      <w:r w:rsidRPr="0017594F">
        <w:rPr>
          <w:rFonts w:ascii="Times New Roman" w:hAnsi="Times New Roman" w:cs="Times New Roman"/>
          <w:noProof/>
        </w:rPr>
        <w:t xml:space="preserve"> 454–460 (1971).</w:t>
      </w:r>
    </w:p>
    <w:p w14:paraId="2392DC5B"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36.</w:t>
      </w:r>
      <w:r w:rsidRPr="0017594F">
        <w:rPr>
          <w:rFonts w:ascii="Times New Roman" w:hAnsi="Times New Roman" w:cs="Times New Roman"/>
          <w:noProof/>
        </w:rPr>
        <w:tab/>
        <w:t xml:space="preserve">Watterson, G. A. On the Number of Segragating Sites in Genetic Models without Recombination. </w:t>
      </w:r>
      <w:r w:rsidRPr="0017594F">
        <w:rPr>
          <w:rFonts w:ascii="Times New Roman" w:hAnsi="Times New Roman" w:cs="Times New Roman"/>
          <w:i/>
          <w:iCs/>
          <w:noProof/>
        </w:rPr>
        <w:t>Theor. Popul. Biol.</w:t>
      </w:r>
      <w:r w:rsidRPr="0017594F">
        <w:rPr>
          <w:rFonts w:ascii="Times New Roman" w:hAnsi="Times New Roman" w:cs="Times New Roman"/>
          <w:noProof/>
        </w:rPr>
        <w:t xml:space="preserve"> </w:t>
      </w:r>
      <w:r w:rsidRPr="0017594F">
        <w:rPr>
          <w:rFonts w:ascii="Times New Roman" w:hAnsi="Times New Roman" w:cs="Times New Roman"/>
          <w:b/>
          <w:bCs/>
          <w:noProof/>
        </w:rPr>
        <w:t>276,</w:t>
      </w:r>
      <w:r w:rsidRPr="0017594F">
        <w:rPr>
          <w:rFonts w:ascii="Times New Roman" w:hAnsi="Times New Roman" w:cs="Times New Roman"/>
          <w:noProof/>
        </w:rPr>
        <w:t xml:space="preserve"> 256–276 (1975).</w:t>
      </w:r>
    </w:p>
    <w:p w14:paraId="541C521E"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37.</w:t>
      </w:r>
      <w:r w:rsidRPr="0017594F">
        <w:rPr>
          <w:rFonts w:ascii="Times New Roman" w:hAnsi="Times New Roman" w:cs="Times New Roman"/>
          <w:noProof/>
        </w:rPr>
        <w:tab/>
        <w:t xml:space="preserve">Caballero, A. Developments in the prediction of effective population size. </w:t>
      </w:r>
      <w:r w:rsidRPr="0017594F">
        <w:rPr>
          <w:rFonts w:ascii="Times New Roman" w:hAnsi="Times New Roman" w:cs="Times New Roman"/>
          <w:i/>
          <w:iCs/>
          <w:noProof/>
        </w:rPr>
        <w:t>Heredity (Edinb).</w:t>
      </w:r>
      <w:r w:rsidRPr="0017594F">
        <w:rPr>
          <w:rFonts w:ascii="Times New Roman" w:hAnsi="Times New Roman" w:cs="Times New Roman"/>
          <w:noProof/>
        </w:rPr>
        <w:t xml:space="preserve"> </w:t>
      </w:r>
      <w:r w:rsidRPr="0017594F">
        <w:rPr>
          <w:rFonts w:ascii="Times New Roman" w:hAnsi="Times New Roman" w:cs="Times New Roman"/>
          <w:b/>
          <w:bCs/>
          <w:noProof/>
        </w:rPr>
        <w:t>73,</w:t>
      </w:r>
      <w:r w:rsidRPr="0017594F">
        <w:rPr>
          <w:rFonts w:ascii="Times New Roman" w:hAnsi="Times New Roman" w:cs="Times New Roman"/>
          <w:noProof/>
        </w:rPr>
        <w:t xml:space="preserve"> 657–679 (1994).</w:t>
      </w:r>
    </w:p>
    <w:p w14:paraId="5D87388A"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38.</w:t>
      </w:r>
      <w:r w:rsidRPr="0017594F">
        <w:rPr>
          <w:rFonts w:ascii="Times New Roman" w:hAnsi="Times New Roman" w:cs="Times New Roman"/>
          <w:noProof/>
        </w:rPr>
        <w:tab/>
        <w:t xml:space="preserve">Robertson, A. The interpretation of genotypic ratios in domestic animal populations. </w:t>
      </w:r>
      <w:r w:rsidRPr="0017594F">
        <w:rPr>
          <w:rFonts w:ascii="Times New Roman" w:hAnsi="Times New Roman" w:cs="Times New Roman"/>
          <w:i/>
          <w:iCs/>
          <w:noProof/>
        </w:rPr>
        <w:t>Anim. Prod.</w:t>
      </w:r>
      <w:r w:rsidRPr="0017594F">
        <w:rPr>
          <w:rFonts w:ascii="Times New Roman" w:hAnsi="Times New Roman" w:cs="Times New Roman"/>
          <w:noProof/>
        </w:rPr>
        <w:t xml:space="preserve"> </w:t>
      </w:r>
      <w:r w:rsidRPr="0017594F">
        <w:rPr>
          <w:rFonts w:ascii="Times New Roman" w:hAnsi="Times New Roman" w:cs="Times New Roman"/>
          <w:b/>
          <w:bCs/>
          <w:noProof/>
        </w:rPr>
        <w:t>7,</w:t>
      </w:r>
      <w:r w:rsidRPr="0017594F">
        <w:rPr>
          <w:rFonts w:ascii="Times New Roman" w:hAnsi="Times New Roman" w:cs="Times New Roman"/>
          <w:noProof/>
        </w:rPr>
        <w:t xml:space="preserve"> 319–324 (1965).</w:t>
      </w:r>
    </w:p>
    <w:p w14:paraId="2790F8B3"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39.</w:t>
      </w:r>
      <w:r w:rsidRPr="0017594F">
        <w:rPr>
          <w:rFonts w:ascii="Times New Roman" w:hAnsi="Times New Roman" w:cs="Times New Roman"/>
          <w:noProof/>
        </w:rPr>
        <w:tab/>
        <w:t xml:space="preserve">Nei, M. &amp; Tajima, F. Genetic drift and estimation of effective population size. </w:t>
      </w:r>
      <w:r w:rsidRPr="0017594F">
        <w:rPr>
          <w:rFonts w:ascii="Times New Roman" w:hAnsi="Times New Roman" w:cs="Times New Roman"/>
          <w:i/>
          <w:iCs/>
          <w:noProof/>
        </w:rPr>
        <w:t>Genetics</w:t>
      </w:r>
      <w:r w:rsidRPr="0017594F">
        <w:rPr>
          <w:rFonts w:ascii="Times New Roman" w:hAnsi="Times New Roman" w:cs="Times New Roman"/>
          <w:noProof/>
        </w:rPr>
        <w:t xml:space="preserve"> </w:t>
      </w:r>
      <w:r w:rsidRPr="0017594F">
        <w:rPr>
          <w:rFonts w:ascii="Times New Roman" w:hAnsi="Times New Roman" w:cs="Times New Roman"/>
          <w:b/>
          <w:bCs/>
          <w:noProof/>
        </w:rPr>
        <w:t>98,</w:t>
      </w:r>
      <w:r w:rsidRPr="0017594F">
        <w:rPr>
          <w:rFonts w:ascii="Times New Roman" w:hAnsi="Times New Roman" w:cs="Times New Roman"/>
          <w:noProof/>
        </w:rPr>
        <w:t xml:space="preserve"> 625–640 (1981).</w:t>
      </w:r>
    </w:p>
    <w:p w14:paraId="7FA1BA73"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40.</w:t>
      </w:r>
      <w:r w:rsidRPr="0017594F">
        <w:rPr>
          <w:rFonts w:ascii="Times New Roman" w:hAnsi="Times New Roman" w:cs="Times New Roman"/>
          <w:noProof/>
        </w:rPr>
        <w:tab/>
        <w:t xml:space="preserve">Antao, T., Pérez-Figueroa, A. &amp; Luikart, G. Early detection of population declines: High power of genetic monitoring using effective population size estimators. </w:t>
      </w:r>
      <w:r w:rsidRPr="0017594F">
        <w:rPr>
          <w:rFonts w:ascii="Times New Roman" w:hAnsi="Times New Roman" w:cs="Times New Roman"/>
          <w:i/>
          <w:iCs/>
          <w:noProof/>
        </w:rPr>
        <w:t>Evol. Appl.</w:t>
      </w:r>
      <w:r w:rsidRPr="0017594F">
        <w:rPr>
          <w:rFonts w:ascii="Times New Roman" w:hAnsi="Times New Roman" w:cs="Times New Roman"/>
          <w:noProof/>
        </w:rPr>
        <w:t xml:space="preserve"> </w:t>
      </w:r>
      <w:r w:rsidRPr="0017594F">
        <w:rPr>
          <w:rFonts w:ascii="Times New Roman" w:hAnsi="Times New Roman" w:cs="Times New Roman"/>
          <w:b/>
          <w:bCs/>
          <w:noProof/>
        </w:rPr>
        <w:t>4,</w:t>
      </w:r>
      <w:r w:rsidRPr="0017594F">
        <w:rPr>
          <w:rFonts w:ascii="Times New Roman" w:hAnsi="Times New Roman" w:cs="Times New Roman"/>
          <w:noProof/>
        </w:rPr>
        <w:t xml:space="preserve"> 144–154 (2011).</w:t>
      </w:r>
    </w:p>
    <w:p w14:paraId="7A7ABC4B"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41.</w:t>
      </w:r>
      <w:r w:rsidRPr="0017594F">
        <w:rPr>
          <w:rFonts w:ascii="Times New Roman" w:hAnsi="Times New Roman" w:cs="Times New Roman"/>
          <w:noProof/>
        </w:rPr>
        <w:tab/>
        <w:t xml:space="preserve">Griffiths, A., Gelbart, W., Miller, J. &amp; Lewontin, R. </w:t>
      </w:r>
      <w:r w:rsidRPr="0017594F">
        <w:rPr>
          <w:rFonts w:ascii="Times New Roman" w:hAnsi="Times New Roman" w:cs="Times New Roman"/>
          <w:i/>
          <w:iCs/>
          <w:noProof/>
        </w:rPr>
        <w:t>Modern Genetic Analysis</w:t>
      </w:r>
      <w:r w:rsidRPr="0017594F">
        <w:rPr>
          <w:rFonts w:ascii="Times New Roman" w:hAnsi="Times New Roman" w:cs="Times New Roman"/>
          <w:noProof/>
        </w:rPr>
        <w:t>. (W. H. Freeman, 1999).</w:t>
      </w:r>
    </w:p>
    <w:p w14:paraId="51968673"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42.</w:t>
      </w:r>
      <w:r w:rsidRPr="0017594F">
        <w:rPr>
          <w:rFonts w:ascii="Times New Roman" w:hAnsi="Times New Roman" w:cs="Times New Roman"/>
          <w:noProof/>
        </w:rPr>
        <w:tab/>
        <w:t xml:space="preserve">Peel, D., Ovenden, J. R. &amp; Peel, S. L. NeEstimator: software for estimating effective population size (version 1.3). </w:t>
      </w:r>
      <w:r w:rsidRPr="0017594F">
        <w:rPr>
          <w:rFonts w:ascii="Times New Roman" w:hAnsi="Times New Roman" w:cs="Times New Roman"/>
          <w:i/>
          <w:iCs/>
          <w:noProof/>
        </w:rPr>
        <w:t>Dep. Prim. Ind. Fish. Queensl. Gov. Brisbane</w:t>
      </w:r>
      <w:r w:rsidRPr="0017594F">
        <w:rPr>
          <w:rFonts w:ascii="Times New Roman" w:hAnsi="Times New Roman" w:cs="Times New Roman"/>
          <w:noProof/>
        </w:rPr>
        <w:t xml:space="preserve"> (2004).</w:t>
      </w:r>
    </w:p>
    <w:p w14:paraId="16B0D7B3"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43.</w:t>
      </w:r>
      <w:r w:rsidRPr="0017594F">
        <w:rPr>
          <w:rFonts w:ascii="Times New Roman" w:hAnsi="Times New Roman" w:cs="Times New Roman"/>
          <w:noProof/>
        </w:rPr>
        <w:tab/>
        <w:t xml:space="preserve">Do, C. </w:t>
      </w:r>
      <w:r w:rsidRPr="0017594F">
        <w:rPr>
          <w:rFonts w:ascii="Times New Roman" w:hAnsi="Times New Roman" w:cs="Times New Roman"/>
          <w:i/>
          <w:iCs/>
          <w:noProof/>
        </w:rPr>
        <w:t>et al.</w:t>
      </w:r>
      <w:r w:rsidRPr="0017594F">
        <w:rPr>
          <w:rFonts w:ascii="Times New Roman" w:hAnsi="Times New Roman" w:cs="Times New Roman"/>
          <w:noProof/>
        </w:rPr>
        <w:t xml:space="preserve"> Ne ESTIMATOR v2 : re - implementation of software for the estimation of contemporary effective population size ( N e ) from genetic data. </w:t>
      </w:r>
      <w:r w:rsidRPr="0017594F">
        <w:rPr>
          <w:rFonts w:ascii="Times New Roman" w:hAnsi="Times New Roman" w:cs="Times New Roman"/>
          <w:i/>
          <w:iCs/>
          <w:noProof/>
        </w:rPr>
        <w:t>Mol. Ecol. Resour.</w:t>
      </w:r>
      <w:r w:rsidRPr="0017594F">
        <w:rPr>
          <w:rFonts w:ascii="Times New Roman" w:hAnsi="Times New Roman" w:cs="Times New Roman"/>
          <w:noProof/>
        </w:rPr>
        <w:t xml:space="preserve"> </w:t>
      </w:r>
      <w:r w:rsidRPr="0017594F">
        <w:rPr>
          <w:rFonts w:ascii="Times New Roman" w:hAnsi="Times New Roman" w:cs="Times New Roman"/>
          <w:b/>
          <w:bCs/>
          <w:noProof/>
        </w:rPr>
        <w:t>14,</w:t>
      </w:r>
      <w:r w:rsidRPr="0017594F">
        <w:rPr>
          <w:rFonts w:ascii="Times New Roman" w:hAnsi="Times New Roman" w:cs="Times New Roman"/>
          <w:noProof/>
        </w:rPr>
        <w:t xml:space="preserve"> 209–214 (2014).</w:t>
      </w:r>
    </w:p>
    <w:p w14:paraId="194FB36A"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44.</w:t>
      </w:r>
      <w:r w:rsidRPr="0017594F">
        <w:rPr>
          <w:rFonts w:ascii="Times New Roman" w:hAnsi="Times New Roman" w:cs="Times New Roman"/>
          <w:noProof/>
        </w:rPr>
        <w:tab/>
        <w:t xml:space="preserve">Ali, O. A. </w:t>
      </w:r>
      <w:r w:rsidRPr="0017594F">
        <w:rPr>
          <w:rFonts w:ascii="Times New Roman" w:hAnsi="Times New Roman" w:cs="Times New Roman"/>
          <w:i/>
          <w:iCs/>
          <w:noProof/>
        </w:rPr>
        <w:t>et al.</w:t>
      </w:r>
      <w:r w:rsidRPr="0017594F">
        <w:rPr>
          <w:rFonts w:ascii="Times New Roman" w:hAnsi="Times New Roman" w:cs="Times New Roman"/>
          <w:noProof/>
        </w:rPr>
        <w:t xml:space="preserve"> Rad capture (Rapture): Flexible and efficient sequence-based genotyping. </w:t>
      </w:r>
      <w:r w:rsidRPr="0017594F">
        <w:rPr>
          <w:rFonts w:ascii="Times New Roman" w:hAnsi="Times New Roman" w:cs="Times New Roman"/>
          <w:i/>
          <w:iCs/>
          <w:noProof/>
        </w:rPr>
        <w:t>Genetics</w:t>
      </w:r>
      <w:r w:rsidRPr="0017594F">
        <w:rPr>
          <w:rFonts w:ascii="Times New Roman" w:hAnsi="Times New Roman" w:cs="Times New Roman"/>
          <w:noProof/>
        </w:rPr>
        <w:t xml:space="preserve"> </w:t>
      </w:r>
      <w:r w:rsidRPr="0017594F">
        <w:rPr>
          <w:rFonts w:ascii="Times New Roman" w:hAnsi="Times New Roman" w:cs="Times New Roman"/>
          <w:b/>
          <w:bCs/>
          <w:noProof/>
        </w:rPr>
        <w:t>202,</w:t>
      </w:r>
      <w:r w:rsidRPr="0017594F">
        <w:rPr>
          <w:rFonts w:ascii="Times New Roman" w:hAnsi="Times New Roman" w:cs="Times New Roman"/>
          <w:noProof/>
        </w:rPr>
        <w:t xml:space="preserve"> 389–400 (2016).</w:t>
      </w:r>
    </w:p>
    <w:p w14:paraId="21A2A4A1"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45.</w:t>
      </w:r>
      <w:r w:rsidRPr="0017594F">
        <w:rPr>
          <w:rFonts w:ascii="Times New Roman" w:hAnsi="Times New Roman" w:cs="Times New Roman"/>
          <w:noProof/>
        </w:rPr>
        <w:tab/>
        <w:t xml:space="preserve">Li, H. </w:t>
      </w:r>
      <w:r w:rsidRPr="0017594F">
        <w:rPr>
          <w:rFonts w:ascii="Times New Roman" w:hAnsi="Times New Roman" w:cs="Times New Roman"/>
          <w:i/>
          <w:iCs/>
          <w:noProof/>
        </w:rPr>
        <w:t>et al.</w:t>
      </w:r>
      <w:r w:rsidRPr="0017594F">
        <w:rPr>
          <w:rFonts w:ascii="Times New Roman" w:hAnsi="Times New Roman" w:cs="Times New Roman"/>
          <w:noProof/>
        </w:rPr>
        <w:t xml:space="preserve"> The Sequence Alignment/Map format and SAMtools. </w:t>
      </w:r>
      <w:r w:rsidRPr="0017594F">
        <w:rPr>
          <w:rFonts w:ascii="Times New Roman" w:hAnsi="Times New Roman" w:cs="Times New Roman"/>
          <w:i/>
          <w:iCs/>
          <w:noProof/>
        </w:rPr>
        <w:t>Bioinformatics</w:t>
      </w:r>
      <w:r w:rsidRPr="0017594F">
        <w:rPr>
          <w:rFonts w:ascii="Times New Roman" w:hAnsi="Times New Roman" w:cs="Times New Roman"/>
          <w:noProof/>
        </w:rPr>
        <w:t xml:space="preserve"> </w:t>
      </w:r>
      <w:r w:rsidRPr="0017594F">
        <w:rPr>
          <w:rFonts w:ascii="Times New Roman" w:hAnsi="Times New Roman" w:cs="Times New Roman"/>
          <w:b/>
          <w:bCs/>
          <w:noProof/>
        </w:rPr>
        <w:t>25,</w:t>
      </w:r>
      <w:r w:rsidRPr="0017594F">
        <w:rPr>
          <w:rFonts w:ascii="Times New Roman" w:hAnsi="Times New Roman" w:cs="Times New Roman"/>
          <w:noProof/>
        </w:rPr>
        <w:t xml:space="preserve"> 2078–2079 (2009).</w:t>
      </w:r>
    </w:p>
    <w:p w14:paraId="77927406"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46.</w:t>
      </w:r>
      <w:r w:rsidRPr="0017594F">
        <w:rPr>
          <w:rFonts w:ascii="Times New Roman" w:hAnsi="Times New Roman" w:cs="Times New Roman"/>
          <w:noProof/>
        </w:rPr>
        <w:tab/>
        <w:t xml:space="preserve">Ruby, J. G., Bellare, P. &amp; DeRisi, J. L. PRICE: Software for the Targeted Assembly of Components of (Meta) Genomic Sequence Data. </w:t>
      </w:r>
      <w:r w:rsidRPr="0017594F">
        <w:rPr>
          <w:rFonts w:ascii="Times New Roman" w:hAnsi="Times New Roman" w:cs="Times New Roman"/>
          <w:i/>
          <w:iCs/>
          <w:noProof/>
        </w:rPr>
        <w:t>G3&amp;amp;#58; Genes|Genomes|Genetics</w:t>
      </w:r>
      <w:r w:rsidRPr="0017594F">
        <w:rPr>
          <w:rFonts w:ascii="Times New Roman" w:hAnsi="Times New Roman" w:cs="Times New Roman"/>
          <w:noProof/>
        </w:rPr>
        <w:t xml:space="preserve"> </w:t>
      </w:r>
      <w:r w:rsidRPr="0017594F">
        <w:rPr>
          <w:rFonts w:ascii="Times New Roman" w:hAnsi="Times New Roman" w:cs="Times New Roman"/>
          <w:b/>
          <w:bCs/>
          <w:noProof/>
        </w:rPr>
        <w:t>3,</w:t>
      </w:r>
      <w:r w:rsidRPr="0017594F">
        <w:rPr>
          <w:rFonts w:ascii="Times New Roman" w:hAnsi="Times New Roman" w:cs="Times New Roman"/>
          <w:noProof/>
        </w:rPr>
        <w:t xml:space="preserve"> 865–880 (2013).</w:t>
      </w:r>
    </w:p>
    <w:p w14:paraId="487A0B95"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47.</w:t>
      </w:r>
      <w:r w:rsidRPr="0017594F">
        <w:rPr>
          <w:rFonts w:ascii="Times New Roman" w:hAnsi="Times New Roman" w:cs="Times New Roman"/>
          <w:noProof/>
        </w:rPr>
        <w:tab/>
        <w:t xml:space="preserve">Li, H. &amp; Durbin, R. Fast and accurate short read alignment with Burrows-Wheeler transform. </w:t>
      </w:r>
      <w:r w:rsidRPr="0017594F">
        <w:rPr>
          <w:rFonts w:ascii="Times New Roman" w:hAnsi="Times New Roman" w:cs="Times New Roman"/>
          <w:i/>
          <w:iCs/>
          <w:noProof/>
        </w:rPr>
        <w:t>Bioinformatics</w:t>
      </w:r>
      <w:r w:rsidRPr="0017594F">
        <w:rPr>
          <w:rFonts w:ascii="Times New Roman" w:hAnsi="Times New Roman" w:cs="Times New Roman"/>
          <w:noProof/>
        </w:rPr>
        <w:t xml:space="preserve"> </w:t>
      </w:r>
      <w:r w:rsidRPr="0017594F">
        <w:rPr>
          <w:rFonts w:ascii="Times New Roman" w:hAnsi="Times New Roman" w:cs="Times New Roman"/>
          <w:b/>
          <w:bCs/>
          <w:noProof/>
        </w:rPr>
        <w:t>25,</w:t>
      </w:r>
      <w:r w:rsidRPr="0017594F">
        <w:rPr>
          <w:rFonts w:ascii="Times New Roman" w:hAnsi="Times New Roman" w:cs="Times New Roman"/>
          <w:noProof/>
        </w:rPr>
        <w:t xml:space="preserve"> 1754–1760 (2009).</w:t>
      </w:r>
    </w:p>
    <w:p w14:paraId="0D1B2148"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48.</w:t>
      </w:r>
      <w:r w:rsidRPr="0017594F">
        <w:rPr>
          <w:rFonts w:ascii="Times New Roman" w:hAnsi="Times New Roman" w:cs="Times New Roman"/>
          <w:noProof/>
        </w:rPr>
        <w:tab/>
        <w:t xml:space="preserve">Depristo, M. A. </w:t>
      </w:r>
      <w:r w:rsidRPr="0017594F">
        <w:rPr>
          <w:rFonts w:ascii="Times New Roman" w:hAnsi="Times New Roman" w:cs="Times New Roman"/>
          <w:i/>
          <w:iCs/>
          <w:noProof/>
        </w:rPr>
        <w:t>et al.</w:t>
      </w:r>
      <w:r w:rsidRPr="0017594F">
        <w:rPr>
          <w:rFonts w:ascii="Times New Roman" w:hAnsi="Times New Roman" w:cs="Times New Roman"/>
          <w:noProof/>
        </w:rPr>
        <w:t xml:space="preserve"> A framework for variation discovery and genotyping using next-generation DNA sequencing data. </w:t>
      </w:r>
      <w:r w:rsidRPr="0017594F">
        <w:rPr>
          <w:rFonts w:ascii="Times New Roman" w:hAnsi="Times New Roman" w:cs="Times New Roman"/>
          <w:i/>
          <w:iCs/>
          <w:noProof/>
        </w:rPr>
        <w:t>Nat. Genet.</w:t>
      </w:r>
      <w:r w:rsidRPr="0017594F">
        <w:rPr>
          <w:rFonts w:ascii="Times New Roman" w:hAnsi="Times New Roman" w:cs="Times New Roman"/>
          <w:noProof/>
        </w:rPr>
        <w:t xml:space="preserve"> </w:t>
      </w:r>
      <w:r w:rsidRPr="0017594F">
        <w:rPr>
          <w:rFonts w:ascii="Times New Roman" w:hAnsi="Times New Roman" w:cs="Times New Roman"/>
          <w:b/>
          <w:bCs/>
          <w:noProof/>
        </w:rPr>
        <w:t>43,</w:t>
      </w:r>
      <w:r w:rsidRPr="0017594F">
        <w:rPr>
          <w:rFonts w:ascii="Times New Roman" w:hAnsi="Times New Roman" w:cs="Times New Roman"/>
          <w:noProof/>
        </w:rPr>
        <w:t xml:space="preserve"> 491–501 (2011).</w:t>
      </w:r>
    </w:p>
    <w:p w14:paraId="64D88BF0"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49.</w:t>
      </w:r>
      <w:r w:rsidRPr="0017594F">
        <w:rPr>
          <w:rFonts w:ascii="Times New Roman" w:hAnsi="Times New Roman" w:cs="Times New Roman"/>
          <w:noProof/>
        </w:rPr>
        <w:tab/>
        <w:t xml:space="preserve">McKenna, A. </w:t>
      </w:r>
      <w:r w:rsidRPr="0017594F">
        <w:rPr>
          <w:rFonts w:ascii="Times New Roman" w:hAnsi="Times New Roman" w:cs="Times New Roman"/>
          <w:i/>
          <w:iCs/>
          <w:noProof/>
        </w:rPr>
        <w:t>et al.</w:t>
      </w:r>
      <w:r w:rsidRPr="0017594F">
        <w:rPr>
          <w:rFonts w:ascii="Times New Roman" w:hAnsi="Times New Roman" w:cs="Times New Roman"/>
          <w:noProof/>
        </w:rPr>
        <w:t xml:space="preserve"> The Genome Analysis Toolkit: A MapReduce framework for analyzing next-generation DNA sequencing data. </w:t>
      </w:r>
      <w:r w:rsidRPr="0017594F">
        <w:rPr>
          <w:rFonts w:ascii="Times New Roman" w:hAnsi="Times New Roman" w:cs="Times New Roman"/>
          <w:i/>
          <w:iCs/>
          <w:noProof/>
        </w:rPr>
        <w:t>Genome Res.</w:t>
      </w:r>
      <w:r w:rsidRPr="0017594F">
        <w:rPr>
          <w:rFonts w:ascii="Times New Roman" w:hAnsi="Times New Roman" w:cs="Times New Roman"/>
          <w:noProof/>
        </w:rPr>
        <w:t xml:space="preserve"> </w:t>
      </w:r>
      <w:r w:rsidRPr="0017594F">
        <w:rPr>
          <w:rFonts w:ascii="Times New Roman" w:hAnsi="Times New Roman" w:cs="Times New Roman"/>
          <w:b/>
          <w:bCs/>
          <w:noProof/>
        </w:rPr>
        <w:t>20,</w:t>
      </w:r>
      <w:r w:rsidRPr="0017594F">
        <w:rPr>
          <w:rFonts w:ascii="Times New Roman" w:hAnsi="Times New Roman" w:cs="Times New Roman"/>
          <w:noProof/>
        </w:rPr>
        <w:t xml:space="preserve"> 254–260 (2010).</w:t>
      </w:r>
    </w:p>
    <w:p w14:paraId="627D6CA6"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lastRenderedPageBreak/>
        <w:t>50.</w:t>
      </w:r>
      <w:r w:rsidRPr="0017594F">
        <w:rPr>
          <w:rFonts w:ascii="Times New Roman" w:hAnsi="Times New Roman" w:cs="Times New Roman"/>
          <w:noProof/>
        </w:rPr>
        <w:tab/>
        <w:t xml:space="preserve">Ni, S. &amp; Stoneking, M. Improvement in detection of minor alleles in next generation sequencing by base quality recalibration. </w:t>
      </w:r>
      <w:r w:rsidRPr="0017594F">
        <w:rPr>
          <w:rFonts w:ascii="Times New Roman" w:hAnsi="Times New Roman" w:cs="Times New Roman"/>
          <w:i/>
          <w:iCs/>
          <w:noProof/>
        </w:rPr>
        <w:t>BMC Genomics</w:t>
      </w:r>
      <w:r w:rsidRPr="0017594F">
        <w:rPr>
          <w:rFonts w:ascii="Times New Roman" w:hAnsi="Times New Roman" w:cs="Times New Roman"/>
          <w:noProof/>
        </w:rPr>
        <w:t xml:space="preserve"> </w:t>
      </w:r>
      <w:r w:rsidRPr="0017594F">
        <w:rPr>
          <w:rFonts w:ascii="Times New Roman" w:hAnsi="Times New Roman" w:cs="Times New Roman"/>
          <w:b/>
          <w:bCs/>
          <w:noProof/>
        </w:rPr>
        <w:t>17,</w:t>
      </w:r>
      <w:r w:rsidRPr="0017594F">
        <w:rPr>
          <w:rFonts w:ascii="Times New Roman" w:hAnsi="Times New Roman" w:cs="Times New Roman"/>
          <w:noProof/>
        </w:rPr>
        <w:t xml:space="preserve"> 1–12 (2016).</w:t>
      </w:r>
    </w:p>
    <w:p w14:paraId="00BDFCD1"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51.</w:t>
      </w:r>
      <w:r w:rsidRPr="0017594F">
        <w:rPr>
          <w:rFonts w:ascii="Times New Roman" w:hAnsi="Times New Roman" w:cs="Times New Roman"/>
          <w:noProof/>
        </w:rPr>
        <w:tab/>
        <w:t xml:space="preserve">Korneliussen, T. S., Albrechtsen, A. &amp; Nielsen, R. ANGSD: Analysis of Next Generation Sequencing Data. </w:t>
      </w:r>
      <w:r w:rsidRPr="0017594F">
        <w:rPr>
          <w:rFonts w:ascii="Times New Roman" w:hAnsi="Times New Roman" w:cs="Times New Roman"/>
          <w:i/>
          <w:iCs/>
          <w:noProof/>
        </w:rPr>
        <w:t>BMC Bioinformatics</w:t>
      </w:r>
      <w:r w:rsidRPr="0017594F">
        <w:rPr>
          <w:rFonts w:ascii="Times New Roman" w:hAnsi="Times New Roman" w:cs="Times New Roman"/>
          <w:noProof/>
        </w:rPr>
        <w:t xml:space="preserve"> </w:t>
      </w:r>
      <w:r w:rsidRPr="0017594F">
        <w:rPr>
          <w:rFonts w:ascii="Times New Roman" w:hAnsi="Times New Roman" w:cs="Times New Roman"/>
          <w:b/>
          <w:bCs/>
          <w:noProof/>
        </w:rPr>
        <w:t>15,</w:t>
      </w:r>
      <w:r w:rsidRPr="0017594F">
        <w:rPr>
          <w:rFonts w:ascii="Times New Roman" w:hAnsi="Times New Roman" w:cs="Times New Roman"/>
          <w:noProof/>
        </w:rPr>
        <w:t xml:space="preserve"> 1–13 (2014).</w:t>
      </w:r>
    </w:p>
    <w:p w14:paraId="13988F9B"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52.</w:t>
      </w:r>
      <w:r w:rsidRPr="0017594F">
        <w:rPr>
          <w:rFonts w:ascii="Times New Roman" w:hAnsi="Times New Roman" w:cs="Times New Roman"/>
          <w:noProof/>
        </w:rPr>
        <w:tab/>
        <w:t xml:space="preserve">Pritchard, J. K., Stephens, M. &amp; Donnelly, P. Inference of population structure using multilocus genotype data. </w:t>
      </w:r>
      <w:r w:rsidRPr="0017594F">
        <w:rPr>
          <w:rFonts w:ascii="Times New Roman" w:hAnsi="Times New Roman" w:cs="Times New Roman"/>
          <w:i/>
          <w:iCs/>
          <w:noProof/>
        </w:rPr>
        <w:t>Genetics</w:t>
      </w:r>
      <w:r w:rsidRPr="0017594F">
        <w:rPr>
          <w:rFonts w:ascii="Times New Roman" w:hAnsi="Times New Roman" w:cs="Times New Roman"/>
          <w:noProof/>
        </w:rPr>
        <w:t xml:space="preserve"> </w:t>
      </w:r>
      <w:r w:rsidRPr="0017594F">
        <w:rPr>
          <w:rFonts w:ascii="Times New Roman" w:hAnsi="Times New Roman" w:cs="Times New Roman"/>
          <w:b/>
          <w:bCs/>
          <w:noProof/>
        </w:rPr>
        <w:t>155,</w:t>
      </w:r>
      <w:r w:rsidRPr="0017594F">
        <w:rPr>
          <w:rFonts w:ascii="Times New Roman" w:hAnsi="Times New Roman" w:cs="Times New Roman"/>
          <w:noProof/>
        </w:rPr>
        <w:t xml:space="preserve"> 945–959 (2000).</w:t>
      </w:r>
    </w:p>
    <w:p w14:paraId="5EC9F131"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53.</w:t>
      </w:r>
      <w:r w:rsidRPr="0017594F">
        <w:rPr>
          <w:rFonts w:ascii="Times New Roman" w:hAnsi="Times New Roman" w:cs="Times New Roman"/>
          <w:noProof/>
        </w:rPr>
        <w:tab/>
        <w:t xml:space="preserve">Gilbert, K. J. &amp; Whitlock, M. C. Evaluating methods for estimating local effective population size with and without migration. </w:t>
      </w:r>
      <w:r w:rsidRPr="0017594F">
        <w:rPr>
          <w:rFonts w:ascii="Times New Roman" w:hAnsi="Times New Roman" w:cs="Times New Roman"/>
          <w:i/>
          <w:iCs/>
          <w:noProof/>
        </w:rPr>
        <w:t>Evolution (N. Y).</w:t>
      </w:r>
      <w:r w:rsidRPr="0017594F">
        <w:rPr>
          <w:rFonts w:ascii="Times New Roman" w:hAnsi="Times New Roman" w:cs="Times New Roman"/>
          <w:noProof/>
        </w:rPr>
        <w:t xml:space="preserve"> </w:t>
      </w:r>
      <w:r w:rsidRPr="0017594F">
        <w:rPr>
          <w:rFonts w:ascii="Times New Roman" w:hAnsi="Times New Roman" w:cs="Times New Roman"/>
          <w:b/>
          <w:bCs/>
          <w:noProof/>
        </w:rPr>
        <w:t>69,</w:t>
      </w:r>
      <w:r w:rsidRPr="0017594F">
        <w:rPr>
          <w:rFonts w:ascii="Times New Roman" w:hAnsi="Times New Roman" w:cs="Times New Roman"/>
          <w:noProof/>
        </w:rPr>
        <w:t xml:space="preserve"> 2154–2166 (2015).</w:t>
      </w:r>
    </w:p>
    <w:p w14:paraId="0436DFE0"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54.</w:t>
      </w:r>
      <w:r w:rsidRPr="0017594F">
        <w:rPr>
          <w:rFonts w:ascii="Times New Roman" w:hAnsi="Times New Roman" w:cs="Times New Roman"/>
          <w:noProof/>
        </w:rPr>
        <w:tab/>
        <w:t xml:space="preserve">Wang, J. A comparison of single-sample estimators of effective population sizes from genetic marker data. </w:t>
      </w:r>
      <w:r w:rsidRPr="0017594F">
        <w:rPr>
          <w:rFonts w:ascii="Times New Roman" w:hAnsi="Times New Roman" w:cs="Times New Roman"/>
          <w:i/>
          <w:iCs/>
          <w:noProof/>
        </w:rPr>
        <w:t>Mol. Ecol.</w:t>
      </w:r>
      <w:r w:rsidRPr="0017594F">
        <w:rPr>
          <w:rFonts w:ascii="Times New Roman" w:hAnsi="Times New Roman" w:cs="Times New Roman"/>
          <w:noProof/>
        </w:rPr>
        <w:t xml:space="preserve"> </w:t>
      </w:r>
      <w:r w:rsidRPr="0017594F">
        <w:rPr>
          <w:rFonts w:ascii="Times New Roman" w:hAnsi="Times New Roman" w:cs="Times New Roman"/>
          <w:b/>
          <w:bCs/>
          <w:noProof/>
        </w:rPr>
        <w:t>25,</w:t>
      </w:r>
      <w:r w:rsidRPr="0017594F">
        <w:rPr>
          <w:rFonts w:ascii="Times New Roman" w:hAnsi="Times New Roman" w:cs="Times New Roman"/>
          <w:noProof/>
        </w:rPr>
        <w:t xml:space="preserve"> 4692–4711 (2016).</w:t>
      </w:r>
    </w:p>
    <w:p w14:paraId="483741EE"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55.</w:t>
      </w:r>
      <w:r w:rsidRPr="0017594F">
        <w:rPr>
          <w:rFonts w:ascii="Times New Roman" w:hAnsi="Times New Roman" w:cs="Times New Roman"/>
          <w:noProof/>
        </w:rPr>
        <w:tab/>
        <w:t xml:space="preserve">Wang, J. A pseudo-likelihood method for estimating effective population size from temporally spaced samples. </w:t>
      </w:r>
      <w:r w:rsidRPr="0017594F">
        <w:rPr>
          <w:rFonts w:ascii="Times New Roman" w:hAnsi="Times New Roman" w:cs="Times New Roman"/>
          <w:i/>
          <w:iCs/>
          <w:noProof/>
        </w:rPr>
        <w:t>Genet. Res. (Camb).</w:t>
      </w:r>
      <w:r w:rsidRPr="0017594F">
        <w:rPr>
          <w:rFonts w:ascii="Times New Roman" w:hAnsi="Times New Roman" w:cs="Times New Roman"/>
          <w:noProof/>
        </w:rPr>
        <w:t xml:space="preserve"> </w:t>
      </w:r>
      <w:r w:rsidRPr="0017594F">
        <w:rPr>
          <w:rFonts w:ascii="Times New Roman" w:hAnsi="Times New Roman" w:cs="Times New Roman"/>
          <w:b/>
          <w:bCs/>
          <w:noProof/>
        </w:rPr>
        <w:t>78,</w:t>
      </w:r>
      <w:r w:rsidRPr="0017594F">
        <w:rPr>
          <w:rFonts w:ascii="Times New Roman" w:hAnsi="Times New Roman" w:cs="Times New Roman"/>
          <w:noProof/>
        </w:rPr>
        <w:t xml:space="preserve"> 243–257 (2001).</w:t>
      </w:r>
    </w:p>
    <w:p w14:paraId="0AE93216"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56.</w:t>
      </w:r>
      <w:r w:rsidRPr="0017594F">
        <w:rPr>
          <w:rFonts w:ascii="Times New Roman" w:hAnsi="Times New Roman" w:cs="Times New Roman"/>
          <w:noProof/>
        </w:rPr>
        <w:tab/>
        <w:t xml:space="preserve">Waples, R. S. Genetic estimates of contemporary effective population size: To what time periods do the estimates apply? </w:t>
      </w:r>
      <w:r w:rsidRPr="0017594F">
        <w:rPr>
          <w:rFonts w:ascii="Times New Roman" w:hAnsi="Times New Roman" w:cs="Times New Roman"/>
          <w:i/>
          <w:iCs/>
          <w:noProof/>
        </w:rPr>
        <w:t>Mol. Ecol.</w:t>
      </w:r>
      <w:r w:rsidRPr="0017594F">
        <w:rPr>
          <w:rFonts w:ascii="Times New Roman" w:hAnsi="Times New Roman" w:cs="Times New Roman"/>
          <w:noProof/>
        </w:rPr>
        <w:t xml:space="preserve"> </w:t>
      </w:r>
      <w:r w:rsidRPr="0017594F">
        <w:rPr>
          <w:rFonts w:ascii="Times New Roman" w:hAnsi="Times New Roman" w:cs="Times New Roman"/>
          <w:b/>
          <w:bCs/>
          <w:noProof/>
        </w:rPr>
        <w:t>14,</w:t>
      </w:r>
      <w:r w:rsidRPr="0017594F">
        <w:rPr>
          <w:rFonts w:ascii="Times New Roman" w:hAnsi="Times New Roman" w:cs="Times New Roman"/>
          <w:noProof/>
        </w:rPr>
        <w:t xml:space="preserve"> 3335–3352 (2005).</w:t>
      </w:r>
    </w:p>
    <w:p w14:paraId="2F333BAD"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57.</w:t>
      </w:r>
      <w:r w:rsidRPr="0017594F">
        <w:rPr>
          <w:rFonts w:ascii="Times New Roman" w:hAnsi="Times New Roman" w:cs="Times New Roman"/>
          <w:noProof/>
        </w:rPr>
        <w:tab/>
        <w:t xml:space="preserve">Waples, R. S. A bias correction for estimates of effective population size based on linkage disequilibrium at unlinked gene loci. </w:t>
      </w:r>
      <w:r w:rsidRPr="0017594F">
        <w:rPr>
          <w:rFonts w:ascii="Times New Roman" w:hAnsi="Times New Roman" w:cs="Times New Roman"/>
          <w:i/>
          <w:iCs/>
          <w:noProof/>
        </w:rPr>
        <w:t>Conserv. Genet.</w:t>
      </w:r>
      <w:r w:rsidRPr="0017594F">
        <w:rPr>
          <w:rFonts w:ascii="Times New Roman" w:hAnsi="Times New Roman" w:cs="Times New Roman"/>
          <w:noProof/>
        </w:rPr>
        <w:t xml:space="preserve"> </w:t>
      </w:r>
      <w:r w:rsidRPr="0017594F">
        <w:rPr>
          <w:rFonts w:ascii="Times New Roman" w:hAnsi="Times New Roman" w:cs="Times New Roman"/>
          <w:b/>
          <w:bCs/>
          <w:noProof/>
        </w:rPr>
        <w:t>7,</w:t>
      </w:r>
      <w:r w:rsidRPr="0017594F">
        <w:rPr>
          <w:rFonts w:ascii="Times New Roman" w:hAnsi="Times New Roman" w:cs="Times New Roman"/>
          <w:noProof/>
        </w:rPr>
        <w:t xml:space="preserve"> 167–184 (2006).</w:t>
      </w:r>
    </w:p>
    <w:p w14:paraId="5B8532D7"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58.</w:t>
      </w:r>
      <w:r w:rsidRPr="0017594F">
        <w:rPr>
          <w:rFonts w:ascii="Times New Roman" w:hAnsi="Times New Roman" w:cs="Times New Roman"/>
          <w:noProof/>
        </w:rPr>
        <w:tab/>
        <w:t xml:space="preserve">Jones, A. T., Ovenden, J. R. &amp; Wang, Y. Improved conf dence intervals for the linkage disequilibrium method for estimating effective population size. </w:t>
      </w:r>
      <w:r w:rsidRPr="0017594F">
        <w:rPr>
          <w:rFonts w:ascii="Times New Roman" w:hAnsi="Times New Roman" w:cs="Times New Roman"/>
          <w:i/>
          <w:iCs/>
          <w:noProof/>
        </w:rPr>
        <w:t>Nat. Publ. Gr.</w:t>
      </w:r>
      <w:r w:rsidRPr="0017594F">
        <w:rPr>
          <w:rFonts w:ascii="Times New Roman" w:hAnsi="Times New Roman" w:cs="Times New Roman"/>
          <w:noProof/>
        </w:rPr>
        <w:t xml:space="preserve"> </w:t>
      </w:r>
      <w:r w:rsidRPr="0017594F">
        <w:rPr>
          <w:rFonts w:ascii="Times New Roman" w:hAnsi="Times New Roman" w:cs="Times New Roman"/>
          <w:b/>
          <w:bCs/>
          <w:noProof/>
        </w:rPr>
        <w:t>117,</w:t>
      </w:r>
      <w:r w:rsidRPr="0017594F">
        <w:rPr>
          <w:rFonts w:ascii="Times New Roman" w:hAnsi="Times New Roman" w:cs="Times New Roman"/>
          <w:noProof/>
        </w:rPr>
        <w:t xml:space="preserve"> 217–223 (2016).</w:t>
      </w:r>
    </w:p>
    <w:p w14:paraId="1FFC3787"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59.</w:t>
      </w:r>
      <w:r w:rsidRPr="0017594F">
        <w:rPr>
          <w:rFonts w:ascii="Times New Roman" w:hAnsi="Times New Roman" w:cs="Times New Roman"/>
          <w:noProof/>
        </w:rPr>
        <w:tab/>
        <w:t xml:space="preserve">Lew, R. M. </w:t>
      </w:r>
      <w:r w:rsidRPr="0017594F">
        <w:rPr>
          <w:rFonts w:ascii="Times New Roman" w:hAnsi="Times New Roman" w:cs="Times New Roman"/>
          <w:i/>
          <w:iCs/>
          <w:noProof/>
        </w:rPr>
        <w:t>et al.</w:t>
      </w:r>
      <w:r w:rsidRPr="0017594F">
        <w:rPr>
          <w:rFonts w:ascii="Times New Roman" w:hAnsi="Times New Roman" w:cs="Times New Roman"/>
          <w:noProof/>
        </w:rPr>
        <w:t xml:space="preserve"> Using Next-Generation Sequencing to Assist a Conservation Hatchery: a Single-Nucleotide Polymorphism Panel for the Genetic Management of Endangered Delta Smelt. </w:t>
      </w:r>
      <w:r w:rsidRPr="0017594F">
        <w:rPr>
          <w:rFonts w:ascii="Times New Roman" w:hAnsi="Times New Roman" w:cs="Times New Roman"/>
          <w:i/>
          <w:iCs/>
          <w:noProof/>
        </w:rPr>
        <w:t>Trans. Am. Fish. Soc.</w:t>
      </w:r>
      <w:r w:rsidRPr="0017594F">
        <w:rPr>
          <w:rFonts w:ascii="Times New Roman" w:hAnsi="Times New Roman" w:cs="Times New Roman"/>
          <w:noProof/>
        </w:rPr>
        <w:t xml:space="preserve"> </w:t>
      </w:r>
      <w:r w:rsidRPr="0017594F">
        <w:rPr>
          <w:rFonts w:ascii="Times New Roman" w:hAnsi="Times New Roman" w:cs="Times New Roman"/>
          <w:b/>
          <w:bCs/>
          <w:noProof/>
        </w:rPr>
        <w:t>144,</w:t>
      </w:r>
      <w:r w:rsidRPr="0017594F">
        <w:rPr>
          <w:rFonts w:ascii="Times New Roman" w:hAnsi="Times New Roman" w:cs="Times New Roman"/>
          <w:noProof/>
        </w:rPr>
        <w:t xml:space="preserve"> 767–779 (2015).</w:t>
      </w:r>
    </w:p>
    <w:p w14:paraId="29EAEC38"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60.</w:t>
      </w:r>
      <w:r w:rsidRPr="0017594F">
        <w:rPr>
          <w:rFonts w:ascii="Times New Roman" w:hAnsi="Times New Roman" w:cs="Times New Roman"/>
          <w:noProof/>
        </w:rPr>
        <w:tab/>
        <w:t xml:space="preserve">Waples, R. K., Larson, W. A. &amp; Waples, R. S. Estimating contemporary effective population size in non-model species using linkage disequilibrium across thousands of loci. </w:t>
      </w:r>
      <w:r w:rsidRPr="0017594F">
        <w:rPr>
          <w:rFonts w:ascii="Times New Roman" w:hAnsi="Times New Roman" w:cs="Times New Roman"/>
          <w:i/>
          <w:iCs/>
          <w:noProof/>
        </w:rPr>
        <w:t>Heredity (Edinb).</w:t>
      </w:r>
      <w:r w:rsidRPr="0017594F">
        <w:rPr>
          <w:rFonts w:ascii="Times New Roman" w:hAnsi="Times New Roman" w:cs="Times New Roman"/>
          <w:noProof/>
        </w:rPr>
        <w:t xml:space="preserve"> </w:t>
      </w:r>
      <w:r w:rsidRPr="0017594F">
        <w:rPr>
          <w:rFonts w:ascii="Times New Roman" w:hAnsi="Times New Roman" w:cs="Times New Roman"/>
          <w:b/>
          <w:bCs/>
          <w:noProof/>
        </w:rPr>
        <w:t>117,</w:t>
      </w:r>
      <w:r w:rsidRPr="0017594F">
        <w:rPr>
          <w:rFonts w:ascii="Times New Roman" w:hAnsi="Times New Roman" w:cs="Times New Roman"/>
          <w:noProof/>
        </w:rPr>
        <w:t xml:space="preserve"> 233–240 (2016).</w:t>
      </w:r>
    </w:p>
    <w:p w14:paraId="3474E055"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61.</w:t>
      </w:r>
      <w:r w:rsidRPr="0017594F">
        <w:rPr>
          <w:rFonts w:ascii="Times New Roman" w:hAnsi="Times New Roman" w:cs="Times New Roman"/>
          <w:noProof/>
        </w:rPr>
        <w:tab/>
        <w:t xml:space="preserve">Ko, A. &amp; Nielsen, R. Joint Estimation of Pedigrees and Effective Population Size Using Markov Chain Monte Carlo. </w:t>
      </w:r>
      <w:r w:rsidRPr="0017594F">
        <w:rPr>
          <w:rFonts w:ascii="Times New Roman" w:hAnsi="Times New Roman" w:cs="Times New Roman"/>
          <w:i/>
          <w:iCs/>
          <w:noProof/>
        </w:rPr>
        <w:t>bioRxiv</w:t>
      </w:r>
      <w:r w:rsidRPr="0017594F">
        <w:rPr>
          <w:rFonts w:ascii="Times New Roman" w:hAnsi="Times New Roman" w:cs="Times New Roman"/>
          <w:noProof/>
        </w:rPr>
        <w:t xml:space="preserve"> 1–6 (2018). doi:10.1534/genetics.XXX.XXXXXX</w:t>
      </w:r>
    </w:p>
    <w:p w14:paraId="02CEFB5E"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62.</w:t>
      </w:r>
      <w:r w:rsidRPr="0017594F">
        <w:rPr>
          <w:rFonts w:ascii="Times New Roman" w:hAnsi="Times New Roman" w:cs="Times New Roman"/>
          <w:noProof/>
        </w:rPr>
        <w:tab/>
        <w:t xml:space="preserve">Volff, J. N. Genome evolution and biodiversity in teleost fish. </w:t>
      </w:r>
      <w:r w:rsidRPr="0017594F">
        <w:rPr>
          <w:rFonts w:ascii="Times New Roman" w:hAnsi="Times New Roman" w:cs="Times New Roman"/>
          <w:i/>
          <w:iCs/>
          <w:noProof/>
        </w:rPr>
        <w:t>Heredity (Edinb).</w:t>
      </w:r>
      <w:r w:rsidRPr="0017594F">
        <w:rPr>
          <w:rFonts w:ascii="Times New Roman" w:hAnsi="Times New Roman" w:cs="Times New Roman"/>
          <w:noProof/>
        </w:rPr>
        <w:t xml:space="preserve"> </w:t>
      </w:r>
      <w:r w:rsidRPr="0017594F">
        <w:rPr>
          <w:rFonts w:ascii="Times New Roman" w:hAnsi="Times New Roman" w:cs="Times New Roman"/>
          <w:b/>
          <w:bCs/>
          <w:noProof/>
        </w:rPr>
        <w:t>94,</w:t>
      </w:r>
      <w:r w:rsidRPr="0017594F">
        <w:rPr>
          <w:rFonts w:ascii="Times New Roman" w:hAnsi="Times New Roman" w:cs="Times New Roman"/>
          <w:noProof/>
        </w:rPr>
        <w:t xml:space="preserve"> 280–294 (2005).</w:t>
      </w:r>
    </w:p>
    <w:p w14:paraId="598DFA7F"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63.</w:t>
      </w:r>
      <w:r w:rsidRPr="0017594F">
        <w:rPr>
          <w:rFonts w:ascii="Times New Roman" w:hAnsi="Times New Roman" w:cs="Times New Roman"/>
          <w:noProof/>
        </w:rPr>
        <w:tab/>
        <w:t xml:space="preserve">Mei, J. &amp; Gui, J. F. Genetic basis and biotechnological manipulation of sexual dimorphism and sex determination in fish. </w:t>
      </w:r>
      <w:r w:rsidRPr="0017594F">
        <w:rPr>
          <w:rFonts w:ascii="Times New Roman" w:hAnsi="Times New Roman" w:cs="Times New Roman"/>
          <w:i/>
          <w:iCs/>
          <w:noProof/>
        </w:rPr>
        <w:t>Sci. China Life Sci.</w:t>
      </w:r>
      <w:r w:rsidRPr="0017594F">
        <w:rPr>
          <w:rFonts w:ascii="Times New Roman" w:hAnsi="Times New Roman" w:cs="Times New Roman"/>
          <w:noProof/>
        </w:rPr>
        <w:t xml:space="preserve"> </w:t>
      </w:r>
      <w:r w:rsidRPr="0017594F">
        <w:rPr>
          <w:rFonts w:ascii="Times New Roman" w:hAnsi="Times New Roman" w:cs="Times New Roman"/>
          <w:b/>
          <w:bCs/>
          <w:noProof/>
        </w:rPr>
        <w:t>58,</w:t>
      </w:r>
      <w:r w:rsidRPr="0017594F">
        <w:rPr>
          <w:rFonts w:ascii="Times New Roman" w:hAnsi="Times New Roman" w:cs="Times New Roman"/>
          <w:noProof/>
        </w:rPr>
        <w:t xml:space="preserve"> 124–136 (2015).</w:t>
      </w:r>
    </w:p>
    <w:p w14:paraId="36CFC091"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64.</w:t>
      </w:r>
      <w:r w:rsidRPr="0017594F">
        <w:rPr>
          <w:rFonts w:ascii="Times New Roman" w:hAnsi="Times New Roman" w:cs="Times New Roman"/>
          <w:noProof/>
        </w:rPr>
        <w:tab/>
        <w:t xml:space="preserve">Nelson, J. S., Grande, T. C. &amp; Wilson, M. V. H. </w:t>
      </w:r>
      <w:r w:rsidRPr="0017594F">
        <w:rPr>
          <w:rFonts w:ascii="Times New Roman" w:hAnsi="Times New Roman" w:cs="Times New Roman"/>
          <w:i/>
          <w:iCs/>
          <w:noProof/>
        </w:rPr>
        <w:t>Fishes of the World</w:t>
      </w:r>
      <w:r w:rsidRPr="0017594F">
        <w:rPr>
          <w:rFonts w:ascii="Times New Roman" w:hAnsi="Times New Roman" w:cs="Times New Roman"/>
          <w:noProof/>
        </w:rPr>
        <w:t>. (John Wiley &amp; Sons, 2016).</w:t>
      </w:r>
    </w:p>
    <w:p w14:paraId="5B1B50C4"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65.</w:t>
      </w:r>
      <w:r w:rsidRPr="0017594F">
        <w:rPr>
          <w:rFonts w:ascii="Times New Roman" w:hAnsi="Times New Roman" w:cs="Times New Roman"/>
          <w:noProof/>
        </w:rPr>
        <w:tab/>
        <w:t xml:space="preserve">Nagahama, Y. Molecular mechanisms of sex determination and gonadal sex differentiation in fish. </w:t>
      </w:r>
      <w:r w:rsidRPr="0017594F">
        <w:rPr>
          <w:rFonts w:ascii="Times New Roman" w:hAnsi="Times New Roman" w:cs="Times New Roman"/>
          <w:i/>
          <w:iCs/>
          <w:noProof/>
        </w:rPr>
        <w:t>Fish Physiol. Biochem.</w:t>
      </w:r>
      <w:r w:rsidRPr="0017594F">
        <w:rPr>
          <w:rFonts w:ascii="Times New Roman" w:hAnsi="Times New Roman" w:cs="Times New Roman"/>
          <w:noProof/>
        </w:rPr>
        <w:t xml:space="preserve"> </w:t>
      </w:r>
      <w:r w:rsidRPr="0017594F">
        <w:rPr>
          <w:rFonts w:ascii="Times New Roman" w:hAnsi="Times New Roman" w:cs="Times New Roman"/>
          <w:b/>
          <w:bCs/>
          <w:noProof/>
        </w:rPr>
        <w:t>31,</w:t>
      </w:r>
      <w:r w:rsidRPr="0017594F">
        <w:rPr>
          <w:rFonts w:ascii="Times New Roman" w:hAnsi="Times New Roman" w:cs="Times New Roman"/>
          <w:noProof/>
        </w:rPr>
        <w:t xml:space="preserve"> 105–109 (2005).</w:t>
      </w:r>
    </w:p>
    <w:p w14:paraId="41F66417"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66.</w:t>
      </w:r>
      <w:r w:rsidRPr="0017594F">
        <w:rPr>
          <w:rFonts w:ascii="Times New Roman" w:hAnsi="Times New Roman" w:cs="Times New Roman"/>
          <w:noProof/>
        </w:rPr>
        <w:tab/>
        <w:t xml:space="preserve">Baroiller, J.-F., Guiguen, Y. &amp; Fostier, A. Endocrine and environmental aspects of sex differentiation in fish. </w:t>
      </w:r>
      <w:r w:rsidRPr="0017594F">
        <w:rPr>
          <w:rFonts w:ascii="Times New Roman" w:hAnsi="Times New Roman" w:cs="Times New Roman"/>
          <w:i/>
          <w:iCs/>
          <w:noProof/>
        </w:rPr>
        <w:t>Cell. Mol. Life Sci.</w:t>
      </w:r>
      <w:r w:rsidRPr="0017594F">
        <w:rPr>
          <w:rFonts w:ascii="Times New Roman" w:hAnsi="Times New Roman" w:cs="Times New Roman"/>
          <w:noProof/>
        </w:rPr>
        <w:t xml:space="preserve"> </w:t>
      </w:r>
      <w:r w:rsidRPr="0017594F">
        <w:rPr>
          <w:rFonts w:ascii="Times New Roman" w:hAnsi="Times New Roman" w:cs="Times New Roman"/>
          <w:b/>
          <w:bCs/>
          <w:noProof/>
        </w:rPr>
        <w:t>55,</w:t>
      </w:r>
      <w:r w:rsidRPr="0017594F">
        <w:rPr>
          <w:rFonts w:ascii="Times New Roman" w:hAnsi="Times New Roman" w:cs="Times New Roman"/>
          <w:noProof/>
        </w:rPr>
        <w:t xml:space="preserve"> 910–931 (1999).</w:t>
      </w:r>
    </w:p>
    <w:p w14:paraId="246AADFC"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67.</w:t>
      </w:r>
      <w:r w:rsidRPr="0017594F">
        <w:rPr>
          <w:rFonts w:ascii="Times New Roman" w:hAnsi="Times New Roman" w:cs="Times New Roman"/>
          <w:noProof/>
        </w:rPr>
        <w:tab/>
        <w:t>Nakamura, M., Kobayashi, T. &amp; Chang, X. Gonadal sex differentiation in fishes.pdf. 362–372 (1998).</w:t>
      </w:r>
    </w:p>
    <w:p w14:paraId="2BA1580B"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68.</w:t>
      </w:r>
      <w:r w:rsidRPr="0017594F">
        <w:rPr>
          <w:rFonts w:ascii="Times New Roman" w:hAnsi="Times New Roman" w:cs="Times New Roman"/>
          <w:noProof/>
        </w:rPr>
        <w:tab/>
        <w:t xml:space="preserve">Kikuchi, K. &amp; Hamaguchi, S. Novel sex-determining genes in fish and sex chromosome evolution. </w:t>
      </w:r>
      <w:r w:rsidRPr="0017594F">
        <w:rPr>
          <w:rFonts w:ascii="Times New Roman" w:hAnsi="Times New Roman" w:cs="Times New Roman"/>
          <w:i/>
          <w:iCs/>
          <w:noProof/>
        </w:rPr>
        <w:t>Dev. Dyn.</w:t>
      </w:r>
      <w:r w:rsidRPr="0017594F">
        <w:rPr>
          <w:rFonts w:ascii="Times New Roman" w:hAnsi="Times New Roman" w:cs="Times New Roman"/>
          <w:noProof/>
        </w:rPr>
        <w:t xml:space="preserve"> </w:t>
      </w:r>
      <w:r w:rsidRPr="0017594F">
        <w:rPr>
          <w:rFonts w:ascii="Times New Roman" w:hAnsi="Times New Roman" w:cs="Times New Roman"/>
          <w:b/>
          <w:bCs/>
          <w:noProof/>
        </w:rPr>
        <w:t>242,</w:t>
      </w:r>
      <w:r w:rsidRPr="0017594F">
        <w:rPr>
          <w:rFonts w:ascii="Times New Roman" w:hAnsi="Times New Roman" w:cs="Times New Roman"/>
          <w:noProof/>
        </w:rPr>
        <w:t xml:space="preserve"> 339–353 (2013).</w:t>
      </w:r>
    </w:p>
    <w:p w14:paraId="67BB5A03"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69.</w:t>
      </w:r>
      <w:r w:rsidRPr="0017594F">
        <w:rPr>
          <w:rFonts w:ascii="Times New Roman" w:hAnsi="Times New Roman" w:cs="Times New Roman"/>
          <w:noProof/>
        </w:rPr>
        <w:tab/>
        <w:t xml:space="preserve">Conover, D. O. &amp; Kynard, B. E. Environmental Sex Determination : Interaction of Temperature and Genotype in a Fish Environmental Sex Determinaffon : Interaction of Temperature and Genotype in a Fish. </w:t>
      </w:r>
      <w:r w:rsidRPr="0017594F">
        <w:rPr>
          <w:rFonts w:ascii="Times New Roman" w:hAnsi="Times New Roman" w:cs="Times New Roman"/>
          <w:b/>
          <w:bCs/>
          <w:noProof/>
        </w:rPr>
        <w:t>213,</w:t>
      </w:r>
      <w:r w:rsidRPr="0017594F">
        <w:rPr>
          <w:rFonts w:ascii="Times New Roman" w:hAnsi="Times New Roman" w:cs="Times New Roman"/>
          <w:noProof/>
        </w:rPr>
        <w:t xml:space="preserve"> 577–579 (2013).</w:t>
      </w:r>
    </w:p>
    <w:p w14:paraId="197911E3"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70.</w:t>
      </w:r>
      <w:r w:rsidRPr="0017594F">
        <w:rPr>
          <w:rFonts w:ascii="Times New Roman" w:hAnsi="Times New Roman" w:cs="Times New Roman"/>
          <w:noProof/>
        </w:rPr>
        <w:tab/>
        <w:t xml:space="preserve">Devlin, R. H. &amp; Nagahama, Y. Sex determination and sex differentiation in fish: An overview of genetic, physiological, and environmental influences. </w:t>
      </w:r>
      <w:r w:rsidRPr="0017594F">
        <w:rPr>
          <w:rFonts w:ascii="Times New Roman" w:hAnsi="Times New Roman" w:cs="Times New Roman"/>
          <w:i/>
          <w:iCs/>
          <w:noProof/>
        </w:rPr>
        <w:t>Aquaculture</w:t>
      </w:r>
      <w:r w:rsidRPr="0017594F">
        <w:rPr>
          <w:rFonts w:ascii="Times New Roman" w:hAnsi="Times New Roman" w:cs="Times New Roman"/>
          <w:noProof/>
        </w:rPr>
        <w:t xml:space="preserve"> </w:t>
      </w:r>
      <w:r w:rsidRPr="0017594F">
        <w:rPr>
          <w:rFonts w:ascii="Times New Roman" w:hAnsi="Times New Roman" w:cs="Times New Roman"/>
          <w:b/>
          <w:bCs/>
          <w:noProof/>
        </w:rPr>
        <w:t>208,</w:t>
      </w:r>
      <w:r w:rsidRPr="0017594F">
        <w:rPr>
          <w:rFonts w:ascii="Times New Roman" w:hAnsi="Times New Roman" w:cs="Times New Roman"/>
          <w:noProof/>
        </w:rPr>
        <w:t xml:space="preserve"> 191–364 (2002).</w:t>
      </w:r>
    </w:p>
    <w:p w14:paraId="54B0016A"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71.</w:t>
      </w:r>
      <w:r w:rsidRPr="0017594F">
        <w:rPr>
          <w:rFonts w:ascii="Times New Roman" w:hAnsi="Times New Roman" w:cs="Times New Roman"/>
          <w:noProof/>
        </w:rPr>
        <w:tab/>
        <w:t xml:space="preserve">Mank, J. E. &amp; Avise, J. C. Evolutionary diversity and turn-over of sex determination in teleost fishes. </w:t>
      </w:r>
      <w:r w:rsidRPr="0017594F">
        <w:rPr>
          <w:rFonts w:ascii="Times New Roman" w:hAnsi="Times New Roman" w:cs="Times New Roman"/>
          <w:i/>
          <w:iCs/>
          <w:noProof/>
        </w:rPr>
        <w:t>Sex. Dev.</w:t>
      </w:r>
      <w:r w:rsidRPr="0017594F">
        <w:rPr>
          <w:rFonts w:ascii="Times New Roman" w:hAnsi="Times New Roman" w:cs="Times New Roman"/>
          <w:noProof/>
        </w:rPr>
        <w:t xml:space="preserve"> </w:t>
      </w:r>
      <w:r w:rsidRPr="0017594F">
        <w:rPr>
          <w:rFonts w:ascii="Times New Roman" w:hAnsi="Times New Roman" w:cs="Times New Roman"/>
          <w:b/>
          <w:bCs/>
          <w:noProof/>
        </w:rPr>
        <w:t>3,</w:t>
      </w:r>
      <w:r w:rsidRPr="0017594F">
        <w:rPr>
          <w:rFonts w:ascii="Times New Roman" w:hAnsi="Times New Roman" w:cs="Times New Roman"/>
          <w:noProof/>
        </w:rPr>
        <w:t xml:space="preserve"> 60–67 (2009).</w:t>
      </w:r>
    </w:p>
    <w:p w14:paraId="7F331213"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72.</w:t>
      </w:r>
      <w:r w:rsidRPr="0017594F">
        <w:rPr>
          <w:rFonts w:ascii="Times New Roman" w:hAnsi="Times New Roman" w:cs="Times New Roman"/>
          <w:noProof/>
        </w:rPr>
        <w:tab/>
        <w:t xml:space="preserve">Lindberg, J. C. </w:t>
      </w:r>
      <w:r w:rsidRPr="0017594F">
        <w:rPr>
          <w:rFonts w:ascii="Times New Roman" w:hAnsi="Times New Roman" w:cs="Times New Roman"/>
          <w:i/>
          <w:iCs/>
          <w:noProof/>
        </w:rPr>
        <w:t>et al.</w:t>
      </w:r>
      <w:r w:rsidRPr="0017594F">
        <w:rPr>
          <w:rFonts w:ascii="Times New Roman" w:hAnsi="Times New Roman" w:cs="Times New Roman"/>
          <w:noProof/>
        </w:rPr>
        <w:t xml:space="preserve"> Aquaculture methods for a genetically managed population of endangered Delta Dmelt. </w:t>
      </w:r>
      <w:r w:rsidRPr="0017594F">
        <w:rPr>
          <w:rFonts w:ascii="Times New Roman" w:hAnsi="Times New Roman" w:cs="Times New Roman"/>
          <w:i/>
          <w:iCs/>
          <w:noProof/>
        </w:rPr>
        <w:t>N. Am. J. Aquac.</w:t>
      </w:r>
      <w:r w:rsidRPr="0017594F">
        <w:rPr>
          <w:rFonts w:ascii="Times New Roman" w:hAnsi="Times New Roman" w:cs="Times New Roman"/>
          <w:noProof/>
        </w:rPr>
        <w:t xml:space="preserve"> </w:t>
      </w:r>
      <w:r w:rsidRPr="0017594F">
        <w:rPr>
          <w:rFonts w:ascii="Times New Roman" w:hAnsi="Times New Roman" w:cs="Times New Roman"/>
          <w:b/>
          <w:bCs/>
          <w:noProof/>
        </w:rPr>
        <w:t>75,</w:t>
      </w:r>
      <w:r w:rsidRPr="0017594F">
        <w:rPr>
          <w:rFonts w:ascii="Times New Roman" w:hAnsi="Times New Roman" w:cs="Times New Roman"/>
          <w:noProof/>
        </w:rPr>
        <w:t xml:space="preserve"> 186–196 (2013).</w:t>
      </w:r>
    </w:p>
    <w:p w14:paraId="6549698C"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73.</w:t>
      </w:r>
      <w:r w:rsidRPr="0017594F">
        <w:rPr>
          <w:rFonts w:ascii="Times New Roman" w:hAnsi="Times New Roman" w:cs="Times New Roman"/>
          <w:noProof/>
        </w:rPr>
        <w:tab/>
        <w:t xml:space="preserve">Martínez, P. </w:t>
      </w:r>
      <w:r w:rsidRPr="0017594F">
        <w:rPr>
          <w:rFonts w:ascii="Times New Roman" w:hAnsi="Times New Roman" w:cs="Times New Roman"/>
          <w:i/>
          <w:iCs/>
          <w:noProof/>
        </w:rPr>
        <w:t>et al.</w:t>
      </w:r>
      <w:r w:rsidRPr="0017594F">
        <w:rPr>
          <w:rFonts w:ascii="Times New Roman" w:hAnsi="Times New Roman" w:cs="Times New Roman"/>
          <w:noProof/>
        </w:rPr>
        <w:t xml:space="preserve"> Genetic architecture of sex determination in fish: Applications to sex ratio control in aquaculture. </w:t>
      </w:r>
      <w:r w:rsidRPr="0017594F">
        <w:rPr>
          <w:rFonts w:ascii="Times New Roman" w:hAnsi="Times New Roman" w:cs="Times New Roman"/>
          <w:i/>
          <w:iCs/>
          <w:noProof/>
        </w:rPr>
        <w:t>Front. Genet.</w:t>
      </w:r>
      <w:r w:rsidRPr="0017594F">
        <w:rPr>
          <w:rFonts w:ascii="Times New Roman" w:hAnsi="Times New Roman" w:cs="Times New Roman"/>
          <w:noProof/>
        </w:rPr>
        <w:t xml:space="preserve"> </w:t>
      </w:r>
      <w:r w:rsidRPr="0017594F">
        <w:rPr>
          <w:rFonts w:ascii="Times New Roman" w:hAnsi="Times New Roman" w:cs="Times New Roman"/>
          <w:b/>
          <w:bCs/>
          <w:noProof/>
        </w:rPr>
        <w:t>5,</w:t>
      </w:r>
      <w:r w:rsidRPr="0017594F">
        <w:rPr>
          <w:rFonts w:ascii="Times New Roman" w:hAnsi="Times New Roman" w:cs="Times New Roman"/>
          <w:noProof/>
        </w:rPr>
        <w:t xml:space="preserve"> 1–13 (2014).</w:t>
      </w:r>
    </w:p>
    <w:p w14:paraId="4C63096F"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74.</w:t>
      </w:r>
      <w:r w:rsidRPr="0017594F">
        <w:rPr>
          <w:rFonts w:ascii="Times New Roman" w:hAnsi="Times New Roman" w:cs="Times New Roman"/>
          <w:noProof/>
        </w:rPr>
        <w:tab/>
        <w:t xml:space="preserve">Liu, H. </w:t>
      </w:r>
      <w:r w:rsidRPr="0017594F">
        <w:rPr>
          <w:rFonts w:ascii="Times New Roman" w:hAnsi="Times New Roman" w:cs="Times New Roman"/>
          <w:i/>
          <w:iCs/>
          <w:noProof/>
        </w:rPr>
        <w:t>et al.</w:t>
      </w:r>
      <w:r w:rsidRPr="0017594F">
        <w:rPr>
          <w:rFonts w:ascii="Times New Roman" w:hAnsi="Times New Roman" w:cs="Times New Roman"/>
          <w:noProof/>
        </w:rPr>
        <w:t xml:space="preserve"> Sex-specific markers developed by next-generation sequencing confirmed an XX/XY sex determination system in bighead carp (Hypophthalmichthys nobilis) and silver carp (Hypophthalmichthys molitrix). </w:t>
      </w:r>
      <w:r w:rsidRPr="0017594F">
        <w:rPr>
          <w:rFonts w:ascii="Times New Roman" w:hAnsi="Times New Roman" w:cs="Times New Roman"/>
          <w:i/>
          <w:iCs/>
          <w:noProof/>
        </w:rPr>
        <w:t>DNA Res.</w:t>
      </w:r>
      <w:r w:rsidRPr="0017594F">
        <w:rPr>
          <w:rFonts w:ascii="Times New Roman" w:hAnsi="Times New Roman" w:cs="Times New Roman"/>
          <w:noProof/>
        </w:rPr>
        <w:t xml:space="preserve"> </w:t>
      </w:r>
      <w:r w:rsidRPr="0017594F">
        <w:rPr>
          <w:rFonts w:ascii="Times New Roman" w:hAnsi="Times New Roman" w:cs="Times New Roman"/>
          <w:b/>
          <w:bCs/>
          <w:noProof/>
        </w:rPr>
        <w:t>25,</w:t>
      </w:r>
      <w:r w:rsidRPr="0017594F">
        <w:rPr>
          <w:rFonts w:ascii="Times New Roman" w:hAnsi="Times New Roman" w:cs="Times New Roman"/>
          <w:noProof/>
        </w:rPr>
        <w:t xml:space="preserve"> 257–264 (2018).</w:t>
      </w:r>
    </w:p>
    <w:p w14:paraId="0E6DBE8B"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lastRenderedPageBreak/>
        <w:t>75.</w:t>
      </w:r>
      <w:r w:rsidRPr="0017594F">
        <w:rPr>
          <w:rFonts w:ascii="Times New Roman" w:hAnsi="Times New Roman" w:cs="Times New Roman"/>
          <w:noProof/>
        </w:rPr>
        <w:tab/>
        <w:t xml:space="preserve">Carmichael, S. N. </w:t>
      </w:r>
      <w:r w:rsidRPr="0017594F">
        <w:rPr>
          <w:rFonts w:ascii="Times New Roman" w:hAnsi="Times New Roman" w:cs="Times New Roman"/>
          <w:i/>
          <w:iCs/>
          <w:noProof/>
        </w:rPr>
        <w:t>et al.</w:t>
      </w:r>
      <w:r w:rsidRPr="0017594F">
        <w:rPr>
          <w:rFonts w:ascii="Times New Roman" w:hAnsi="Times New Roman" w:cs="Times New Roman"/>
          <w:noProof/>
        </w:rPr>
        <w:t xml:space="preserve"> Identification of a Sex-Linked SNP Marker in the Salmon Louse (Lepeophtheirus salmonis) Using RAD Sequencing. </w:t>
      </w:r>
      <w:r w:rsidRPr="0017594F">
        <w:rPr>
          <w:rFonts w:ascii="Times New Roman" w:hAnsi="Times New Roman" w:cs="Times New Roman"/>
          <w:i/>
          <w:iCs/>
          <w:noProof/>
        </w:rPr>
        <w:t>PLoS One</w:t>
      </w:r>
      <w:r w:rsidRPr="0017594F">
        <w:rPr>
          <w:rFonts w:ascii="Times New Roman" w:hAnsi="Times New Roman" w:cs="Times New Roman"/>
          <w:noProof/>
        </w:rPr>
        <w:t xml:space="preserve"> </w:t>
      </w:r>
      <w:r w:rsidRPr="0017594F">
        <w:rPr>
          <w:rFonts w:ascii="Times New Roman" w:hAnsi="Times New Roman" w:cs="Times New Roman"/>
          <w:b/>
          <w:bCs/>
          <w:noProof/>
        </w:rPr>
        <w:t>8,</w:t>
      </w:r>
      <w:r w:rsidRPr="0017594F">
        <w:rPr>
          <w:rFonts w:ascii="Times New Roman" w:hAnsi="Times New Roman" w:cs="Times New Roman"/>
          <w:noProof/>
        </w:rPr>
        <w:t xml:space="preserve"> 1–8 (2013).</w:t>
      </w:r>
    </w:p>
    <w:p w14:paraId="23339E75"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76.</w:t>
      </w:r>
      <w:r w:rsidRPr="0017594F">
        <w:rPr>
          <w:rFonts w:ascii="Times New Roman" w:hAnsi="Times New Roman" w:cs="Times New Roman"/>
          <w:noProof/>
        </w:rPr>
        <w:tab/>
        <w:t xml:space="preserve">Kafkas, S., Khodaeiaminjan, M., Güney, M. &amp; Kafkas, E. Identification of sex-linked SNP markers using RAD sequencing suggests ZW/ZZ sex determination in Pistacia vera L. </w:t>
      </w:r>
      <w:r w:rsidRPr="0017594F">
        <w:rPr>
          <w:rFonts w:ascii="Times New Roman" w:hAnsi="Times New Roman" w:cs="Times New Roman"/>
          <w:i/>
          <w:iCs/>
          <w:noProof/>
        </w:rPr>
        <w:t>BMC Genomics</w:t>
      </w:r>
      <w:r w:rsidRPr="0017594F">
        <w:rPr>
          <w:rFonts w:ascii="Times New Roman" w:hAnsi="Times New Roman" w:cs="Times New Roman"/>
          <w:noProof/>
        </w:rPr>
        <w:t xml:space="preserve"> </w:t>
      </w:r>
      <w:r w:rsidRPr="0017594F">
        <w:rPr>
          <w:rFonts w:ascii="Times New Roman" w:hAnsi="Times New Roman" w:cs="Times New Roman"/>
          <w:b/>
          <w:bCs/>
          <w:noProof/>
        </w:rPr>
        <w:t>16,</w:t>
      </w:r>
      <w:r w:rsidRPr="0017594F">
        <w:rPr>
          <w:rFonts w:ascii="Times New Roman" w:hAnsi="Times New Roman" w:cs="Times New Roman"/>
          <w:noProof/>
        </w:rPr>
        <w:t xml:space="preserve"> 1–11 (2015).</w:t>
      </w:r>
    </w:p>
    <w:p w14:paraId="0E52BEAE"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77.</w:t>
      </w:r>
      <w:r w:rsidRPr="0017594F">
        <w:rPr>
          <w:rFonts w:ascii="Times New Roman" w:hAnsi="Times New Roman" w:cs="Times New Roman"/>
          <w:noProof/>
        </w:rPr>
        <w:tab/>
        <w:t xml:space="preserve">Gamble, T. &amp; Zarkower, D. Identification of sex-specific molecular markers using restriction site-associated DNA sequencing. </w:t>
      </w:r>
      <w:r w:rsidRPr="0017594F">
        <w:rPr>
          <w:rFonts w:ascii="Times New Roman" w:hAnsi="Times New Roman" w:cs="Times New Roman"/>
          <w:i/>
          <w:iCs/>
          <w:noProof/>
        </w:rPr>
        <w:t>Mol. Ecol. Resour.</w:t>
      </w:r>
      <w:r w:rsidRPr="0017594F">
        <w:rPr>
          <w:rFonts w:ascii="Times New Roman" w:hAnsi="Times New Roman" w:cs="Times New Roman"/>
          <w:noProof/>
        </w:rPr>
        <w:t xml:space="preserve"> </w:t>
      </w:r>
      <w:r w:rsidRPr="0017594F">
        <w:rPr>
          <w:rFonts w:ascii="Times New Roman" w:hAnsi="Times New Roman" w:cs="Times New Roman"/>
          <w:b/>
          <w:bCs/>
          <w:noProof/>
        </w:rPr>
        <w:t>14,</w:t>
      </w:r>
      <w:r w:rsidRPr="0017594F">
        <w:rPr>
          <w:rFonts w:ascii="Times New Roman" w:hAnsi="Times New Roman" w:cs="Times New Roman"/>
          <w:noProof/>
        </w:rPr>
        <w:t xml:space="preserve"> 902–913 (2014).</w:t>
      </w:r>
    </w:p>
    <w:p w14:paraId="1769DA54"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78.</w:t>
      </w:r>
      <w:r w:rsidRPr="0017594F">
        <w:rPr>
          <w:rFonts w:ascii="Times New Roman" w:hAnsi="Times New Roman" w:cs="Times New Roman"/>
          <w:noProof/>
        </w:rPr>
        <w:tab/>
        <w:t xml:space="preserve">Fowler, B. L. S. &amp; Buonaccorsi, V. P. Genomic characterization of sex-identification markers in Sebastes carnatus and Sebastes chrysomelas rockfishes. </w:t>
      </w:r>
      <w:r w:rsidRPr="0017594F">
        <w:rPr>
          <w:rFonts w:ascii="Times New Roman" w:hAnsi="Times New Roman" w:cs="Times New Roman"/>
          <w:i/>
          <w:iCs/>
          <w:noProof/>
        </w:rPr>
        <w:t>Mol. Ecol.</w:t>
      </w:r>
      <w:r w:rsidRPr="0017594F">
        <w:rPr>
          <w:rFonts w:ascii="Times New Roman" w:hAnsi="Times New Roman" w:cs="Times New Roman"/>
          <w:noProof/>
        </w:rPr>
        <w:t xml:space="preserve"> </w:t>
      </w:r>
      <w:r w:rsidRPr="0017594F">
        <w:rPr>
          <w:rFonts w:ascii="Times New Roman" w:hAnsi="Times New Roman" w:cs="Times New Roman"/>
          <w:b/>
          <w:bCs/>
          <w:noProof/>
        </w:rPr>
        <w:t>25,</w:t>
      </w:r>
      <w:r w:rsidRPr="0017594F">
        <w:rPr>
          <w:rFonts w:ascii="Times New Roman" w:hAnsi="Times New Roman" w:cs="Times New Roman"/>
          <w:noProof/>
        </w:rPr>
        <w:t xml:space="preserve"> 2165–2175 (2016).</w:t>
      </w:r>
    </w:p>
    <w:p w14:paraId="52E97612"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79.</w:t>
      </w:r>
      <w:r w:rsidRPr="0017594F">
        <w:rPr>
          <w:rFonts w:ascii="Times New Roman" w:hAnsi="Times New Roman" w:cs="Times New Roman"/>
          <w:noProof/>
        </w:rPr>
        <w:tab/>
        <w:t xml:space="preserve">Gamble, T. Using RAD-seq to recognize sex-specific markers and sex chromosome systems. </w:t>
      </w:r>
      <w:r w:rsidRPr="0017594F">
        <w:rPr>
          <w:rFonts w:ascii="Times New Roman" w:hAnsi="Times New Roman" w:cs="Times New Roman"/>
          <w:i/>
          <w:iCs/>
          <w:noProof/>
        </w:rPr>
        <w:t>Mol. Ecol.</w:t>
      </w:r>
      <w:r w:rsidRPr="0017594F">
        <w:rPr>
          <w:rFonts w:ascii="Times New Roman" w:hAnsi="Times New Roman" w:cs="Times New Roman"/>
          <w:noProof/>
        </w:rPr>
        <w:t xml:space="preserve"> </w:t>
      </w:r>
      <w:r w:rsidRPr="0017594F">
        <w:rPr>
          <w:rFonts w:ascii="Times New Roman" w:hAnsi="Times New Roman" w:cs="Times New Roman"/>
          <w:b/>
          <w:bCs/>
          <w:noProof/>
        </w:rPr>
        <w:t>25,</w:t>
      </w:r>
      <w:r w:rsidRPr="0017594F">
        <w:rPr>
          <w:rFonts w:ascii="Times New Roman" w:hAnsi="Times New Roman" w:cs="Times New Roman"/>
          <w:noProof/>
        </w:rPr>
        <w:t xml:space="preserve"> 2114–2116 (2016).</w:t>
      </w:r>
    </w:p>
    <w:p w14:paraId="61637B29"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80.</w:t>
      </w:r>
      <w:r w:rsidRPr="0017594F">
        <w:rPr>
          <w:rFonts w:ascii="Times New Roman" w:hAnsi="Times New Roman" w:cs="Times New Roman"/>
          <w:noProof/>
        </w:rPr>
        <w:tab/>
        <w:t xml:space="preserve">Purcell, S. </w:t>
      </w:r>
      <w:r w:rsidRPr="0017594F">
        <w:rPr>
          <w:rFonts w:ascii="Times New Roman" w:hAnsi="Times New Roman" w:cs="Times New Roman"/>
          <w:i/>
          <w:iCs/>
          <w:noProof/>
        </w:rPr>
        <w:t>et al.</w:t>
      </w:r>
      <w:r w:rsidRPr="0017594F">
        <w:rPr>
          <w:rFonts w:ascii="Times New Roman" w:hAnsi="Times New Roman" w:cs="Times New Roman"/>
          <w:noProof/>
        </w:rPr>
        <w:t xml:space="preserve"> PLINK : A Tool Set for Whole-Genome Association and Population-Based Linkage Analyses. </w:t>
      </w:r>
      <w:r w:rsidRPr="0017594F">
        <w:rPr>
          <w:rFonts w:ascii="Times New Roman" w:hAnsi="Times New Roman" w:cs="Times New Roman"/>
          <w:i/>
          <w:iCs/>
          <w:noProof/>
        </w:rPr>
        <w:t>Am. J. Hum. Genet.</w:t>
      </w:r>
      <w:r w:rsidRPr="0017594F">
        <w:rPr>
          <w:rFonts w:ascii="Times New Roman" w:hAnsi="Times New Roman" w:cs="Times New Roman"/>
          <w:noProof/>
        </w:rPr>
        <w:t xml:space="preserve"> </w:t>
      </w:r>
      <w:r w:rsidRPr="0017594F">
        <w:rPr>
          <w:rFonts w:ascii="Times New Roman" w:hAnsi="Times New Roman" w:cs="Times New Roman"/>
          <w:b/>
          <w:bCs/>
          <w:noProof/>
        </w:rPr>
        <w:t>81,</w:t>
      </w:r>
      <w:r w:rsidRPr="0017594F">
        <w:rPr>
          <w:rFonts w:ascii="Times New Roman" w:hAnsi="Times New Roman" w:cs="Times New Roman"/>
          <w:noProof/>
        </w:rPr>
        <w:t xml:space="preserve"> 559–575 (2007).</w:t>
      </w:r>
    </w:p>
    <w:p w14:paraId="4078BFF1"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81.</w:t>
      </w:r>
      <w:r w:rsidRPr="0017594F">
        <w:rPr>
          <w:rFonts w:ascii="Times New Roman" w:hAnsi="Times New Roman" w:cs="Times New Roman"/>
          <w:noProof/>
        </w:rPr>
        <w:tab/>
        <w:t xml:space="preserve">Benjamini, Y. &amp; Hochberg, Y. Controlling the False Discovery Rate: A Practical and Powerful Approach to Multiple Testing. </w:t>
      </w:r>
      <w:r w:rsidRPr="0017594F">
        <w:rPr>
          <w:rFonts w:ascii="Times New Roman" w:hAnsi="Times New Roman" w:cs="Times New Roman"/>
          <w:i/>
          <w:iCs/>
          <w:noProof/>
        </w:rPr>
        <w:t>J. R. Stat. Soc. Ser. B</w:t>
      </w:r>
      <w:r w:rsidRPr="0017594F">
        <w:rPr>
          <w:rFonts w:ascii="Times New Roman" w:hAnsi="Times New Roman" w:cs="Times New Roman"/>
          <w:noProof/>
        </w:rPr>
        <w:t xml:space="preserve"> </w:t>
      </w:r>
      <w:r w:rsidRPr="0017594F">
        <w:rPr>
          <w:rFonts w:ascii="Times New Roman" w:hAnsi="Times New Roman" w:cs="Times New Roman"/>
          <w:b/>
          <w:bCs/>
          <w:noProof/>
        </w:rPr>
        <w:t>57,</w:t>
      </w:r>
      <w:r w:rsidRPr="0017594F">
        <w:rPr>
          <w:rFonts w:ascii="Times New Roman" w:hAnsi="Times New Roman" w:cs="Times New Roman"/>
          <w:noProof/>
        </w:rPr>
        <w:t xml:space="preserve"> 289–300 (2018).</w:t>
      </w:r>
    </w:p>
    <w:p w14:paraId="7368578A"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82.</w:t>
      </w:r>
      <w:r w:rsidRPr="0017594F">
        <w:rPr>
          <w:rFonts w:ascii="Times New Roman" w:hAnsi="Times New Roman" w:cs="Times New Roman"/>
          <w:noProof/>
        </w:rPr>
        <w:tab/>
        <w:t xml:space="preserve">Benjamin, A. </w:t>
      </w:r>
      <w:r w:rsidRPr="0017594F">
        <w:rPr>
          <w:rFonts w:ascii="Times New Roman" w:hAnsi="Times New Roman" w:cs="Times New Roman"/>
          <w:i/>
          <w:iCs/>
          <w:noProof/>
        </w:rPr>
        <w:t>et al.</w:t>
      </w:r>
      <w:r w:rsidRPr="0017594F">
        <w:rPr>
          <w:rFonts w:ascii="Times New Roman" w:hAnsi="Times New Roman" w:cs="Times New Roman"/>
          <w:noProof/>
        </w:rPr>
        <w:t xml:space="preserve"> Use of single nucleotide polymorphisms identifies backcrossing and species misidentifications among three San Francisco estuary osmerids Collection Sites for Unknown Fish Yolo Bypass sites Lower Sacramento River site. </w:t>
      </w:r>
      <w:r w:rsidRPr="0017594F">
        <w:rPr>
          <w:rFonts w:ascii="Times New Roman" w:hAnsi="Times New Roman" w:cs="Times New Roman"/>
          <w:i/>
          <w:iCs/>
          <w:noProof/>
        </w:rPr>
        <w:t>Conserv. Genet.</w:t>
      </w:r>
      <w:r w:rsidRPr="0017594F">
        <w:rPr>
          <w:rFonts w:ascii="Times New Roman" w:hAnsi="Times New Roman" w:cs="Times New Roman"/>
          <w:noProof/>
        </w:rPr>
        <w:t xml:space="preserve"> </w:t>
      </w:r>
      <w:r w:rsidRPr="0017594F">
        <w:rPr>
          <w:rFonts w:ascii="Times New Roman" w:hAnsi="Times New Roman" w:cs="Times New Roman"/>
          <w:b/>
          <w:bCs/>
          <w:noProof/>
        </w:rPr>
        <w:t>0,</w:t>
      </w:r>
      <w:r w:rsidRPr="0017594F">
        <w:rPr>
          <w:rFonts w:ascii="Times New Roman" w:hAnsi="Times New Roman" w:cs="Times New Roman"/>
          <w:noProof/>
        </w:rPr>
        <w:t xml:space="preserve"> 0 (2018).</w:t>
      </w:r>
    </w:p>
    <w:p w14:paraId="04F344EB"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83.</w:t>
      </w:r>
      <w:r w:rsidRPr="0017594F">
        <w:rPr>
          <w:rFonts w:ascii="Times New Roman" w:hAnsi="Times New Roman" w:cs="Times New Roman"/>
          <w:noProof/>
        </w:rPr>
        <w:tab/>
        <w:t xml:space="preserve">Loukovitis, D. </w:t>
      </w:r>
      <w:r w:rsidRPr="0017594F">
        <w:rPr>
          <w:rFonts w:ascii="Times New Roman" w:hAnsi="Times New Roman" w:cs="Times New Roman"/>
          <w:i/>
          <w:iCs/>
          <w:noProof/>
        </w:rPr>
        <w:t>et al.</w:t>
      </w:r>
      <w:r w:rsidRPr="0017594F">
        <w:rPr>
          <w:rFonts w:ascii="Times New Roman" w:hAnsi="Times New Roman" w:cs="Times New Roman"/>
          <w:noProof/>
        </w:rPr>
        <w:t xml:space="preserve"> Quantitative Trait Loci involved in sex determination and body growth in the gilthead sea bream (Sparus aurata L.) through targeted genome scan. </w:t>
      </w:r>
      <w:r w:rsidRPr="0017594F">
        <w:rPr>
          <w:rFonts w:ascii="Times New Roman" w:hAnsi="Times New Roman" w:cs="Times New Roman"/>
          <w:i/>
          <w:iCs/>
          <w:noProof/>
        </w:rPr>
        <w:t>PLoS One</w:t>
      </w:r>
      <w:r w:rsidRPr="0017594F">
        <w:rPr>
          <w:rFonts w:ascii="Times New Roman" w:hAnsi="Times New Roman" w:cs="Times New Roman"/>
          <w:noProof/>
        </w:rPr>
        <w:t xml:space="preserve"> </w:t>
      </w:r>
      <w:r w:rsidRPr="0017594F">
        <w:rPr>
          <w:rFonts w:ascii="Times New Roman" w:hAnsi="Times New Roman" w:cs="Times New Roman"/>
          <w:b/>
          <w:bCs/>
          <w:noProof/>
        </w:rPr>
        <w:t>6,</w:t>
      </w:r>
      <w:r w:rsidRPr="0017594F">
        <w:rPr>
          <w:rFonts w:ascii="Times New Roman" w:hAnsi="Times New Roman" w:cs="Times New Roman"/>
          <w:noProof/>
        </w:rPr>
        <w:t xml:space="preserve"> (2011).</w:t>
      </w:r>
    </w:p>
    <w:p w14:paraId="03A7A18C"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84.</w:t>
      </w:r>
      <w:r w:rsidRPr="0017594F">
        <w:rPr>
          <w:rFonts w:ascii="Times New Roman" w:hAnsi="Times New Roman" w:cs="Times New Roman"/>
          <w:noProof/>
        </w:rPr>
        <w:tab/>
        <w:t xml:space="preserve">Vandeputte, M. &amp; Haffray, P. Parentage assignment with genomic markers: A major advance for understanding and exploiting genetic variation of quantitative traits in farmed aquatic animals. </w:t>
      </w:r>
      <w:r w:rsidRPr="0017594F">
        <w:rPr>
          <w:rFonts w:ascii="Times New Roman" w:hAnsi="Times New Roman" w:cs="Times New Roman"/>
          <w:i/>
          <w:iCs/>
          <w:noProof/>
        </w:rPr>
        <w:t>Front. Genet.</w:t>
      </w:r>
      <w:r w:rsidRPr="0017594F">
        <w:rPr>
          <w:rFonts w:ascii="Times New Roman" w:hAnsi="Times New Roman" w:cs="Times New Roman"/>
          <w:noProof/>
        </w:rPr>
        <w:t xml:space="preserve"> </w:t>
      </w:r>
      <w:r w:rsidRPr="0017594F">
        <w:rPr>
          <w:rFonts w:ascii="Times New Roman" w:hAnsi="Times New Roman" w:cs="Times New Roman"/>
          <w:b/>
          <w:bCs/>
          <w:noProof/>
        </w:rPr>
        <w:t>5,</w:t>
      </w:r>
      <w:r w:rsidRPr="0017594F">
        <w:rPr>
          <w:rFonts w:ascii="Times New Roman" w:hAnsi="Times New Roman" w:cs="Times New Roman"/>
          <w:noProof/>
        </w:rPr>
        <w:t xml:space="preserve"> 1–8 (2014).</w:t>
      </w:r>
    </w:p>
    <w:p w14:paraId="50ED37D9"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85.</w:t>
      </w:r>
      <w:r w:rsidRPr="0017594F">
        <w:rPr>
          <w:rFonts w:ascii="Times New Roman" w:hAnsi="Times New Roman" w:cs="Times New Roman"/>
          <w:noProof/>
        </w:rPr>
        <w:tab/>
        <w:t xml:space="preserve">Chen, S. </w:t>
      </w:r>
      <w:r w:rsidRPr="0017594F">
        <w:rPr>
          <w:rFonts w:ascii="Times New Roman" w:hAnsi="Times New Roman" w:cs="Times New Roman"/>
          <w:i/>
          <w:iCs/>
          <w:noProof/>
        </w:rPr>
        <w:t>et al.</w:t>
      </w:r>
      <w:r w:rsidRPr="0017594F">
        <w:rPr>
          <w:rFonts w:ascii="Times New Roman" w:hAnsi="Times New Roman" w:cs="Times New Roman"/>
          <w:noProof/>
        </w:rPr>
        <w:t xml:space="preserve"> Whole-genome sequence of a flatfish provides insights into ZW sex chromosome evolution and adaptation to a benthic lifestyle. </w:t>
      </w:r>
      <w:r w:rsidRPr="0017594F">
        <w:rPr>
          <w:rFonts w:ascii="Times New Roman" w:hAnsi="Times New Roman" w:cs="Times New Roman"/>
          <w:i/>
          <w:iCs/>
          <w:noProof/>
        </w:rPr>
        <w:t>Nat. Genet.</w:t>
      </w:r>
      <w:r w:rsidRPr="0017594F">
        <w:rPr>
          <w:rFonts w:ascii="Times New Roman" w:hAnsi="Times New Roman" w:cs="Times New Roman"/>
          <w:noProof/>
        </w:rPr>
        <w:t xml:space="preserve"> </w:t>
      </w:r>
      <w:r w:rsidRPr="0017594F">
        <w:rPr>
          <w:rFonts w:ascii="Times New Roman" w:hAnsi="Times New Roman" w:cs="Times New Roman"/>
          <w:b/>
          <w:bCs/>
          <w:noProof/>
        </w:rPr>
        <w:t>46,</w:t>
      </w:r>
      <w:r w:rsidRPr="0017594F">
        <w:rPr>
          <w:rFonts w:ascii="Times New Roman" w:hAnsi="Times New Roman" w:cs="Times New Roman"/>
          <w:noProof/>
        </w:rPr>
        <w:t xml:space="preserve"> 253–260 (2014).</w:t>
      </w:r>
    </w:p>
    <w:p w14:paraId="37845E51"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86.</w:t>
      </w:r>
      <w:r w:rsidRPr="0017594F">
        <w:rPr>
          <w:rFonts w:ascii="Times New Roman" w:hAnsi="Times New Roman" w:cs="Times New Roman"/>
          <w:noProof/>
        </w:rPr>
        <w:tab/>
        <w:t xml:space="preserve">Kichaev, G. </w:t>
      </w:r>
      <w:r w:rsidRPr="0017594F">
        <w:rPr>
          <w:rFonts w:ascii="Times New Roman" w:hAnsi="Times New Roman" w:cs="Times New Roman"/>
          <w:i/>
          <w:iCs/>
          <w:noProof/>
        </w:rPr>
        <w:t>et al.</w:t>
      </w:r>
      <w:r w:rsidRPr="0017594F">
        <w:rPr>
          <w:rFonts w:ascii="Times New Roman" w:hAnsi="Times New Roman" w:cs="Times New Roman"/>
          <w:noProof/>
        </w:rPr>
        <w:t xml:space="preserve"> Leveraging Polygenic Functional Enrichment to Improve GWAS Power. </w:t>
      </w:r>
      <w:r w:rsidRPr="0017594F">
        <w:rPr>
          <w:rFonts w:ascii="Times New Roman" w:hAnsi="Times New Roman" w:cs="Times New Roman"/>
          <w:i/>
          <w:iCs/>
          <w:noProof/>
        </w:rPr>
        <w:t>Am. J. Hum. Genet.</w:t>
      </w:r>
      <w:r w:rsidRPr="0017594F">
        <w:rPr>
          <w:rFonts w:ascii="Times New Roman" w:hAnsi="Times New Roman" w:cs="Times New Roman"/>
          <w:noProof/>
        </w:rPr>
        <w:t xml:space="preserve"> </w:t>
      </w:r>
      <w:r w:rsidRPr="0017594F">
        <w:rPr>
          <w:rFonts w:ascii="Times New Roman" w:hAnsi="Times New Roman" w:cs="Times New Roman"/>
          <w:b/>
          <w:bCs/>
          <w:noProof/>
        </w:rPr>
        <w:t>104,</w:t>
      </w:r>
      <w:r w:rsidRPr="0017594F">
        <w:rPr>
          <w:rFonts w:ascii="Times New Roman" w:hAnsi="Times New Roman" w:cs="Times New Roman"/>
          <w:noProof/>
        </w:rPr>
        <w:t xml:space="preserve"> 65–75 (2019).</w:t>
      </w:r>
    </w:p>
    <w:p w14:paraId="6C232523"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87.</w:t>
      </w:r>
      <w:r w:rsidRPr="0017594F">
        <w:rPr>
          <w:rFonts w:ascii="Times New Roman" w:hAnsi="Times New Roman" w:cs="Times New Roman"/>
          <w:noProof/>
        </w:rPr>
        <w:tab/>
        <w:t xml:space="preserve">Palaiokostas, C. </w:t>
      </w:r>
      <w:r w:rsidRPr="0017594F">
        <w:rPr>
          <w:rFonts w:ascii="Times New Roman" w:hAnsi="Times New Roman" w:cs="Times New Roman"/>
          <w:i/>
          <w:iCs/>
          <w:noProof/>
        </w:rPr>
        <w:t>et al.</w:t>
      </w:r>
      <w:r w:rsidRPr="0017594F">
        <w:rPr>
          <w:rFonts w:ascii="Times New Roman" w:hAnsi="Times New Roman" w:cs="Times New Roman"/>
          <w:noProof/>
        </w:rPr>
        <w:t xml:space="preserve"> Mapping the sex determination locus in the Atlantic halibut (Hippoglossus hippoglossus) using RAD sequencing. </w:t>
      </w:r>
      <w:r w:rsidRPr="0017594F">
        <w:rPr>
          <w:rFonts w:ascii="Times New Roman" w:hAnsi="Times New Roman" w:cs="Times New Roman"/>
          <w:i/>
          <w:iCs/>
          <w:noProof/>
        </w:rPr>
        <w:t>BMC Genomics</w:t>
      </w:r>
      <w:r w:rsidRPr="0017594F">
        <w:rPr>
          <w:rFonts w:ascii="Times New Roman" w:hAnsi="Times New Roman" w:cs="Times New Roman"/>
          <w:noProof/>
        </w:rPr>
        <w:t xml:space="preserve"> </w:t>
      </w:r>
      <w:r w:rsidRPr="0017594F">
        <w:rPr>
          <w:rFonts w:ascii="Times New Roman" w:hAnsi="Times New Roman" w:cs="Times New Roman"/>
          <w:b/>
          <w:bCs/>
          <w:noProof/>
        </w:rPr>
        <w:t>14,</w:t>
      </w:r>
      <w:r w:rsidRPr="0017594F">
        <w:rPr>
          <w:rFonts w:ascii="Times New Roman" w:hAnsi="Times New Roman" w:cs="Times New Roman"/>
          <w:noProof/>
        </w:rPr>
        <w:t xml:space="preserve"> 1–12 (2013).</w:t>
      </w:r>
    </w:p>
    <w:p w14:paraId="1B549625"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88.</w:t>
      </w:r>
      <w:r w:rsidRPr="0017594F">
        <w:rPr>
          <w:rFonts w:ascii="Times New Roman" w:hAnsi="Times New Roman" w:cs="Times New Roman"/>
          <w:noProof/>
        </w:rPr>
        <w:tab/>
        <w:t xml:space="preserve">Palaiokostas, C. </w:t>
      </w:r>
      <w:r w:rsidRPr="0017594F">
        <w:rPr>
          <w:rFonts w:ascii="Times New Roman" w:hAnsi="Times New Roman" w:cs="Times New Roman"/>
          <w:i/>
          <w:iCs/>
          <w:noProof/>
        </w:rPr>
        <w:t>et al.</w:t>
      </w:r>
      <w:r w:rsidRPr="0017594F">
        <w:rPr>
          <w:rFonts w:ascii="Times New Roman" w:hAnsi="Times New Roman" w:cs="Times New Roman"/>
          <w:noProof/>
        </w:rPr>
        <w:t xml:space="preserve"> Mapping and Validation of the Major Sex-Determining Region in Nile Tilapia (Oreochromis niloticus L.) Using RAD Sequencing. </w:t>
      </w:r>
      <w:r w:rsidRPr="0017594F">
        <w:rPr>
          <w:rFonts w:ascii="Times New Roman" w:hAnsi="Times New Roman" w:cs="Times New Roman"/>
          <w:i/>
          <w:iCs/>
          <w:noProof/>
        </w:rPr>
        <w:t>PLoS One</w:t>
      </w:r>
      <w:r w:rsidRPr="0017594F">
        <w:rPr>
          <w:rFonts w:ascii="Times New Roman" w:hAnsi="Times New Roman" w:cs="Times New Roman"/>
          <w:noProof/>
        </w:rPr>
        <w:t xml:space="preserve"> </w:t>
      </w:r>
      <w:r w:rsidRPr="0017594F">
        <w:rPr>
          <w:rFonts w:ascii="Times New Roman" w:hAnsi="Times New Roman" w:cs="Times New Roman"/>
          <w:b/>
          <w:bCs/>
          <w:noProof/>
        </w:rPr>
        <w:t>8,</w:t>
      </w:r>
      <w:r w:rsidRPr="0017594F">
        <w:rPr>
          <w:rFonts w:ascii="Times New Roman" w:hAnsi="Times New Roman" w:cs="Times New Roman"/>
          <w:noProof/>
        </w:rPr>
        <w:t xml:space="preserve"> 1–9 (2013).</w:t>
      </w:r>
    </w:p>
    <w:p w14:paraId="1710C89C"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89.</w:t>
      </w:r>
      <w:r w:rsidRPr="0017594F">
        <w:rPr>
          <w:rFonts w:ascii="Times New Roman" w:hAnsi="Times New Roman" w:cs="Times New Roman"/>
          <w:noProof/>
        </w:rPr>
        <w:tab/>
        <w:t xml:space="preserve">Palaiokostas, C. </w:t>
      </w:r>
      <w:r w:rsidRPr="0017594F">
        <w:rPr>
          <w:rFonts w:ascii="Times New Roman" w:hAnsi="Times New Roman" w:cs="Times New Roman"/>
          <w:i/>
          <w:iCs/>
          <w:noProof/>
        </w:rPr>
        <w:t>et al.</w:t>
      </w:r>
      <w:r w:rsidRPr="0017594F">
        <w:rPr>
          <w:rFonts w:ascii="Times New Roman" w:hAnsi="Times New Roman" w:cs="Times New Roman"/>
          <w:noProof/>
        </w:rPr>
        <w:t xml:space="preserve"> A novel sex-determining QTL in Nile tilapia (Oreochromis niloticus). </w:t>
      </w:r>
      <w:r w:rsidRPr="0017594F">
        <w:rPr>
          <w:rFonts w:ascii="Times New Roman" w:hAnsi="Times New Roman" w:cs="Times New Roman"/>
          <w:i/>
          <w:iCs/>
          <w:noProof/>
        </w:rPr>
        <w:t>BMC Genomics</w:t>
      </w:r>
      <w:r w:rsidRPr="0017594F">
        <w:rPr>
          <w:rFonts w:ascii="Times New Roman" w:hAnsi="Times New Roman" w:cs="Times New Roman"/>
          <w:noProof/>
        </w:rPr>
        <w:t xml:space="preserve"> </w:t>
      </w:r>
      <w:r w:rsidRPr="0017594F">
        <w:rPr>
          <w:rFonts w:ascii="Times New Roman" w:hAnsi="Times New Roman" w:cs="Times New Roman"/>
          <w:b/>
          <w:bCs/>
          <w:noProof/>
        </w:rPr>
        <w:t>16,</w:t>
      </w:r>
      <w:r w:rsidRPr="0017594F">
        <w:rPr>
          <w:rFonts w:ascii="Times New Roman" w:hAnsi="Times New Roman" w:cs="Times New Roman"/>
          <w:noProof/>
        </w:rPr>
        <w:t xml:space="preserve"> 1–10 (2015).</w:t>
      </w:r>
    </w:p>
    <w:p w14:paraId="79ECC0DD"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90.</w:t>
      </w:r>
      <w:r w:rsidRPr="0017594F">
        <w:rPr>
          <w:rFonts w:ascii="Times New Roman" w:hAnsi="Times New Roman" w:cs="Times New Roman"/>
          <w:noProof/>
        </w:rPr>
        <w:tab/>
        <w:t xml:space="preserve">Palaiokostas, C. </w:t>
      </w:r>
      <w:r w:rsidRPr="0017594F">
        <w:rPr>
          <w:rFonts w:ascii="Times New Roman" w:hAnsi="Times New Roman" w:cs="Times New Roman"/>
          <w:i/>
          <w:iCs/>
          <w:noProof/>
        </w:rPr>
        <w:t>et al.</w:t>
      </w:r>
      <w:r w:rsidRPr="0017594F">
        <w:rPr>
          <w:rFonts w:ascii="Times New Roman" w:hAnsi="Times New Roman" w:cs="Times New Roman"/>
          <w:noProof/>
        </w:rPr>
        <w:t xml:space="preserve"> A new SNP-based vision of the genetics of sex determination in European sea bass (Dicentrarchus labrax). </w:t>
      </w:r>
      <w:r w:rsidRPr="0017594F">
        <w:rPr>
          <w:rFonts w:ascii="Times New Roman" w:hAnsi="Times New Roman" w:cs="Times New Roman"/>
          <w:i/>
          <w:iCs/>
          <w:noProof/>
        </w:rPr>
        <w:t>Genet. Sel. Evol.</w:t>
      </w:r>
      <w:r w:rsidRPr="0017594F">
        <w:rPr>
          <w:rFonts w:ascii="Times New Roman" w:hAnsi="Times New Roman" w:cs="Times New Roman"/>
          <w:noProof/>
        </w:rPr>
        <w:t xml:space="preserve"> </w:t>
      </w:r>
      <w:r w:rsidRPr="0017594F">
        <w:rPr>
          <w:rFonts w:ascii="Times New Roman" w:hAnsi="Times New Roman" w:cs="Times New Roman"/>
          <w:b/>
          <w:bCs/>
          <w:noProof/>
        </w:rPr>
        <w:t>47,</w:t>
      </w:r>
      <w:r w:rsidRPr="0017594F">
        <w:rPr>
          <w:rFonts w:ascii="Times New Roman" w:hAnsi="Times New Roman" w:cs="Times New Roman"/>
          <w:noProof/>
        </w:rPr>
        <w:t xml:space="preserve"> 1–10 (2015).</w:t>
      </w:r>
    </w:p>
    <w:p w14:paraId="0AAFE755"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91.</w:t>
      </w:r>
      <w:r w:rsidRPr="0017594F">
        <w:rPr>
          <w:rFonts w:ascii="Times New Roman" w:hAnsi="Times New Roman" w:cs="Times New Roman"/>
          <w:noProof/>
        </w:rPr>
        <w:tab/>
        <w:t xml:space="preserve">Anderson, J. L. </w:t>
      </w:r>
      <w:r w:rsidRPr="0017594F">
        <w:rPr>
          <w:rFonts w:ascii="Times New Roman" w:hAnsi="Times New Roman" w:cs="Times New Roman"/>
          <w:i/>
          <w:iCs/>
          <w:noProof/>
        </w:rPr>
        <w:t>et al.</w:t>
      </w:r>
      <w:r w:rsidRPr="0017594F">
        <w:rPr>
          <w:rFonts w:ascii="Times New Roman" w:hAnsi="Times New Roman" w:cs="Times New Roman"/>
          <w:noProof/>
        </w:rPr>
        <w:t xml:space="preserve"> Multiple sex-associated regions and a putative sex chromosome in zebrafish revealed by RAD mapping and population genomics. </w:t>
      </w:r>
      <w:r w:rsidRPr="0017594F">
        <w:rPr>
          <w:rFonts w:ascii="Times New Roman" w:hAnsi="Times New Roman" w:cs="Times New Roman"/>
          <w:i/>
          <w:iCs/>
          <w:noProof/>
        </w:rPr>
        <w:t>PLoS One</w:t>
      </w:r>
      <w:r w:rsidRPr="0017594F">
        <w:rPr>
          <w:rFonts w:ascii="Times New Roman" w:hAnsi="Times New Roman" w:cs="Times New Roman"/>
          <w:noProof/>
        </w:rPr>
        <w:t xml:space="preserve"> </w:t>
      </w:r>
      <w:r w:rsidRPr="0017594F">
        <w:rPr>
          <w:rFonts w:ascii="Times New Roman" w:hAnsi="Times New Roman" w:cs="Times New Roman"/>
          <w:b/>
          <w:bCs/>
          <w:noProof/>
        </w:rPr>
        <w:t>7,</w:t>
      </w:r>
      <w:r w:rsidRPr="0017594F">
        <w:rPr>
          <w:rFonts w:ascii="Times New Roman" w:hAnsi="Times New Roman" w:cs="Times New Roman"/>
          <w:noProof/>
        </w:rPr>
        <w:t xml:space="preserve"> (2012).</w:t>
      </w:r>
    </w:p>
    <w:p w14:paraId="194A63E6"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92.</w:t>
      </w:r>
      <w:r w:rsidRPr="0017594F">
        <w:rPr>
          <w:rFonts w:ascii="Times New Roman" w:hAnsi="Times New Roman" w:cs="Times New Roman"/>
          <w:noProof/>
        </w:rPr>
        <w:tab/>
        <w:t xml:space="preserve">Lamatsch, D. K. </w:t>
      </w:r>
      <w:r w:rsidRPr="0017594F">
        <w:rPr>
          <w:rFonts w:ascii="Times New Roman" w:hAnsi="Times New Roman" w:cs="Times New Roman"/>
          <w:i/>
          <w:iCs/>
          <w:noProof/>
        </w:rPr>
        <w:t>et al.</w:t>
      </w:r>
      <w:r w:rsidRPr="0017594F">
        <w:rPr>
          <w:rFonts w:ascii="Times New Roman" w:hAnsi="Times New Roman" w:cs="Times New Roman"/>
          <w:noProof/>
        </w:rPr>
        <w:t xml:space="preserve"> A transcriptome derived female-specific marker from the invasive western mosquitofish (Gambusia affinis). </w:t>
      </w:r>
      <w:r w:rsidRPr="0017594F">
        <w:rPr>
          <w:rFonts w:ascii="Times New Roman" w:hAnsi="Times New Roman" w:cs="Times New Roman"/>
          <w:i/>
          <w:iCs/>
          <w:noProof/>
        </w:rPr>
        <w:t>PLoS One</w:t>
      </w:r>
      <w:r w:rsidRPr="0017594F">
        <w:rPr>
          <w:rFonts w:ascii="Times New Roman" w:hAnsi="Times New Roman" w:cs="Times New Roman"/>
          <w:noProof/>
        </w:rPr>
        <w:t xml:space="preserve"> </w:t>
      </w:r>
      <w:r w:rsidRPr="0017594F">
        <w:rPr>
          <w:rFonts w:ascii="Times New Roman" w:hAnsi="Times New Roman" w:cs="Times New Roman"/>
          <w:b/>
          <w:bCs/>
          <w:noProof/>
        </w:rPr>
        <w:t>10,</w:t>
      </w:r>
      <w:r w:rsidRPr="0017594F">
        <w:rPr>
          <w:rFonts w:ascii="Times New Roman" w:hAnsi="Times New Roman" w:cs="Times New Roman"/>
          <w:noProof/>
        </w:rPr>
        <w:t xml:space="preserve"> 1–16 (2015).</w:t>
      </w:r>
    </w:p>
    <w:p w14:paraId="55E734FC" w14:textId="77777777" w:rsidR="0017594F" w:rsidRPr="0017594F" w:rsidRDefault="0017594F" w:rsidP="0017594F">
      <w:pPr>
        <w:widowControl w:val="0"/>
        <w:autoSpaceDE w:val="0"/>
        <w:autoSpaceDN w:val="0"/>
        <w:adjustRightInd w:val="0"/>
        <w:spacing w:line="240" w:lineRule="auto"/>
        <w:ind w:left="640" w:hanging="640"/>
        <w:rPr>
          <w:rFonts w:ascii="Times New Roman" w:hAnsi="Times New Roman" w:cs="Times New Roman"/>
          <w:noProof/>
        </w:rPr>
      </w:pPr>
      <w:r w:rsidRPr="0017594F">
        <w:rPr>
          <w:rFonts w:ascii="Times New Roman" w:hAnsi="Times New Roman" w:cs="Times New Roman"/>
          <w:noProof/>
        </w:rPr>
        <w:t>93.</w:t>
      </w:r>
      <w:r w:rsidRPr="0017594F">
        <w:rPr>
          <w:rFonts w:ascii="Times New Roman" w:hAnsi="Times New Roman" w:cs="Times New Roman"/>
          <w:noProof/>
        </w:rPr>
        <w:tab/>
        <w:t xml:space="preserve">Lu, J. </w:t>
      </w:r>
      <w:r w:rsidRPr="0017594F">
        <w:rPr>
          <w:rFonts w:ascii="Times New Roman" w:hAnsi="Times New Roman" w:cs="Times New Roman"/>
          <w:i/>
          <w:iCs/>
          <w:noProof/>
        </w:rPr>
        <w:t>et al.</w:t>
      </w:r>
      <w:r w:rsidRPr="0017594F">
        <w:rPr>
          <w:rFonts w:ascii="Times New Roman" w:hAnsi="Times New Roman" w:cs="Times New Roman"/>
          <w:noProof/>
        </w:rPr>
        <w:t xml:space="preserve"> Transcriptomic Analyses Reveal Novel Genes with Sexually Dimorphic Expression in Yellow Catfish (Pelteobagrus fulvidraco) Brain. </w:t>
      </w:r>
      <w:r w:rsidRPr="0017594F">
        <w:rPr>
          <w:rFonts w:ascii="Times New Roman" w:hAnsi="Times New Roman" w:cs="Times New Roman"/>
          <w:i/>
          <w:iCs/>
          <w:noProof/>
        </w:rPr>
        <w:t>Mar. Biotechnol.</w:t>
      </w:r>
      <w:r w:rsidRPr="0017594F">
        <w:rPr>
          <w:rFonts w:ascii="Times New Roman" w:hAnsi="Times New Roman" w:cs="Times New Roman"/>
          <w:noProof/>
        </w:rPr>
        <w:t xml:space="preserve"> </w:t>
      </w:r>
      <w:r w:rsidRPr="0017594F">
        <w:rPr>
          <w:rFonts w:ascii="Times New Roman" w:hAnsi="Times New Roman" w:cs="Times New Roman"/>
          <w:b/>
          <w:bCs/>
          <w:noProof/>
        </w:rPr>
        <w:t>17,</w:t>
      </w:r>
      <w:r w:rsidRPr="0017594F">
        <w:rPr>
          <w:rFonts w:ascii="Times New Roman" w:hAnsi="Times New Roman" w:cs="Times New Roman"/>
          <w:noProof/>
        </w:rPr>
        <w:t xml:space="preserve"> 613–623 (2015).</w:t>
      </w:r>
    </w:p>
    <w:p w14:paraId="6FFE2B08" w14:textId="4EEBF70D" w:rsidR="004775B3" w:rsidRDefault="004775B3" w:rsidP="0017594F">
      <w:pPr>
        <w:widowControl w:val="0"/>
        <w:autoSpaceDE w:val="0"/>
        <w:autoSpaceDN w:val="0"/>
        <w:adjustRightInd w:val="0"/>
        <w:spacing w:line="240" w:lineRule="auto"/>
        <w:ind w:left="640" w:hanging="640"/>
      </w:pPr>
      <w:r>
        <w:fldChar w:fldCharType="end"/>
      </w:r>
    </w:p>
    <w:sectPr w:rsidR="004775B3" w:rsidSect="009411BA">
      <w:footerReference w:type="even" r:id="rId13"/>
      <w:footerReference w:type="default" r:id="rId14"/>
      <w:pgSz w:w="12240" w:h="15840"/>
      <w:pgMar w:top="1260" w:right="1440" w:bottom="1233"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4F1D0" w14:textId="77777777" w:rsidR="003355FA" w:rsidRDefault="003355FA" w:rsidP="00043987">
      <w:pPr>
        <w:spacing w:line="240" w:lineRule="auto"/>
      </w:pPr>
      <w:r>
        <w:separator/>
      </w:r>
    </w:p>
  </w:endnote>
  <w:endnote w:type="continuationSeparator" w:id="0">
    <w:p w14:paraId="51463255" w14:textId="77777777" w:rsidR="003355FA" w:rsidRDefault="003355FA" w:rsidP="000439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1199618"/>
      <w:docPartObj>
        <w:docPartGallery w:val="Page Numbers (Bottom of Page)"/>
        <w:docPartUnique/>
      </w:docPartObj>
    </w:sdtPr>
    <w:sdtContent>
      <w:p w14:paraId="2954AAC6" w14:textId="129B7628" w:rsidR="00CB2F7F" w:rsidRDefault="00CB2F7F" w:rsidP="0060707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0527F5" w14:textId="77777777" w:rsidR="00CB2F7F" w:rsidRDefault="00CB2F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338200750"/>
      <w:docPartObj>
        <w:docPartGallery w:val="Page Numbers (Bottom of Page)"/>
        <w:docPartUnique/>
      </w:docPartObj>
    </w:sdtPr>
    <w:sdtContent>
      <w:p w14:paraId="7C759ADA" w14:textId="37C85DBD" w:rsidR="00CB2F7F" w:rsidRPr="00497884" w:rsidRDefault="00CB2F7F" w:rsidP="00607071">
        <w:pPr>
          <w:pStyle w:val="Footer"/>
          <w:framePr w:wrap="none" w:vAnchor="text" w:hAnchor="margin" w:xAlign="center" w:y="1"/>
          <w:rPr>
            <w:rStyle w:val="PageNumber"/>
            <w:rFonts w:ascii="Times New Roman" w:hAnsi="Times New Roman" w:cs="Times New Roman"/>
          </w:rPr>
        </w:pPr>
        <w:r w:rsidRPr="00497884">
          <w:rPr>
            <w:rStyle w:val="PageNumber"/>
            <w:rFonts w:ascii="Times New Roman" w:hAnsi="Times New Roman" w:cs="Times New Roman"/>
          </w:rPr>
          <w:fldChar w:fldCharType="begin"/>
        </w:r>
        <w:r w:rsidRPr="00497884">
          <w:rPr>
            <w:rStyle w:val="PageNumber"/>
            <w:rFonts w:ascii="Times New Roman" w:hAnsi="Times New Roman" w:cs="Times New Roman"/>
          </w:rPr>
          <w:instrText xml:space="preserve"> PAGE </w:instrText>
        </w:r>
        <w:r w:rsidRPr="00497884">
          <w:rPr>
            <w:rStyle w:val="PageNumber"/>
            <w:rFonts w:ascii="Times New Roman" w:hAnsi="Times New Roman" w:cs="Times New Roman"/>
          </w:rPr>
          <w:fldChar w:fldCharType="separate"/>
        </w:r>
        <w:r w:rsidRPr="00497884">
          <w:rPr>
            <w:rStyle w:val="PageNumber"/>
            <w:rFonts w:ascii="Times New Roman" w:hAnsi="Times New Roman" w:cs="Times New Roman"/>
            <w:noProof/>
          </w:rPr>
          <w:t>7</w:t>
        </w:r>
        <w:r w:rsidRPr="00497884">
          <w:rPr>
            <w:rStyle w:val="PageNumber"/>
            <w:rFonts w:ascii="Times New Roman" w:hAnsi="Times New Roman" w:cs="Times New Roman"/>
          </w:rPr>
          <w:fldChar w:fldCharType="end"/>
        </w:r>
      </w:p>
    </w:sdtContent>
  </w:sdt>
  <w:p w14:paraId="7B843B2C" w14:textId="77777777" w:rsidR="00CB2F7F" w:rsidRDefault="00CB2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617F65" w14:textId="77777777" w:rsidR="003355FA" w:rsidRDefault="003355FA" w:rsidP="00043987">
      <w:pPr>
        <w:spacing w:line="240" w:lineRule="auto"/>
      </w:pPr>
      <w:r>
        <w:separator/>
      </w:r>
    </w:p>
  </w:footnote>
  <w:footnote w:type="continuationSeparator" w:id="0">
    <w:p w14:paraId="772C8DD1" w14:textId="77777777" w:rsidR="003355FA" w:rsidRDefault="003355FA" w:rsidP="0004398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01E"/>
    <w:rsid w:val="00026C07"/>
    <w:rsid w:val="00043987"/>
    <w:rsid w:val="0004486B"/>
    <w:rsid w:val="00053186"/>
    <w:rsid w:val="00082A9C"/>
    <w:rsid w:val="00093775"/>
    <w:rsid w:val="0009404C"/>
    <w:rsid w:val="000C0E4D"/>
    <w:rsid w:val="000F4B49"/>
    <w:rsid w:val="00111E78"/>
    <w:rsid w:val="0011745E"/>
    <w:rsid w:val="00124320"/>
    <w:rsid w:val="0017594F"/>
    <w:rsid w:val="0022352E"/>
    <w:rsid w:val="00241361"/>
    <w:rsid w:val="002430AE"/>
    <w:rsid w:val="002438DE"/>
    <w:rsid w:val="00244E72"/>
    <w:rsid w:val="002963E3"/>
    <w:rsid w:val="00296B92"/>
    <w:rsid w:val="002C4982"/>
    <w:rsid w:val="002E433B"/>
    <w:rsid w:val="0030411D"/>
    <w:rsid w:val="00316A89"/>
    <w:rsid w:val="003355FA"/>
    <w:rsid w:val="00376466"/>
    <w:rsid w:val="003D119E"/>
    <w:rsid w:val="003E41F2"/>
    <w:rsid w:val="003F3FB0"/>
    <w:rsid w:val="003F547B"/>
    <w:rsid w:val="004775B3"/>
    <w:rsid w:val="00497884"/>
    <w:rsid w:val="004A4663"/>
    <w:rsid w:val="004B093D"/>
    <w:rsid w:val="004D5A5B"/>
    <w:rsid w:val="004E41B3"/>
    <w:rsid w:val="00574A08"/>
    <w:rsid w:val="005807EB"/>
    <w:rsid w:val="0059167E"/>
    <w:rsid w:val="005C64AF"/>
    <w:rsid w:val="005E0C98"/>
    <w:rsid w:val="00607071"/>
    <w:rsid w:val="006544A2"/>
    <w:rsid w:val="00672109"/>
    <w:rsid w:val="0068113A"/>
    <w:rsid w:val="006C00F0"/>
    <w:rsid w:val="006D27C1"/>
    <w:rsid w:val="007214A2"/>
    <w:rsid w:val="00722FD4"/>
    <w:rsid w:val="007312B3"/>
    <w:rsid w:val="007634F8"/>
    <w:rsid w:val="007A16EB"/>
    <w:rsid w:val="007C057E"/>
    <w:rsid w:val="00814480"/>
    <w:rsid w:val="0088693A"/>
    <w:rsid w:val="008948DC"/>
    <w:rsid w:val="008E25D6"/>
    <w:rsid w:val="008E298F"/>
    <w:rsid w:val="008E61F1"/>
    <w:rsid w:val="009226E8"/>
    <w:rsid w:val="009411BA"/>
    <w:rsid w:val="00995B28"/>
    <w:rsid w:val="009F7DB2"/>
    <w:rsid w:val="00A34179"/>
    <w:rsid w:val="00A7122A"/>
    <w:rsid w:val="00AA075E"/>
    <w:rsid w:val="00AC3216"/>
    <w:rsid w:val="00B1131F"/>
    <w:rsid w:val="00B375E6"/>
    <w:rsid w:val="00B4213F"/>
    <w:rsid w:val="00B5603F"/>
    <w:rsid w:val="00B7595D"/>
    <w:rsid w:val="00B76EE0"/>
    <w:rsid w:val="00BB6164"/>
    <w:rsid w:val="00BE0C83"/>
    <w:rsid w:val="00BE54B2"/>
    <w:rsid w:val="00C36248"/>
    <w:rsid w:val="00C7260F"/>
    <w:rsid w:val="00C85ACA"/>
    <w:rsid w:val="00CA1EC8"/>
    <w:rsid w:val="00CB2F7F"/>
    <w:rsid w:val="00CB6A67"/>
    <w:rsid w:val="00CC1B5D"/>
    <w:rsid w:val="00CF5161"/>
    <w:rsid w:val="00D4783E"/>
    <w:rsid w:val="00D52BC7"/>
    <w:rsid w:val="00DA301E"/>
    <w:rsid w:val="00DB50A7"/>
    <w:rsid w:val="00DF6FF3"/>
    <w:rsid w:val="00E35CCB"/>
    <w:rsid w:val="00EE1DC6"/>
    <w:rsid w:val="00F14C91"/>
    <w:rsid w:val="00F50167"/>
    <w:rsid w:val="00F73D6A"/>
    <w:rsid w:val="00FE4B42"/>
    <w:rsid w:val="00FF2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04611"/>
  <w15:docId w15:val="{326F2DAE-9711-8F4D-B8CA-BEB8E0E5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C00F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00F0"/>
    <w:rPr>
      <w:rFonts w:ascii="Times New Roman" w:hAnsi="Times New Roman" w:cs="Times New Roman"/>
      <w:sz w:val="18"/>
      <w:szCs w:val="18"/>
    </w:rPr>
  </w:style>
  <w:style w:type="paragraph" w:styleId="Header">
    <w:name w:val="header"/>
    <w:basedOn w:val="Normal"/>
    <w:link w:val="HeaderChar"/>
    <w:uiPriority w:val="99"/>
    <w:unhideWhenUsed/>
    <w:rsid w:val="00043987"/>
    <w:pPr>
      <w:tabs>
        <w:tab w:val="center" w:pos="4680"/>
        <w:tab w:val="right" w:pos="9360"/>
      </w:tabs>
      <w:spacing w:line="240" w:lineRule="auto"/>
    </w:pPr>
  </w:style>
  <w:style w:type="character" w:customStyle="1" w:styleId="HeaderChar">
    <w:name w:val="Header Char"/>
    <w:basedOn w:val="DefaultParagraphFont"/>
    <w:link w:val="Header"/>
    <w:uiPriority w:val="99"/>
    <w:rsid w:val="00043987"/>
  </w:style>
  <w:style w:type="paragraph" w:styleId="Footer">
    <w:name w:val="footer"/>
    <w:basedOn w:val="Normal"/>
    <w:link w:val="FooterChar"/>
    <w:uiPriority w:val="99"/>
    <w:unhideWhenUsed/>
    <w:rsid w:val="00043987"/>
    <w:pPr>
      <w:tabs>
        <w:tab w:val="center" w:pos="4680"/>
        <w:tab w:val="right" w:pos="9360"/>
      </w:tabs>
      <w:spacing w:line="240" w:lineRule="auto"/>
    </w:pPr>
  </w:style>
  <w:style w:type="character" w:customStyle="1" w:styleId="FooterChar">
    <w:name w:val="Footer Char"/>
    <w:basedOn w:val="DefaultParagraphFont"/>
    <w:link w:val="Footer"/>
    <w:uiPriority w:val="99"/>
    <w:rsid w:val="00043987"/>
  </w:style>
  <w:style w:type="character" w:styleId="Hyperlink">
    <w:name w:val="Hyperlink"/>
    <w:basedOn w:val="DefaultParagraphFont"/>
    <w:uiPriority w:val="99"/>
    <w:unhideWhenUsed/>
    <w:rsid w:val="007A16EB"/>
    <w:rPr>
      <w:color w:val="0000FF" w:themeColor="hyperlink"/>
      <w:u w:val="single"/>
    </w:rPr>
  </w:style>
  <w:style w:type="character" w:styleId="UnresolvedMention">
    <w:name w:val="Unresolved Mention"/>
    <w:basedOn w:val="DefaultParagraphFont"/>
    <w:uiPriority w:val="99"/>
    <w:semiHidden/>
    <w:unhideWhenUsed/>
    <w:rsid w:val="007A16EB"/>
    <w:rPr>
      <w:color w:val="605E5C"/>
      <w:shd w:val="clear" w:color="auto" w:fill="E1DFDD"/>
    </w:rPr>
  </w:style>
  <w:style w:type="character" w:styleId="PlaceholderText">
    <w:name w:val="Placeholder Text"/>
    <w:basedOn w:val="DefaultParagraphFont"/>
    <w:uiPriority w:val="99"/>
    <w:semiHidden/>
    <w:rsid w:val="00C36248"/>
    <w:rPr>
      <w:color w:val="808080"/>
    </w:rPr>
  </w:style>
  <w:style w:type="character" w:styleId="PageNumber">
    <w:name w:val="page number"/>
    <w:basedOn w:val="DefaultParagraphFont"/>
    <w:uiPriority w:val="99"/>
    <w:semiHidden/>
    <w:unhideWhenUsed/>
    <w:rsid w:val="00497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sejoslin@ucdavis.edu"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news.nationalgeographic.com/2015/04/150403-smelt-california-bay-delta-extinction-endangered-species-drought-fish/"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ctbrown@ucdavis.edu"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8A076-902D-954E-AED3-8A1630824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48827</Words>
  <Characters>278318</Characters>
  <Application>Microsoft Office Word</Application>
  <DocSecurity>0</DocSecurity>
  <Lines>2319</Lines>
  <Paragraphs>652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cp:lastPrinted>2019-04-26T21:59:00Z</cp:lastPrinted>
  <dcterms:created xsi:type="dcterms:W3CDTF">2019-04-26T21:59:00Z</dcterms:created>
  <dcterms:modified xsi:type="dcterms:W3CDTF">2019-04-26T22:05:00Z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e8e0c89e-f6d1-3450-8087-c45eeb21cd12</vt:lpwstr>
  </property>
  <property fmtid="{D5CDD505-2E9C-101B-9397-08002B2CF9AE}" pid="24" name="Mendeley Citation Style_1">
    <vt:lpwstr>http://www.zotero.org/styles/nature</vt:lpwstr>
  </property>
</Properties>
</file>