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468880" cy="11013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c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101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b/>
          <w:sz w:val="28"/>
          <w:u w:val="single"/>
        </w:rPr>
        <w:t>Hotel Comparison Report</w:t>
      </w:r>
    </w:p>
    <w:p>
      <w:pPr>
        <w:spacing w:before="0" w:after="0"/>
        <w:jc w:val="center"/>
      </w:pPr>
      <w:r>
        <w:rPr>
          <w:sz w:val="28"/>
        </w:rPr>
        <w:t>Prepared for Martinez/Chen Wedding</w:t>
      </w:r>
    </w:p>
    <w:p>
      <w:pPr>
        <w:spacing w:before="0" w:after="280"/>
        <w:jc w:val="center"/>
      </w:pPr>
      <w:r>
        <w:rPr>
          <w:sz w:val="24"/>
        </w:rPr>
        <w:t>October 9, 2026 – October 11, 2026</w:t>
      </w:r>
    </w:p>
    <w:p>
      <w:pPr>
        <w:spacing w:before="0" w:after="0" w:line="276" w:lineRule="auto"/>
      </w:pPr>
      <w:hyperlink r:id="rId10">
        <w:r>
          <w:rPr>
            <w:b/>
            <w:color w:val="0000FF"/>
            <w:sz w:val="24"/>
            <w:u w:val="single"/>
          </w:rPr>
          <w:t xml:space="preserve">The DeSoto Savannah</w:t>
        </w:r>
      </w:hyperlink>
    </w:p>
    <w:p>
      <w:pPr>
        <w:spacing w:before="0" w:after="0" w:line="276" w:lineRule="auto"/>
      </w:pPr>
      <w:r>
        <w:t>15 E Liberty Street</w:t>
      </w:r>
    </w:p>
    <w:p>
      <w:pPr>
        <w:spacing w:before="0" w:after="0" w:line="276" w:lineRule="auto"/>
      </w:pPr>
      <w:r>
        <w:t>Savannah, GA 31401</w:t>
      </w:r>
    </w:p>
    <w:p>
      <w:pPr>
        <w:spacing w:before="0" w:after="0" w:line="240" w:lineRule="auto"/>
        <w:rPr>
          <w:sz w:val="12"/>
        </w:rPr>
      </w:pPr>
    </w:p>
    <w:p>
      <w:pPr>
        <w:spacing w:before="0" w:after="0" w:line="276" w:lineRule="auto"/>
      </w:pPr>
      <w:r>
        <w:drawing>
          <wp:inline xmlns:a="http://schemas.openxmlformats.org/drawingml/2006/main" xmlns:pic="http://schemas.openxmlformats.org/drawingml/2006/picture">
            <wp:extent cx="1417320" cy="2505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padvisor_log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25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</w:pPr>
      <w:hyperlink r:id="rId12">
        <w:r>
          <w:rPr>
            <w:rFonts w:ascii="Arial" w:hAnsi="Arial" w:cs="Arial"/>
            <w:color w:val="0000FF"/>
            <w:sz w:val="21"/>
            <w:u w:val="single"/>
          </w:rPr>
          <w:t xml:space="preserve">#24 of 141 Hotels in Savannah</w:t>
        </w:r>
      </w:hyperlink>
    </w:p>
    <w:p>
      <w:pPr>
        <w:spacing w:before="0" w:after="0" w:line="240" w:lineRule="auto"/>
        <w:rPr>
          <w:sz w:val="12"/>
        </w:rPr>
      </w:pPr>
    </w:p>
    <w:p>
      <w:pPr>
        <w:spacing w:before="0" w:after="0" w:line="276" w:lineRule="auto"/>
      </w:pPr>
      <w:r>
        <w:rPr>
          <w:b/>
        </w:rPr>
        <w:t>Special Negotiated Group Rates:</w:t>
      </w:r>
    </w:p>
    <w:tbl>
      <w:tblPr>
        <w:tblW w:type="auto" w:w="0"/>
        <w:tblLook w:firstColumn="1" w:firstRow="1" w:lastColumn="0" w:lastRow="0" w:noHBand="0" w:noVBand="1" w:val="04A0"/>
        <w:tblW w:w="6793" w:type="dxa"/>
        <w:jc w:val="center"/>
        <w:tblLayout w:type="fixed"/>
      </w:tblPr>
      <w:tblGrid>
        <w:gridCol w:w="2833"/>
        <w:gridCol w:w="1728"/>
        <w:gridCol w:w="2232"/>
      </w:tblGrid>
      <w:tr>
        <w:tc>
          <w:tcPr>
            <w:tcW w:type="dxa" w:w="2833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Room Type</w:t>
            </w:r>
          </w:p>
        </w:tc>
        <w:tc>
          <w:tcPr>
            <w:tcW w:type="dxa" w:w="1728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shd w:val="clear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Offered Rate</w:t>
            </w:r>
          </w:p>
        </w:tc>
        <w:tc>
          <w:tcPr>
            <w:tcW w:type="dxa" w:w="2232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Regular "Rack" Rate</w:t>
            </w:r>
          </w:p>
        </w:tc>
      </w:tr>
      <w:tr>
        <w:tc>
          <w:tcPr>
            <w:tcW w:type="dxa" w:w="283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  <w:t>Deluxe King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shd w:val="clear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$249</w:t>
            </w:r>
          </w:p>
        </w:tc>
        <w:tc>
          <w:tcPr>
            <w:tcW w:type="dxa" w:w="223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  <w:t>$419</w:t>
            </w:r>
          </w:p>
        </w:tc>
      </w:tr>
      <w:tr>
        <w:tc>
          <w:tcPr>
            <w:tcW w:type="dxa" w:w="283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  <w:t>Deluxe Double Queen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shd w:val="clear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$259</w:t>
            </w:r>
          </w:p>
        </w:tc>
        <w:tc>
          <w:tcPr>
            <w:tcW w:type="dxa" w:w="223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  <w:t>$429</w:t>
            </w:r>
          </w:p>
        </w:tc>
      </w:tr>
    </w:tbl>
    <w:p>
      <w:pPr>
        <w:spacing w:before="0" w:after="0" w:line="240" w:lineRule="auto"/>
        <w:jc w:val="center"/>
      </w:pPr>
      <w:r>
        <w:rPr>
          <w:sz w:val="16"/>
        </w:rPr>
        <w:t>*Rates are per night and are based on s/d occupancy</w:t>
      </w:r>
    </w:p>
    <w:p>
      <w:pPr>
        <w:spacing w:before="0" w:after="0" w:line="240" w:lineRule="auto"/>
        <w:jc w:val="center"/>
      </w:pPr>
      <w:r>
        <w:rPr>
          <w:sz w:val="16"/>
        </w:rPr>
        <w:t>*Rates do not include taxes and fees</w:t>
      </w:r>
    </w:p>
    <w:p>
      <w:pPr>
        <w:spacing w:before="0" w:after="0" w:line="276" w:lineRule="auto"/>
      </w:pPr>
      <w:r>
        <w:rPr>
          <w:b/>
        </w:rPr>
        <w:t>Hotel Features:</w:t>
      </w:r>
    </w:p>
    <w:p>
      <w:pPr>
        <w:spacing w:before="0" w:after="0"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>
        <w:rPr>
          <w:sz w:val="18"/>
        </w:rPr>
        <w:t>On-site restaurant &amp; bar – 1540 Room and Edgar's Proof &amp; Provision</w:t>
      </w:r>
    </w:p>
    <w:p>
      <w:pPr>
        <w:spacing w:before="0" w:after="0"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>
        <w:rPr>
          <w:sz w:val="18"/>
        </w:rPr>
        <w:t>Room service</w:t>
      </w:r>
    </w:p>
    <w:p>
      <w:pPr>
        <w:spacing w:before="0" w:after="0"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>
        <w:rPr>
          <w:sz w:val="18"/>
        </w:rPr>
        <w:t>Outdoor saltwater pool</w:t>
      </w:r>
    </w:p>
    <w:p>
      <w:pPr>
        <w:spacing w:before="0" w:after="0"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>
        <w:rPr>
          <w:sz w:val="18"/>
        </w:rPr>
        <w:t>Fitness center</w:t>
      </w:r>
    </w:p>
    <w:p>
      <w:pPr>
        <w:spacing w:before="0" w:after="0"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>
        <w:rPr>
          <w:sz w:val="18"/>
        </w:rPr>
        <w:t>Valet parking $42 per car, per night (subject to change)</w:t>
      </w:r>
    </w:p>
    <w:p>
      <w:pPr>
        <w:spacing w:before="0" w:after="0" w:line="240" w:lineRule="auto"/>
        <w:rPr>
          <w:sz w:val="12"/>
        </w:rPr>
      </w:pPr>
    </w:p>
    <w:p>
      <w:pPr>
        <w:spacing w:before="0" w:after="0" w:line="276" w:lineRule="auto"/>
      </w:pPr>
      <w:r>
        <w:rPr>
          <w:b/>
        </w:rPr>
        <w:t>Concessions:</w:t>
      </w:r>
    </w:p>
    <w:p>
      <w:pPr>
        <w:spacing w:before="0" w:after="0"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>
        <w:rPr>
          <w:sz w:val="18"/>
        </w:rPr>
        <w:t>Complimentary gift bag distribution at the front desk (non-personalized)</w:t>
      </w:r>
    </w:p>
    <w:p>
      <w:pPr>
        <w:spacing w:before="0" w:after="0"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>
        <w:rPr>
          <w:sz w:val="18"/>
        </w:rPr>
        <w:t>Complimentary Wi-Fi</w:t>
      </w:r>
    </w:p>
    <w:p>
      <w:pPr>
        <w:spacing w:before="0" w:after="0"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>
        <w:rPr>
          <w:sz w:val="18"/>
        </w:rPr>
        <w:t>Group rates honored one (1) day before and one (1) day after official block dates</w:t>
      </w:r>
    </w:p>
    <w:p>
      <w:pPr>
        <w:spacing w:before="0" w:after="0" w:line="240" w:lineRule="auto"/>
        <w:rPr>
          <w:sz w:val="12"/>
        </w:rPr>
      </w:pPr>
    </w:p>
    <w:p>
      <w:pPr>
        <w:spacing w:before="0" w:after="0" w:line="276" w:lineRule="auto"/>
      </w:pPr>
      <w:r>
        <w:rPr>
          <w:b/>
        </w:rPr>
        <w:t>Contracting Option:</w:t>
      </w:r>
    </w:p>
    <w:p>
      <w:pPr>
        <w:spacing w:before="0" w:after="0"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>
        <w:rPr>
          <w:sz w:val="18"/>
        </w:rPr>
        <w:t>Hotel can offer 10 rooms per night on a courtesy agreement</w:t>
      </w:r>
    </w:p>
    <w:p>
      <w:pPr>
        <w:spacing w:before="0" w:after="0"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>
        <w:rPr>
          <w:sz w:val="18"/>
        </w:rPr>
        <w:t>Courtesy Agreement - NO financial responsibility to client</w:t>
      </w:r>
    </w:p>
    <w:p>
      <w:pPr>
        <w:spacing w:before="0" w:after="0" w:line="240" w:lineRule="auto"/>
        <w:rPr>
          <w:sz w:val="12"/>
        </w:rPr>
      </w:pPr>
    </w:p>
    <w:p>
      <w:pPr>
        <w:spacing w:before="0" w:after="0" w:line="276" w:lineRule="auto"/>
      </w:pPr>
      <w:r>
        <w:rPr>
          <w:b/>
        </w:rPr>
        <w:t>Distance from The Olde Pink House: 0.3 miles</w:t>
      </w:r>
    </w:p>
    <w:p>
      <w:pPr>
        <w:spacing w:before="0" w:after="0" w:line="276" w:lineRule="auto"/>
      </w:pPr>
      <w:r>
        <w:rPr>
          <w:b/>
        </w:rPr>
        <w:t>Cut-off Date: (last date for guests to book at the group rate): 30 days prior to arrival, by September 9, 2026</w:t>
      </w:r>
    </w:p>
    <w:p>
      <w:pPr>
        <w:spacing w:before="0" w:after="0" w:line="240" w:lineRule="auto"/>
        <w:rPr>
          <w:sz w:val="20"/>
        </w:rPr>
      </w:pPr>
    </w:p>
    <w:p>
      <w:pPr>
        <w:spacing w:before="0" w:after="0" w:line="240" w:lineRule="auto"/>
        <w:pBdr>
          <w:bottom w:val="thinThickThinMediumGap" w:sz="18" w:space="1" w:color="auto"/>
        </w:pBdr>
      </w:pPr>
    </w:p>
    <w:p>
      <w:pPr>
        <w:spacing w:before="0" w:after="0" w:line="240" w:lineRule="auto"/>
        <w:rPr>
          <w:sz w:val="20"/>
        </w:rPr>
      </w:pPr>
    </w:p>
    <w:p>
      <w:pPr>
        <w:spacing w:before="0" w:after="0" w:line="276" w:lineRule="auto"/>
      </w:pPr>
      <w:hyperlink r:id="rId13">
        <w:r>
          <w:rPr>
            <w:b/>
            <w:color w:val="0000FF"/>
            <w:sz w:val="24"/>
            <w:u w:val="single"/>
          </w:rPr>
          <w:t xml:space="preserve">Hyatt Regency Savannah</w:t>
        </w:r>
      </w:hyperlink>
    </w:p>
    <w:p>
      <w:pPr>
        <w:spacing w:before="0" w:after="0" w:line="276" w:lineRule="auto"/>
      </w:pPr>
      <w:r>
        <w:t>2 W Bay Street</w:t>
      </w:r>
    </w:p>
    <w:p>
      <w:pPr>
        <w:spacing w:before="0" w:after="0" w:line="276" w:lineRule="auto"/>
      </w:pPr>
      <w:r>
        <w:t>Savannah, GA 31401</w:t>
      </w:r>
    </w:p>
    <w:p>
      <w:pPr>
        <w:spacing w:before="0" w:after="0" w:line="240" w:lineRule="auto"/>
        <w:rPr>
          <w:sz w:val="12"/>
        </w:rPr>
      </w:pPr>
    </w:p>
    <w:p>
      <w:pPr>
        <w:spacing w:before="0" w:after="0" w:line="276" w:lineRule="auto"/>
      </w:pPr>
      <w:r>
        <w:drawing>
          <wp:inline xmlns:a="http://schemas.openxmlformats.org/drawingml/2006/main" xmlns:pic="http://schemas.openxmlformats.org/drawingml/2006/picture">
            <wp:extent cx="1417320" cy="2505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padvisor_log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25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</w:pPr>
      <w:hyperlink r:id="rId14">
        <w:r>
          <w:rPr>
            <w:rFonts w:ascii="Arial" w:hAnsi="Arial" w:cs="Arial"/>
            <w:color w:val="0000FF"/>
            <w:sz w:val="21"/>
            <w:u w:val="single"/>
          </w:rPr>
          <w:t xml:space="preserve">#67 of 141 Hotels in Savannah</w:t>
        </w:r>
      </w:hyperlink>
    </w:p>
    <w:p>
      <w:pPr>
        <w:spacing w:before="0" w:after="0" w:line="240" w:lineRule="auto"/>
        <w:rPr>
          <w:sz w:val="12"/>
        </w:rPr>
      </w:pPr>
    </w:p>
    <w:p>
      <w:pPr>
        <w:spacing w:before="0" w:after="0" w:line="276" w:lineRule="auto"/>
      </w:pPr>
      <w:r>
        <w:rPr>
          <w:b/>
        </w:rPr>
        <w:t>Special Negotiated Group Rates:</w:t>
      </w:r>
    </w:p>
    <w:tbl>
      <w:tblPr>
        <w:tblW w:type="auto" w:w="0"/>
        <w:tblLook w:firstColumn="1" w:firstRow="1" w:lastColumn="0" w:lastRow="0" w:noHBand="0" w:noVBand="1" w:val="04A0"/>
        <w:tblW w:w="6793" w:type="dxa"/>
        <w:jc w:val="center"/>
        <w:tblLayout w:type="fixed"/>
      </w:tblPr>
      <w:tblGrid>
        <w:gridCol w:w="2833"/>
        <w:gridCol w:w="1728"/>
        <w:gridCol w:w="2232"/>
      </w:tblGrid>
      <w:tr>
        <w:tc>
          <w:tcPr>
            <w:tcW w:type="dxa" w:w="2833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Room Type</w:t>
            </w:r>
          </w:p>
        </w:tc>
        <w:tc>
          <w:tcPr>
            <w:tcW w:type="dxa" w:w="1728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shd w:val="clear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Offered Rate</w:t>
            </w:r>
          </w:p>
        </w:tc>
        <w:tc>
          <w:tcPr>
            <w:tcW w:type="dxa" w:w="2232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Regular "Rack" Rate</w:t>
            </w:r>
          </w:p>
        </w:tc>
      </w:tr>
      <w:tr>
        <w:tc>
          <w:tcPr>
            <w:tcW w:type="dxa" w:w="283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  <w:t>River View King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shd w:val="clear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$229</w:t>
            </w:r>
          </w:p>
        </w:tc>
        <w:tc>
          <w:tcPr>
            <w:tcW w:type="dxa" w:w="223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  <w:t>$389</w:t>
            </w:r>
          </w:p>
        </w:tc>
      </w:tr>
      <w:tr>
        <w:tc>
          <w:tcPr>
            <w:tcW w:type="dxa" w:w="283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  <w:t>River View Two Queens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shd w:val="clear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$239</w:t>
            </w:r>
          </w:p>
        </w:tc>
        <w:tc>
          <w:tcPr>
            <w:tcW w:type="dxa" w:w="223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  <w:t>$399</w:t>
            </w:r>
          </w:p>
        </w:tc>
      </w:tr>
      <w:tr>
        <w:tc>
          <w:tcPr>
            <w:tcW w:type="dxa" w:w="283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  <w:t>City View King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shd w:val="clear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$209</w:t>
            </w:r>
          </w:p>
        </w:tc>
        <w:tc>
          <w:tcPr>
            <w:tcW w:type="dxa" w:w="223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  <w:t>$359</w:t>
            </w:r>
          </w:p>
        </w:tc>
      </w:tr>
    </w:tbl>
    <w:p>
      <w:pPr>
        <w:spacing w:before="0" w:after="0" w:line="240" w:lineRule="auto"/>
        <w:jc w:val="center"/>
      </w:pPr>
      <w:r>
        <w:rPr>
          <w:sz w:val="16"/>
        </w:rPr>
        <w:t>*Rates are per night and are based on s/d occupancy</w:t>
      </w:r>
    </w:p>
    <w:p>
      <w:pPr>
        <w:spacing w:before="0" w:after="0" w:line="240" w:lineRule="auto"/>
        <w:jc w:val="center"/>
      </w:pPr>
      <w:r>
        <w:rPr>
          <w:sz w:val="16"/>
        </w:rPr>
        <w:t>*Rates do not include taxes and fees</w:t>
      </w:r>
    </w:p>
    <w:p>
      <w:pPr>
        <w:spacing w:before="0" w:after="0" w:line="276" w:lineRule="auto"/>
      </w:pPr>
      <w:r>
        <w:rPr>
          <w:b/>
        </w:rPr>
        <w:t>Hotel Features:</w:t>
      </w:r>
    </w:p>
    <w:p>
      <w:pPr>
        <w:spacing w:before="0" w:after="0"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>
        <w:rPr>
          <w:sz w:val="18"/>
        </w:rPr>
        <w:t>On-site restaurant – Moss + Oak Savannah Eatery</w:t>
      </w:r>
    </w:p>
    <w:p>
      <w:pPr>
        <w:spacing w:before="0" w:after="0"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>
        <w:rPr>
          <w:sz w:val="18"/>
        </w:rPr>
        <w:t>Indoor pool</w:t>
      </w:r>
    </w:p>
    <w:p>
      <w:pPr>
        <w:spacing w:before="0" w:after="0"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>
        <w:rPr>
          <w:sz w:val="18"/>
        </w:rPr>
        <w:t>Fitness center</w:t>
      </w:r>
    </w:p>
    <w:p>
      <w:pPr>
        <w:spacing w:before="0" w:after="0"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>
        <w:rPr>
          <w:sz w:val="18"/>
        </w:rPr>
        <w:t>Business center</w:t>
      </w:r>
    </w:p>
    <w:p>
      <w:pPr>
        <w:spacing w:before="0" w:after="0"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>
        <w:rPr>
          <w:sz w:val="18"/>
        </w:rPr>
        <w:t>Valet parking $40 per night (subject to change)</w:t>
      </w:r>
    </w:p>
    <w:p>
      <w:pPr>
        <w:spacing w:before="0" w:after="0" w:line="240" w:lineRule="auto"/>
        <w:rPr>
          <w:sz w:val="12"/>
        </w:rPr>
      </w:pPr>
    </w:p>
    <w:p>
      <w:pPr>
        <w:spacing w:before="0" w:after="0" w:line="276" w:lineRule="auto"/>
      </w:pPr>
      <w:r>
        <w:rPr>
          <w:b/>
        </w:rPr>
        <w:t>Concessions:</w:t>
      </w:r>
    </w:p>
    <w:p>
      <w:pPr>
        <w:spacing w:before="0" w:after="0"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>
        <w:rPr>
          <w:sz w:val="18"/>
        </w:rPr>
        <w:t>Complimentary Wi-Fi</w:t>
      </w:r>
    </w:p>
    <w:p>
      <w:pPr>
        <w:spacing w:before="0" w:after="0"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>
        <w:rPr>
          <w:sz w:val="18"/>
        </w:rPr>
        <w:t>Complimentary gift bag distribution at the front desk (non-personalized)</w:t>
      </w:r>
    </w:p>
    <w:p>
      <w:pPr>
        <w:spacing w:before="0" w:after="0" w:line="240" w:lineRule="auto"/>
        <w:rPr>
          <w:sz w:val="12"/>
        </w:rPr>
      </w:pPr>
    </w:p>
    <w:p>
      <w:pPr>
        <w:spacing w:before="0" w:after="0" w:line="276" w:lineRule="auto"/>
      </w:pPr>
      <w:r>
        <w:rPr>
          <w:b/>
        </w:rPr>
        <w:t>Contracting Option:</w:t>
      </w:r>
    </w:p>
    <w:p>
      <w:pPr>
        <w:spacing w:before="0" w:after="0"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>
        <w:rPr>
          <w:sz w:val="18"/>
        </w:rPr>
        <w:t>80% Attrition - Client financially responsible for 80% of the contracted room block</w:t>
      </w:r>
    </w:p>
    <w:p>
      <w:pPr>
        <w:spacing w:before="0" w:after="0"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>
        <w:rPr>
          <w:sz w:val="18"/>
        </w:rPr>
        <w:t>Minimum of 10 rooms contracted per night required to qualify for a room block</w:t>
      </w:r>
    </w:p>
    <w:p>
      <w:pPr>
        <w:spacing w:before="0" w:after="0"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>
        <w:rPr>
          <w:sz w:val="18"/>
        </w:rPr>
        <w:t>Credit card authorization form is needed at signing of contract</w:t>
      </w:r>
    </w:p>
    <w:p>
      <w:pPr>
        <w:spacing w:before="0" w:after="0" w:line="240" w:lineRule="auto"/>
        <w:rPr>
          <w:sz w:val="12"/>
        </w:rPr>
      </w:pPr>
    </w:p>
    <w:p>
      <w:pPr>
        <w:spacing w:before="0" w:after="0" w:line="276" w:lineRule="auto"/>
      </w:pPr>
      <w:r>
        <w:rPr>
          <w:b/>
        </w:rPr>
        <w:t>Distance from The Olde Pink House: 0.4 miles</w:t>
      </w:r>
    </w:p>
    <w:p>
      <w:pPr>
        <w:spacing w:before="0" w:after="0" w:line="276" w:lineRule="auto"/>
      </w:pPr>
      <w:r>
        <w:rPr>
          <w:b/>
        </w:rPr>
        <w:t>Cut-off Date: (last date for guests to book at the group rate): 45 days prior to arrival, by August 25, 2026</w:t>
      </w:r>
    </w:p>
    <w:p>
      <w:pPr>
        <w:spacing w:before="0" w:after="0" w:line="240" w:lineRule="auto"/>
        <w:rPr>
          <w:sz w:val="20"/>
        </w:rPr>
      </w:pPr>
    </w:p>
    <w:p>
      <w:pPr>
        <w:spacing w:before="0" w:after="0" w:line="240" w:lineRule="auto"/>
        <w:pBdr>
          <w:bottom w:val="thinThickThinMediumGap" w:sz="18" w:space="1" w:color="auto"/>
        </w:pBdr>
      </w:pPr>
    </w:p>
    <w:p>
      <w:pPr>
        <w:spacing w:before="0" w:after="0" w:line="240" w:lineRule="auto"/>
        <w:rPr>
          <w:sz w:val="20"/>
        </w:rPr>
      </w:pPr>
    </w:p>
    <w:p>
      <w:pPr>
        <w:spacing w:before="0" w:after="0" w:line="240" w:lineRule="auto"/>
      </w:pPr>
      <w:r>
        <w:rPr>
          <w:sz w:val="18"/>
        </w:rPr>
        <w:t>JC Room Blocks, P.O. Box 2661, Canyon Country, CA 91386 / 818-406-2351 / Info@JCRoomBlocks.com / www.JCRoomBlocks.com</w:t>
      </w:r>
    </w:p>
    <w:sectPr w:rsidR="00FC693F" w:rsidRPr="0006063C" w:rsidSect="00034616">
      <w:pgSz w:w="12240" w:h="15840"/>
      <w:pgMar w:top="504" w:right="793" w:bottom="504" w:left="7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Palatino Linotype" w:hAnsi="Palatino Linotyp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thedesotosavannah.com" TargetMode="External"/><Relationship Id="rId11" Type="http://schemas.openxmlformats.org/officeDocument/2006/relationships/image" Target="media/image2.jpg"/><Relationship Id="rId12" Type="http://schemas.openxmlformats.org/officeDocument/2006/relationships/hyperlink" Target="https://www.tripadvisor.com/Hotel_Review-g60814-d89542-Reviews-The_DeSoto-Savannah_Georgia.html" TargetMode="External"/><Relationship Id="rId13" Type="http://schemas.openxmlformats.org/officeDocument/2006/relationships/hyperlink" Target="https://www.hyatt.com/hyatt-regency/en-US/savrs-hyatt-regency-savannah" TargetMode="External"/><Relationship Id="rId14" Type="http://schemas.openxmlformats.org/officeDocument/2006/relationships/hyperlink" Target="https://www.tripadvisor.com/Hotel_Review-g60814-d111752-Reviews-Hyatt_Regency_Savannah-Savannah_Georgi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