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Hotel Room Block Comparison Report</w:t>
      </w:r>
    </w:p>
    <w:p>
      <w:pPr>
        <w:jc w:val="center"/>
      </w:pPr>
      <w:r>
        <w:rPr>
          <w:b/>
          <w:sz w:val="30"/>
        </w:rPr>
        <w:t>Martinez/Chen Wedding</w:t>
      </w:r>
    </w:p>
    <w:p>
      <w:pPr>
        <w:jc w:val="center"/>
      </w:pPr>
      <w:r>
        <w:rPr>
          <w:sz w:val="24"/>
        </w:rPr>
        <w:t>October 9–11, 2026  |  Savannah, Georgia</w:t>
      </w:r>
    </w:p>
    <w:p>
      <w:pPr>
        <w:jc w:val="center"/>
      </w:pPr>
      <w:r>
        <w:rPr>
          <w:i/>
          <w:sz w:val="20"/>
        </w:rPr>
        <w:t>Ceremony Venue: The Olde Pink House, 23 Abercorn Street, Savannah, GA</w:t>
        <w:br/>
        <w:t>Report prepared: June 11, 2026</w:t>
      </w:r>
    </w:p>
    <w:p/>
    <w:p>
      <w:pPr>
        <w:pStyle w:val="Heading1"/>
      </w:pPr>
      <w:r>
        <w:t>Overview</w:t>
      </w:r>
    </w:p>
    <w:p>
      <w:r>
        <w:t>This report compares two hotel room block offers received for the Martinez/Chen wedding weekend of October 9–11, 2026. Both properties are located in Savannah’s Historic District within easy walking distance (under half a mile) of the ceremony venue, The Olde Pink House. The comparison covers rates, amenities, concessions, contract terms, and key deadlines, followed by a summary assessment of each option.</w:t>
      </w:r>
    </w:p>
    <w:p>
      <w:pPr>
        <w:pStyle w:val="Heading1"/>
      </w:pPr>
      <w:r>
        <w:t>Side-by-Side Comparison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3A5F"/>
          </w:tcPr>
          <w:p>
            <w:pPr>
              <w:spacing w:before="40" w:after="40"/>
              <w:jc w:val="center"/>
            </w:pPr>
            <w:r/>
            <w:r>
              <w:rPr>
                <w:b/>
                <w:color w:val="FFFFFF"/>
                <w:sz w:val="22"/>
              </w:rPr>
              <w:t>Category</w:t>
            </w:r>
          </w:p>
        </w:tc>
        <w:tc>
          <w:tcPr>
            <w:tcW w:type="dxa" w:w="3744"/>
            <w:shd w:val="clear" w:fill="1F3A5F"/>
          </w:tcPr>
          <w:p>
            <w:pPr>
              <w:spacing w:before="40" w:after="40"/>
              <w:jc w:val="center"/>
            </w:pPr>
            <w:r/>
            <w:r>
              <w:rPr>
                <w:b/>
                <w:color w:val="FFFFFF"/>
                <w:sz w:val="22"/>
              </w:rPr>
              <w:t>The DeSoto Savannah</w:t>
            </w:r>
          </w:p>
        </w:tc>
        <w:tc>
          <w:tcPr>
            <w:tcW w:type="dxa" w:w="3744"/>
            <w:shd w:val="clear" w:fill="1F3A5F"/>
          </w:tcPr>
          <w:p>
            <w:pPr>
              <w:spacing w:before="40" w:after="40"/>
              <w:jc w:val="center"/>
            </w:pPr>
            <w:r/>
            <w:r>
              <w:rPr>
                <w:b/>
                <w:color w:val="FFFFFF"/>
                <w:sz w:val="22"/>
              </w:rPr>
              <w:t>Hyatt Regency Savannah</w:t>
            </w:r>
          </w:p>
        </w:tc>
      </w:tr>
      <w:tr>
        <w:tc>
          <w:tcPr>
            <w:tcW w:type="dxa" w:w="2448"/>
            <w:shd w:val="clear" w:fill="EAF0F6"/>
          </w:tcPr>
          <w:p>
            <w:pPr>
              <w:spacing w:before="40" w:after="40"/>
            </w:pPr>
            <w:r/>
            <w:r>
              <w:rPr>
                <w:b/>
                <w:sz w:val="20"/>
              </w:rPr>
              <w:t>Address</w:t>
            </w:r>
          </w:p>
        </w:tc>
        <w:tc>
          <w:tcPr>
            <w:tcW w:type="dxa" w:w="3744"/>
          </w:tcPr>
          <w:p>
            <w:pPr>
              <w:spacing w:before="40" w:after="40"/>
            </w:pPr>
            <w:r/>
            <w:r>
              <w:rPr>
                <w:b w:val="0"/>
                <w:sz w:val="20"/>
              </w:rPr>
              <w:t>15 E Liberty St, Savannah, GA 31401</w:t>
            </w:r>
          </w:p>
        </w:tc>
        <w:tc>
          <w:tcPr>
            <w:tcW w:type="dxa" w:w="3744"/>
          </w:tcPr>
          <w:p>
            <w:pPr>
              <w:spacing w:before="40" w:after="40"/>
            </w:pPr>
            <w:r/>
            <w:r>
              <w:rPr>
                <w:b w:val="0"/>
                <w:sz w:val="20"/>
              </w:rPr>
              <w:t>2 W Bay St, Savannah, GA 31401</w:t>
            </w:r>
          </w:p>
        </w:tc>
      </w:tr>
      <w:tr>
        <w:tc>
          <w:tcPr>
            <w:tcW w:type="dxa" w:w="2448"/>
            <w:shd w:val="clear" w:fill="EAF0F6"/>
          </w:tcPr>
          <w:p>
            <w:pPr>
              <w:spacing w:before="40" w:after="40"/>
            </w:pPr>
            <w:r/>
            <w:r>
              <w:rPr>
                <w:b/>
                <w:sz w:val="20"/>
              </w:rPr>
              <w:t>Website</w:t>
            </w:r>
          </w:p>
        </w:tc>
        <w:tc>
          <w:tcPr>
            <w:tcW w:type="dxa" w:w="3744"/>
            <w:shd w:val="clear" w:fill="F6F8FA"/>
          </w:tcPr>
          <w:p>
            <w:pPr>
              <w:spacing w:before="40" w:after="40"/>
            </w:pPr>
            <w:r/>
            <w:r>
              <w:rPr>
                <w:b w:val="0"/>
                <w:sz w:val="20"/>
              </w:rPr>
              <w:t>thedesotosavannah.com</w:t>
            </w:r>
          </w:p>
        </w:tc>
        <w:tc>
          <w:tcPr>
            <w:tcW w:type="dxa" w:w="3744"/>
            <w:shd w:val="clear" w:fill="F6F8FA"/>
          </w:tcPr>
          <w:p>
            <w:pPr>
              <w:spacing w:before="40" w:after="40"/>
            </w:pPr>
            <w:r/>
            <w:r>
              <w:rPr>
                <w:b w:val="0"/>
                <w:sz w:val="20"/>
              </w:rPr>
              <w:t>hyatt.com (Hyatt Regency Savannah)</w:t>
            </w:r>
          </w:p>
        </w:tc>
      </w:tr>
      <w:tr>
        <w:tc>
          <w:tcPr>
            <w:tcW w:type="dxa" w:w="2448"/>
            <w:shd w:val="clear" w:fill="EAF0F6"/>
          </w:tcPr>
          <w:p>
            <w:pPr>
              <w:spacing w:before="40" w:after="40"/>
            </w:pPr>
            <w:r/>
            <w:r>
              <w:rPr>
                <w:b/>
                <w:sz w:val="20"/>
              </w:rPr>
              <w:t>TripAdvisor Ranking</w:t>
            </w:r>
          </w:p>
        </w:tc>
        <w:tc>
          <w:tcPr>
            <w:tcW w:type="dxa" w:w="3744"/>
          </w:tcPr>
          <w:p>
            <w:pPr>
              <w:spacing w:before="40" w:after="40"/>
            </w:pPr>
            <w:r/>
            <w:r>
              <w:rPr>
                <w:b w:val="0"/>
                <w:sz w:val="20"/>
              </w:rPr>
              <w:t>#24 of 141 hotels in Savannah</w:t>
            </w:r>
          </w:p>
        </w:tc>
        <w:tc>
          <w:tcPr>
            <w:tcW w:type="dxa" w:w="3744"/>
          </w:tcPr>
          <w:p>
            <w:pPr>
              <w:spacing w:before="40" w:after="40"/>
            </w:pPr>
            <w:r/>
            <w:r>
              <w:rPr>
                <w:b w:val="0"/>
                <w:sz w:val="20"/>
              </w:rPr>
              <w:t>#67 of 141 hotels in Savannah</w:t>
            </w:r>
          </w:p>
        </w:tc>
      </w:tr>
      <w:tr>
        <w:tc>
          <w:tcPr>
            <w:tcW w:type="dxa" w:w="2448"/>
            <w:shd w:val="clear" w:fill="EAF0F6"/>
          </w:tcPr>
          <w:p>
            <w:pPr>
              <w:spacing w:before="40" w:after="40"/>
            </w:pPr>
            <w:r/>
            <w:r>
              <w:rPr>
                <w:b/>
                <w:sz w:val="20"/>
              </w:rPr>
              <w:t>Distance from The Olde Pink House</w:t>
            </w:r>
          </w:p>
        </w:tc>
        <w:tc>
          <w:tcPr>
            <w:tcW w:type="dxa" w:w="3744"/>
            <w:shd w:val="clear" w:fill="F6F8FA"/>
          </w:tcPr>
          <w:p>
            <w:pPr>
              <w:spacing w:before="40" w:after="40"/>
            </w:pPr>
            <w:r/>
            <w:r>
              <w:rPr>
                <w:b w:val="0"/>
                <w:sz w:val="20"/>
              </w:rPr>
              <w:t>0.3 miles (approx. 6-minute walk)</w:t>
            </w:r>
          </w:p>
        </w:tc>
        <w:tc>
          <w:tcPr>
            <w:tcW w:type="dxa" w:w="3744"/>
            <w:shd w:val="clear" w:fill="F6F8FA"/>
          </w:tcPr>
          <w:p>
            <w:pPr>
              <w:spacing w:before="40" w:after="40"/>
            </w:pPr>
            <w:r/>
            <w:r>
              <w:rPr>
                <w:b w:val="0"/>
                <w:sz w:val="20"/>
              </w:rPr>
              <w:t>0.4 miles (approx. 8-minute walk)</w:t>
            </w:r>
          </w:p>
        </w:tc>
      </w:tr>
      <w:tr>
        <w:tc>
          <w:tcPr>
            <w:tcW w:type="dxa" w:w="2448"/>
            <w:shd w:val="clear" w:fill="EAF0F6"/>
          </w:tcPr>
          <w:p>
            <w:pPr>
              <w:spacing w:before="40" w:after="40"/>
            </w:pPr>
            <w:r/>
            <w:r>
              <w:rPr>
                <w:b/>
                <w:sz w:val="20"/>
              </w:rPr>
              <w:t>Group Rates</w:t>
            </w:r>
          </w:p>
        </w:tc>
        <w:tc>
          <w:tcPr>
            <w:tcW w:type="dxa" w:w="3744"/>
          </w:tcPr>
          <w:p>
            <w:pPr>
              <w:spacing w:before="40" w:after="40"/>
            </w:pPr>
            <w:r/>
            <w:r>
              <w:rPr>
                <w:b w:val="0"/>
                <w:sz w:val="20"/>
              </w:rPr>
              <w:t>Deluxe King: $249/night (rack $419)</w:t>
              <w:br/>
            </w:r>
            <w:r>
              <w:rPr>
                <w:b w:val="0"/>
                <w:sz w:val="20"/>
              </w:rPr>
              <w:t>Deluxe Double Queen: $259/night (rack $429)</w:t>
            </w:r>
          </w:p>
        </w:tc>
        <w:tc>
          <w:tcPr>
            <w:tcW w:type="dxa" w:w="3744"/>
          </w:tcPr>
          <w:p>
            <w:pPr>
              <w:spacing w:before="40" w:after="40"/>
            </w:pPr>
            <w:r/>
            <w:r>
              <w:rPr>
                <w:b w:val="0"/>
                <w:sz w:val="20"/>
              </w:rPr>
              <w:t>River View King: $229/night (rack $389)</w:t>
              <w:br/>
            </w:r>
            <w:r>
              <w:rPr>
                <w:b w:val="0"/>
                <w:sz w:val="20"/>
              </w:rPr>
              <w:t>River View Two Queens: $239/night (rack $399)</w:t>
              <w:br/>
            </w:r>
            <w:r>
              <w:rPr>
                <w:b w:val="0"/>
                <w:sz w:val="20"/>
              </w:rPr>
              <w:t>City View King: $209/night (rack $359)</w:t>
            </w:r>
          </w:p>
        </w:tc>
      </w:tr>
      <w:tr>
        <w:tc>
          <w:tcPr>
            <w:tcW w:type="dxa" w:w="2448"/>
            <w:shd w:val="clear" w:fill="EAF0F6"/>
          </w:tcPr>
          <w:p>
            <w:pPr>
              <w:spacing w:before="40" w:after="40"/>
            </w:pPr>
            <w:r/>
            <w:r>
              <w:rPr>
                <w:b/>
                <w:sz w:val="20"/>
              </w:rPr>
              <w:t>Savings vs. Rack Rate</w:t>
            </w:r>
          </w:p>
        </w:tc>
        <w:tc>
          <w:tcPr>
            <w:tcW w:type="dxa" w:w="3744"/>
            <w:shd w:val="clear" w:fill="F6F8FA"/>
          </w:tcPr>
          <w:p>
            <w:pPr>
              <w:spacing w:before="40" w:after="40"/>
            </w:pPr>
            <w:r/>
            <w:r>
              <w:rPr>
                <w:b w:val="0"/>
                <w:sz w:val="20"/>
              </w:rPr>
              <w:t>Approx. $170 per room per night (40–41% off)</w:t>
            </w:r>
          </w:p>
        </w:tc>
        <w:tc>
          <w:tcPr>
            <w:tcW w:type="dxa" w:w="3744"/>
            <w:shd w:val="clear" w:fill="F6F8FA"/>
          </w:tcPr>
          <w:p>
            <w:pPr>
              <w:spacing w:before="40" w:after="40"/>
            </w:pPr>
            <w:r/>
            <w:r>
              <w:rPr>
                <w:b w:val="0"/>
                <w:sz w:val="20"/>
              </w:rPr>
              <w:t>Approx. $150–$160 per room per night (40–42% off)</w:t>
            </w:r>
          </w:p>
        </w:tc>
      </w:tr>
      <w:tr>
        <w:tc>
          <w:tcPr>
            <w:tcW w:type="dxa" w:w="2448"/>
            <w:shd w:val="clear" w:fill="EAF0F6"/>
          </w:tcPr>
          <w:p>
            <w:pPr>
              <w:spacing w:before="40" w:after="40"/>
            </w:pPr>
            <w:r/>
            <w:r>
              <w:rPr>
                <w:b/>
                <w:sz w:val="20"/>
              </w:rPr>
              <w:t>Dining</w:t>
            </w:r>
          </w:p>
        </w:tc>
        <w:tc>
          <w:tcPr>
            <w:tcW w:type="dxa" w:w="3744"/>
          </w:tcPr>
          <w:p>
            <w:pPr>
              <w:spacing w:before="40" w:after="40"/>
            </w:pPr>
            <w:r/>
            <w:r>
              <w:rPr>
                <w:b w:val="0"/>
                <w:sz w:val="20"/>
              </w:rPr>
              <w:t>1540 Room (restaurant) and Edgar’s Proof &amp; Provision (bar); room service</w:t>
            </w:r>
          </w:p>
        </w:tc>
        <w:tc>
          <w:tcPr>
            <w:tcW w:type="dxa" w:w="3744"/>
          </w:tcPr>
          <w:p>
            <w:pPr>
              <w:spacing w:before="40" w:after="40"/>
            </w:pPr>
            <w:r/>
            <w:r>
              <w:rPr>
                <w:b w:val="0"/>
                <w:sz w:val="20"/>
              </w:rPr>
              <w:t>Moss + Oak Savannah Eatery</w:t>
            </w:r>
          </w:p>
        </w:tc>
      </w:tr>
      <w:tr>
        <w:tc>
          <w:tcPr>
            <w:tcW w:type="dxa" w:w="2448"/>
            <w:shd w:val="clear" w:fill="EAF0F6"/>
          </w:tcPr>
          <w:p>
            <w:pPr>
              <w:spacing w:before="40" w:after="40"/>
            </w:pPr>
            <w:r/>
            <w:r>
              <w:rPr>
                <w:b/>
                <w:sz w:val="20"/>
              </w:rPr>
              <w:t>Pool</w:t>
            </w:r>
          </w:p>
        </w:tc>
        <w:tc>
          <w:tcPr>
            <w:tcW w:type="dxa" w:w="3744"/>
            <w:shd w:val="clear" w:fill="F6F8FA"/>
          </w:tcPr>
          <w:p>
            <w:pPr>
              <w:spacing w:before="40" w:after="40"/>
            </w:pPr>
            <w:r/>
            <w:r>
              <w:rPr>
                <w:b w:val="0"/>
                <w:sz w:val="20"/>
              </w:rPr>
              <w:t>Outdoor saltwater pool</w:t>
            </w:r>
          </w:p>
        </w:tc>
        <w:tc>
          <w:tcPr>
            <w:tcW w:type="dxa" w:w="3744"/>
            <w:shd w:val="clear" w:fill="F6F8FA"/>
          </w:tcPr>
          <w:p>
            <w:pPr>
              <w:spacing w:before="40" w:after="40"/>
            </w:pPr>
            <w:r/>
            <w:r>
              <w:rPr>
                <w:b w:val="0"/>
                <w:sz w:val="20"/>
              </w:rPr>
              <w:t>Indoor pool</w:t>
            </w:r>
          </w:p>
        </w:tc>
      </w:tr>
      <w:tr>
        <w:tc>
          <w:tcPr>
            <w:tcW w:type="dxa" w:w="2448"/>
            <w:shd w:val="clear" w:fill="EAF0F6"/>
          </w:tcPr>
          <w:p>
            <w:pPr>
              <w:spacing w:before="40" w:after="40"/>
            </w:pPr>
            <w:r/>
            <w:r>
              <w:rPr>
                <w:b/>
                <w:sz w:val="20"/>
              </w:rPr>
              <w:t>Other Amenities</w:t>
            </w:r>
          </w:p>
        </w:tc>
        <w:tc>
          <w:tcPr>
            <w:tcW w:type="dxa" w:w="3744"/>
          </w:tcPr>
          <w:p>
            <w:pPr>
              <w:spacing w:before="40" w:after="40"/>
            </w:pPr>
            <w:r/>
            <w:r>
              <w:rPr>
                <w:b w:val="0"/>
                <w:sz w:val="20"/>
              </w:rPr>
              <w:t>Fitness center; room service</w:t>
            </w:r>
          </w:p>
        </w:tc>
        <w:tc>
          <w:tcPr>
            <w:tcW w:type="dxa" w:w="3744"/>
          </w:tcPr>
          <w:p>
            <w:pPr>
              <w:spacing w:before="40" w:after="40"/>
            </w:pPr>
            <w:r/>
            <w:r>
              <w:rPr>
                <w:b w:val="0"/>
                <w:sz w:val="20"/>
              </w:rPr>
              <w:t>Fitness center; business center</w:t>
            </w:r>
          </w:p>
        </w:tc>
      </w:tr>
      <w:tr>
        <w:tc>
          <w:tcPr>
            <w:tcW w:type="dxa" w:w="2448"/>
            <w:shd w:val="clear" w:fill="EAF0F6"/>
          </w:tcPr>
          <w:p>
            <w:pPr>
              <w:spacing w:before="40" w:after="40"/>
            </w:pPr>
            <w:r/>
            <w:r>
              <w:rPr>
                <w:b/>
                <w:sz w:val="20"/>
              </w:rPr>
              <w:t>Parking</w:t>
            </w:r>
          </w:p>
        </w:tc>
        <w:tc>
          <w:tcPr>
            <w:tcW w:type="dxa" w:w="3744"/>
            <w:shd w:val="clear" w:fill="F6F8FA"/>
          </w:tcPr>
          <w:p>
            <w:pPr>
              <w:spacing w:before="40" w:after="40"/>
            </w:pPr>
            <w:r/>
            <w:r>
              <w:rPr>
                <w:b w:val="0"/>
                <w:sz w:val="20"/>
              </w:rPr>
              <w:t>Valet, $42 per car per night (subject to change)</w:t>
            </w:r>
          </w:p>
        </w:tc>
        <w:tc>
          <w:tcPr>
            <w:tcW w:type="dxa" w:w="3744"/>
            <w:shd w:val="clear" w:fill="F6F8FA"/>
          </w:tcPr>
          <w:p>
            <w:pPr>
              <w:spacing w:before="40" w:after="40"/>
            </w:pPr>
            <w:r/>
            <w:r>
              <w:rPr>
                <w:b w:val="0"/>
                <w:sz w:val="20"/>
              </w:rPr>
              <w:t>Valet, $40 per night (subject to change)</w:t>
            </w:r>
          </w:p>
        </w:tc>
      </w:tr>
      <w:tr>
        <w:tc>
          <w:tcPr>
            <w:tcW w:type="dxa" w:w="2448"/>
            <w:shd w:val="clear" w:fill="EAF0F6"/>
          </w:tcPr>
          <w:p>
            <w:pPr>
              <w:spacing w:before="40" w:after="40"/>
            </w:pPr>
            <w:r/>
            <w:r>
              <w:rPr>
                <w:b/>
                <w:sz w:val="20"/>
              </w:rPr>
              <w:t>Wi-Fi</w:t>
            </w:r>
          </w:p>
        </w:tc>
        <w:tc>
          <w:tcPr>
            <w:tcW w:type="dxa" w:w="3744"/>
          </w:tcPr>
          <w:p>
            <w:pPr>
              <w:spacing w:before="40" w:after="40"/>
            </w:pPr>
            <w:r/>
            <w:r>
              <w:rPr>
                <w:b w:val="0"/>
                <w:sz w:val="20"/>
              </w:rPr>
              <w:t>Complimentary</w:t>
            </w:r>
          </w:p>
        </w:tc>
        <w:tc>
          <w:tcPr>
            <w:tcW w:type="dxa" w:w="3744"/>
          </w:tcPr>
          <w:p>
            <w:pPr>
              <w:spacing w:before="40" w:after="40"/>
            </w:pPr>
            <w:r/>
            <w:r>
              <w:rPr>
                <w:b w:val="0"/>
                <w:sz w:val="20"/>
              </w:rPr>
              <w:t>Complimentary</w:t>
            </w:r>
          </w:p>
        </w:tc>
      </w:tr>
      <w:tr>
        <w:tc>
          <w:tcPr>
            <w:tcW w:type="dxa" w:w="2448"/>
            <w:shd w:val="clear" w:fill="EAF0F6"/>
          </w:tcPr>
          <w:p>
            <w:pPr>
              <w:spacing w:before="40" w:after="40"/>
            </w:pPr>
            <w:r/>
            <w:r>
              <w:rPr>
                <w:b/>
                <w:sz w:val="20"/>
              </w:rPr>
              <w:t>Gift Bag Distribution</w:t>
            </w:r>
          </w:p>
        </w:tc>
        <w:tc>
          <w:tcPr>
            <w:tcW w:type="dxa" w:w="3744"/>
            <w:shd w:val="clear" w:fill="F6F8FA"/>
          </w:tcPr>
          <w:p>
            <w:pPr>
              <w:spacing w:before="40" w:after="40"/>
            </w:pPr>
            <w:r/>
            <w:r>
              <w:rPr>
                <w:b w:val="0"/>
                <w:sz w:val="20"/>
              </w:rPr>
              <w:t>Complimentary at front desk (non-personalized)</w:t>
            </w:r>
          </w:p>
        </w:tc>
        <w:tc>
          <w:tcPr>
            <w:tcW w:type="dxa" w:w="3744"/>
            <w:shd w:val="clear" w:fill="F6F8FA"/>
          </w:tcPr>
          <w:p>
            <w:pPr>
              <w:spacing w:before="40" w:after="40"/>
            </w:pPr>
            <w:r/>
            <w:r>
              <w:rPr>
                <w:b w:val="0"/>
                <w:sz w:val="20"/>
              </w:rPr>
              <w:t>Complimentary at front desk (non-personalized)</w:t>
            </w:r>
          </w:p>
        </w:tc>
      </w:tr>
      <w:tr>
        <w:tc>
          <w:tcPr>
            <w:tcW w:type="dxa" w:w="2448"/>
            <w:shd w:val="clear" w:fill="EAF0F6"/>
          </w:tcPr>
          <w:p>
            <w:pPr>
              <w:spacing w:before="40" w:after="40"/>
            </w:pPr>
            <w:r/>
            <w:r>
              <w:rPr>
                <w:b/>
                <w:sz w:val="20"/>
              </w:rPr>
              <w:t>Shoulder Nights</w:t>
            </w:r>
          </w:p>
        </w:tc>
        <w:tc>
          <w:tcPr>
            <w:tcW w:type="dxa" w:w="3744"/>
          </w:tcPr>
          <w:p>
            <w:pPr>
              <w:spacing w:before="40" w:after="40"/>
            </w:pPr>
            <w:r/>
            <w:r>
              <w:rPr>
                <w:b w:val="0"/>
                <w:sz w:val="20"/>
              </w:rPr>
              <w:t>Group rates honored one day before and one day after official block dates</w:t>
            </w:r>
          </w:p>
        </w:tc>
        <w:tc>
          <w:tcPr>
            <w:tcW w:type="dxa" w:w="3744"/>
          </w:tcPr>
          <w:p>
            <w:pPr>
              <w:spacing w:before="40" w:after="40"/>
            </w:pPr>
            <w:r/>
            <w:r>
              <w:rPr>
                <w:b w:val="0"/>
                <w:sz w:val="20"/>
              </w:rPr>
              <w:t>Not offered</w:t>
            </w:r>
          </w:p>
        </w:tc>
      </w:tr>
      <w:tr>
        <w:tc>
          <w:tcPr>
            <w:tcW w:type="dxa" w:w="2448"/>
            <w:shd w:val="clear" w:fill="EAF0F6"/>
          </w:tcPr>
          <w:p>
            <w:pPr>
              <w:spacing w:before="40" w:after="40"/>
            </w:pPr>
            <w:r/>
            <w:r>
              <w:rPr>
                <w:b/>
                <w:sz w:val="20"/>
              </w:rPr>
              <w:t>Block Size</w:t>
            </w:r>
          </w:p>
        </w:tc>
        <w:tc>
          <w:tcPr>
            <w:tcW w:type="dxa" w:w="3744"/>
            <w:shd w:val="clear" w:fill="F6F8FA"/>
          </w:tcPr>
          <w:p>
            <w:pPr>
              <w:spacing w:before="40" w:after="40"/>
            </w:pPr>
            <w:r/>
            <w:r>
              <w:rPr>
                <w:b w:val="0"/>
                <w:sz w:val="20"/>
              </w:rPr>
              <w:t>10 rooms per night</w:t>
            </w:r>
          </w:p>
        </w:tc>
        <w:tc>
          <w:tcPr>
            <w:tcW w:type="dxa" w:w="3744"/>
            <w:shd w:val="clear" w:fill="F6F8FA"/>
          </w:tcPr>
          <w:p>
            <w:pPr>
              <w:spacing w:before="40" w:after="40"/>
            </w:pPr>
            <w:r/>
            <w:r>
              <w:rPr>
                <w:b w:val="0"/>
                <w:sz w:val="20"/>
              </w:rPr>
              <w:t>Minimum 10 rooms per night</w:t>
            </w:r>
          </w:p>
        </w:tc>
      </w:tr>
      <w:tr>
        <w:tc>
          <w:tcPr>
            <w:tcW w:type="dxa" w:w="2448"/>
            <w:shd w:val="clear" w:fill="EAF0F6"/>
          </w:tcPr>
          <w:p>
            <w:pPr>
              <w:spacing w:before="40" w:after="40"/>
            </w:pPr>
            <w:r/>
            <w:r>
              <w:rPr>
                <w:b/>
                <w:sz w:val="20"/>
              </w:rPr>
              <w:t>Contract Type</w:t>
            </w:r>
          </w:p>
        </w:tc>
        <w:tc>
          <w:tcPr>
            <w:tcW w:type="dxa" w:w="3744"/>
          </w:tcPr>
          <w:p>
            <w:pPr>
              <w:spacing w:before="40" w:after="40"/>
            </w:pPr>
            <w:r/>
            <w:r>
              <w:rPr>
                <w:b w:val="0"/>
                <w:sz w:val="20"/>
              </w:rPr>
              <w:t>Courtesy agreement — NO financial responsibility to client</w:t>
            </w:r>
          </w:p>
        </w:tc>
        <w:tc>
          <w:tcPr>
            <w:tcW w:type="dxa" w:w="3744"/>
          </w:tcPr>
          <w:p>
            <w:pPr>
              <w:spacing w:before="40" w:after="40"/>
            </w:pPr>
            <w:r/>
            <w:r>
              <w:rPr>
                <w:b w:val="0"/>
                <w:sz w:val="20"/>
              </w:rPr>
              <w:t>80% attrition — client financially responsible for 80% of contracted block; credit card authorization required at signing</w:t>
            </w:r>
          </w:p>
        </w:tc>
      </w:tr>
      <w:tr>
        <w:tc>
          <w:tcPr>
            <w:tcW w:type="dxa" w:w="2448"/>
            <w:shd w:val="clear" w:fill="EAF0F6"/>
          </w:tcPr>
          <w:p>
            <w:pPr>
              <w:spacing w:before="40" w:after="40"/>
            </w:pPr>
            <w:r/>
            <w:r>
              <w:rPr>
                <w:b/>
                <w:sz w:val="20"/>
              </w:rPr>
              <w:t>Reservation Cut-Off</w:t>
            </w:r>
          </w:p>
        </w:tc>
        <w:tc>
          <w:tcPr>
            <w:tcW w:type="dxa" w:w="3744"/>
            <w:shd w:val="clear" w:fill="F6F8FA"/>
          </w:tcPr>
          <w:p>
            <w:pPr>
              <w:spacing w:before="40" w:after="40"/>
            </w:pPr>
            <w:r/>
            <w:r>
              <w:rPr>
                <w:b w:val="0"/>
                <w:sz w:val="20"/>
              </w:rPr>
              <w:t>30 days prior to arrival — September 9, 2026</w:t>
            </w:r>
          </w:p>
        </w:tc>
        <w:tc>
          <w:tcPr>
            <w:tcW w:type="dxa" w:w="3744"/>
            <w:shd w:val="clear" w:fill="F6F8FA"/>
          </w:tcPr>
          <w:p>
            <w:pPr>
              <w:spacing w:before="40" w:after="40"/>
            </w:pPr>
            <w:r/>
            <w:r>
              <w:rPr>
                <w:b w:val="0"/>
                <w:sz w:val="20"/>
              </w:rPr>
              <w:t>45 days prior to arrival — August 25, 2026</w:t>
            </w:r>
          </w:p>
        </w:tc>
      </w:tr>
    </w:tbl>
    <w:p/>
    <w:p>
      <w:pPr>
        <w:pStyle w:val="Heading1"/>
      </w:pPr>
      <w:r>
        <w:t>Rate Summary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1F3A5F"/>
          </w:tcPr>
          <w:p>
            <w:pPr>
              <w:spacing w:before="40" w:after="40"/>
              <w:jc w:val="center"/>
            </w:pPr>
            <w:r/>
            <w:r>
              <w:rPr>
                <w:b/>
                <w:color w:val="FFFFFF"/>
                <w:sz w:val="20"/>
              </w:rPr>
              <w:t>Hotel</w:t>
            </w:r>
          </w:p>
        </w:tc>
        <w:tc>
          <w:tcPr>
            <w:tcW w:type="dxa" w:w="1728"/>
            <w:shd w:val="clear" w:fill="1F3A5F"/>
          </w:tcPr>
          <w:p>
            <w:pPr>
              <w:spacing w:before="40" w:after="40"/>
              <w:jc w:val="center"/>
            </w:pPr>
            <w:r/>
            <w:r>
              <w:rPr>
                <w:b/>
                <w:color w:val="FFFFFF"/>
                <w:sz w:val="20"/>
              </w:rPr>
              <w:t>Room Type</w:t>
            </w:r>
          </w:p>
        </w:tc>
        <w:tc>
          <w:tcPr>
            <w:tcW w:type="dxa" w:w="1728"/>
            <w:shd w:val="clear" w:fill="1F3A5F"/>
          </w:tcPr>
          <w:p>
            <w:pPr>
              <w:spacing w:before="40" w:after="40"/>
              <w:jc w:val="center"/>
            </w:pPr>
            <w:r/>
            <w:r>
              <w:rPr>
                <w:b/>
                <w:color w:val="FFFFFF"/>
                <w:sz w:val="20"/>
              </w:rPr>
              <w:t>Group Rate</w:t>
            </w:r>
          </w:p>
        </w:tc>
        <w:tc>
          <w:tcPr>
            <w:tcW w:type="dxa" w:w="1728"/>
            <w:shd w:val="clear" w:fill="1F3A5F"/>
          </w:tcPr>
          <w:p>
            <w:pPr>
              <w:spacing w:before="40" w:after="40"/>
              <w:jc w:val="center"/>
            </w:pPr>
            <w:r/>
            <w:r>
              <w:rPr>
                <w:b/>
                <w:color w:val="FFFFFF"/>
                <w:sz w:val="20"/>
              </w:rPr>
              <w:t>Rack Rate</w:t>
            </w:r>
          </w:p>
        </w:tc>
        <w:tc>
          <w:tcPr>
            <w:tcW w:type="dxa" w:w="1728"/>
            <w:shd w:val="clear" w:fill="1F3A5F"/>
          </w:tcPr>
          <w:p>
            <w:pPr>
              <w:spacing w:before="40" w:after="40"/>
              <w:jc w:val="center"/>
            </w:pPr>
            <w:r/>
            <w:r>
              <w:rPr>
                <w:b/>
                <w:color w:val="FFFFFF"/>
                <w:sz w:val="20"/>
              </w:rPr>
              <w:t>Nightly Savings</w:t>
            </w:r>
          </w:p>
        </w:tc>
      </w:tr>
      <w:tr>
        <w:tc>
          <w:tcPr>
            <w:tcW w:type="dxa" w:w="1728"/>
          </w:tcPr>
          <w:p>
            <w:pPr>
              <w:spacing w:before="40" w:after="40"/>
            </w:pPr>
            <w:r/>
            <w:r>
              <w:rPr>
                <w:b w:val="0"/>
                <w:sz w:val="20"/>
              </w:rPr>
              <w:t>The DeSoto Savannah</w:t>
            </w:r>
          </w:p>
        </w:tc>
        <w:tc>
          <w:tcPr>
            <w:tcW w:type="dxa" w:w="1728"/>
          </w:tcPr>
          <w:p>
            <w:pPr>
              <w:spacing w:before="40" w:after="40"/>
            </w:pPr>
            <w:r/>
            <w:r>
              <w:rPr>
                <w:b w:val="0"/>
                <w:sz w:val="20"/>
              </w:rPr>
              <w:t>Deluxe King</w:t>
            </w:r>
          </w:p>
        </w:tc>
        <w:tc>
          <w:tcPr>
            <w:tcW w:type="dxa" w:w="1728"/>
          </w:tcPr>
          <w:p>
            <w:pPr>
              <w:spacing w:before="40" w:after="40"/>
              <w:jc w:val="center"/>
            </w:pPr>
            <w:r/>
            <w:r>
              <w:rPr>
                <w:b w:val="0"/>
                <w:sz w:val="20"/>
              </w:rPr>
              <w:t>$249</w:t>
            </w:r>
          </w:p>
        </w:tc>
        <w:tc>
          <w:tcPr>
            <w:tcW w:type="dxa" w:w="1728"/>
          </w:tcPr>
          <w:p>
            <w:pPr>
              <w:spacing w:before="40" w:after="40"/>
              <w:jc w:val="center"/>
            </w:pPr>
            <w:r/>
            <w:r>
              <w:rPr>
                <w:b w:val="0"/>
                <w:sz w:val="20"/>
              </w:rPr>
              <w:t>$419</w:t>
            </w:r>
          </w:p>
        </w:tc>
        <w:tc>
          <w:tcPr>
            <w:tcW w:type="dxa" w:w="1728"/>
          </w:tcPr>
          <w:p>
            <w:pPr>
              <w:spacing w:before="40" w:after="40"/>
              <w:jc w:val="center"/>
            </w:pPr>
            <w:r/>
            <w:r>
              <w:rPr>
                <w:b w:val="0"/>
                <w:sz w:val="20"/>
              </w:rPr>
              <w:t>$170</w:t>
            </w:r>
          </w:p>
        </w:tc>
      </w:tr>
      <w:tr>
        <w:tc>
          <w:tcPr>
            <w:tcW w:type="dxa" w:w="1728"/>
          </w:tcPr>
          <w:p>
            <w:pPr>
              <w:spacing w:before="40" w:after="40"/>
            </w:pPr>
            <w:r/>
            <w:r>
              <w:rPr>
                <w:b w:val="0"/>
                <w:sz w:val="20"/>
              </w:rPr>
              <w:t>The DeSoto Savannah</w:t>
            </w:r>
          </w:p>
        </w:tc>
        <w:tc>
          <w:tcPr>
            <w:tcW w:type="dxa" w:w="1728"/>
          </w:tcPr>
          <w:p>
            <w:pPr>
              <w:spacing w:before="40" w:after="40"/>
            </w:pPr>
            <w:r/>
            <w:r>
              <w:rPr>
                <w:b w:val="0"/>
                <w:sz w:val="20"/>
              </w:rPr>
              <w:t>Deluxe Double Queen</w:t>
            </w:r>
          </w:p>
        </w:tc>
        <w:tc>
          <w:tcPr>
            <w:tcW w:type="dxa" w:w="1728"/>
          </w:tcPr>
          <w:p>
            <w:pPr>
              <w:spacing w:before="40" w:after="40"/>
              <w:jc w:val="center"/>
            </w:pPr>
            <w:r/>
            <w:r>
              <w:rPr>
                <w:b w:val="0"/>
                <w:sz w:val="20"/>
              </w:rPr>
              <w:t>$259</w:t>
            </w:r>
          </w:p>
        </w:tc>
        <w:tc>
          <w:tcPr>
            <w:tcW w:type="dxa" w:w="1728"/>
          </w:tcPr>
          <w:p>
            <w:pPr>
              <w:spacing w:before="40" w:after="40"/>
              <w:jc w:val="center"/>
            </w:pPr>
            <w:r/>
            <w:r>
              <w:rPr>
                <w:b w:val="0"/>
                <w:sz w:val="20"/>
              </w:rPr>
              <w:t>$429</w:t>
            </w:r>
          </w:p>
        </w:tc>
        <w:tc>
          <w:tcPr>
            <w:tcW w:type="dxa" w:w="1728"/>
          </w:tcPr>
          <w:p>
            <w:pPr>
              <w:spacing w:before="40" w:after="40"/>
              <w:jc w:val="center"/>
            </w:pPr>
            <w:r/>
            <w:r>
              <w:rPr>
                <w:b w:val="0"/>
                <w:sz w:val="20"/>
              </w:rPr>
              <w:t>$170</w:t>
            </w:r>
          </w:p>
        </w:tc>
      </w:tr>
      <w:tr>
        <w:tc>
          <w:tcPr>
            <w:tcW w:type="dxa" w:w="1728"/>
          </w:tcPr>
          <w:p>
            <w:pPr>
              <w:spacing w:before="40" w:after="40"/>
            </w:pPr>
            <w:r/>
            <w:r>
              <w:rPr>
                <w:b w:val="0"/>
                <w:sz w:val="20"/>
              </w:rPr>
              <w:t>Hyatt Regency Savannah</w:t>
            </w:r>
          </w:p>
        </w:tc>
        <w:tc>
          <w:tcPr>
            <w:tcW w:type="dxa" w:w="1728"/>
          </w:tcPr>
          <w:p>
            <w:pPr>
              <w:spacing w:before="40" w:after="40"/>
            </w:pPr>
            <w:r/>
            <w:r>
              <w:rPr>
                <w:b w:val="0"/>
                <w:sz w:val="20"/>
              </w:rPr>
              <w:t>River View King</w:t>
            </w:r>
          </w:p>
        </w:tc>
        <w:tc>
          <w:tcPr>
            <w:tcW w:type="dxa" w:w="1728"/>
          </w:tcPr>
          <w:p>
            <w:pPr>
              <w:spacing w:before="40" w:after="40"/>
              <w:jc w:val="center"/>
            </w:pPr>
            <w:r/>
            <w:r>
              <w:rPr>
                <w:b w:val="0"/>
                <w:sz w:val="20"/>
              </w:rPr>
              <w:t>$229</w:t>
            </w:r>
          </w:p>
        </w:tc>
        <w:tc>
          <w:tcPr>
            <w:tcW w:type="dxa" w:w="1728"/>
          </w:tcPr>
          <w:p>
            <w:pPr>
              <w:spacing w:before="40" w:after="40"/>
              <w:jc w:val="center"/>
            </w:pPr>
            <w:r/>
            <w:r>
              <w:rPr>
                <w:b w:val="0"/>
                <w:sz w:val="20"/>
              </w:rPr>
              <w:t>$389</w:t>
            </w:r>
          </w:p>
        </w:tc>
        <w:tc>
          <w:tcPr>
            <w:tcW w:type="dxa" w:w="1728"/>
          </w:tcPr>
          <w:p>
            <w:pPr>
              <w:spacing w:before="40" w:after="40"/>
              <w:jc w:val="center"/>
            </w:pPr>
            <w:r/>
            <w:r>
              <w:rPr>
                <w:b w:val="0"/>
                <w:sz w:val="20"/>
              </w:rPr>
              <w:t>$160</w:t>
            </w:r>
          </w:p>
        </w:tc>
      </w:tr>
      <w:tr>
        <w:tc>
          <w:tcPr>
            <w:tcW w:type="dxa" w:w="1728"/>
          </w:tcPr>
          <w:p>
            <w:pPr>
              <w:spacing w:before="40" w:after="40"/>
            </w:pPr>
            <w:r/>
            <w:r>
              <w:rPr>
                <w:b w:val="0"/>
                <w:sz w:val="20"/>
              </w:rPr>
              <w:t>Hyatt Regency Savannah</w:t>
            </w:r>
          </w:p>
        </w:tc>
        <w:tc>
          <w:tcPr>
            <w:tcW w:type="dxa" w:w="1728"/>
          </w:tcPr>
          <w:p>
            <w:pPr>
              <w:spacing w:before="40" w:after="40"/>
            </w:pPr>
            <w:r/>
            <w:r>
              <w:rPr>
                <w:b w:val="0"/>
                <w:sz w:val="20"/>
              </w:rPr>
              <w:t>River View Two Queens</w:t>
            </w:r>
          </w:p>
        </w:tc>
        <w:tc>
          <w:tcPr>
            <w:tcW w:type="dxa" w:w="1728"/>
          </w:tcPr>
          <w:p>
            <w:pPr>
              <w:spacing w:before="40" w:after="40"/>
              <w:jc w:val="center"/>
            </w:pPr>
            <w:r/>
            <w:r>
              <w:rPr>
                <w:b w:val="0"/>
                <w:sz w:val="20"/>
              </w:rPr>
              <w:t>$239</w:t>
            </w:r>
          </w:p>
        </w:tc>
        <w:tc>
          <w:tcPr>
            <w:tcW w:type="dxa" w:w="1728"/>
          </w:tcPr>
          <w:p>
            <w:pPr>
              <w:spacing w:before="40" w:after="40"/>
              <w:jc w:val="center"/>
            </w:pPr>
            <w:r/>
            <w:r>
              <w:rPr>
                <w:b w:val="0"/>
                <w:sz w:val="20"/>
              </w:rPr>
              <w:t>$399</w:t>
            </w:r>
          </w:p>
        </w:tc>
        <w:tc>
          <w:tcPr>
            <w:tcW w:type="dxa" w:w="1728"/>
          </w:tcPr>
          <w:p>
            <w:pPr>
              <w:spacing w:before="40" w:after="40"/>
              <w:jc w:val="center"/>
            </w:pPr>
            <w:r/>
            <w:r>
              <w:rPr>
                <w:b w:val="0"/>
                <w:sz w:val="20"/>
              </w:rPr>
              <w:t>$160</w:t>
            </w:r>
          </w:p>
        </w:tc>
      </w:tr>
      <w:tr>
        <w:tc>
          <w:tcPr>
            <w:tcW w:type="dxa" w:w="1728"/>
          </w:tcPr>
          <w:p>
            <w:pPr>
              <w:spacing w:before="40" w:after="40"/>
            </w:pPr>
            <w:r/>
            <w:r>
              <w:rPr>
                <w:b w:val="0"/>
                <w:sz w:val="20"/>
              </w:rPr>
              <w:t>Hyatt Regency Savannah</w:t>
            </w:r>
          </w:p>
        </w:tc>
        <w:tc>
          <w:tcPr>
            <w:tcW w:type="dxa" w:w="1728"/>
          </w:tcPr>
          <w:p>
            <w:pPr>
              <w:spacing w:before="40" w:after="40"/>
            </w:pPr>
            <w:r/>
            <w:r>
              <w:rPr>
                <w:b w:val="0"/>
                <w:sz w:val="20"/>
              </w:rPr>
              <w:t>City View King</w:t>
            </w:r>
          </w:p>
        </w:tc>
        <w:tc>
          <w:tcPr>
            <w:tcW w:type="dxa" w:w="1728"/>
          </w:tcPr>
          <w:p>
            <w:pPr>
              <w:spacing w:before="40" w:after="40"/>
              <w:jc w:val="center"/>
            </w:pPr>
            <w:r/>
            <w:r>
              <w:rPr>
                <w:b w:val="0"/>
                <w:sz w:val="20"/>
              </w:rPr>
              <w:t>$209</w:t>
            </w:r>
          </w:p>
        </w:tc>
        <w:tc>
          <w:tcPr>
            <w:tcW w:type="dxa" w:w="1728"/>
          </w:tcPr>
          <w:p>
            <w:pPr>
              <w:spacing w:before="40" w:after="40"/>
              <w:jc w:val="center"/>
            </w:pPr>
            <w:r/>
            <w:r>
              <w:rPr>
                <w:b w:val="0"/>
                <w:sz w:val="20"/>
              </w:rPr>
              <w:t>$359</w:t>
            </w:r>
          </w:p>
        </w:tc>
        <w:tc>
          <w:tcPr>
            <w:tcW w:type="dxa" w:w="1728"/>
          </w:tcPr>
          <w:p>
            <w:pPr>
              <w:spacing w:before="40" w:after="40"/>
              <w:jc w:val="center"/>
            </w:pPr>
            <w:r/>
            <w:r>
              <w:rPr>
                <w:b w:val="0"/>
                <w:sz w:val="20"/>
              </w:rPr>
              <w:t>$150</w:t>
            </w:r>
          </w:p>
        </w:tc>
      </w:tr>
    </w:tbl>
    <w:p>
      <w:r>
        <w:rPr>
          <w:i/>
          <w:sz w:val="18"/>
        </w:rPr>
        <w:t>All rates are per room, per night, exclusive of taxes and fees. Rack rates shown for reference as quoted by each property.</w:t>
      </w:r>
    </w:p>
    <w:p>
      <w:pPr>
        <w:pStyle w:val="Heading1"/>
      </w:pPr>
      <w:r>
        <w:t>Key Considerations</w:t>
      </w:r>
    </w:p>
    <w:p>
      <w:pPr>
        <w:pStyle w:val="Heading2"/>
      </w:pPr>
      <w:r>
        <w:t>The DeSoto Savannah — Strengths</w:t>
      </w:r>
    </w:p>
    <w:p>
      <w:pPr>
        <w:pStyle w:val="ListBullet"/>
      </w:pPr>
      <w:r>
        <w:t>Courtesy block: no financial risk — you are not responsible for unsold rooms.</w:t>
      </w:r>
    </w:p>
    <w:p>
      <w:pPr>
        <w:pStyle w:val="ListBullet"/>
      </w:pPr>
      <w:r>
        <w:t>Higher guest rating (#24 of 141 on TripAdvisor vs. #67 for the Hyatt).</w:t>
      </w:r>
    </w:p>
    <w:p>
      <w:pPr>
        <w:pStyle w:val="ListBullet"/>
      </w:pPr>
      <w:r>
        <w:t>Closest to the ceremony venue at 0.3 miles.</w:t>
      </w:r>
    </w:p>
    <w:p>
      <w:pPr>
        <w:pStyle w:val="ListBullet"/>
      </w:pPr>
      <w:r>
        <w:t>Group rate extended one day before and after the block dates — ideal for guests extending their stay.</w:t>
      </w:r>
    </w:p>
    <w:p>
      <w:pPr>
        <w:pStyle w:val="ListBullet"/>
      </w:pPr>
      <w:r>
        <w:t>Later cut-off date (September 9, 2026) gives guests more time to book.</w:t>
      </w:r>
    </w:p>
    <w:p>
      <w:pPr>
        <w:pStyle w:val="ListBullet"/>
      </w:pPr>
      <w:r>
        <w:t>Room service and two on-site food &amp; beverage outlets; outdoor saltwater pool.</w:t>
      </w:r>
    </w:p>
    <w:p>
      <w:pPr>
        <w:pStyle w:val="Heading2"/>
      </w:pPr>
      <w:r>
        <w:t>The DeSoto Savannah — Watch-outs</w:t>
      </w:r>
    </w:p>
    <w:p>
      <w:pPr>
        <w:pStyle w:val="ListBullet"/>
      </w:pPr>
      <w:r>
        <w:t>Group rates are $20–$40/night higher than the Hyatt’s comparable rooms.</w:t>
      </w:r>
    </w:p>
    <w:p>
      <w:pPr>
        <w:pStyle w:val="ListBullet"/>
      </w:pPr>
      <w:r>
        <w:t>Block capped at 10 rooms per night; additional rooms would need to be requested.</w:t>
      </w:r>
    </w:p>
    <w:p>
      <w:pPr>
        <w:pStyle w:val="ListBullet"/>
      </w:pPr>
      <w:r>
        <w:t>Slightly higher valet parking ($42/night vs. $40/night).</w:t>
      </w:r>
    </w:p>
    <w:p>
      <w:pPr>
        <w:pStyle w:val="Heading2"/>
      </w:pPr>
      <w:r>
        <w:t>Hyatt Regency Savannah — Strengths</w:t>
      </w:r>
    </w:p>
    <w:p>
      <w:pPr>
        <w:pStyle w:val="ListBullet"/>
      </w:pPr>
      <w:r>
        <w:t>Lower nightly rates, including a $209 City View King entry rate.</w:t>
      </w:r>
    </w:p>
    <w:p>
      <w:pPr>
        <w:pStyle w:val="ListBullet"/>
      </w:pPr>
      <w:r>
        <w:t>River View room categories on the Savannah riverfront.</w:t>
      </w:r>
    </w:p>
    <w:p>
      <w:pPr>
        <w:pStyle w:val="ListBullet"/>
      </w:pPr>
      <w:r>
        <w:t>Slightly lower valet parking rate ($40/night).</w:t>
      </w:r>
    </w:p>
    <w:p>
      <w:pPr>
        <w:pStyle w:val="Heading2"/>
      </w:pPr>
      <w:r>
        <w:t>Hyatt Regency Savannah — Watch-outs</w:t>
      </w:r>
    </w:p>
    <w:p>
      <w:pPr>
        <w:pStyle w:val="ListBullet"/>
      </w:pPr>
      <w:r>
        <w:t>80% attrition clause: the client is financially responsible for 80% of the contracted room block if guests do not book — a meaningful financial risk.</w:t>
      </w:r>
    </w:p>
    <w:p>
      <w:pPr>
        <w:pStyle w:val="ListBullet"/>
      </w:pPr>
      <w:r>
        <w:t>Credit card authorization form required at contract signing.</w:t>
      </w:r>
    </w:p>
    <w:p>
      <w:pPr>
        <w:pStyle w:val="ListBullet"/>
      </w:pPr>
      <w:r>
        <w:t>Earlier cut-off (August 25, 2026) — 45 days before arrival — leaves guests less time to book.</w:t>
      </w:r>
    </w:p>
    <w:p>
      <w:pPr>
        <w:pStyle w:val="ListBullet"/>
      </w:pPr>
      <w:r>
        <w:t>Lower TripAdvisor ranking (#67 of 141).</w:t>
      </w:r>
    </w:p>
    <w:p>
      <w:pPr>
        <w:pStyle w:val="ListBullet"/>
      </w:pPr>
      <w:r>
        <w:t>No shoulder-night rate extension offered.</w:t>
      </w:r>
    </w:p>
    <w:p>
      <w:pPr>
        <w:pStyle w:val="Heading1"/>
      </w:pPr>
      <w:r>
        <w:t>Important Dates</w:t>
      </w:r>
    </w:p>
    <w:tbl>
      <w:tblPr>
        <w:tblStyle w:val="TableGrid"/>
        <w:tblW w:type="auto" w:w="0"/>
        <w:tblLook w:firstColumn="1" w:firstRow="1" w:lastColumn="0" w:lastRow="0" w:noHBand="0" w:noVBand="1" w:val="04A0"/>
      </w:tblPr>
      <w:tblGrid>
        <w:gridCol w:w="4320"/>
        <w:gridCol w:w="4320"/>
      </w:tblGrid>
      <w:tr>
        <w:tc>
          <w:tcPr>
            <w:tcW w:type="dxa" w:w="4320"/>
            <w:shd w:val="clear" w:fill="1F3A5F"/>
          </w:tcPr>
          <w:p>
            <w:pPr>
              <w:spacing w:before="40" w:after="40"/>
            </w:pPr>
            <w:r/>
            <w:r>
              <w:rPr>
                <w:b/>
                <w:color w:val="FFFFFF"/>
                <w:sz w:val="20"/>
              </w:rPr>
              <w:t>Date</w:t>
            </w:r>
          </w:p>
        </w:tc>
        <w:tc>
          <w:tcPr>
            <w:tcW w:type="dxa" w:w="4320"/>
            <w:shd w:val="clear" w:fill="1F3A5F"/>
          </w:tcPr>
          <w:p>
            <w:pPr>
              <w:spacing w:before="40" w:after="40"/>
            </w:pPr>
            <w:r/>
            <w:r>
              <w:rPr>
                <w:b/>
                <w:color w:val="FFFFFF"/>
                <w:sz w:val="20"/>
              </w:rPr>
              <w:t>Item</w:t>
            </w:r>
          </w:p>
        </w:tc>
      </w:tr>
      <w:tr>
        <w:tc>
          <w:tcPr>
            <w:tcW w:type="dxa" w:w="4320"/>
          </w:tcPr>
          <w:p>
            <w:pPr>
              <w:spacing w:before="40" w:after="40"/>
            </w:pPr>
            <w:r/>
            <w:r>
              <w:rPr>
                <w:b/>
                <w:sz w:val="20"/>
              </w:rPr>
              <w:t>August 25, 2026</w:t>
            </w:r>
          </w:p>
        </w:tc>
        <w:tc>
          <w:tcPr>
            <w:tcW w:type="dxa" w:w="4320"/>
          </w:tcPr>
          <w:p>
            <w:pPr>
              <w:spacing w:before="40" w:after="40"/>
            </w:pPr>
            <w:r/>
            <w:r>
              <w:rPr>
                <w:b w:val="0"/>
                <w:sz w:val="20"/>
              </w:rPr>
              <w:t>Hyatt Regency Savannah reservation cut-off (45 days prior to arrival)</w:t>
            </w:r>
          </w:p>
        </w:tc>
      </w:tr>
      <w:tr>
        <w:tc>
          <w:tcPr>
            <w:tcW w:type="dxa" w:w="4320"/>
          </w:tcPr>
          <w:p>
            <w:pPr>
              <w:spacing w:before="40" w:after="40"/>
            </w:pPr>
            <w:r/>
            <w:r>
              <w:rPr>
                <w:b/>
                <w:sz w:val="20"/>
              </w:rPr>
              <w:t>September 9, 2026</w:t>
            </w:r>
          </w:p>
        </w:tc>
        <w:tc>
          <w:tcPr>
            <w:tcW w:type="dxa" w:w="4320"/>
          </w:tcPr>
          <w:p>
            <w:pPr>
              <w:spacing w:before="40" w:after="40"/>
            </w:pPr>
            <w:r/>
            <w:r>
              <w:rPr>
                <w:b w:val="0"/>
                <w:sz w:val="20"/>
              </w:rPr>
              <w:t>The DeSoto Savannah reservation cut-off (30 days prior to arrival)</w:t>
            </w:r>
          </w:p>
        </w:tc>
      </w:tr>
      <w:tr>
        <w:tc>
          <w:tcPr>
            <w:tcW w:type="dxa" w:w="4320"/>
          </w:tcPr>
          <w:p>
            <w:pPr>
              <w:spacing w:before="40" w:after="40"/>
            </w:pPr>
            <w:r/>
            <w:r>
              <w:rPr>
                <w:b/>
                <w:sz w:val="20"/>
              </w:rPr>
              <w:t>October 9–11, 2026</w:t>
            </w:r>
          </w:p>
        </w:tc>
        <w:tc>
          <w:tcPr>
            <w:tcW w:type="dxa" w:w="4320"/>
          </w:tcPr>
          <w:p>
            <w:pPr>
              <w:spacing w:before="40" w:after="40"/>
            </w:pPr>
            <w:r/>
            <w:r>
              <w:rPr>
                <w:b w:val="0"/>
                <w:sz w:val="20"/>
              </w:rPr>
              <w:t>Wedding weekend / room block dates</w:t>
            </w:r>
          </w:p>
        </w:tc>
      </w:tr>
    </w:tbl>
    <w:p>
      <w:pPr>
        <w:pStyle w:val="Heading1"/>
      </w:pPr>
      <w:r>
        <w:t>Summary Assessment</w:t>
      </w:r>
    </w:p>
    <w:p>
      <w:r>
        <w:t>The two offers present a classic trade-off between price and risk. The Hyatt Regency Savannah offers lower nightly rates (saving guests roughly $20–$40 per night), but its 80% attrition clause places significant financial responsibility on the couple if the block does not fill, and its earlier cut-off date compresses the guest booking window.</w:t>
      </w:r>
    </w:p>
    <w:p>
      <w:r>
        <w:t>The DeSoto Savannah carries no financial risk under its courtesy agreement, holds a stronger TripAdvisor ranking, sits closer to The Olde Pink House, extends group rates to shoulder nights, and gives guests two extra weeks to book. Unless guaranteed savings on room rates are the top priority and the couple is confident the block will fill, The DeSoto’s zero-risk courtesy block is the lower-stress option for a 10-room-per-night block of this size.</w:t>
      </w:r>
    </w:p>
    <w:p>
      <w:r>
        <w:t>Recommended next steps: confirm final room counts needed per night, verify whether either property can expand the block if demand exceeds 10 rooms, and request the courtesy agreement paperwork from The DeSoto (or the contract and attrition terms in writing from the Hyatt) before rates expire.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