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2468880" cy="11013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c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1101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b/>
          <w:sz w:val="28"/>
          <w:u w:val="single"/>
        </w:rPr>
        <w:t>Hotel Comparison Report</w:t>
      </w:r>
    </w:p>
    <w:p>
      <w:pPr>
        <w:spacing w:before="0" w:after="0"/>
        <w:jc w:val="center"/>
      </w:pPr>
      <w:r>
        <w:rPr>
          <w:sz w:val="28"/>
        </w:rPr>
        <w:t>Prepared for Birch/Kowalski Wedding</w:t>
      </w:r>
    </w:p>
    <w:p>
      <w:pPr>
        <w:spacing w:before="0" w:after="280"/>
        <w:jc w:val="center"/>
      </w:pPr>
      <w:r>
        <w:rPr>
          <w:sz w:val="24"/>
        </w:rPr>
        <w:t>May 14, 2027 – May 16, 2027</w:t>
      </w:r>
    </w:p>
    <w:p>
      <w:pPr>
        <w:spacing w:before="0" w:after="0" w:line="276" w:lineRule="auto"/>
      </w:pPr>
      <w:hyperlink r:id="rId10">
        <w:r>
          <w:rPr>
            <w:b/>
            <w:color w:val="0000FF"/>
            <w:sz w:val="24"/>
            <w:u w:val="single"/>
          </w:rPr>
          <w:t xml:space="preserve">Grand Bohemian Hotel Asheville</w:t>
        </w:r>
      </w:hyperlink>
    </w:p>
    <w:p>
      <w:pPr>
        <w:spacing w:before="0" w:after="0" w:line="276" w:lineRule="auto"/>
      </w:pPr>
      <w:r>
        <w:t>11 Boston Way</w:t>
      </w:r>
    </w:p>
    <w:p>
      <w:pPr>
        <w:spacing w:before="0" w:after="0" w:line="276" w:lineRule="auto"/>
      </w:pPr>
      <w:r>
        <w:t>Asheville, NC 28803</w:t>
      </w:r>
    </w:p>
    <w:p>
      <w:pPr>
        <w:spacing w:before="0" w:after="0" w:line="240" w:lineRule="auto"/>
        <w:rPr>
          <w:sz w:val="12"/>
        </w:rPr>
      </w:pPr>
    </w:p>
    <w:p>
      <w:pPr>
        <w:spacing w:before="0" w:after="0" w:line="276" w:lineRule="auto"/>
      </w:pPr>
      <w:r>
        <w:drawing>
          <wp:inline xmlns:a="http://schemas.openxmlformats.org/drawingml/2006/main" xmlns:pic="http://schemas.openxmlformats.org/drawingml/2006/picture">
            <wp:extent cx="1417320" cy="250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padvisor_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25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</w:pPr>
      <w:hyperlink r:id="rId12">
        <w:r>
          <w:rPr>
            <w:rFonts w:ascii="Arial" w:hAnsi="Arial" w:cs="Arial"/>
            <w:color w:val="0000FF"/>
            <w:sz w:val="21"/>
            <w:u w:val="single"/>
          </w:rPr>
          <w:t xml:space="preserve">#18 of 28 Hotels in Asheville</w:t>
        </w:r>
      </w:hyperlink>
    </w:p>
    <w:p>
      <w:pPr>
        <w:spacing w:before="0" w:after="0" w:line="240" w:lineRule="auto"/>
        <w:rPr>
          <w:sz w:val="12"/>
        </w:rPr>
      </w:pPr>
    </w:p>
    <w:p>
      <w:pPr>
        <w:spacing w:before="0" w:after="0" w:line="276" w:lineRule="auto"/>
      </w:pPr>
      <w:r>
        <w:rPr>
          <w:b/>
        </w:rPr>
        <w:t>Special Negotiated Group Rates:</w:t>
      </w:r>
    </w:p>
    <w:tbl>
      <w:tblPr>
        <w:tblW w:type="auto" w:w="0"/>
        <w:tblLook w:firstColumn="1" w:firstRow="1" w:lastColumn="0" w:lastRow="0" w:noHBand="0" w:noVBand="1" w:val="04A0"/>
        <w:tblW w:w="10456" w:type="dxa"/>
        <w:jc w:val="center"/>
        <w:tblLayout w:type="fixed"/>
      </w:tblPr>
      <w:tblGrid>
        <w:gridCol w:w="6496"/>
        <w:gridCol w:w="1728"/>
        <w:gridCol w:w="2232"/>
      </w:tblGrid>
      <w:tr>
        <w:tc>
          <w:tcPr>
            <w:tcW w:type="dxa" w:w="6496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Room Type</w:t>
            </w:r>
          </w:p>
        </w:tc>
        <w:tc>
          <w:tcPr>
            <w:tcW w:type="dxa" w:w="1728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shd w:val="clear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Offered Rate</w:t>
            </w:r>
          </w:p>
        </w:tc>
        <w:tc>
          <w:tcPr>
            <w:tcW w:type="dxa" w:w="2232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Regular "Rack" Rate</w:t>
            </w:r>
          </w:p>
        </w:tc>
      </w:tr>
      <w:tr>
        <w:tc>
          <w:tcPr>
            <w:tcW w:type="dxa" w:w="64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  <w:t>Premier Two Queen Mountain View Suite with Balcony and Kitchenette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shd w:val="clear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$389</w:t>
            </w:r>
          </w:p>
        </w:tc>
        <w:tc>
          <w:tcPr>
            <w:tcW w:type="dxa" w:w="223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  <w:t>$599</w:t>
            </w:r>
          </w:p>
        </w:tc>
      </w:tr>
      <w:tr>
        <w:tc>
          <w:tcPr>
            <w:tcW w:type="dxa" w:w="649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  <w:t>Classic King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shd w:val="clear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$339</w:t>
            </w:r>
          </w:p>
        </w:tc>
        <w:tc>
          <w:tcPr>
            <w:tcW w:type="dxa" w:w="223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  <w:t>$529</w:t>
            </w:r>
          </w:p>
        </w:tc>
      </w:tr>
    </w:tbl>
    <w:p>
      <w:pPr>
        <w:spacing w:before="0" w:after="0" w:line="240" w:lineRule="auto"/>
        <w:jc w:val="center"/>
      </w:pPr>
      <w:r>
        <w:rPr>
          <w:sz w:val="16"/>
        </w:rPr>
        <w:t>*Rates are per night and are based on s/d occupancy</w:t>
      </w:r>
    </w:p>
    <w:p>
      <w:pPr>
        <w:spacing w:before="0" w:after="0" w:line="240" w:lineRule="auto"/>
        <w:jc w:val="center"/>
      </w:pPr>
      <w:r>
        <w:rPr>
          <w:sz w:val="16"/>
        </w:rPr>
        <w:t>*Rates do not include taxes and fees</w:t>
      </w:r>
    </w:p>
    <w:p>
      <w:pPr>
        <w:spacing w:before="0" w:after="0" w:line="276" w:lineRule="auto"/>
      </w:pPr>
      <w:r>
        <w:rPr>
          <w:b/>
        </w:rPr>
        <w:t>Hotel Features: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On-site restaurant &amp; bar – Red Stag Grill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Art gallery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Fitness center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Valet parking $35 per car, per night (subject to change)</w:t>
      </w:r>
    </w:p>
    <w:p>
      <w:pPr>
        <w:spacing w:before="0" w:after="0" w:line="240" w:lineRule="auto"/>
        <w:rPr>
          <w:sz w:val="12"/>
        </w:rPr>
      </w:pPr>
    </w:p>
    <w:p>
      <w:pPr>
        <w:spacing w:before="0" w:after="0" w:line="276" w:lineRule="auto"/>
      </w:pPr>
      <w:r>
        <w:rPr>
          <w:b/>
        </w:rPr>
        <w:t>Concessions: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Complimentary Wi-Fi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Complimentary gift bag distribution at the front desk (non-personalized)</w:t>
      </w:r>
    </w:p>
    <w:p>
      <w:pPr>
        <w:spacing w:before="0" w:after="0" w:line="240" w:lineRule="auto"/>
        <w:rPr>
          <w:sz w:val="12"/>
        </w:rPr>
      </w:pPr>
    </w:p>
    <w:p>
      <w:pPr>
        <w:spacing w:before="0" w:after="0" w:line="276" w:lineRule="auto"/>
      </w:pPr>
      <w:r>
        <w:rPr>
          <w:b/>
        </w:rPr>
        <w:t>Contracting Option: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Hotel can offer 10 rooms per night on a courtesy agreement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Courtesy Agreement - NO financial responsibility to client</w:t>
      </w:r>
    </w:p>
    <w:p>
      <w:pPr>
        <w:spacing w:before="0" w:after="0" w:line="240" w:lineRule="auto"/>
        <w:rPr>
          <w:sz w:val="12"/>
        </w:rPr>
      </w:pPr>
    </w:p>
    <w:p>
      <w:pPr>
        <w:spacing w:before="0" w:after="0" w:line="276" w:lineRule="auto"/>
      </w:pPr>
      <w:r>
        <w:rPr>
          <w:b/>
        </w:rPr>
        <w:t>Distance from Biltmore Estate: 0.2 miles</w:t>
      </w:r>
    </w:p>
    <w:p>
      <w:pPr>
        <w:spacing w:before="0" w:after="0" w:line="276" w:lineRule="auto"/>
      </w:pPr>
      <w:r>
        <w:rPr>
          <w:b/>
        </w:rPr>
        <w:t>Cut-off Date: (last date for guests to book at the group rate): 30 days prior to arrival, by April 14, 2027</w:t>
      </w:r>
    </w:p>
    <w:p>
      <w:pPr>
        <w:spacing w:before="0" w:after="0" w:line="240" w:lineRule="auto"/>
        <w:rPr>
          <w:sz w:val="20"/>
        </w:rPr>
      </w:pPr>
    </w:p>
    <w:p>
      <w:pPr>
        <w:spacing w:before="0" w:after="0" w:line="240" w:lineRule="auto"/>
        <w:pBdr>
          <w:bottom w:val="thinThickThinMediumGap" w:sz="18" w:space="1" w:color="auto"/>
        </w:pBdr>
      </w:pPr>
    </w:p>
    <w:p>
      <w:pPr>
        <w:spacing w:before="0" w:after="0" w:line="240" w:lineRule="auto"/>
        <w:rPr>
          <w:sz w:val="20"/>
        </w:rPr>
      </w:pPr>
    </w:p>
    <w:p>
      <w:pPr>
        <w:spacing w:before="0" w:after="0" w:line="276" w:lineRule="auto"/>
      </w:pPr>
      <w:hyperlink r:id="rId13">
        <w:r>
          <w:rPr>
            <w:b/>
            <w:color w:val="0000FF"/>
            <w:sz w:val="24"/>
            <w:u w:val="single"/>
          </w:rPr>
          <w:t xml:space="preserve">The Radical</w:t>
        </w:r>
      </w:hyperlink>
    </w:p>
    <w:p>
      <w:pPr>
        <w:spacing w:before="0" w:after="0" w:line="276" w:lineRule="auto"/>
      </w:pPr>
      <w:r>
        <w:t>95 Roberts Street</w:t>
      </w:r>
    </w:p>
    <w:p>
      <w:pPr>
        <w:spacing w:before="0" w:after="0" w:line="276" w:lineRule="auto"/>
      </w:pPr>
      <w:r>
        <w:t>Asheville, NC 28801</w:t>
      </w:r>
    </w:p>
    <w:p>
      <w:pPr>
        <w:spacing w:before="0" w:after="0" w:line="240" w:lineRule="auto"/>
        <w:rPr>
          <w:sz w:val="12"/>
        </w:rPr>
      </w:pPr>
    </w:p>
    <w:p>
      <w:pPr>
        <w:spacing w:before="0" w:after="0" w:line="276" w:lineRule="auto"/>
      </w:pPr>
      <w:r>
        <w:drawing>
          <wp:inline xmlns:a="http://schemas.openxmlformats.org/drawingml/2006/main" xmlns:pic="http://schemas.openxmlformats.org/drawingml/2006/picture">
            <wp:extent cx="1417320" cy="2505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padvisor_log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25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76" w:lineRule="auto"/>
      </w:pPr>
      <w:hyperlink r:id="rId14">
        <w:r>
          <w:rPr>
            <w:rFonts w:ascii="Arial" w:hAnsi="Arial" w:cs="Arial"/>
            <w:color w:val="0000FF"/>
            <w:sz w:val="21"/>
            <w:u w:val="single"/>
          </w:rPr>
          <w:t xml:space="preserve">TripAdvisor rating not verified - newer hotel; ranking not available</w:t>
        </w:r>
      </w:hyperlink>
    </w:p>
    <w:p>
      <w:pPr>
        <w:spacing w:before="0" w:after="0" w:line="240" w:lineRule="auto"/>
        <w:rPr>
          <w:sz w:val="12"/>
        </w:rPr>
      </w:pPr>
    </w:p>
    <w:p>
      <w:pPr>
        <w:spacing w:before="0" w:after="0" w:line="276" w:lineRule="auto"/>
      </w:pPr>
      <w:r>
        <w:rPr>
          <w:b/>
        </w:rPr>
        <w:t>Special Negotiated Group Rates:</w:t>
      </w:r>
    </w:p>
    <w:tbl>
      <w:tblPr>
        <w:tblW w:type="auto" w:w="0"/>
        <w:tblLook w:firstColumn="1" w:firstRow="1" w:lastColumn="0" w:lastRow="0" w:noHBand="0" w:noVBand="1" w:val="04A0"/>
        <w:tblW w:w="6793" w:type="dxa"/>
        <w:jc w:val="center"/>
        <w:tblLayout w:type="fixed"/>
      </w:tblPr>
      <w:tblGrid>
        <w:gridCol w:w="2833"/>
        <w:gridCol w:w="1728"/>
        <w:gridCol w:w="2232"/>
      </w:tblGrid>
      <w:tr>
        <w:tc>
          <w:tcPr>
            <w:tcW w:type="dxa" w:w="2833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sz w:val="22"/>
              </w:rPr>
              <w:t>Room Type</w:t>
            </w:r>
          </w:p>
        </w:tc>
        <w:tc>
          <w:tcPr>
            <w:tcW w:type="dxa" w:w="1728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shd w:val="clear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Offered Rate</w:t>
            </w:r>
          </w:p>
        </w:tc>
        <w:tc>
          <w:tcPr>
            <w:tcW w:type="dxa" w:w="2232"/>
            <w:vAlign w:val="bottom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Regular "Rack" Rate</w:t>
            </w:r>
          </w:p>
        </w:tc>
      </w:tr>
      <w:tr>
        <w:tc>
          <w:tcPr>
            <w:tcW w:type="dxa" w:w="283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  <w:t>King Studio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shd w:val="clear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$279</w:t>
            </w:r>
          </w:p>
        </w:tc>
        <w:tc>
          <w:tcPr>
            <w:tcW w:type="dxa" w:w="223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  <w:t>$409</w:t>
            </w:r>
          </w:p>
        </w:tc>
      </w:tr>
      <w:tr>
        <w:tc>
          <w:tcPr>
            <w:tcW w:type="dxa" w:w="2833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sz w:val="22"/>
              </w:rPr>
              <w:t>Double Queen Studio</w:t>
            </w:r>
          </w:p>
        </w:tc>
        <w:tc>
          <w:tcPr>
            <w:tcW w:type="dxa" w:w="1728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  <w:shd w:val="clear" w:fill="D9D9D9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sz w:val="22"/>
              </w:rPr>
              <w:t>$289</w:t>
            </w:r>
          </w:p>
        </w:tc>
        <w:tc>
          <w:tcPr>
            <w:tcW w:type="dxa" w:w="2232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sz w:val="22"/>
              </w:rPr>
              <w:t>$419</w:t>
            </w:r>
          </w:p>
        </w:tc>
      </w:tr>
    </w:tbl>
    <w:p>
      <w:pPr>
        <w:spacing w:before="0" w:after="0" w:line="240" w:lineRule="auto"/>
        <w:jc w:val="center"/>
      </w:pPr>
      <w:r>
        <w:rPr>
          <w:sz w:val="16"/>
        </w:rPr>
        <w:t>*Rates are per night and are based on s/d occupancy</w:t>
      </w:r>
    </w:p>
    <w:p>
      <w:pPr>
        <w:spacing w:before="0" w:after="0" w:line="240" w:lineRule="auto"/>
        <w:jc w:val="center"/>
      </w:pPr>
      <w:r>
        <w:rPr>
          <w:sz w:val="16"/>
        </w:rPr>
        <w:t>*Rates do not include taxes and fees</w:t>
      </w:r>
    </w:p>
    <w:p>
      <w:pPr>
        <w:spacing w:before="0" w:after="0" w:line="276" w:lineRule="auto"/>
      </w:pPr>
      <w:r>
        <w:rPr>
          <w:b/>
        </w:rPr>
        <w:t>Hotel Features: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Rooftop restaurant and bar – Golden Hour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On-site cafe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Fitness center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Self-parking $25 per car, per night (subject to change)</w:t>
      </w:r>
    </w:p>
    <w:p>
      <w:pPr>
        <w:spacing w:before="0" w:after="0" w:line="240" w:lineRule="auto"/>
        <w:rPr>
          <w:sz w:val="12"/>
        </w:rPr>
      </w:pPr>
    </w:p>
    <w:p>
      <w:pPr>
        <w:spacing w:before="0" w:after="0" w:line="276" w:lineRule="auto"/>
      </w:pPr>
      <w:r>
        <w:rPr>
          <w:b/>
        </w:rPr>
        <w:t>Concessions: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Complimentary Wi-Fi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Complimentary welcome drink at check-in</w:t>
      </w:r>
    </w:p>
    <w:p>
      <w:pPr>
        <w:spacing w:before="0" w:after="0" w:line="240" w:lineRule="auto"/>
        <w:rPr>
          <w:sz w:val="12"/>
        </w:rPr>
      </w:pPr>
    </w:p>
    <w:p>
      <w:pPr>
        <w:spacing w:before="0" w:after="0" w:line="276" w:lineRule="auto"/>
      </w:pPr>
      <w:r>
        <w:rPr>
          <w:b/>
        </w:rPr>
        <w:t>Contracting Option: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90% Attrition - Client financially responsible for 90% of the contracted room block</w:t>
      </w:r>
    </w:p>
    <w:p>
      <w:pPr>
        <w:spacing w:before="0" w:after="0" w:line="276" w:lineRule="auto"/>
        <w:ind w:left="950" w:hanging="346"/>
      </w:pPr>
      <w:r>
        <w:rPr>
          <w:sz w:val="18"/>
        </w:rPr>
        <w:t>•</w:t>
      </w:r>
      <w:r>
        <w:rPr>
          <w:sz w:val="18"/>
        </w:rPr>
        <w:tab/>
      </w:r>
      <w:r>
        <w:rPr>
          <w:sz w:val="18"/>
        </w:rPr>
        <w:t>Minimum of 10 rooms contracted per night required</w:t>
      </w:r>
    </w:p>
    <w:p>
      <w:pPr>
        <w:spacing w:before="0" w:after="0" w:line="240" w:lineRule="auto"/>
        <w:rPr>
          <w:sz w:val="12"/>
        </w:rPr>
      </w:pPr>
    </w:p>
    <w:p>
      <w:pPr>
        <w:spacing w:before="0" w:after="0" w:line="276" w:lineRule="auto"/>
      </w:pPr>
      <w:r>
        <w:rPr>
          <w:b/>
        </w:rPr>
        <w:t>Distance from Biltmore Estate: 1.8 miles</w:t>
      </w:r>
    </w:p>
    <w:p>
      <w:pPr>
        <w:spacing w:before="0" w:after="0" w:line="276" w:lineRule="auto"/>
      </w:pPr>
      <w:r>
        <w:rPr>
          <w:b/>
        </w:rPr>
        <w:t>Cut-off Date: (last date for guests to book at the group rate): 60 days prior to arrival, by March 15, 2027</w:t>
      </w:r>
    </w:p>
    <w:p>
      <w:pPr>
        <w:spacing w:before="0" w:after="0" w:line="240" w:lineRule="auto"/>
        <w:rPr>
          <w:sz w:val="20"/>
        </w:rPr>
      </w:pPr>
    </w:p>
    <w:p>
      <w:pPr>
        <w:spacing w:before="0" w:after="0" w:line="240" w:lineRule="auto"/>
        <w:pBdr>
          <w:bottom w:val="thinThickThinMediumGap" w:sz="18" w:space="1" w:color="auto"/>
        </w:pBdr>
      </w:pPr>
    </w:p>
    <w:p>
      <w:pPr>
        <w:spacing w:before="0" w:after="0" w:line="240" w:lineRule="auto"/>
        <w:rPr>
          <w:sz w:val="20"/>
        </w:rPr>
      </w:pPr>
    </w:p>
    <w:p>
      <w:pPr>
        <w:spacing w:before="0" w:after="0" w:line="240" w:lineRule="auto"/>
      </w:pPr>
      <w:r>
        <w:rPr>
          <w:sz w:val="18"/>
        </w:rPr>
        <w:t>JC Room Blocks, P.O. Box 2661, Canyon Country, CA 91386 / 818-406-2351 / Info@JCRoomBlocks.com / www.JCRoomBlocks.com</w:t>
      </w:r>
    </w:p>
    <w:sectPr w:rsidR="00FC693F" w:rsidRPr="0006063C" w:rsidSect="00034616">
      <w:pgSz w:w="12240" w:h="15840"/>
      <w:pgMar w:top="504" w:right="793" w:bottom="504" w:left="7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Palatino Linotype" w:hAnsi="Palatino Linotyp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kesslercollection.com/bohemian-asheville/" TargetMode="External"/><Relationship Id="rId11" Type="http://schemas.openxmlformats.org/officeDocument/2006/relationships/image" Target="media/image2.jpg"/><Relationship Id="rId12" Type="http://schemas.openxmlformats.org/officeDocument/2006/relationships/hyperlink" Target="https://www.tripadvisor.com/Hotel_Review-g60742-d1505353-Reviews-Grand_Bohemian_Hotel_Asheville_Autograph_Collection-Asheville_North_Carolina.html" TargetMode="External"/><Relationship Id="rId13" Type="http://schemas.openxmlformats.org/officeDocument/2006/relationships/hyperlink" Target="https://www.theradicalhotel.com" TargetMode="External"/><Relationship Id="rId14" Type="http://schemas.openxmlformats.org/officeDocument/2006/relationships/hyperlink" Target="https://www.tripadvisor.com/Hotels-g60742-Asheville_North_Carolina-Hotel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