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176B73">
      <w:pPr>
        <w:spacing w:after="0"/>
        <w:jc w:val="center"/>
        <w:rPr>
          <w:b/>
          <w:sz w:val="24"/>
          <w:szCs w:val="24"/>
        </w:rPr>
      </w:pPr>
      <w:r>
        <w:rPr>
          <w:b/>
          <w:sz w:val="24"/>
          <w:szCs w:val="24"/>
        </w:rPr>
        <w:t>Project Design Phase</w:t>
      </w:r>
    </w:p>
    <w:p w14:paraId="09C4EF8E" w14:textId="77777777" w:rsidR="00E370AF" w:rsidRDefault="00176B73">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176B73">
            <w:r>
              <w:t>Date</w:t>
            </w:r>
          </w:p>
        </w:tc>
        <w:tc>
          <w:tcPr>
            <w:tcW w:w="4508" w:type="dxa"/>
          </w:tcPr>
          <w:p w14:paraId="23F44226" w14:textId="687DD1FE" w:rsidR="00E370AF" w:rsidRDefault="000757F8">
            <w:r>
              <w:t>29</w:t>
            </w:r>
            <w:r w:rsidR="00267921" w:rsidRPr="00267921">
              <w:t xml:space="preserve"> </w:t>
            </w:r>
            <w:r>
              <w:t>July</w:t>
            </w:r>
            <w:r w:rsidR="00267921" w:rsidRPr="00267921">
              <w:t xml:space="preserve"> 202</w:t>
            </w:r>
            <w:r>
              <w:t>6</w:t>
            </w:r>
          </w:p>
        </w:tc>
      </w:tr>
      <w:tr w:rsidR="00E370AF" w14:paraId="189E08C9" w14:textId="77777777">
        <w:tc>
          <w:tcPr>
            <w:tcW w:w="4508" w:type="dxa"/>
          </w:tcPr>
          <w:p w14:paraId="7DBE2B5A" w14:textId="77777777" w:rsidR="00E370AF" w:rsidRDefault="00176B73">
            <w:r>
              <w:t>Team ID</w:t>
            </w:r>
          </w:p>
        </w:tc>
        <w:tc>
          <w:tcPr>
            <w:tcW w:w="4508" w:type="dxa"/>
          </w:tcPr>
          <w:p w14:paraId="039224E5" w14:textId="145FB217" w:rsidR="00E370AF" w:rsidRDefault="00E370AF"/>
        </w:tc>
      </w:tr>
      <w:tr w:rsidR="00E370AF" w14:paraId="7247E3F4" w14:textId="77777777">
        <w:tc>
          <w:tcPr>
            <w:tcW w:w="4508" w:type="dxa"/>
          </w:tcPr>
          <w:p w14:paraId="01C3C537" w14:textId="77777777" w:rsidR="00E370AF" w:rsidRDefault="00176B73">
            <w:r>
              <w:t>Project Name</w:t>
            </w:r>
          </w:p>
        </w:tc>
        <w:tc>
          <w:tcPr>
            <w:tcW w:w="4508" w:type="dxa"/>
          </w:tcPr>
          <w:p w14:paraId="4E717950" w14:textId="13D64405" w:rsidR="00E370AF" w:rsidRDefault="000757F8">
            <w:r>
              <w:t xml:space="preserve">Plugging into the </w:t>
            </w:r>
            <w:r w:rsidR="00343ED0">
              <w:t>F</w:t>
            </w:r>
            <w:r>
              <w:t>u</w:t>
            </w:r>
            <w:r w:rsidR="00343ED0">
              <w:t>ture: An Exploration of Electricity Consumption Patterns</w:t>
            </w:r>
          </w:p>
        </w:tc>
      </w:tr>
      <w:tr w:rsidR="00E370AF" w14:paraId="6D6CFC5F" w14:textId="77777777">
        <w:tc>
          <w:tcPr>
            <w:tcW w:w="4508" w:type="dxa"/>
          </w:tcPr>
          <w:p w14:paraId="4B00FC14" w14:textId="77777777" w:rsidR="00E370AF" w:rsidRDefault="00176B73">
            <w:r>
              <w:t>Maximum Marks</w:t>
            </w:r>
          </w:p>
        </w:tc>
        <w:tc>
          <w:tcPr>
            <w:tcW w:w="4508" w:type="dxa"/>
          </w:tcPr>
          <w:p w14:paraId="7FD36F97" w14:textId="3C4C19F1" w:rsidR="00E370AF" w:rsidRPr="00D118C2" w:rsidRDefault="00267921" w:rsidP="00D118C2">
            <w:pPr>
              <w:pStyle w:val="ListParagraph"/>
              <w:numPr>
                <w:ilvl w:val="0"/>
                <w:numId w:val="2"/>
              </w:numPr>
              <w:rPr>
                <w:sz w:val="24"/>
                <w:szCs w:val="24"/>
              </w:rPr>
            </w:pPr>
            <w:r w:rsidRPr="00D118C2">
              <w:rPr>
                <w:sz w:val="24"/>
                <w:szCs w:val="24"/>
              </w:rPr>
              <w:t>Marks</w:t>
            </w:r>
          </w:p>
        </w:tc>
      </w:tr>
    </w:tbl>
    <w:p w14:paraId="091AC6EB" w14:textId="77777777" w:rsidR="00E370AF" w:rsidRDefault="00E370AF">
      <w:pPr>
        <w:rPr>
          <w:b/>
        </w:rPr>
      </w:pPr>
    </w:p>
    <w:p w14:paraId="58E20846" w14:textId="77777777" w:rsidR="00D118C2" w:rsidRDefault="00176B73" w:rsidP="00D118C2">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51B43D4" w14:textId="77777777" w:rsidR="00A477A1" w:rsidRDefault="00D118C2" w:rsidP="00A477A1">
      <w:pPr>
        <w:rPr>
          <w:rFonts w:ascii="Times New Roman" w:eastAsia="Times New Roman" w:hAnsi="Symbol" w:cs="Times New Roman"/>
          <w:sz w:val="24"/>
          <w:szCs w:val="24"/>
        </w:rPr>
      </w:pPr>
      <w:r w:rsidRPr="00D118C2">
        <w:rPr>
          <w:rFonts w:ascii="Arial" w:eastAsia="Arial" w:hAnsi="Arial" w:cs="Arial"/>
          <w:color w:val="000000"/>
          <w:sz w:val="24"/>
          <w:szCs w:val="24"/>
        </w:rPr>
        <w:t xml:space="preserve">Solution architecture for </w:t>
      </w:r>
      <w:r w:rsidRPr="00D118C2">
        <w:rPr>
          <w:rFonts w:ascii="Arial" w:eastAsia="Arial" w:hAnsi="Arial" w:cs="Arial"/>
          <w:b/>
          <w:bCs/>
          <w:color w:val="000000"/>
          <w:sz w:val="24"/>
          <w:szCs w:val="24"/>
        </w:rPr>
        <w:t>"Plugging into the Future: An Exploration of Electricity Consumption Patterns"</w:t>
      </w:r>
      <w:r w:rsidRPr="00D118C2">
        <w:rPr>
          <w:rFonts w:ascii="Arial" w:eastAsia="Arial" w:hAnsi="Arial" w:cs="Arial"/>
          <w:color w:val="000000"/>
          <w:sz w:val="24"/>
          <w:szCs w:val="24"/>
        </w:rPr>
        <w:t xml:space="preserve"> is the process of designing an effective data analytics solution that transforms raw electricity consumption data into meaningful insights through interactive visualizations. It bridges the gap between complex electricity datasets and informed decision-making by using Tableau dashboards.</w:t>
      </w:r>
      <w:r w:rsidR="00A477A1" w:rsidRPr="00A477A1">
        <w:rPr>
          <w:rFonts w:ascii="Times New Roman" w:eastAsia="Times New Roman" w:hAnsi="Symbol" w:cs="Times New Roman"/>
          <w:sz w:val="24"/>
          <w:szCs w:val="24"/>
        </w:rPr>
        <w:t xml:space="preserve"> </w:t>
      </w:r>
    </w:p>
    <w:p w14:paraId="5B54AF2F" w14:textId="13D03202" w:rsidR="00A477A1" w:rsidRPr="00A477A1" w:rsidRDefault="00A477A1" w:rsidP="00A477A1">
      <w:pPr>
        <w:rPr>
          <w:rFonts w:ascii="Arial" w:eastAsia="Arial" w:hAnsi="Arial" w:cs="Arial"/>
          <w:color w:val="000000"/>
          <w:sz w:val="24"/>
          <w:szCs w:val="24"/>
        </w:rPr>
      </w:pPr>
      <w:r w:rsidRPr="00A477A1">
        <w:rPr>
          <w:rFonts w:ascii="Arial" w:eastAsia="Arial" w:hAnsi="Arial" w:cs="Arial"/>
          <w:color w:val="000000"/>
          <w:sz w:val="24"/>
          <w:szCs w:val="24"/>
        </w:rPr>
        <w:t xml:space="preserve">  </w:t>
      </w:r>
      <w:r w:rsidRPr="00A477A1">
        <w:rPr>
          <w:rFonts w:ascii="Arial" w:eastAsia="Arial" w:hAnsi="Arial" w:cs="Arial"/>
          <w:b/>
          <w:bCs/>
          <w:color w:val="000000"/>
          <w:sz w:val="24"/>
          <w:szCs w:val="24"/>
        </w:rPr>
        <w:t>Analyze</w:t>
      </w:r>
      <w:r w:rsidRPr="00A477A1">
        <w:rPr>
          <w:rFonts w:ascii="Arial" w:eastAsia="Arial" w:hAnsi="Arial" w:cs="Arial"/>
          <w:color w:val="000000"/>
          <w:sz w:val="24"/>
          <w:szCs w:val="24"/>
        </w:rPr>
        <w:t xml:space="preserve"> electricity consumption data to identify trends, seasonal variations, regional differences, and the impact of significant events such as the COVID-19 pandemic. </w:t>
      </w:r>
    </w:p>
    <w:p w14:paraId="5AD17571" w14:textId="77777777" w:rsidR="00A477A1" w:rsidRPr="00A477A1" w:rsidRDefault="00A477A1" w:rsidP="00A477A1">
      <w:pPr>
        <w:rPr>
          <w:rFonts w:ascii="Arial" w:eastAsia="Arial" w:hAnsi="Arial" w:cs="Arial"/>
          <w:color w:val="000000"/>
          <w:sz w:val="24"/>
          <w:szCs w:val="24"/>
        </w:rPr>
      </w:pPr>
      <w:r w:rsidRPr="00A477A1">
        <w:rPr>
          <w:rFonts w:ascii="Arial" w:eastAsia="Arial" w:hAnsi="Arial" w:cs="Arial"/>
          <w:color w:val="000000"/>
          <w:sz w:val="24"/>
          <w:szCs w:val="24"/>
        </w:rPr>
        <w:t xml:space="preserve">  </w:t>
      </w:r>
      <w:r w:rsidRPr="00A477A1">
        <w:rPr>
          <w:rFonts w:ascii="Arial" w:eastAsia="Arial" w:hAnsi="Arial" w:cs="Arial"/>
          <w:b/>
          <w:bCs/>
          <w:color w:val="000000"/>
          <w:sz w:val="24"/>
          <w:szCs w:val="24"/>
        </w:rPr>
        <w:t>Present</w:t>
      </w:r>
      <w:r w:rsidRPr="00A477A1">
        <w:rPr>
          <w:rFonts w:ascii="Arial" w:eastAsia="Arial" w:hAnsi="Arial" w:cs="Arial"/>
          <w:color w:val="000000"/>
          <w:sz w:val="24"/>
          <w:szCs w:val="24"/>
        </w:rPr>
        <w:t xml:space="preserve"> interactive dashboards, charts, maps, and key performance indicators (KPIs) that enable stakeholders to easily understand electricity consumption patterns. </w:t>
      </w:r>
    </w:p>
    <w:p w14:paraId="309358F4" w14:textId="77777777" w:rsidR="00A477A1" w:rsidRPr="00A477A1" w:rsidRDefault="00A477A1" w:rsidP="00A477A1">
      <w:pPr>
        <w:rPr>
          <w:rFonts w:ascii="Arial" w:eastAsia="Arial" w:hAnsi="Arial" w:cs="Arial"/>
          <w:color w:val="000000"/>
          <w:sz w:val="24"/>
          <w:szCs w:val="24"/>
        </w:rPr>
      </w:pPr>
      <w:r w:rsidRPr="00A477A1">
        <w:rPr>
          <w:rFonts w:ascii="Arial" w:eastAsia="Arial" w:hAnsi="Arial" w:cs="Arial"/>
          <w:color w:val="000000"/>
          <w:sz w:val="24"/>
          <w:szCs w:val="24"/>
        </w:rPr>
        <w:t xml:space="preserve">  </w:t>
      </w:r>
      <w:r w:rsidRPr="00A477A1">
        <w:rPr>
          <w:rFonts w:ascii="Arial" w:eastAsia="Arial" w:hAnsi="Arial" w:cs="Arial"/>
          <w:b/>
          <w:bCs/>
          <w:color w:val="000000"/>
          <w:sz w:val="24"/>
          <w:szCs w:val="24"/>
        </w:rPr>
        <w:t>Define</w:t>
      </w:r>
      <w:r w:rsidRPr="00A477A1">
        <w:rPr>
          <w:rFonts w:ascii="Arial" w:eastAsia="Arial" w:hAnsi="Arial" w:cs="Arial"/>
          <w:color w:val="000000"/>
          <w:sz w:val="24"/>
          <w:szCs w:val="24"/>
        </w:rPr>
        <w:t xml:space="preserve"> the data flow, visualization requirements, dashboard components, filters, and analytical features required for effective electricity consumption analysis. </w:t>
      </w:r>
    </w:p>
    <w:p w14:paraId="2C0C9151" w14:textId="1FC84782" w:rsidR="00E370AF" w:rsidRDefault="00A477A1" w:rsidP="00A477A1">
      <w:pPr>
        <w:rPr>
          <w:rFonts w:ascii="Arial" w:eastAsia="Arial" w:hAnsi="Arial" w:cs="Arial"/>
          <w:color w:val="000000"/>
          <w:sz w:val="24"/>
          <w:szCs w:val="24"/>
        </w:rPr>
      </w:pPr>
      <w:r w:rsidRPr="00A477A1">
        <w:rPr>
          <w:rFonts w:ascii="Arial" w:eastAsia="Arial" w:hAnsi="Arial" w:cs="Arial"/>
          <w:color w:val="000000"/>
          <w:sz w:val="24"/>
          <w:szCs w:val="24"/>
        </w:rPr>
        <w:t xml:space="preserve">  </w:t>
      </w:r>
      <w:r w:rsidRPr="00A477A1">
        <w:rPr>
          <w:rFonts w:ascii="Arial" w:eastAsia="Arial" w:hAnsi="Arial" w:cs="Arial"/>
          <w:b/>
          <w:bCs/>
          <w:color w:val="000000"/>
          <w:sz w:val="24"/>
          <w:szCs w:val="24"/>
        </w:rPr>
        <w:t>Provide</w:t>
      </w:r>
      <w:r w:rsidRPr="00A477A1">
        <w:rPr>
          <w:rFonts w:ascii="Arial" w:eastAsia="Arial" w:hAnsi="Arial" w:cs="Arial"/>
          <w:color w:val="000000"/>
          <w:sz w:val="24"/>
          <w:szCs w:val="24"/>
        </w:rPr>
        <w:t xml:space="preserve"> a scalable and maintainable analytics solution that allows users to monitor electricity consumption, compare state-wise performance, generate reports, and support data-driven energy planning and policy decisions.</w:t>
      </w:r>
    </w:p>
    <w:p w14:paraId="792FA76A" w14:textId="317F768F" w:rsidR="00E370AF" w:rsidRDefault="00D27F3C">
      <w:pPr>
        <w:rPr>
          <w:b/>
        </w:rPr>
      </w:pPr>
      <w:r>
        <w:rPr>
          <w:rFonts w:ascii="Arial" w:eastAsia="Arial" w:hAnsi="Arial" w:cs="Arial"/>
          <w:b/>
          <w:color w:val="000000"/>
          <w:sz w:val="24"/>
          <w:szCs w:val="24"/>
        </w:rPr>
        <w:t>Example - Solution Architecture Diagram</w:t>
      </w:r>
      <w:r>
        <w:rPr>
          <w:b/>
        </w:rPr>
        <w:t>:</w:t>
      </w:r>
    </w:p>
    <w:p w14:paraId="3436894A" w14:textId="45F3B54F" w:rsidR="00E370AF" w:rsidRDefault="00D27F3C">
      <w:pPr>
        <w:rPr>
          <w:b/>
        </w:rPr>
      </w:pPr>
      <w:r>
        <w:rPr>
          <w:noProof/>
        </w:rPr>
        <w:drawing>
          <wp:inline distT="0" distB="0" distL="0" distR="0" wp14:anchorId="04E51B2F" wp14:editId="01F42425">
            <wp:extent cx="5731510" cy="3218024"/>
            <wp:effectExtent l="0" t="0" r="2540" b="1905"/>
            <wp:docPr id="7919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8024"/>
                    </a:xfrm>
                    <a:prstGeom prst="rect">
                      <a:avLst/>
                    </a:prstGeom>
                    <a:noFill/>
                    <a:ln>
                      <a:noFill/>
                    </a:ln>
                  </pic:spPr>
                </pic:pic>
              </a:graphicData>
            </a:graphic>
          </wp:inline>
        </w:drawing>
      </w:r>
    </w:p>
    <w:p w14:paraId="79D8C738" w14:textId="6A42482E" w:rsidR="00E370AF" w:rsidRDefault="00E370AF">
      <w:pPr>
        <w:tabs>
          <w:tab w:val="left" w:pos="5529"/>
        </w:tabs>
        <w:rPr>
          <w:b/>
        </w:rPr>
      </w:pPr>
    </w:p>
    <w:p w14:paraId="0C5FB432" w14:textId="77777777" w:rsidR="00E370AF" w:rsidRDefault="00176B73">
      <w:pPr>
        <w:rPr>
          <w:b/>
        </w:rPr>
      </w:pPr>
      <w:r>
        <w:rPr>
          <w:rFonts w:ascii="Helvetica Neue" w:eastAsia="Helvetica Neue" w:hAnsi="Helvetica Neue" w:cs="Helvetica Neue"/>
          <w:i/>
          <w:color w:val="333333"/>
          <w:sz w:val="21"/>
          <w:szCs w:val="21"/>
        </w:rPr>
        <w:t>Figure 1: Architecture and data flow of the voice patient diary sample application</w:t>
      </w:r>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9A314DD-77C9-42F7-AEB1-D589D86D6C5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168760-E0FD-4FD6-94D2-4E3639EE9488}"/>
    <w:embedBold r:id="rId3" w:fontKey="{0EDF6D0D-E546-4257-828E-26126D52B17E}"/>
  </w:font>
  <w:font w:name="Georgia">
    <w:panose1 w:val="02040502050405020303"/>
    <w:charset w:val="00"/>
    <w:family w:val="roman"/>
    <w:pitch w:val="variable"/>
    <w:sig w:usb0="00000287" w:usb1="00000000" w:usb2="00000000" w:usb3="00000000" w:csb0="0000009F" w:csb1="00000000"/>
    <w:embedRegular r:id="rId4" w:fontKey="{B0B917F7-B967-406C-8EBE-E00F913D2139}"/>
    <w:embedItalic r:id="rId5" w:fontKey="{B9B203A0-0B76-4568-AB31-275E5E82F076}"/>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Neue">
    <w:charset w:val="00"/>
    <w:family w:val="auto"/>
    <w:pitch w:val="default"/>
    <w:embedRegular r:id="rId6" w:fontKey="{8AF0B613-0EB9-4BC4-9820-993DA07E915E}"/>
    <w:embedItalic r:id="rId7" w:fontKey="{6671FFEF-1A1E-439F-AF21-4ED24B22B9AF}"/>
  </w:font>
  <w:font w:name="Calibri Light">
    <w:panose1 w:val="020F0302020204030204"/>
    <w:charset w:val="00"/>
    <w:family w:val="swiss"/>
    <w:pitch w:val="variable"/>
    <w:sig w:usb0="E4002EFF" w:usb1="C200247B" w:usb2="00000009" w:usb3="00000000" w:csb0="000001FF" w:csb1="00000000"/>
    <w:embedRegular r:id="rId8" w:fontKey="{AF6979B8-8E15-4334-AF29-0C07030C57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C25A0E"/>
    <w:multiLevelType w:val="hybridMultilevel"/>
    <w:tmpl w:val="47D2957A"/>
    <w:lvl w:ilvl="0" w:tplc="5F50D97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3013408">
    <w:abstractNumId w:val="0"/>
  </w:num>
  <w:num w:numId="2" w16cid:durableId="100408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757F8"/>
    <w:rsid w:val="00176B73"/>
    <w:rsid w:val="00267921"/>
    <w:rsid w:val="00343ED0"/>
    <w:rsid w:val="00862077"/>
    <w:rsid w:val="008A053D"/>
    <w:rsid w:val="00A1663F"/>
    <w:rsid w:val="00A477A1"/>
    <w:rsid w:val="00CC6FCD"/>
    <w:rsid w:val="00D118C2"/>
    <w:rsid w:val="00D27F3C"/>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cp:lastModifiedBy>
  <cp:revision>9</cp:revision>
  <dcterms:created xsi:type="dcterms:W3CDTF">2022-10-03T08:27:00Z</dcterms:created>
  <dcterms:modified xsi:type="dcterms:W3CDTF">2026-07-20T09:52:00Z</dcterms:modified>
</cp:coreProperties>
</file>