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C93B" w14:textId="3FF8D32A" w:rsidR="001A113E" w:rsidRPr="00F66E20" w:rsidRDefault="007A32B7" w:rsidP="00B82FBD">
      <w:pPr>
        <w:pStyle w:val="Title"/>
        <w:jc w:val="center"/>
        <w:rPr>
          <w:rFonts w:ascii="Arial" w:hAnsi="Arial" w:cs="Arial"/>
          <w:sz w:val="44"/>
          <w:szCs w:val="44"/>
        </w:rPr>
      </w:pPr>
      <w:r w:rsidRPr="00F66E20">
        <w:rPr>
          <w:rFonts w:ascii="Arial" w:hAnsi="Arial" w:cs="Arial"/>
          <w:sz w:val="44"/>
          <w:szCs w:val="44"/>
        </w:rPr>
        <w:t>Monocular Depth Estimation using Deep Learning</w:t>
      </w:r>
      <w:r w:rsidR="0015669C" w:rsidRPr="00F66E20">
        <w:rPr>
          <w:rFonts w:ascii="Arial" w:hAnsi="Arial" w:cs="Arial"/>
          <w:sz w:val="44"/>
          <w:szCs w:val="44"/>
        </w:rPr>
        <w:t>: A Review</w:t>
      </w:r>
    </w:p>
    <w:p w14:paraId="14898ADC" w14:textId="77777777" w:rsidR="003807C8" w:rsidRDefault="003807C8" w:rsidP="007A32B7">
      <w:pPr>
        <w:jc w:val="center"/>
        <w:rPr>
          <w:rFonts w:ascii="Arial" w:hAnsi="Arial" w:cs="Arial"/>
          <w:sz w:val="36"/>
          <w:szCs w:val="36"/>
        </w:rPr>
      </w:pPr>
    </w:p>
    <w:p w14:paraId="65A674B0" w14:textId="56407571" w:rsidR="003807C8" w:rsidRDefault="003807C8" w:rsidP="007A32B7">
      <w:pPr>
        <w:jc w:val="center"/>
        <w:rPr>
          <w:rFonts w:ascii="Arial" w:hAnsi="Arial" w:cs="Arial"/>
          <w:sz w:val="28"/>
          <w:szCs w:val="28"/>
        </w:rPr>
      </w:pPr>
      <w:r w:rsidRPr="003807C8">
        <w:rPr>
          <w:rFonts w:ascii="Arial" w:hAnsi="Arial" w:cs="Arial"/>
          <w:sz w:val="28"/>
          <w:szCs w:val="28"/>
        </w:rPr>
        <w:t>Shantanu Shukla</w:t>
      </w:r>
    </w:p>
    <w:p w14:paraId="307FF8D0" w14:textId="77777777" w:rsidR="003807C8" w:rsidRPr="003807C8" w:rsidRDefault="003807C8" w:rsidP="003807C8">
      <w:pPr>
        <w:spacing w:after="50" w:line="259" w:lineRule="auto"/>
        <w:jc w:val="center"/>
        <w:rPr>
          <w:rFonts w:ascii="Arial" w:hAnsi="Arial" w:cs="Arial"/>
          <w:sz w:val="32"/>
          <w:szCs w:val="32"/>
        </w:rPr>
      </w:pPr>
      <w:r w:rsidRPr="003807C8">
        <w:rPr>
          <w:rFonts w:ascii="Arial" w:hAnsi="Arial" w:cs="Arial"/>
          <w:sz w:val="22"/>
          <w:szCs w:val="32"/>
        </w:rPr>
        <w:t>Master of Technology in Artificial Intelligence and Data Science</w:t>
      </w:r>
    </w:p>
    <w:p w14:paraId="38791276" w14:textId="77777777" w:rsidR="003807C8" w:rsidRDefault="003807C8" w:rsidP="003807C8">
      <w:pPr>
        <w:spacing w:after="50" w:line="259" w:lineRule="auto"/>
        <w:jc w:val="center"/>
        <w:rPr>
          <w:rFonts w:ascii="Arial" w:hAnsi="Arial" w:cs="Arial"/>
          <w:sz w:val="22"/>
          <w:szCs w:val="32"/>
        </w:rPr>
      </w:pPr>
      <w:r w:rsidRPr="003807C8">
        <w:rPr>
          <w:rFonts w:ascii="Arial" w:hAnsi="Arial" w:cs="Arial"/>
          <w:sz w:val="22"/>
          <w:szCs w:val="32"/>
        </w:rPr>
        <w:t>CDAC, Noida</w:t>
      </w:r>
    </w:p>
    <w:p w14:paraId="6FDBFB96" w14:textId="64FE9568" w:rsidR="003807C8" w:rsidRPr="00BC46ED" w:rsidRDefault="00A32B91" w:rsidP="003807C8">
      <w:pPr>
        <w:spacing w:after="50" w:line="259" w:lineRule="auto"/>
        <w:jc w:val="center"/>
        <w:rPr>
          <w:rFonts w:ascii="Calibri" w:hAnsi="Calibri" w:cs="Calibri"/>
          <w:sz w:val="22"/>
          <w:szCs w:val="22"/>
        </w:rPr>
      </w:pPr>
      <w:hyperlink r:id="rId7" w:history="1">
        <w:r w:rsidRPr="00BC46ED">
          <w:rPr>
            <w:rStyle w:val="Hyperlink"/>
            <w:rFonts w:ascii="Calibri" w:hAnsi="Calibri" w:cs="Calibri"/>
            <w:sz w:val="22"/>
            <w:szCs w:val="22"/>
          </w:rPr>
          <w:t>{shantanu.shukla10@gmail.com}</w:t>
        </w:r>
      </w:hyperlink>
    </w:p>
    <w:p w14:paraId="7DD17046" w14:textId="77777777" w:rsidR="00A32B91" w:rsidRDefault="00A32B91" w:rsidP="003807C8">
      <w:pPr>
        <w:spacing w:after="50" w:line="259" w:lineRule="auto"/>
        <w:jc w:val="center"/>
        <w:rPr>
          <w:rFonts w:ascii="Arial" w:hAnsi="Arial" w:cs="Arial"/>
          <w:sz w:val="22"/>
          <w:szCs w:val="22"/>
        </w:rPr>
      </w:pPr>
    </w:p>
    <w:p w14:paraId="1A15DB92" w14:textId="275A248C" w:rsidR="00A32B91" w:rsidRPr="00BC7E5E" w:rsidRDefault="00B63B73" w:rsidP="003807C8">
      <w:pPr>
        <w:spacing w:after="50" w:line="259" w:lineRule="auto"/>
        <w:jc w:val="center"/>
        <w:rPr>
          <w:rFonts w:ascii="Arial" w:hAnsi="Arial" w:cs="Arial"/>
          <w:b/>
          <w:bCs/>
          <w:sz w:val="20"/>
          <w:szCs w:val="20"/>
        </w:rPr>
      </w:pPr>
      <w:r w:rsidRPr="00BC7E5E">
        <w:rPr>
          <w:rFonts w:ascii="Arial" w:hAnsi="Arial" w:cs="Arial"/>
          <w:b/>
          <w:bCs/>
          <w:sz w:val="20"/>
          <w:szCs w:val="20"/>
        </w:rPr>
        <w:t>Abstract</w:t>
      </w:r>
    </w:p>
    <w:p w14:paraId="2408C4F8" w14:textId="77777777" w:rsidR="00BC7E5E" w:rsidRPr="00BC7E5E" w:rsidRDefault="00BC7E5E" w:rsidP="00BC7E5E">
      <w:pPr>
        <w:spacing w:after="50" w:line="259" w:lineRule="auto"/>
        <w:jc w:val="center"/>
        <w:rPr>
          <w:rFonts w:ascii="Arial" w:hAnsi="Arial" w:cs="Arial"/>
          <w:sz w:val="20"/>
          <w:szCs w:val="20"/>
        </w:rPr>
      </w:pPr>
      <w:r w:rsidRPr="00BC7E5E">
        <w:rPr>
          <w:rFonts w:ascii="Arial" w:hAnsi="Arial" w:cs="Arial"/>
          <w:sz w:val="20"/>
          <w:szCs w:val="20"/>
        </w:rPr>
        <w:t xml:space="preserve">Monocular depth estimation (MDE) is a fundamental task in computer vision with applications in robotics, autonomous driving, augmented reality, and more. This review paper critically </w:t>
      </w:r>
      <w:proofErr w:type="spellStart"/>
      <w:r w:rsidRPr="00BC7E5E">
        <w:rPr>
          <w:rFonts w:ascii="Arial" w:hAnsi="Arial" w:cs="Arial"/>
          <w:sz w:val="20"/>
          <w:szCs w:val="20"/>
        </w:rPr>
        <w:t>analyzes</w:t>
      </w:r>
      <w:proofErr w:type="spellEnd"/>
      <w:r w:rsidRPr="00BC7E5E">
        <w:rPr>
          <w:rFonts w:ascii="Arial" w:hAnsi="Arial" w:cs="Arial"/>
          <w:sz w:val="20"/>
          <w:szCs w:val="20"/>
        </w:rPr>
        <w:t xml:space="preserve"> four influential deep learning-based MDE models: </w:t>
      </w:r>
      <w:proofErr w:type="spellStart"/>
      <w:r w:rsidRPr="00BC7E5E">
        <w:rPr>
          <w:rFonts w:ascii="Arial" w:hAnsi="Arial" w:cs="Arial"/>
          <w:sz w:val="20"/>
          <w:szCs w:val="20"/>
        </w:rPr>
        <w:t>Monodepth</w:t>
      </w:r>
      <w:proofErr w:type="spellEnd"/>
      <w:r w:rsidRPr="00BC7E5E">
        <w:rPr>
          <w:rFonts w:ascii="Arial" w:hAnsi="Arial" w:cs="Arial"/>
          <w:sz w:val="20"/>
          <w:szCs w:val="20"/>
        </w:rPr>
        <w:t xml:space="preserve">, </w:t>
      </w:r>
      <w:proofErr w:type="spellStart"/>
      <w:r w:rsidRPr="00BC7E5E">
        <w:rPr>
          <w:rFonts w:ascii="Arial" w:hAnsi="Arial" w:cs="Arial"/>
          <w:sz w:val="20"/>
          <w:szCs w:val="20"/>
        </w:rPr>
        <w:t>AdaBins</w:t>
      </w:r>
      <w:proofErr w:type="spellEnd"/>
      <w:r w:rsidRPr="00BC7E5E">
        <w:rPr>
          <w:rFonts w:ascii="Arial" w:hAnsi="Arial" w:cs="Arial"/>
          <w:sz w:val="20"/>
          <w:szCs w:val="20"/>
        </w:rPr>
        <w:t xml:space="preserve">, </w:t>
      </w:r>
      <w:proofErr w:type="spellStart"/>
      <w:r w:rsidRPr="00BC7E5E">
        <w:rPr>
          <w:rFonts w:ascii="Arial" w:hAnsi="Arial" w:cs="Arial"/>
          <w:sz w:val="20"/>
          <w:szCs w:val="20"/>
        </w:rPr>
        <w:t>BinsFormer</w:t>
      </w:r>
      <w:proofErr w:type="spellEnd"/>
      <w:r w:rsidRPr="00BC7E5E">
        <w:rPr>
          <w:rFonts w:ascii="Arial" w:hAnsi="Arial" w:cs="Arial"/>
          <w:sz w:val="20"/>
          <w:szCs w:val="20"/>
        </w:rPr>
        <w:t>, and ManyDepth2. These models represent major shifts in learning paradigms from unsupervised stereo-based training to transformer-driven adaptive binning and motion-aware depth estimation. This paper compares their methodologies, architectural designs, performance, datasets, and application domains. It concludes by highlighting current research gaps and proposing potential future directions.</w:t>
      </w:r>
    </w:p>
    <w:p w14:paraId="364638F2" w14:textId="77777777" w:rsidR="00BC7E5E" w:rsidRPr="00BC7E5E" w:rsidRDefault="00BC7E5E" w:rsidP="00BC7E5E">
      <w:pPr>
        <w:spacing w:after="50" w:line="259" w:lineRule="auto"/>
        <w:jc w:val="center"/>
        <w:rPr>
          <w:rFonts w:ascii="Arial" w:hAnsi="Arial" w:cs="Arial"/>
          <w:sz w:val="20"/>
          <w:szCs w:val="20"/>
        </w:rPr>
      </w:pPr>
    </w:p>
    <w:p w14:paraId="7F7935D5" w14:textId="77777777" w:rsidR="00BC7E5E" w:rsidRDefault="00BC7E5E" w:rsidP="00BC7E5E">
      <w:pPr>
        <w:spacing w:after="50" w:line="259" w:lineRule="auto"/>
        <w:jc w:val="center"/>
        <w:rPr>
          <w:rFonts w:ascii="Arial" w:hAnsi="Arial" w:cs="Arial"/>
          <w:sz w:val="20"/>
          <w:szCs w:val="20"/>
        </w:rPr>
      </w:pPr>
      <w:r w:rsidRPr="00BC7E5E">
        <w:rPr>
          <w:rFonts w:ascii="Arial" w:hAnsi="Arial" w:cs="Arial"/>
          <w:b/>
          <w:bCs/>
          <w:sz w:val="20"/>
          <w:szCs w:val="20"/>
        </w:rPr>
        <w:t>Keywords:</w:t>
      </w:r>
      <w:r w:rsidRPr="00BC7E5E">
        <w:rPr>
          <w:rFonts w:ascii="Arial" w:hAnsi="Arial" w:cs="Arial"/>
          <w:sz w:val="20"/>
          <w:szCs w:val="20"/>
        </w:rPr>
        <w:t xml:space="preserve"> Monocular depth estimation, deep learning, </w:t>
      </w:r>
      <w:proofErr w:type="spellStart"/>
      <w:r w:rsidRPr="00BC7E5E">
        <w:rPr>
          <w:rFonts w:ascii="Arial" w:hAnsi="Arial" w:cs="Arial"/>
          <w:sz w:val="20"/>
          <w:szCs w:val="20"/>
        </w:rPr>
        <w:t>AdaBins</w:t>
      </w:r>
      <w:proofErr w:type="spellEnd"/>
      <w:r w:rsidRPr="00BC7E5E">
        <w:rPr>
          <w:rFonts w:ascii="Arial" w:hAnsi="Arial" w:cs="Arial"/>
          <w:sz w:val="20"/>
          <w:szCs w:val="20"/>
        </w:rPr>
        <w:t xml:space="preserve">, </w:t>
      </w:r>
      <w:proofErr w:type="spellStart"/>
      <w:r w:rsidRPr="00BC7E5E">
        <w:rPr>
          <w:rFonts w:ascii="Arial" w:hAnsi="Arial" w:cs="Arial"/>
          <w:sz w:val="20"/>
          <w:szCs w:val="20"/>
        </w:rPr>
        <w:t>BinsFormer</w:t>
      </w:r>
      <w:proofErr w:type="spellEnd"/>
      <w:r w:rsidRPr="00BC7E5E">
        <w:rPr>
          <w:rFonts w:ascii="Arial" w:hAnsi="Arial" w:cs="Arial"/>
          <w:sz w:val="20"/>
          <w:szCs w:val="20"/>
        </w:rPr>
        <w:t xml:space="preserve">, </w:t>
      </w:r>
      <w:proofErr w:type="spellStart"/>
      <w:r w:rsidRPr="00BC7E5E">
        <w:rPr>
          <w:rFonts w:ascii="Arial" w:hAnsi="Arial" w:cs="Arial"/>
          <w:sz w:val="20"/>
          <w:szCs w:val="20"/>
        </w:rPr>
        <w:t>Monodepth</w:t>
      </w:r>
      <w:proofErr w:type="spellEnd"/>
      <w:r w:rsidRPr="00BC7E5E">
        <w:rPr>
          <w:rFonts w:ascii="Arial" w:hAnsi="Arial" w:cs="Arial"/>
          <w:sz w:val="20"/>
          <w:szCs w:val="20"/>
        </w:rPr>
        <w:t>, ManyDepth2, computer vision</w:t>
      </w:r>
    </w:p>
    <w:p w14:paraId="0E6AEF8B" w14:textId="77777777" w:rsidR="007D58CB" w:rsidRDefault="007D58CB" w:rsidP="00BC7E5E">
      <w:pPr>
        <w:spacing w:after="50" w:line="259" w:lineRule="auto"/>
        <w:jc w:val="center"/>
        <w:rPr>
          <w:rFonts w:ascii="Arial" w:hAnsi="Arial" w:cs="Arial"/>
          <w:sz w:val="20"/>
          <w:szCs w:val="20"/>
        </w:rPr>
      </w:pPr>
    </w:p>
    <w:p w14:paraId="076B01C5" w14:textId="32AC33EA" w:rsidR="007D58CB" w:rsidRDefault="007D58CB" w:rsidP="007D58CB">
      <w:pPr>
        <w:pStyle w:val="Heading1"/>
        <w:numPr>
          <w:ilvl w:val="0"/>
          <w:numId w:val="1"/>
        </w:numPr>
        <w:rPr>
          <w:rFonts w:ascii="Arial" w:hAnsi="Arial" w:cs="Arial"/>
          <w:color w:val="auto"/>
          <w:sz w:val="32"/>
          <w:szCs w:val="32"/>
        </w:rPr>
      </w:pPr>
      <w:r w:rsidRPr="000A703E">
        <w:rPr>
          <w:rFonts w:ascii="Arial" w:hAnsi="Arial" w:cs="Arial"/>
          <w:color w:val="auto"/>
          <w:sz w:val="32"/>
          <w:szCs w:val="32"/>
        </w:rPr>
        <w:t>Introduction</w:t>
      </w:r>
    </w:p>
    <w:p w14:paraId="7C8799C5" w14:textId="00433AD7" w:rsidR="00D535E1" w:rsidRPr="007A1C92" w:rsidRDefault="000A703E" w:rsidP="000A703E">
      <w:pPr>
        <w:rPr>
          <w:rFonts w:ascii="Arial" w:hAnsi="Arial" w:cs="Arial"/>
          <w:sz w:val="22"/>
          <w:szCs w:val="22"/>
        </w:rPr>
      </w:pPr>
      <w:r w:rsidRPr="007A1C92">
        <w:rPr>
          <w:rFonts w:ascii="Arial" w:hAnsi="Arial" w:cs="Arial"/>
          <w:sz w:val="22"/>
          <w:szCs w:val="22"/>
        </w:rPr>
        <w:t>Depth estimation from a single image, or monocular depth estimation (MDE), plays a pivotal role in enabling machines to perceive 3D structure from 2D inputs. Unlike stereo or LiDAR-based methods, monocular approaches are lightweight and hardware-independent. The success of deep learning has significantly enhanced MDE performance through various supervised, self-supervised, and transformer-based models. This review explores four state-of-the-art MDE models and provides a comparative analysis to understand their impact and future potential.</w:t>
      </w:r>
    </w:p>
    <w:p w14:paraId="5408BAD4" w14:textId="2EE84DFC" w:rsidR="00D535E1" w:rsidRDefault="00C06F42" w:rsidP="00C06F42">
      <w:pPr>
        <w:pStyle w:val="Heading1"/>
        <w:numPr>
          <w:ilvl w:val="0"/>
          <w:numId w:val="1"/>
        </w:numPr>
        <w:rPr>
          <w:rFonts w:ascii="Arial" w:hAnsi="Arial" w:cs="Arial"/>
          <w:color w:val="auto"/>
          <w:sz w:val="32"/>
          <w:szCs w:val="32"/>
        </w:rPr>
      </w:pPr>
      <w:r w:rsidRPr="002640CB">
        <w:rPr>
          <w:rFonts w:ascii="Arial" w:hAnsi="Arial" w:cs="Arial"/>
          <w:color w:val="auto"/>
          <w:sz w:val="32"/>
          <w:szCs w:val="32"/>
        </w:rPr>
        <w:t>Background</w:t>
      </w:r>
    </w:p>
    <w:p w14:paraId="55BD2B62" w14:textId="2E350381" w:rsidR="000E0170" w:rsidRPr="007A1C92" w:rsidRDefault="00E624F1" w:rsidP="000E0170">
      <w:pPr>
        <w:rPr>
          <w:rFonts w:ascii="Arial" w:hAnsi="Arial" w:cs="Arial"/>
          <w:sz w:val="22"/>
          <w:szCs w:val="22"/>
        </w:rPr>
      </w:pPr>
      <w:r w:rsidRPr="007A1C92">
        <w:rPr>
          <w:rFonts w:ascii="Arial" w:hAnsi="Arial" w:cs="Arial"/>
          <w:sz w:val="22"/>
          <w:szCs w:val="22"/>
        </w:rPr>
        <w:t xml:space="preserve">Monocular depth estimation has evolved from simple convolutional networks to sophisticated frameworks utilizing attention, motion cues, and adaptive strategies. Common datasets include KITTI, NYUv2, and Make3D. Standard evaluation metrics are Absolute Relative Error (Abs </w:t>
      </w:r>
      <w:proofErr w:type="spellStart"/>
      <w:r w:rsidRPr="007A1C92">
        <w:rPr>
          <w:rFonts w:ascii="Arial" w:hAnsi="Arial" w:cs="Arial"/>
          <w:sz w:val="22"/>
          <w:szCs w:val="22"/>
        </w:rPr>
        <w:t>Rel</w:t>
      </w:r>
      <w:proofErr w:type="spellEnd"/>
      <w:r w:rsidRPr="007A1C92">
        <w:rPr>
          <w:rFonts w:ascii="Arial" w:hAnsi="Arial" w:cs="Arial"/>
          <w:sz w:val="22"/>
          <w:szCs w:val="22"/>
        </w:rPr>
        <w:t>), Root Mean Squared Error (RMSE), and accuracy thresholds (e.g., δ1).</w:t>
      </w:r>
    </w:p>
    <w:p w14:paraId="18D45312" w14:textId="2A2EAF33" w:rsidR="000E0170" w:rsidRDefault="000E0170" w:rsidP="000E0170">
      <w:pPr>
        <w:pStyle w:val="Heading1"/>
        <w:numPr>
          <w:ilvl w:val="0"/>
          <w:numId w:val="1"/>
        </w:numPr>
        <w:rPr>
          <w:color w:val="auto"/>
          <w:sz w:val="32"/>
          <w:szCs w:val="32"/>
        </w:rPr>
      </w:pPr>
      <w:r w:rsidRPr="000E0170">
        <w:rPr>
          <w:color w:val="auto"/>
          <w:sz w:val="32"/>
          <w:szCs w:val="32"/>
        </w:rPr>
        <w:t>Literature Review</w:t>
      </w:r>
    </w:p>
    <w:p w14:paraId="2931E22B" w14:textId="3A7E7E5B" w:rsidR="000E0170" w:rsidRDefault="0042235C" w:rsidP="000E0170">
      <w:pPr>
        <w:rPr>
          <w:rFonts w:ascii="Arial" w:hAnsi="Arial" w:cs="Arial"/>
          <w:sz w:val="22"/>
          <w:szCs w:val="22"/>
        </w:rPr>
      </w:pPr>
      <w:r w:rsidRPr="007A1C92">
        <w:rPr>
          <w:rFonts w:ascii="Arial" w:hAnsi="Arial" w:cs="Arial"/>
          <w:sz w:val="22"/>
          <w:szCs w:val="22"/>
        </w:rPr>
        <w:t xml:space="preserve">Recent literature in monocular depth estimation demonstrates rapid progress in both supervised and self-supervised paradigms. Godard et al. (2019) pioneered unsupervised methods by introducing left-right consistency using stereo pairs, setting the stage for methods that do not require ground-truth depth. Bhat et al. </w:t>
      </w:r>
      <w:r w:rsidRPr="0042235C">
        <w:rPr>
          <w:rFonts w:ascii="Arial" w:hAnsi="Arial" w:cs="Arial"/>
        </w:rPr>
        <w:t xml:space="preserve">(2021) introduced AdaBins, </w:t>
      </w:r>
      <w:r w:rsidRPr="007A1C92">
        <w:rPr>
          <w:rFonts w:ascii="Arial" w:hAnsi="Arial" w:cs="Arial"/>
          <w:sz w:val="22"/>
          <w:szCs w:val="22"/>
        </w:rPr>
        <w:lastRenderedPageBreak/>
        <w:t>which utilized adaptive binning through transformer modules, achieving state-of-the-art results on indoor and outdoor benchmarks. Li et al. (2022) extended this binning concept by integrating it into a hierarchical transformer framework in BinsFormer, improving generalization and structural accuracy. Zhou et al. (2023) addressed the challenge of dynamic scenes by introducing ManyDepth2, which leveraged temporal and motion-aware features to enhance depth prediction. These papers reflect a transition from rigid convolution-based systems to flexible, attention-based, and scene-adaptive architectures, illustrating the evolving complexity and capability of MDE systems.</w:t>
      </w:r>
    </w:p>
    <w:p w14:paraId="50411441" w14:textId="5B908E65" w:rsidR="00923B6D" w:rsidRPr="005F4C74" w:rsidRDefault="00923B6D" w:rsidP="00923B6D">
      <w:pPr>
        <w:pStyle w:val="Heading1"/>
        <w:numPr>
          <w:ilvl w:val="0"/>
          <w:numId w:val="1"/>
        </w:numPr>
        <w:rPr>
          <w:rFonts w:ascii="Arial" w:hAnsi="Arial" w:cs="Arial"/>
          <w:color w:val="auto"/>
          <w:sz w:val="32"/>
          <w:szCs w:val="32"/>
        </w:rPr>
      </w:pPr>
      <w:r w:rsidRPr="005F4C74">
        <w:rPr>
          <w:rFonts w:ascii="Arial" w:hAnsi="Arial" w:cs="Arial"/>
          <w:color w:val="auto"/>
          <w:sz w:val="32"/>
          <w:szCs w:val="32"/>
        </w:rPr>
        <w:t>Model Reviews</w:t>
      </w:r>
    </w:p>
    <w:p w14:paraId="46578C71" w14:textId="08D3FC51" w:rsidR="00923B6D" w:rsidRPr="005F4C74" w:rsidRDefault="00AB0C3F" w:rsidP="00556B5C">
      <w:pPr>
        <w:pStyle w:val="Heading2"/>
        <w:numPr>
          <w:ilvl w:val="1"/>
          <w:numId w:val="1"/>
        </w:numPr>
        <w:rPr>
          <w:rFonts w:ascii="Arial" w:hAnsi="Arial" w:cs="Arial"/>
          <w:color w:val="auto"/>
          <w:sz w:val="28"/>
          <w:szCs w:val="28"/>
        </w:rPr>
      </w:pPr>
      <w:r>
        <w:rPr>
          <w:rFonts w:ascii="Arial" w:hAnsi="Arial" w:cs="Arial"/>
          <w:color w:val="auto"/>
          <w:sz w:val="28"/>
          <w:szCs w:val="28"/>
        </w:rPr>
        <w:t xml:space="preserve"> </w:t>
      </w:r>
      <w:r w:rsidR="00CA51EB" w:rsidRPr="005F4C74">
        <w:rPr>
          <w:rFonts w:ascii="Arial" w:hAnsi="Arial" w:cs="Arial"/>
          <w:color w:val="auto"/>
          <w:sz w:val="28"/>
          <w:szCs w:val="28"/>
        </w:rPr>
        <w:t>Monodepth2 (2019)</w:t>
      </w:r>
    </w:p>
    <w:p w14:paraId="5173F581" w14:textId="298D4333" w:rsidR="001C5DA1" w:rsidRPr="008718C4" w:rsidRDefault="001C5DA1" w:rsidP="002763E1">
      <w:pPr>
        <w:numPr>
          <w:ilvl w:val="0"/>
          <w:numId w:val="6"/>
        </w:numPr>
        <w:rPr>
          <w:rFonts w:ascii="Arial" w:hAnsi="Arial" w:cs="Arial"/>
          <w:sz w:val="22"/>
          <w:szCs w:val="22"/>
        </w:rPr>
      </w:pPr>
      <w:r w:rsidRPr="008718C4">
        <w:rPr>
          <w:rFonts w:ascii="Arial" w:hAnsi="Arial" w:cs="Arial"/>
          <w:i/>
          <w:iCs/>
          <w:sz w:val="22"/>
          <w:szCs w:val="22"/>
        </w:rPr>
        <w:t>Authors:</w:t>
      </w:r>
      <w:r w:rsidRPr="008718C4">
        <w:rPr>
          <w:rFonts w:ascii="Arial" w:hAnsi="Arial" w:cs="Arial"/>
          <w:sz w:val="22"/>
          <w:szCs w:val="22"/>
        </w:rPr>
        <w:t xml:space="preserve"> </w:t>
      </w:r>
      <w:r w:rsidR="002763E1" w:rsidRPr="002763E1">
        <w:rPr>
          <w:rFonts w:ascii="Arial" w:hAnsi="Arial" w:cs="Arial"/>
          <w:sz w:val="22"/>
          <w:szCs w:val="22"/>
        </w:rPr>
        <w:t>Godard et al.</w:t>
      </w:r>
    </w:p>
    <w:p w14:paraId="689E2942" w14:textId="6781ADD0" w:rsidR="001C5DA1" w:rsidRPr="008718C4" w:rsidRDefault="001C5DA1" w:rsidP="00D91084">
      <w:pPr>
        <w:numPr>
          <w:ilvl w:val="0"/>
          <w:numId w:val="6"/>
        </w:numPr>
        <w:rPr>
          <w:rFonts w:ascii="Arial" w:hAnsi="Arial" w:cs="Arial"/>
          <w:sz w:val="22"/>
          <w:szCs w:val="22"/>
        </w:rPr>
      </w:pPr>
      <w:r w:rsidRPr="008718C4">
        <w:rPr>
          <w:rFonts w:ascii="Arial" w:hAnsi="Arial" w:cs="Arial"/>
          <w:i/>
          <w:iCs/>
          <w:sz w:val="22"/>
          <w:szCs w:val="22"/>
        </w:rPr>
        <w:t>Approach:</w:t>
      </w:r>
      <w:r w:rsidRPr="008718C4">
        <w:rPr>
          <w:rFonts w:ascii="Arial" w:hAnsi="Arial" w:cs="Arial"/>
          <w:sz w:val="22"/>
          <w:szCs w:val="22"/>
        </w:rPr>
        <w:t xml:space="preserve"> </w:t>
      </w:r>
      <w:r w:rsidR="00D91084" w:rsidRPr="00D91084">
        <w:rPr>
          <w:rFonts w:ascii="Arial" w:hAnsi="Arial" w:cs="Arial"/>
          <w:sz w:val="22"/>
          <w:szCs w:val="22"/>
        </w:rPr>
        <w:t>Unsupervised using stereo pairs and left-right consistency</w:t>
      </w:r>
      <w:r w:rsidRPr="008718C4">
        <w:rPr>
          <w:rFonts w:ascii="Arial" w:hAnsi="Arial" w:cs="Arial"/>
          <w:sz w:val="22"/>
          <w:szCs w:val="22"/>
        </w:rPr>
        <w:t>.</w:t>
      </w:r>
    </w:p>
    <w:p w14:paraId="16A1A930" w14:textId="0E9C40FA" w:rsidR="001C5DA1" w:rsidRPr="008718C4" w:rsidRDefault="001C5DA1" w:rsidP="00797951">
      <w:pPr>
        <w:numPr>
          <w:ilvl w:val="0"/>
          <w:numId w:val="6"/>
        </w:numPr>
        <w:rPr>
          <w:rFonts w:ascii="Arial" w:hAnsi="Arial" w:cs="Arial"/>
          <w:sz w:val="22"/>
          <w:szCs w:val="22"/>
        </w:rPr>
      </w:pPr>
      <w:r w:rsidRPr="008718C4">
        <w:rPr>
          <w:rFonts w:ascii="Arial" w:hAnsi="Arial" w:cs="Arial"/>
          <w:i/>
          <w:iCs/>
          <w:sz w:val="22"/>
          <w:szCs w:val="22"/>
        </w:rPr>
        <w:t>Key Components:</w:t>
      </w:r>
      <w:r w:rsidRPr="008718C4">
        <w:rPr>
          <w:rFonts w:ascii="Arial" w:hAnsi="Arial" w:cs="Arial"/>
          <w:sz w:val="22"/>
          <w:szCs w:val="22"/>
        </w:rPr>
        <w:t xml:space="preserve"> </w:t>
      </w:r>
      <w:r w:rsidR="00797951" w:rsidRPr="00797951">
        <w:rPr>
          <w:rFonts w:ascii="Arial" w:hAnsi="Arial" w:cs="Arial"/>
          <w:sz w:val="22"/>
          <w:szCs w:val="22"/>
        </w:rPr>
        <w:t>CNN encoder-decoder, photometric loss, left-right disparity.</w:t>
      </w:r>
    </w:p>
    <w:p w14:paraId="629E8F5A" w14:textId="4B8834BD" w:rsidR="00243502" w:rsidRPr="00243502" w:rsidRDefault="001C5DA1" w:rsidP="00243502">
      <w:pPr>
        <w:numPr>
          <w:ilvl w:val="0"/>
          <w:numId w:val="6"/>
        </w:numPr>
        <w:rPr>
          <w:rFonts w:ascii="Arial" w:hAnsi="Arial" w:cs="Arial"/>
          <w:sz w:val="22"/>
          <w:szCs w:val="22"/>
        </w:rPr>
      </w:pPr>
      <w:r w:rsidRPr="008718C4">
        <w:rPr>
          <w:rFonts w:ascii="Arial" w:hAnsi="Arial" w:cs="Arial"/>
          <w:i/>
          <w:iCs/>
          <w:sz w:val="22"/>
          <w:szCs w:val="22"/>
        </w:rPr>
        <w:t>Performance:</w:t>
      </w:r>
      <w:r w:rsidRPr="008718C4">
        <w:rPr>
          <w:rFonts w:ascii="Arial" w:hAnsi="Arial" w:cs="Arial"/>
          <w:sz w:val="22"/>
          <w:szCs w:val="22"/>
        </w:rPr>
        <w:t xml:space="preserve"> </w:t>
      </w:r>
      <w:r w:rsidR="00243502" w:rsidRPr="00243502">
        <w:rPr>
          <w:rFonts w:ascii="Arial" w:hAnsi="Arial" w:cs="Arial"/>
          <w:sz w:val="22"/>
          <w:szCs w:val="22"/>
        </w:rPr>
        <w:t>~81% δ1 accuracy on KITTI.</w:t>
      </w:r>
    </w:p>
    <w:p w14:paraId="1C41D8AE" w14:textId="172BD3B7" w:rsidR="001C5DA1" w:rsidRPr="008718C4" w:rsidRDefault="001C5DA1" w:rsidP="00114358">
      <w:pPr>
        <w:numPr>
          <w:ilvl w:val="0"/>
          <w:numId w:val="6"/>
        </w:numPr>
        <w:rPr>
          <w:rFonts w:ascii="Arial" w:hAnsi="Arial" w:cs="Arial"/>
          <w:sz w:val="22"/>
          <w:szCs w:val="22"/>
        </w:rPr>
      </w:pPr>
      <w:r w:rsidRPr="008718C4">
        <w:rPr>
          <w:rFonts w:ascii="Arial" w:hAnsi="Arial" w:cs="Arial"/>
          <w:i/>
          <w:iCs/>
          <w:sz w:val="22"/>
          <w:szCs w:val="22"/>
        </w:rPr>
        <w:t>Strengths:</w:t>
      </w:r>
      <w:r w:rsidRPr="008718C4">
        <w:rPr>
          <w:rFonts w:ascii="Arial" w:hAnsi="Arial" w:cs="Arial"/>
          <w:sz w:val="22"/>
          <w:szCs w:val="22"/>
        </w:rPr>
        <w:t xml:space="preserve"> </w:t>
      </w:r>
      <w:r w:rsidR="00114358" w:rsidRPr="00114358">
        <w:rPr>
          <w:rFonts w:ascii="Arial" w:hAnsi="Arial" w:cs="Arial"/>
          <w:sz w:val="22"/>
          <w:szCs w:val="22"/>
        </w:rPr>
        <w:t>No depth ground truth needed.</w:t>
      </w:r>
    </w:p>
    <w:p w14:paraId="1627AFF3" w14:textId="437B7D83" w:rsidR="001C5DA1" w:rsidRPr="00B96BFC" w:rsidRDefault="001C5DA1" w:rsidP="00B96BFC">
      <w:pPr>
        <w:numPr>
          <w:ilvl w:val="0"/>
          <w:numId w:val="6"/>
        </w:numPr>
        <w:rPr>
          <w:rFonts w:ascii="Arial" w:hAnsi="Arial" w:cs="Arial"/>
          <w:sz w:val="22"/>
          <w:szCs w:val="22"/>
        </w:rPr>
      </w:pPr>
      <w:r w:rsidRPr="008718C4">
        <w:rPr>
          <w:rFonts w:ascii="Arial" w:hAnsi="Arial" w:cs="Arial"/>
          <w:i/>
          <w:iCs/>
          <w:sz w:val="22"/>
          <w:szCs w:val="22"/>
        </w:rPr>
        <w:t>Weaknesses:</w:t>
      </w:r>
      <w:r w:rsidRPr="008718C4">
        <w:rPr>
          <w:rFonts w:ascii="Arial" w:hAnsi="Arial" w:cs="Arial"/>
          <w:sz w:val="22"/>
          <w:szCs w:val="22"/>
        </w:rPr>
        <w:t xml:space="preserve"> </w:t>
      </w:r>
      <w:r w:rsidR="00B96BFC" w:rsidRPr="00B96BFC">
        <w:rPr>
          <w:rFonts w:ascii="Arial" w:hAnsi="Arial" w:cs="Arial"/>
          <w:sz w:val="22"/>
          <w:szCs w:val="22"/>
        </w:rPr>
        <w:t>Limited to stereo training data.</w:t>
      </w:r>
    </w:p>
    <w:p w14:paraId="1383EC7E" w14:textId="43C7BCA6" w:rsidR="005F4C74" w:rsidRPr="003D0652" w:rsidRDefault="005F4C74" w:rsidP="005F4C74">
      <w:pPr>
        <w:pStyle w:val="Heading2"/>
        <w:rPr>
          <w:rFonts w:ascii="Arial" w:hAnsi="Arial" w:cs="Arial"/>
          <w:color w:val="auto"/>
          <w:sz w:val="28"/>
          <w:szCs w:val="28"/>
        </w:rPr>
      </w:pPr>
      <w:r w:rsidRPr="003D0652">
        <w:rPr>
          <w:rFonts w:ascii="Arial" w:hAnsi="Arial" w:cs="Arial"/>
          <w:color w:val="auto"/>
          <w:sz w:val="28"/>
          <w:szCs w:val="28"/>
        </w:rPr>
        <w:t>4.2</w:t>
      </w:r>
      <w:r w:rsidR="00CE6004">
        <w:rPr>
          <w:rFonts w:ascii="Arial" w:hAnsi="Arial" w:cs="Arial"/>
          <w:color w:val="auto"/>
          <w:sz w:val="28"/>
          <w:szCs w:val="28"/>
        </w:rPr>
        <w:t xml:space="preserve"> </w:t>
      </w:r>
      <w:r w:rsidRPr="003D0652">
        <w:rPr>
          <w:rFonts w:ascii="Arial" w:hAnsi="Arial" w:cs="Arial"/>
          <w:color w:val="auto"/>
          <w:sz w:val="28"/>
          <w:szCs w:val="28"/>
        </w:rPr>
        <w:t>AdaBins (2021)</w:t>
      </w:r>
    </w:p>
    <w:p w14:paraId="5D65CB81"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Authors:</w:t>
      </w:r>
      <w:r w:rsidRPr="008718C4">
        <w:rPr>
          <w:rFonts w:ascii="Arial" w:hAnsi="Arial" w:cs="Arial"/>
          <w:sz w:val="22"/>
          <w:szCs w:val="22"/>
        </w:rPr>
        <w:t xml:space="preserve"> Bhat et al.</w:t>
      </w:r>
    </w:p>
    <w:p w14:paraId="253CFAAB"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Approach:</w:t>
      </w:r>
      <w:r w:rsidRPr="008718C4">
        <w:rPr>
          <w:rFonts w:ascii="Arial" w:hAnsi="Arial" w:cs="Arial"/>
          <w:sz w:val="22"/>
          <w:szCs w:val="22"/>
        </w:rPr>
        <w:t xml:space="preserve"> Supervised learning with adaptive depth binning.</w:t>
      </w:r>
    </w:p>
    <w:p w14:paraId="2F692DB1"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Key Components:</w:t>
      </w:r>
      <w:r w:rsidRPr="008718C4">
        <w:rPr>
          <w:rFonts w:ascii="Arial" w:hAnsi="Arial" w:cs="Arial"/>
          <w:sz w:val="22"/>
          <w:szCs w:val="22"/>
        </w:rPr>
        <w:t xml:space="preserve"> EfficientNet encoder, transformer-based bin regressor, bin width prediction.</w:t>
      </w:r>
    </w:p>
    <w:p w14:paraId="710AA249"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Performance:</w:t>
      </w:r>
      <w:r w:rsidRPr="008718C4">
        <w:rPr>
          <w:rFonts w:ascii="Arial" w:hAnsi="Arial" w:cs="Arial"/>
          <w:sz w:val="22"/>
          <w:szCs w:val="22"/>
        </w:rPr>
        <w:t xml:space="preserve"> ~92.8% δ1 on NYUv2.</w:t>
      </w:r>
    </w:p>
    <w:p w14:paraId="4000B332"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Strengths:</w:t>
      </w:r>
      <w:r w:rsidRPr="008718C4">
        <w:rPr>
          <w:rFonts w:ascii="Arial" w:hAnsi="Arial" w:cs="Arial"/>
          <w:sz w:val="22"/>
          <w:szCs w:val="22"/>
        </w:rPr>
        <w:t xml:space="preserve"> High accuracy with flexible binning.</w:t>
      </w:r>
    </w:p>
    <w:p w14:paraId="47019987" w14:textId="5622179F" w:rsidR="000A703E"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Weaknesses:</w:t>
      </w:r>
      <w:r w:rsidRPr="008718C4">
        <w:rPr>
          <w:rFonts w:ascii="Arial" w:hAnsi="Arial" w:cs="Arial"/>
          <w:sz w:val="22"/>
          <w:szCs w:val="22"/>
        </w:rPr>
        <w:t xml:space="preserve"> Requires depth supervision.</w:t>
      </w:r>
    </w:p>
    <w:p w14:paraId="609D03A1" w14:textId="242E960F" w:rsidR="006D7A1A" w:rsidRPr="00FC2070" w:rsidRDefault="00FC2070" w:rsidP="00FC2070">
      <w:pPr>
        <w:pStyle w:val="Heading2"/>
        <w:rPr>
          <w:rFonts w:ascii="Arial" w:hAnsi="Arial" w:cs="Arial"/>
          <w:color w:val="auto"/>
          <w:sz w:val="28"/>
          <w:szCs w:val="28"/>
        </w:rPr>
      </w:pPr>
      <w:r w:rsidRPr="00FC2070">
        <w:rPr>
          <w:rFonts w:ascii="Arial" w:hAnsi="Arial" w:cs="Arial"/>
          <w:color w:val="auto"/>
          <w:sz w:val="28"/>
          <w:szCs w:val="28"/>
        </w:rPr>
        <w:t xml:space="preserve">4.3 </w:t>
      </w:r>
      <w:r w:rsidR="006D7A1A" w:rsidRPr="00FC2070">
        <w:rPr>
          <w:rFonts w:ascii="Arial" w:hAnsi="Arial" w:cs="Arial"/>
          <w:color w:val="auto"/>
          <w:sz w:val="28"/>
          <w:szCs w:val="28"/>
        </w:rPr>
        <w:t>BinsFormer (2022)</w:t>
      </w:r>
    </w:p>
    <w:p w14:paraId="79FF99A2" w14:textId="77777777" w:rsidR="00C45FD8" w:rsidRPr="00C45FD8" w:rsidRDefault="00C45FD8" w:rsidP="00C45FD8">
      <w:pPr>
        <w:numPr>
          <w:ilvl w:val="0"/>
          <w:numId w:val="9"/>
        </w:numPr>
        <w:rPr>
          <w:rFonts w:ascii="Arial" w:hAnsi="Arial" w:cs="Arial"/>
          <w:sz w:val="22"/>
          <w:szCs w:val="22"/>
        </w:rPr>
      </w:pPr>
      <w:r w:rsidRPr="008718C4">
        <w:rPr>
          <w:rFonts w:ascii="Arial" w:hAnsi="Arial" w:cs="Arial"/>
          <w:i/>
          <w:iCs/>
          <w:sz w:val="22"/>
          <w:szCs w:val="22"/>
        </w:rPr>
        <w:t>Authors:</w:t>
      </w:r>
      <w:r w:rsidRPr="008718C4">
        <w:rPr>
          <w:rFonts w:ascii="Arial" w:hAnsi="Arial" w:cs="Arial"/>
          <w:sz w:val="22"/>
          <w:szCs w:val="22"/>
        </w:rPr>
        <w:t xml:space="preserve"> </w:t>
      </w:r>
      <w:r w:rsidRPr="00C45FD8">
        <w:rPr>
          <w:rFonts w:ascii="Arial" w:hAnsi="Arial" w:cs="Arial"/>
          <w:sz w:val="22"/>
          <w:szCs w:val="22"/>
        </w:rPr>
        <w:t>Li et al.</w:t>
      </w:r>
    </w:p>
    <w:p w14:paraId="6E3BD704" w14:textId="5F09960B" w:rsidR="00C45FD8" w:rsidRPr="008718C4" w:rsidRDefault="00C45FD8" w:rsidP="00032FF2">
      <w:pPr>
        <w:numPr>
          <w:ilvl w:val="0"/>
          <w:numId w:val="9"/>
        </w:numPr>
        <w:rPr>
          <w:rFonts w:ascii="Arial" w:hAnsi="Arial" w:cs="Arial"/>
          <w:sz w:val="22"/>
          <w:szCs w:val="22"/>
        </w:rPr>
      </w:pPr>
      <w:r w:rsidRPr="008718C4">
        <w:rPr>
          <w:rFonts w:ascii="Arial" w:hAnsi="Arial" w:cs="Arial"/>
          <w:i/>
          <w:iCs/>
          <w:sz w:val="22"/>
          <w:szCs w:val="22"/>
        </w:rPr>
        <w:t>Approach:</w:t>
      </w:r>
      <w:r w:rsidR="00032FF2">
        <w:rPr>
          <w:rFonts w:ascii="Arial" w:hAnsi="Arial" w:cs="Arial"/>
          <w:sz w:val="22"/>
          <w:szCs w:val="22"/>
        </w:rPr>
        <w:t xml:space="preserve"> </w:t>
      </w:r>
      <w:r w:rsidR="00032FF2" w:rsidRPr="00032FF2">
        <w:rPr>
          <w:rFonts w:ascii="Arial" w:hAnsi="Arial" w:cs="Arial"/>
          <w:sz w:val="22"/>
          <w:szCs w:val="22"/>
        </w:rPr>
        <w:t>Transformer-based supervised depth estimation with bins.</w:t>
      </w:r>
    </w:p>
    <w:p w14:paraId="08B4A752" w14:textId="3F35D264" w:rsidR="00C45FD8" w:rsidRPr="008718C4" w:rsidRDefault="00C45FD8" w:rsidP="00242E14">
      <w:pPr>
        <w:numPr>
          <w:ilvl w:val="0"/>
          <w:numId w:val="9"/>
        </w:numPr>
        <w:rPr>
          <w:rFonts w:ascii="Arial" w:hAnsi="Arial" w:cs="Arial"/>
          <w:sz w:val="22"/>
          <w:szCs w:val="22"/>
        </w:rPr>
      </w:pPr>
      <w:r w:rsidRPr="008718C4">
        <w:rPr>
          <w:rFonts w:ascii="Arial" w:hAnsi="Arial" w:cs="Arial"/>
          <w:i/>
          <w:iCs/>
          <w:sz w:val="22"/>
          <w:szCs w:val="22"/>
        </w:rPr>
        <w:t>Key Components:</w:t>
      </w:r>
      <w:r w:rsidRPr="008718C4">
        <w:rPr>
          <w:rFonts w:ascii="Arial" w:hAnsi="Arial" w:cs="Arial"/>
          <w:sz w:val="22"/>
          <w:szCs w:val="22"/>
        </w:rPr>
        <w:t xml:space="preserve"> </w:t>
      </w:r>
      <w:r w:rsidR="00242E14" w:rsidRPr="00242E14">
        <w:rPr>
          <w:rFonts w:ascii="Arial" w:hAnsi="Arial" w:cs="Arial"/>
          <w:sz w:val="22"/>
          <w:szCs w:val="22"/>
        </w:rPr>
        <w:t>Hierarchical ViT, adaptive bins, bin decoder.</w:t>
      </w:r>
    </w:p>
    <w:p w14:paraId="1583B9CD" w14:textId="0EC994D5" w:rsidR="00C45FD8" w:rsidRPr="008718C4" w:rsidRDefault="00C45FD8" w:rsidP="003204CE">
      <w:pPr>
        <w:numPr>
          <w:ilvl w:val="0"/>
          <w:numId w:val="9"/>
        </w:numPr>
        <w:rPr>
          <w:rFonts w:ascii="Arial" w:hAnsi="Arial" w:cs="Arial"/>
          <w:sz w:val="22"/>
          <w:szCs w:val="22"/>
        </w:rPr>
      </w:pPr>
      <w:r w:rsidRPr="008718C4">
        <w:rPr>
          <w:rFonts w:ascii="Arial" w:hAnsi="Arial" w:cs="Arial"/>
          <w:i/>
          <w:iCs/>
          <w:sz w:val="22"/>
          <w:szCs w:val="22"/>
        </w:rPr>
        <w:t>Performance:</w:t>
      </w:r>
      <w:r w:rsidRPr="008718C4">
        <w:rPr>
          <w:rFonts w:ascii="Arial" w:hAnsi="Arial" w:cs="Arial"/>
          <w:sz w:val="22"/>
          <w:szCs w:val="22"/>
        </w:rPr>
        <w:t xml:space="preserve"> </w:t>
      </w:r>
      <w:r w:rsidR="003204CE" w:rsidRPr="003204CE">
        <w:rPr>
          <w:rFonts w:ascii="Arial" w:hAnsi="Arial" w:cs="Arial"/>
          <w:sz w:val="22"/>
          <w:szCs w:val="22"/>
        </w:rPr>
        <w:t>~93.1% δ1 on NYUv2 and KITTI.</w:t>
      </w:r>
    </w:p>
    <w:p w14:paraId="797BAC1C" w14:textId="5606B06A" w:rsidR="00C45FD8" w:rsidRPr="008718C4" w:rsidRDefault="00C45FD8" w:rsidP="00E27F89">
      <w:pPr>
        <w:numPr>
          <w:ilvl w:val="0"/>
          <w:numId w:val="9"/>
        </w:numPr>
        <w:rPr>
          <w:rFonts w:ascii="Arial" w:hAnsi="Arial" w:cs="Arial"/>
          <w:sz w:val="22"/>
          <w:szCs w:val="22"/>
        </w:rPr>
      </w:pPr>
      <w:r w:rsidRPr="008718C4">
        <w:rPr>
          <w:rFonts w:ascii="Arial" w:hAnsi="Arial" w:cs="Arial"/>
          <w:i/>
          <w:iCs/>
          <w:sz w:val="22"/>
          <w:szCs w:val="22"/>
        </w:rPr>
        <w:t>Strengths:</w:t>
      </w:r>
      <w:r w:rsidRPr="008718C4">
        <w:rPr>
          <w:rFonts w:ascii="Arial" w:hAnsi="Arial" w:cs="Arial"/>
          <w:sz w:val="22"/>
          <w:szCs w:val="22"/>
        </w:rPr>
        <w:t xml:space="preserve"> </w:t>
      </w:r>
      <w:r w:rsidR="00E27F89" w:rsidRPr="00E27F89">
        <w:rPr>
          <w:rFonts w:ascii="Arial" w:hAnsi="Arial" w:cs="Arial"/>
          <w:sz w:val="22"/>
          <w:szCs w:val="22"/>
        </w:rPr>
        <w:t>High precision, better generalization.</w:t>
      </w:r>
    </w:p>
    <w:p w14:paraId="1486E8A7" w14:textId="77777777" w:rsidR="000F7663" w:rsidRPr="000F7663" w:rsidRDefault="00C45FD8" w:rsidP="000F7663">
      <w:pPr>
        <w:numPr>
          <w:ilvl w:val="0"/>
          <w:numId w:val="9"/>
        </w:numPr>
        <w:rPr>
          <w:rFonts w:ascii="Arial" w:hAnsi="Arial" w:cs="Arial"/>
          <w:sz w:val="22"/>
          <w:szCs w:val="22"/>
        </w:rPr>
      </w:pPr>
      <w:r w:rsidRPr="008718C4">
        <w:rPr>
          <w:rFonts w:ascii="Arial" w:hAnsi="Arial" w:cs="Arial"/>
          <w:i/>
          <w:iCs/>
          <w:sz w:val="22"/>
          <w:szCs w:val="22"/>
        </w:rPr>
        <w:t>Weaknesses:</w:t>
      </w:r>
      <w:r w:rsidRPr="008718C4">
        <w:rPr>
          <w:rFonts w:ascii="Arial" w:hAnsi="Arial" w:cs="Arial"/>
          <w:sz w:val="22"/>
          <w:szCs w:val="22"/>
        </w:rPr>
        <w:t xml:space="preserve"> </w:t>
      </w:r>
      <w:r w:rsidR="000F7663" w:rsidRPr="000F7663">
        <w:rPr>
          <w:rFonts w:ascii="Arial" w:hAnsi="Arial" w:cs="Arial"/>
          <w:sz w:val="22"/>
          <w:szCs w:val="22"/>
        </w:rPr>
        <w:t>Complex architecture and training.</w:t>
      </w:r>
    </w:p>
    <w:p w14:paraId="1886A8AF" w14:textId="7B3461C5" w:rsidR="00C45FD8" w:rsidRDefault="00CE6004" w:rsidP="00CE6004">
      <w:pPr>
        <w:pStyle w:val="Heading2"/>
        <w:rPr>
          <w:rFonts w:ascii="Arial" w:hAnsi="Arial" w:cs="Arial"/>
          <w:color w:val="auto"/>
          <w:sz w:val="28"/>
          <w:szCs w:val="28"/>
        </w:rPr>
      </w:pPr>
      <w:r w:rsidRPr="00400E67">
        <w:rPr>
          <w:rFonts w:ascii="Arial" w:hAnsi="Arial" w:cs="Arial"/>
          <w:color w:val="auto"/>
          <w:sz w:val="28"/>
          <w:szCs w:val="28"/>
        </w:rPr>
        <w:t>4.4 ManyDepth2 (2023)</w:t>
      </w:r>
    </w:p>
    <w:p w14:paraId="4744079C"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Authors:</w:t>
      </w:r>
      <w:r w:rsidRPr="002B4090">
        <w:rPr>
          <w:rFonts w:ascii="Arial" w:hAnsi="Arial" w:cs="Arial"/>
          <w:sz w:val="22"/>
          <w:szCs w:val="22"/>
        </w:rPr>
        <w:t xml:space="preserve"> Zhou et al.</w:t>
      </w:r>
    </w:p>
    <w:p w14:paraId="17E4B76D"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lastRenderedPageBreak/>
        <w:t>Approach:</w:t>
      </w:r>
      <w:r w:rsidRPr="002B4090">
        <w:rPr>
          <w:rFonts w:ascii="Arial" w:hAnsi="Arial" w:cs="Arial"/>
          <w:sz w:val="22"/>
          <w:szCs w:val="22"/>
        </w:rPr>
        <w:t xml:space="preserve"> Self-supervised, multi-frame, motion-aware.</w:t>
      </w:r>
    </w:p>
    <w:p w14:paraId="3C5D9C93"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Key Components:</w:t>
      </w:r>
      <w:r w:rsidRPr="002B4090">
        <w:rPr>
          <w:rFonts w:ascii="Arial" w:hAnsi="Arial" w:cs="Arial"/>
          <w:sz w:val="22"/>
          <w:szCs w:val="22"/>
        </w:rPr>
        <w:t xml:space="preserve"> Dynamic object masking, temporal feature alignment.</w:t>
      </w:r>
    </w:p>
    <w:p w14:paraId="6E4C9448"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Performance:</w:t>
      </w:r>
      <w:r w:rsidRPr="002B4090">
        <w:rPr>
          <w:rFonts w:ascii="Arial" w:hAnsi="Arial" w:cs="Arial"/>
          <w:sz w:val="22"/>
          <w:szCs w:val="22"/>
        </w:rPr>
        <w:t xml:space="preserve"> ~90% δ1 on KITTI.</w:t>
      </w:r>
    </w:p>
    <w:p w14:paraId="0AE1890B"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Strengths:</w:t>
      </w:r>
      <w:r w:rsidRPr="002B4090">
        <w:rPr>
          <w:rFonts w:ascii="Arial" w:hAnsi="Arial" w:cs="Arial"/>
          <w:sz w:val="22"/>
          <w:szCs w:val="22"/>
        </w:rPr>
        <w:t xml:space="preserve"> Works in dynamic scenes.</w:t>
      </w:r>
    </w:p>
    <w:p w14:paraId="09531A48" w14:textId="77777777" w:rsidR="002B4090" w:rsidRDefault="002B4090" w:rsidP="002B4090">
      <w:pPr>
        <w:numPr>
          <w:ilvl w:val="0"/>
          <w:numId w:val="11"/>
        </w:numPr>
        <w:rPr>
          <w:rFonts w:ascii="Arial" w:hAnsi="Arial" w:cs="Arial"/>
          <w:sz w:val="22"/>
          <w:szCs w:val="22"/>
        </w:rPr>
      </w:pPr>
      <w:r w:rsidRPr="002B4090">
        <w:rPr>
          <w:rFonts w:ascii="Arial" w:hAnsi="Arial" w:cs="Arial"/>
          <w:i/>
          <w:iCs/>
          <w:sz w:val="22"/>
          <w:szCs w:val="22"/>
        </w:rPr>
        <w:t>Weaknesses:</w:t>
      </w:r>
      <w:r w:rsidRPr="002B4090">
        <w:rPr>
          <w:rFonts w:ascii="Arial" w:hAnsi="Arial" w:cs="Arial"/>
          <w:sz w:val="22"/>
          <w:szCs w:val="22"/>
        </w:rPr>
        <w:t xml:space="preserve"> Higher computational load.</w:t>
      </w:r>
    </w:p>
    <w:p w14:paraId="34E6E8A8" w14:textId="10C8594E" w:rsidR="00A2769E" w:rsidRDefault="00A2769E" w:rsidP="00A2769E">
      <w:pPr>
        <w:pStyle w:val="Heading1"/>
        <w:numPr>
          <w:ilvl w:val="0"/>
          <w:numId w:val="1"/>
        </w:numPr>
        <w:rPr>
          <w:rFonts w:ascii="Arial" w:hAnsi="Arial" w:cs="Arial"/>
          <w:color w:val="auto"/>
          <w:sz w:val="32"/>
          <w:szCs w:val="32"/>
        </w:rPr>
      </w:pPr>
      <w:r w:rsidRPr="00A2769E">
        <w:rPr>
          <w:rFonts w:ascii="Arial" w:hAnsi="Arial" w:cs="Arial"/>
          <w:color w:val="auto"/>
          <w:sz w:val="32"/>
          <w:szCs w:val="32"/>
        </w:rPr>
        <w:t>Comparative Analysis</w:t>
      </w:r>
    </w:p>
    <w:p w14:paraId="7E3ECD45" w14:textId="71AB8305" w:rsidR="00917F82" w:rsidRDefault="00917F82" w:rsidP="00917F82">
      <w:pPr>
        <w:rPr>
          <w:rFonts w:ascii="Arial" w:hAnsi="Arial" w:cs="Arial"/>
          <w:sz w:val="20"/>
          <w:szCs w:val="20"/>
        </w:rPr>
      </w:pPr>
      <w:r w:rsidRPr="00917F82">
        <w:rPr>
          <w:rFonts w:ascii="Arial" w:hAnsi="Arial" w:cs="Arial"/>
          <w:b/>
          <w:bCs/>
          <w:sz w:val="20"/>
          <w:szCs w:val="20"/>
        </w:rPr>
        <w:t>Table 1.</w:t>
      </w:r>
      <w:r w:rsidRPr="00917F82">
        <w:rPr>
          <w:rFonts w:ascii="Arial" w:hAnsi="Arial" w:cs="Arial"/>
          <w:sz w:val="20"/>
          <w:szCs w:val="20"/>
        </w:rPr>
        <w:t xml:space="preserve"> Comparative </w:t>
      </w:r>
      <w:r w:rsidR="005E5E6D" w:rsidRPr="00917F82">
        <w:rPr>
          <w:rFonts w:ascii="Arial" w:hAnsi="Arial" w:cs="Arial"/>
          <w:sz w:val="20"/>
          <w:szCs w:val="20"/>
        </w:rPr>
        <w:t>analysis</w:t>
      </w:r>
      <w:r w:rsidRPr="00917F82">
        <w:rPr>
          <w:rFonts w:ascii="Arial" w:hAnsi="Arial" w:cs="Arial"/>
          <w:sz w:val="20"/>
          <w:szCs w:val="20"/>
        </w:rPr>
        <w:t xml:space="preserve"> of the performance of the four revied models</w:t>
      </w:r>
      <w:r w:rsidR="00CF221A">
        <w:rPr>
          <w:rFonts w:ascii="Arial" w:hAnsi="Arial" w:cs="Arial"/>
          <w:sz w:val="20"/>
          <w:szCs w:val="20"/>
        </w:rPr>
        <w:t>.</w:t>
      </w:r>
    </w:p>
    <w:tbl>
      <w:tblPr>
        <w:tblStyle w:val="PlainTable3"/>
        <w:tblW w:w="9168" w:type="dxa"/>
        <w:tblLook w:val="04A0" w:firstRow="1" w:lastRow="0" w:firstColumn="1" w:lastColumn="0" w:noHBand="0" w:noVBand="1"/>
      </w:tblPr>
      <w:tblGrid>
        <w:gridCol w:w="1770"/>
        <w:gridCol w:w="828"/>
        <w:gridCol w:w="1602"/>
        <w:gridCol w:w="1527"/>
        <w:gridCol w:w="1566"/>
        <w:gridCol w:w="1875"/>
      </w:tblGrid>
      <w:tr w:rsidR="003D67F6" w:rsidRPr="00342096" w14:paraId="3CAC54CE" w14:textId="77777777" w:rsidTr="00AC0396">
        <w:trPr>
          <w:cnfStyle w:val="100000000000" w:firstRow="1" w:lastRow="0" w:firstColumn="0" w:lastColumn="0" w:oddVBand="0" w:evenVBand="0" w:oddHBand="0" w:evenHBand="0" w:firstRowFirstColumn="0" w:firstRowLastColumn="0" w:lastRowFirstColumn="0" w:lastRowLastColumn="0"/>
          <w:trHeight w:val="951"/>
        </w:trPr>
        <w:tc>
          <w:tcPr>
            <w:cnfStyle w:val="001000000100" w:firstRow="0" w:lastRow="0" w:firstColumn="1" w:lastColumn="0" w:oddVBand="0" w:evenVBand="0" w:oddHBand="0" w:evenHBand="0" w:firstRowFirstColumn="1" w:firstRowLastColumn="0" w:lastRowFirstColumn="0" w:lastRowLastColumn="0"/>
            <w:tcW w:w="0" w:type="auto"/>
            <w:hideMark/>
          </w:tcPr>
          <w:p w14:paraId="7A2815E8"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Model</w:t>
            </w:r>
          </w:p>
        </w:tc>
        <w:tc>
          <w:tcPr>
            <w:tcW w:w="0" w:type="auto"/>
            <w:hideMark/>
          </w:tcPr>
          <w:p w14:paraId="6EDD6388"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Year</w:t>
            </w:r>
          </w:p>
        </w:tc>
        <w:tc>
          <w:tcPr>
            <w:tcW w:w="0" w:type="auto"/>
            <w:hideMark/>
          </w:tcPr>
          <w:p w14:paraId="3E405B28"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Type</w:t>
            </w:r>
          </w:p>
        </w:tc>
        <w:tc>
          <w:tcPr>
            <w:tcW w:w="0" w:type="auto"/>
            <w:hideMark/>
          </w:tcPr>
          <w:p w14:paraId="45F5E606"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Dataset(s)</w:t>
            </w:r>
          </w:p>
        </w:tc>
        <w:tc>
          <w:tcPr>
            <w:tcW w:w="0" w:type="auto"/>
            <w:hideMark/>
          </w:tcPr>
          <w:p w14:paraId="05863B84"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Accuracy (δ1)</w:t>
            </w:r>
          </w:p>
        </w:tc>
        <w:tc>
          <w:tcPr>
            <w:tcW w:w="0" w:type="auto"/>
            <w:hideMark/>
          </w:tcPr>
          <w:p w14:paraId="09A5E76F"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Highlights</w:t>
            </w:r>
          </w:p>
        </w:tc>
      </w:tr>
      <w:tr w:rsidR="00342096" w:rsidRPr="00342096" w14:paraId="3F5B1820" w14:textId="77777777" w:rsidTr="00AC0396">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0" w:type="auto"/>
            <w:hideMark/>
          </w:tcPr>
          <w:p w14:paraId="3A3E479D"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Monodepth2</w:t>
            </w:r>
          </w:p>
        </w:tc>
        <w:tc>
          <w:tcPr>
            <w:tcW w:w="0" w:type="auto"/>
            <w:hideMark/>
          </w:tcPr>
          <w:p w14:paraId="024E37A4"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2019</w:t>
            </w:r>
          </w:p>
        </w:tc>
        <w:tc>
          <w:tcPr>
            <w:tcW w:w="0" w:type="auto"/>
            <w:hideMark/>
          </w:tcPr>
          <w:p w14:paraId="0DB94DBF"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Unsupervised</w:t>
            </w:r>
          </w:p>
        </w:tc>
        <w:tc>
          <w:tcPr>
            <w:tcW w:w="0" w:type="auto"/>
            <w:hideMark/>
          </w:tcPr>
          <w:p w14:paraId="18E85097"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KITTI</w:t>
            </w:r>
          </w:p>
        </w:tc>
        <w:tc>
          <w:tcPr>
            <w:tcW w:w="0" w:type="auto"/>
            <w:hideMark/>
          </w:tcPr>
          <w:p w14:paraId="23685DD1"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~81%</w:t>
            </w:r>
          </w:p>
        </w:tc>
        <w:tc>
          <w:tcPr>
            <w:tcW w:w="0" w:type="auto"/>
            <w:hideMark/>
          </w:tcPr>
          <w:p w14:paraId="75E3CDCD"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Stereo pairs, consistency loss</w:t>
            </w:r>
          </w:p>
        </w:tc>
      </w:tr>
      <w:tr w:rsidR="003D67F6" w:rsidRPr="00342096" w14:paraId="39D428CC" w14:textId="77777777" w:rsidTr="00AC0396">
        <w:trPr>
          <w:trHeight w:val="951"/>
        </w:trPr>
        <w:tc>
          <w:tcPr>
            <w:cnfStyle w:val="001000000000" w:firstRow="0" w:lastRow="0" w:firstColumn="1" w:lastColumn="0" w:oddVBand="0" w:evenVBand="0" w:oddHBand="0" w:evenHBand="0" w:firstRowFirstColumn="0" w:firstRowLastColumn="0" w:lastRowFirstColumn="0" w:lastRowLastColumn="0"/>
            <w:tcW w:w="0" w:type="auto"/>
            <w:hideMark/>
          </w:tcPr>
          <w:p w14:paraId="24B957C5"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AdaBins</w:t>
            </w:r>
          </w:p>
        </w:tc>
        <w:tc>
          <w:tcPr>
            <w:tcW w:w="0" w:type="auto"/>
            <w:hideMark/>
          </w:tcPr>
          <w:p w14:paraId="7568F9BA"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2021</w:t>
            </w:r>
          </w:p>
        </w:tc>
        <w:tc>
          <w:tcPr>
            <w:tcW w:w="0" w:type="auto"/>
            <w:hideMark/>
          </w:tcPr>
          <w:p w14:paraId="57415A9E"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Supervised</w:t>
            </w:r>
          </w:p>
        </w:tc>
        <w:tc>
          <w:tcPr>
            <w:tcW w:w="0" w:type="auto"/>
            <w:hideMark/>
          </w:tcPr>
          <w:p w14:paraId="013E3798"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NYUv2, KITTI</w:t>
            </w:r>
          </w:p>
        </w:tc>
        <w:tc>
          <w:tcPr>
            <w:tcW w:w="0" w:type="auto"/>
            <w:hideMark/>
          </w:tcPr>
          <w:p w14:paraId="4AE76DAD"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~92.8%</w:t>
            </w:r>
          </w:p>
        </w:tc>
        <w:tc>
          <w:tcPr>
            <w:tcW w:w="0" w:type="auto"/>
            <w:hideMark/>
          </w:tcPr>
          <w:p w14:paraId="2B676D2D"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Adaptive depth bins</w:t>
            </w:r>
          </w:p>
        </w:tc>
      </w:tr>
      <w:tr w:rsidR="00342096" w:rsidRPr="00342096" w14:paraId="04AA5EF6" w14:textId="77777777" w:rsidTr="00AC0396">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0" w:type="auto"/>
            <w:hideMark/>
          </w:tcPr>
          <w:p w14:paraId="1B2DDE99"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BinsFormer</w:t>
            </w:r>
          </w:p>
        </w:tc>
        <w:tc>
          <w:tcPr>
            <w:tcW w:w="0" w:type="auto"/>
            <w:hideMark/>
          </w:tcPr>
          <w:p w14:paraId="49C147CF"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2022</w:t>
            </w:r>
          </w:p>
        </w:tc>
        <w:tc>
          <w:tcPr>
            <w:tcW w:w="0" w:type="auto"/>
            <w:hideMark/>
          </w:tcPr>
          <w:p w14:paraId="16EC9AD5"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Supervised</w:t>
            </w:r>
          </w:p>
        </w:tc>
        <w:tc>
          <w:tcPr>
            <w:tcW w:w="0" w:type="auto"/>
            <w:hideMark/>
          </w:tcPr>
          <w:p w14:paraId="0DFC8D90"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NYUv2, KITTI</w:t>
            </w:r>
          </w:p>
        </w:tc>
        <w:tc>
          <w:tcPr>
            <w:tcW w:w="0" w:type="auto"/>
            <w:hideMark/>
          </w:tcPr>
          <w:p w14:paraId="2CCF78EC"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~93.1%</w:t>
            </w:r>
          </w:p>
        </w:tc>
        <w:tc>
          <w:tcPr>
            <w:tcW w:w="0" w:type="auto"/>
            <w:hideMark/>
          </w:tcPr>
          <w:p w14:paraId="2E5EC4A3"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Transformer + binning</w:t>
            </w:r>
          </w:p>
        </w:tc>
      </w:tr>
      <w:tr w:rsidR="003D67F6" w:rsidRPr="00342096" w14:paraId="28EF4964" w14:textId="77777777" w:rsidTr="00AC0396">
        <w:trPr>
          <w:trHeight w:val="1332"/>
        </w:trPr>
        <w:tc>
          <w:tcPr>
            <w:cnfStyle w:val="001000000000" w:firstRow="0" w:lastRow="0" w:firstColumn="1" w:lastColumn="0" w:oddVBand="0" w:evenVBand="0" w:oddHBand="0" w:evenHBand="0" w:firstRowFirstColumn="0" w:firstRowLastColumn="0" w:lastRowFirstColumn="0" w:lastRowLastColumn="0"/>
            <w:tcW w:w="0" w:type="auto"/>
            <w:hideMark/>
          </w:tcPr>
          <w:p w14:paraId="1709AA42"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ManyDepth2</w:t>
            </w:r>
          </w:p>
        </w:tc>
        <w:tc>
          <w:tcPr>
            <w:tcW w:w="0" w:type="auto"/>
            <w:hideMark/>
          </w:tcPr>
          <w:p w14:paraId="68D563DD"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2023</w:t>
            </w:r>
          </w:p>
        </w:tc>
        <w:tc>
          <w:tcPr>
            <w:tcW w:w="0" w:type="auto"/>
            <w:hideMark/>
          </w:tcPr>
          <w:p w14:paraId="5D6516D6"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Self-Supervised</w:t>
            </w:r>
          </w:p>
        </w:tc>
        <w:tc>
          <w:tcPr>
            <w:tcW w:w="0" w:type="auto"/>
            <w:hideMark/>
          </w:tcPr>
          <w:p w14:paraId="0A29EBC2"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KITTI</w:t>
            </w:r>
          </w:p>
        </w:tc>
        <w:tc>
          <w:tcPr>
            <w:tcW w:w="0" w:type="auto"/>
            <w:hideMark/>
          </w:tcPr>
          <w:p w14:paraId="0546270E"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~90%</w:t>
            </w:r>
          </w:p>
        </w:tc>
        <w:tc>
          <w:tcPr>
            <w:tcW w:w="0" w:type="auto"/>
            <w:hideMark/>
          </w:tcPr>
          <w:p w14:paraId="6F54F2B0"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Dynamic scene handling</w:t>
            </w:r>
          </w:p>
        </w:tc>
      </w:tr>
    </w:tbl>
    <w:p w14:paraId="20AA3CB6" w14:textId="330F29E9" w:rsidR="00ED2256" w:rsidRDefault="00237E34" w:rsidP="00237E34">
      <w:pPr>
        <w:pStyle w:val="Heading1"/>
        <w:numPr>
          <w:ilvl w:val="0"/>
          <w:numId w:val="1"/>
        </w:numPr>
        <w:rPr>
          <w:rFonts w:ascii="Arial" w:hAnsi="Arial" w:cs="Arial"/>
          <w:color w:val="auto"/>
          <w:sz w:val="32"/>
          <w:szCs w:val="32"/>
        </w:rPr>
      </w:pPr>
      <w:r w:rsidRPr="00E51907">
        <w:rPr>
          <w:rFonts w:ascii="Arial" w:hAnsi="Arial" w:cs="Arial"/>
          <w:color w:val="auto"/>
          <w:sz w:val="32"/>
          <w:szCs w:val="32"/>
        </w:rPr>
        <w:t>Strengths and Limitations</w:t>
      </w:r>
    </w:p>
    <w:p w14:paraId="61AF9E56" w14:textId="77777777" w:rsidR="007D0311" w:rsidRPr="00506926" w:rsidRDefault="007D0311" w:rsidP="007D0311">
      <w:pPr>
        <w:rPr>
          <w:rFonts w:ascii="Arial" w:hAnsi="Arial" w:cs="Arial"/>
          <w:sz w:val="22"/>
          <w:szCs w:val="22"/>
        </w:rPr>
      </w:pPr>
      <w:r w:rsidRPr="00506926">
        <w:rPr>
          <w:rFonts w:ascii="Arial" w:hAnsi="Arial" w:cs="Arial"/>
          <w:i/>
          <w:iCs/>
          <w:sz w:val="22"/>
          <w:szCs w:val="22"/>
        </w:rPr>
        <w:t>Monodepth2:</w:t>
      </w:r>
      <w:r w:rsidRPr="00506926">
        <w:rPr>
          <w:rFonts w:ascii="Arial" w:hAnsi="Arial" w:cs="Arial"/>
          <w:sz w:val="22"/>
          <w:szCs w:val="22"/>
        </w:rPr>
        <w:t xml:space="preserve"> Offers a lightweight, unsupervised solution well-suited for applications without access to labeled data. However, its reliance on stereo pairs for training limits its flexibility and applicability across varying scene types.</w:t>
      </w:r>
    </w:p>
    <w:p w14:paraId="295A2B53" w14:textId="77777777" w:rsidR="007D0311" w:rsidRPr="00506926" w:rsidRDefault="007D0311" w:rsidP="007D0311">
      <w:pPr>
        <w:rPr>
          <w:rFonts w:ascii="Arial" w:hAnsi="Arial" w:cs="Arial"/>
          <w:sz w:val="22"/>
          <w:szCs w:val="22"/>
        </w:rPr>
      </w:pPr>
    </w:p>
    <w:p w14:paraId="033CE014" w14:textId="77777777" w:rsidR="007D0311" w:rsidRPr="00506926" w:rsidRDefault="007D0311" w:rsidP="007D0311">
      <w:pPr>
        <w:rPr>
          <w:rFonts w:ascii="Arial" w:hAnsi="Arial" w:cs="Arial"/>
          <w:sz w:val="22"/>
          <w:szCs w:val="22"/>
        </w:rPr>
      </w:pPr>
      <w:r w:rsidRPr="00506926">
        <w:rPr>
          <w:rFonts w:ascii="Arial" w:hAnsi="Arial" w:cs="Arial"/>
          <w:i/>
          <w:iCs/>
          <w:sz w:val="22"/>
          <w:szCs w:val="22"/>
        </w:rPr>
        <w:t>AdaBins:</w:t>
      </w:r>
      <w:r w:rsidRPr="00506926">
        <w:rPr>
          <w:rFonts w:ascii="Arial" w:hAnsi="Arial" w:cs="Arial"/>
          <w:sz w:val="22"/>
          <w:szCs w:val="22"/>
        </w:rPr>
        <w:t xml:space="preserve"> Delivers high accuracy using a supervised framework with adaptive binning, ideal for structured indoor scenes. Yet, it demands extensive labeled depth data, making it less suitable for unstructured or novel environments.</w:t>
      </w:r>
    </w:p>
    <w:p w14:paraId="516D1956" w14:textId="77777777" w:rsidR="007D0311" w:rsidRPr="00506926" w:rsidRDefault="007D0311" w:rsidP="007D0311">
      <w:pPr>
        <w:rPr>
          <w:rFonts w:ascii="Arial" w:hAnsi="Arial" w:cs="Arial"/>
          <w:sz w:val="22"/>
          <w:szCs w:val="22"/>
        </w:rPr>
      </w:pPr>
    </w:p>
    <w:p w14:paraId="6545076F" w14:textId="0CCFF9E1" w:rsidR="007D0311" w:rsidRPr="006D0AE8" w:rsidRDefault="007D0311" w:rsidP="007D0311">
      <w:pPr>
        <w:rPr>
          <w:rFonts w:ascii="Arial" w:hAnsi="Arial" w:cs="Arial"/>
          <w:sz w:val="22"/>
          <w:szCs w:val="22"/>
        </w:rPr>
      </w:pPr>
      <w:r w:rsidRPr="00506926">
        <w:rPr>
          <w:rFonts w:ascii="Arial" w:hAnsi="Arial" w:cs="Arial"/>
          <w:i/>
          <w:iCs/>
          <w:sz w:val="22"/>
          <w:szCs w:val="22"/>
        </w:rPr>
        <w:t>BinsFormer:</w:t>
      </w:r>
      <w:r w:rsidRPr="00506926">
        <w:rPr>
          <w:rFonts w:ascii="Arial" w:hAnsi="Arial" w:cs="Arial"/>
          <w:sz w:val="22"/>
          <w:szCs w:val="22"/>
        </w:rPr>
        <w:t xml:space="preserve"> Combines the strengths of adaptive binning with transformers for high performance and generalization. Despite its precision, its intricate architecture and computational complexity may pose challenges in real-time or resource-constrained settings.</w:t>
      </w:r>
    </w:p>
    <w:p w14:paraId="362ED3A4" w14:textId="243B1374" w:rsidR="00853076" w:rsidRPr="00506926" w:rsidRDefault="007D0311" w:rsidP="007D0311">
      <w:pPr>
        <w:rPr>
          <w:rFonts w:ascii="Arial" w:hAnsi="Arial" w:cs="Arial"/>
          <w:sz w:val="22"/>
          <w:szCs w:val="22"/>
        </w:rPr>
      </w:pPr>
      <w:r w:rsidRPr="00506926">
        <w:rPr>
          <w:rFonts w:ascii="Arial" w:hAnsi="Arial" w:cs="Arial"/>
          <w:i/>
          <w:iCs/>
          <w:sz w:val="22"/>
          <w:szCs w:val="22"/>
        </w:rPr>
        <w:lastRenderedPageBreak/>
        <w:t>ManyDepth2:</w:t>
      </w:r>
      <w:r w:rsidRPr="00506926">
        <w:rPr>
          <w:rFonts w:ascii="Arial" w:hAnsi="Arial" w:cs="Arial"/>
          <w:sz w:val="22"/>
          <w:szCs w:val="22"/>
        </w:rPr>
        <w:t xml:space="preserve"> Tailored for dynamic scenes with self-supervised, multi-frame input, offering temporal robustness. However, the model's dependency on motion cues and increased computational burden may reduce inference speed and accessibility.</w:t>
      </w:r>
    </w:p>
    <w:p w14:paraId="56CD5C5F" w14:textId="61CE911F" w:rsidR="00DF0861" w:rsidRDefault="00DF0861" w:rsidP="00DF0861">
      <w:pPr>
        <w:pStyle w:val="Heading1"/>
        <w:numPr>
          <w:ilvl w:val="0"/>
          <w:numId w:val="1"/>
        </w:numPr>
        <w:rPr>
          <w:rFonts w:ascii="Arial" w:hAnsi="Arial" w:cs="Arial"/>
          <w:color w:val="auto"/>
          <w:sz w:val="32"/>
          <w:szCs w:val="32"/>
        </w:rPr>
      </w:pPr>
      <w:r w:rsidRPr="00DF0861">
        <w:rPr>
          <w:rFonts w:ascii="Arial" w:hAnsi="Arial" w:cs="Arial"/>
          <w:color w:val="auto"/>
          <w:sz w:val="32"/>
          <w:szCs w:val="32"/>
        </w:rPr>
        <w:t>Gaps in Research</w:t>
      </w:r>
    </w:p>
    <w:p w14:paraId="2F670501" w14:textId="77777777" w:rsidR="00154B04" w:rsidRPr="00F23852" w:rsidRDefault="00154B04" w:rsidP="00154B04">
      <w:pPr>
        <w:rPr>
          <w:rFonts w:ascii="Arial" w:hAnsi="Arial" w:cs="Arial"/>
          <w:sz w:val="22"/>
          <w:szCs w:val="22"/>
        </w:rPr>
      </w:pPr>
      <w:r w:rsidRPr="00F23852">
        <w:rPr>
          <w:rFonts w:ascii="Arial" w:hAnsi="Arial" w:cs="Arial"/>
          <w:i/>
          <w:iCs/>
          <w:sz w:val="22"/>
          <w:szCs w:val="22"/>
        </w:rPr>
        <w:t>Handling real-time performance in dynamic scenes:</w:t>
      </w:r>
      <w:r w:rsidRPr="00F23852">
        <w:rPr>
          <w:rFonts w:ascii="Arial" w:hAnsi="Arial" w:cs="Arial"/>
          <w:sz w:val="22"/>
          <w:szCs w:val="22"/>
        </w:rPr>
        <w:t xml:space="preserve"> While ManyDepth2 addresses motion, most models struggle to maintain high accuracy with low latency in changing environments.</w:t>
      </w:r>
    </w:p>
    <w:p w14:paraId="1E37CAB0" w14:textId="77777777" w:rsidR="00154B04" w:rsidRPr="00F23852" w:rsidRDefault="00154B04" w:rsidP="00154B04">
      <w:pPr>
        <w:rPr>
          <w:rFonts w:ascii="Arial" w:hAnsi="Arial" w:cs="Arial"/>
          <w:sz w:val="22"/>
          <w:szCs w:val="22"/>
        </w:rPr>
      </w:pPr>
    </w:p>
    <w:p w14:paraId="5D6774D0" w14:textId="77777777" w:rsidR="00154B04" w:rsidRPr="00F23852" w:rsidRDefault="00154B04" w:rsidP="00154B04">
      <w:pPr>
        <w:rPr>
          <w:rFonts w:ascii="Arial" w:hAnsi="Arial" w:cs="Arial"/>
          <w:sz w:val="22"/>
          <w:szCs w:val="22"/>
        </w:rPr>
      </w:pPr>
      <w:r w:rsidRPr="00F23852">
        <w:rPr>
          <w:rFonts w:ascii="Arial" w:hAnsi="Arial" w:cs="Arial"/>
          <w:i/>
          <w:iCs/>
          <w:sz w:val="22"/>
          <w:szCs w:val="22"/>
        </w:rPr>
        <w:t>Cross-domain generalization without fine-tuning:</w:t>
      </w:r>
      <w:r w:rsidRPr="00F23852">
        <w:rPr>
          <w:rFonts w:ascii="Arial" w:hAnsi="Arial" w:cs="Arial"/>
          <w:sz w:val="22"/>
          <w:szCs w:val="22"/>
        </w:rPr>
        <w:t xml:space="preserve"> Many current models perform well on specific datasets but degrade when exposed to new domains, highlighting the need for more adaptive learning techniques.</w:t>
      </w:r>
    </w:p>
    <w:p w14:paraId="64F93636" w14:textId="77777777" w:rsidR="00154B04" w:rsidRPr="00F23852" w:rsidRDefault="00154B04" w:rsidP="00154B04">
      <w:pPr>
        <w:rPr>
          <w:rFonts w:ascii="Arial" w:hAnsi="Arial" w:cs="Arial"/>
          <w:sz w:val="22"/>
          <w:szCs w:val="22"/>
        </w:rPr>
      </w:pPr>
    </w:p>
    <w:p w14:paraId="47A1AFFA" w14:textId="77777777" w:rsidR="00154B04" w:rsidRPr="00F23852" w:rsidRDefault="00154B04" w:rsidP="00154B04">
      <w:pPr>
        <w:rPr>
          <w:rFonts w:ascii="Arial" w:hAnsi="Arial" w:cs="Arial"/>
          <w:sz w:val="22"/>
          <w:szCs w:val="22"/>
        </w:rPr>
      </w:pPr>
      <w:r w:rsidRPr="00F23852">
        <w:rPr>
          <w:rFonts w:ascii="Arial" w:hAnsi="Arial" w:cs="Arial"/>
          <w:i/>
          <w:iCs/>
          <w:sz w:val="22"/>
          <w:szCs w:val="22"/>
        </w:rPr>
        <w:t>Efficient transformer models for edge devices:</w:t>
      </w:r>
      <w:r w:rsidRPr="00F23852">
        <w:rPr>
          <w:rFonts w:ascii="Arial" w:hAnsi="Arial" w:cs="Arial"/>
          <w:sz w:val="22"/>
          <w:szCs w:val="22"/>
        </w:rPr>
        <w:t xml:space="preserve"> Transformer-based models like BinsFormer achieve excellent accuracy but often require large resources, limiting their use on mobile or embedded systems.</w:t>
      </w:r>
    </w:p>
    <w:p w14:paraId="20E8D50D" w14:textId="77777777" w:rsidR="00154B04" w:rsidRPr="00F23852" w:rsidRDefault="00154B04" w:rsidP="00154B04">
      <w:pPr>
        <w:rPr>
          <w:rFonts w:ascii="Arial" w:hAnsi="Arial" w:cs="Arial"/>
          <w:sz w:val="22"/>
          <w:szCs w:val="22"/>
        </w:rPr>
      </w:pPr>
    </w:p>
    <w:p w14:paraId="7EF4B039" w14:textId="44F074B4" w:rsidR="003807C8" w:rsidRDefault="00154B04" w:rsidP="000C3ECB">
      <w:pPr>
        <w:rPr>
          <w:rFonts w:ascii="Arial" w:hAnsi="Arial" w:cs="Arial"/>
          <w:sz w:val="22"/>
          <w:szCs w:val="22"/>
        </w:rPr>
      </w:pPr>
      <w:r w:rsidRPr="00F23852">
        <w:rPr>
          <w:rFonts w:ascii="Arial" w:hAnsi="Arial" w:cs="Arial"/>
          <w:i/>
          <w:iCs/>
          <w:sz w:val="22"/>
          <w:szCs w:val="22"/>
        </w:rPr>
        <w:t xml:space="preserve">Combining supervision strategies effectively: </w:t>
      </w:r>
      <w:r w:rsidRPr="00F23852">
        <w:rPr>
          <w:rFonts w:ascii="Arial" w:hAnsi="Arial" w:cs="Arial"/>
          <w:sz w:val="22"/>
          <w:szCs w:val="22"/>
        </w:rPr>
        <w:t>There is a lack of unified frameworks that integrate supervised, self-supervised, and unsupervised learning paradigms, which could improve robustness and reduce dependency on large-scale labeled datasets.</w:t>
      </w:r>
    </w:p>
    <w:p w14:paraId="1390ACA5" w14:textId="459A1A3F" w:rsidR="000C3ECB" w:rsidRDefault="008241E4" w:rsidP="008241E4">
      <w:pPr>
        <w:pStyle w:val="Heading1"/>
        <w:numPr>
          <w:ilvl w:val="0"/>
          <w:numId w:val="1"/>
        </w:numPr>
        <w:rPr>
          <w:rFonts w:ascii="Arial" w:hAnsi="Arial" w:cs="Arial"/>
          <w:color w:val="auto"/>
          <w:sz w:val="32"/>
          <w:szCs w:val="32"/>
        </w:rPr>
      </w:pPr>
      <w:r w:rsidRPr="008241E4">
        <w:rPr>
          <w:rFonts w:ascii="Arial" w:hAnsi="Arial" w:cs="Arial"/>
          <w:color w:val="auto"/>
          <w:sz w:val="32"/>
          <w:szCs w:val="32"/>
        </w:rPr>
        <w:t>Conclusion</w:t>
      </w:r>
    </w:p>
    <w:p w14:paraId="7FDB13CC" w14:textId="3457B859" w:rsidR="008241E4" w:rsidRDefault="0029044B" w:rsidP="008241E4">
      <w:pPr>
        <w:rPr>
          <w:rFonts w:ascii="Arial" w:hAnsi="Arial" w:cs="Arial"/>
          <w:sz w:val="22"/>
          <w:szCs w:val="22"/>
        </w:rPr>
      </w:pPr>
      <w:r w:rsidRPr="0029044B">
        <w:rPr>
          <w:rFonts w:ascii="Arial" w:hAnsi="Arial" w:cs="Arial"/>
          <w:sz w:val="22"/>
          <w:szCs w:val="22"/>
        </w:rPr>
        <w:t>This review traced the evolution of monocular depth estimation through four influential models, each introducing distinct innovations. While progress is clear in terms of accuracy and adaptability, challenges remain in speed, generalization, and complexity. Bridging these gaps will define the next generation of depth estimation systems.</w:t>
      </w:r>
    </w:p>
    <w:p w14:paraId="30B1571D" w14:textId="43D493FC" w:rsidR="0053528B" w:rsidRDefault="00355A51" w:rsidP="00355A51">
      <w:pPr>
        <w:pStyle w:val="Heading1"/>
        <w:numPr>
          <w:ilvl w:val="0"/>
          <w:numId w:val="1"/>
        </w:numPr>
        <w:rPr>
          <w:rFonts w:ascii="Arial" w:hAnsi="Arial" w:cs="Arial"/>
          <w:color w:val="auto"/>
          <w:sz w:val="32"/>
          <w:szCs w:val="32"/>
        </w:rPr>
      </w:pPr>
      <w:r w:rsidRPr="00355A51">
        <w:rPr>
          <w:rFonts w:ascii="Arial" w:hAnsi="Arial" w:cs="Arial"/>
          <w:color w:val="auto"/>
          <w:sz w:val="32"/>
          <w:szCs w:val="32"/>
        </w:rPr>
        <w:t>References</w:t>
      </w:r>
    </w:p>
    <w:p w14:paraId="12417DDB" w14:textId="7C5DA499" w:rsidR="00AA74B0" w:rsidRPr="00FF1D82" w:rsidRDefault="001604BF" w:rsidP="00E40B3C">
      <w:pPr>
        <w:pStyle w:val="NormalWeb"/>
        <w:numPr>
          <w:ilvl w:val="0"/>
          <w:numId w:val="18"/>
        </w:numPr>
        <w:spacing w:before="0" w:beforeAutospacing="0" w:after="240" w:afterAutospacing="0"/>
        <w:rPr>
          <w:rFonts w:ascii="Arial" w:hAnsi="Arial" w:cs="Arial"/>
          <w:sz w:val="22"/>
          <w:szCs w:val="22"/>
        </w:rPr>
      </w:pPr>
      <w:r w:rsidRPr="00FF1D82">
        <w:rPr>
          <w:rFonts w:ascii="Arial" w:hAnsi="Arial" w:cs="Arial"/>
          <w:sz w:val="22"/>
          <w:szCs w:val="22"/>
        </w:rPr>
        <w:t xml:space="preserve">C. Godard, O. Mac Aodha, M. Firman, and G. J. Brostow, "Digging Into Self-Supervised </w:t>
      </w:r>
      <w:r w:rsidR="00FF1D82" w:rsidRPr="00FF1D82">
        <w:rPr>
          <w:rFonts w:ascii="Arial" w:hAnsi="Arial" w:cs="Arial"/>
          <w:sz w:val="22"/>
          <w:szCs w:val="22"/>
        </w:rPr>
        <w:t xml:space="preserve">   </w:t>
      </w:r>
      <w:r w:rsidRPr="00FF1D82">
        <w:rPr>
          <w:rFonts w:ascii="Arial" w:hAnsi="Arial" w:cs="Arial"/>
          <w:sz w:val="22"/>
          <w:szCs w:val="22"/>
        </w:rPr>
        <w:t xml:space="preserve">Monocular Depth Estimation," in </w:t>
      </w:r>
      <w:r w:rsidRPr="00FF1D82">
        <w:rPr>
          <w:rStyle w:val="Emphasis"/>
          <w:rFonts w:ascii="Arial" w:eastAsiaTheme="majorEastAsia" w:hAnsi="Arial" w:cs="Arial"/>
          <w:sz w:val="22"/>
          <w:szCs w:val="22"/>
        </w:rPr>
        <w:t>Proc. ICCV</w:t>
      </w:r>
      <w:r w:rsidRPr="00FF1D82">
        <w:rPr>
          <w:rFonts w:ascii="Arial" w:hAnsi="Arial" w:cs="Arial"/>
          <w:sz w:val="22"/>
          <w:szCs w:val="22"/>
        </w:rPr>
        <w:t xml:space="preserve">, 2019. [Online]. Available: </w:t>
      </w:r>
      <w:hyperlink r:id="rId8" w:history="1">
        <w:r w:rsidR="00AA74B0" w:rsidRPr="00FF1D82">
          <w:rPr>
            <w:rStyle w:val="Hyperlink"/>
            <w:rFonts w:ascii="Arial" w:hAnsi="Arial" w:cs="Arial"/>
            <w:sz w:val="22"/>
            <w:szCs w:val="22"/>
          </w:rPr>
          <w:t>https://arxiv.org/abs/1806.01260</w:t>
        </w:r>
      </w:hyperlink>
    </w:p>
    <w:p w14:paraId="31EEF309" w14:textId="1B88C161" w:rsidR="009A55C2" w:rsidRPr="00FF1D82" w:rsidRDefault="001604BF" w:rsidP="00E40B3C">
      <w:pPr>
        <w:pStyle w:val="NormalWeb"/>
        <w:numPr>
          <w:ilvl w:val="0"/>
          <w:numId w:val="18"/>
        </w:numPr>
        <w:spacing w:after="240" w:afterAutospacing="0"/>
        <w:rPr>
          <w:rFonts w:ascii="Arial" w:hAnsi="Arial" w:cs="Arial"/>
          <w:sz w:val="22"/>
          <w:szCs w:val="22"/>
        </w:rPr>
      </w:pPr>
      <w:r w:rsidRPr="00FF1D82">
        <w:rPr>
          <w:rFonts w:ascii="Arial" w:hAnsi="Arial" w:cs="Arial"/>
          <w:sz w:val="22"/>
          <w:szCs w:val="22"/>
        </w:rPr>
        <w:t xml:space="preserve">S. F. Bhat, I. Alhashim, and P. Wonka, "AdaBins: Depth Estimation using Adaptive Bins," in </w:t>
      </w:r>
      <w:r w:rsidRPr="00FF1D82">
        <w:rPr>
          <w:rStyle w:val="Emphasis"/>
          <w:rFonts w:ascii="Arial" w:eastAsiaTheme="majorEastAsia" w:hAnsi="Arial" w:cs="Arial"/>
          <w:sz w:val="22"/>
          <w:szCs w:val="22"/>
        </w:rPr>
        <w:t>Proc. CVPR</w:t>
      </w:r>
      <w:r w:rsidRPr="00FF1D82">
        <w:rPr>
          <w:rFonts w:ascii="Arial" w:hAnsi="Arial" w:cs="Arial"/>
          <w:sz w:val="22"/>
          <w:szCs w:val="22"/>
        </w:rPr>
        <w:t xml:space="preserve">, 2021. [Online]. Available: </w:t>
      </w:r>
      <w:hyperlink r:id="rId9" w:history="1">
        <w:r w:rsidR="00AA74B0" w:rsidRPr="00FF1D82">
          <w:rPr>
            <w:rStyle w:val="Hyperlink"/>
            <w:rFonts w:ascii="Arial" w:hAnsi="Arial" w:cs="Arial"/>
            <w:sz w:val="22"/>
            <w:szCs w:val="22"/>
          </w:rPr>
          <w:t>https://arxiv.org/abs/2011.14141</w:t>
        </w:r>
      </w:hyperlink>
    </w:p>
    <w:p w14:paraId="0A117F5F" w14:textId="3757AF51" w:rsidR="00424EF1" w:rsidRPr="00FF1D82" w:rsidRDefault="001604BF" w:rsidP="00E40B3C">
      <w:pPr>
        <w:pStyle w:val="NormalWeb"/>
        <w:numPr>
          <w:ilvl w:val="0"/>
          <w:numId w:val="18"/>
        </w:numPr>
        <w:spacing w:before="0" w:beforeAutospacing="0" w:after="240" w:afterAutospacing="0"/>
        <w:rPr>
          <w:rFonts w:ascii="Arial" w:hAnsi="Arial" w:cs="Arial"/>
          <w:sz w:val="22"/>
          <w:szCs w:val="22"/>
        </w:rPr>
      </w:pPr>
      <w:r w:rsidRPr="00FF1D82">
        <w:rPr>
          <w:rFonts w:ascii="Arial" w:hAnsi="Arial" w:cs="Arial"/>
          <w:sz w:val="22"/>
          <w:szCs w:val="22"/>
        </w:rPr>
        <w:t xml:space="preserve">Z. Li, X. Wang, X. Liu, and J. Jiang, "BinsFormer: Revisiting Adaptive Bins for Monocular Depth Estimation," </w:t>
      </w:r>
      <w:r w:rsidRPr="00FF1D82">
        <w:rPr>
          <w:rStyle w:val="Emphasis"/>
          <w:rFonts w:ascii="Arial" w:eastAsiaTheme="majorEastAsia" w:hAnsi="Arial" w:cs="Arial"/>
          <w:sz w:val="22"/>
          <w:szCs w:val="22"/>
        </w:rPr>
        <w:t>arXiv preprint</w:t>
      </w:r>
      <w:r w:rsidRPr="00FF1D82">
        <w:rPr>
          <w:rFonts w:ascii="Arial" w:hAnsi="Arial" w:cs="Arial"/>
          <w:sz w:val="22"/>
          <w:szCs w:val="22"/>
        </w:rPr>
        <w:t xml:space="preserve">, 2022. [Online]. Available: </w:t>
      </w:r>
      <w:hyperlink r:id="rId10" w:history="1">
        <w:r w:rsidR="00AA74B0" w:rsidRPr="00FF1D82">
          <w:rPr>
            <w:rStyle w:val="Hyperlink"/>
            <w:rFonts w:ascii="Arial" w:hAnsi="Arial" w:cs="Arial"/>
            <w:sz w:val="22"/>
            <w:szCs w:val="22"/>
          </w:rPr>
          <w:t>https://arxiv.org/abs/2204.00987</w:t>
        </w:r>
      </w:hyperlink>
    </w:p>
    <w:p w14:paraId="4D478A82" w14:textId="0FF50D37" w:rsidR="00355A51" w:rsidRPr="00FF1D82" w:rsidRDefault="001604BF" w:rsidP="00A8781B">
      <w:pPr>
        <w:pStyle w:val="NormalWeb"/>
        <w:numPr>
          <w:ilvl w:val="0"/>
          <w:numId w:val="18"/>
        </w:numPr>
        <w:rPr>
          <w:rFonts w:ascii="Arial" w:hAnsi="Arial" w:cs="Arial"/>
          <w:sz w:val="22"/>
          <w:szCs w:val="22"/>
        </w:rPr>
      </w:pPr>
      <w:r w:rsidRPr="00FF1D82">
        <w:rPr>
          <w:rFonts w:ascii="Arial" w:hAnsi="Arial" w:cs="Arial"/>
          <w:sz w:val="22"/>
          <w:szCs w:val="22"/>
        </w:rPr>
        <w:t xml:space="preserve">K. Zhou et al., "ManyDepth2: Motion-Aware Self-Supervised Multi-Frame Monocular Depth Estimation in Dynamic Scenes," </w:t>
      </w:r>
      <w:r w:rsidRPr="00FF1D82">
        <w:rPr>
          <w:rStyle w:val="Emphasis"/>
          <w:rFonts w:ascii="Arial" w:eastAsiaTheme="majorEastAsia" w:hAnsi="Arial" w:cs="Arial"/>
          <w:sz w:val="22"/>
          <w:szCs w:val="22"/>
        </w:rPr>
        <w:t>arXiv preprint</w:t>
      </w:r>
      <w:r w:rsidRPr="00FF1D82">
        <w:rPr>
          <w:rFonts w:ascii="Arial" w:hAnsi="Arial" w:cs="Arial"/>
          <w:sz w:val="22"/>
          <w:szCs w:val="22"/>
        </w:rPr>
        <w:t xml:space="preserve">, 2023. [Online]. Available: </w:t>
      </w:r>
      <w:hyperlink r:id="rId11" w:history="1">
        <w:r w:rsidR="002A09C3" w:rsidRPr="00FF1D82">
          <w:rPr>
            <w:rStyle w:val="Hyperlink"/>
            <w:rFonts w:ascii="Arial" w:hAnsi="Arial" w:cs="Arial"/>
            <w:sz w:val="22"/>
            <w:szCs w:val="22"/>
          </w:rPr>
          <w:t>https://arxiv.org/abs/2312.15268</w:t>
        </w:r>
      </w:hyperlink>
    </w:p>
    <w:sectPr w:rsidR="00355A51" w:rsidRPr="00FF1D8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8EDB5" w14:textId="77777777" w:rsidR="00A329BB" w:rsidRDefault="00A329BB" w:rsidP="003A76DC">
      <w:pPr>
        <w:spacing w:after="0" w:line="240" w:lineRule="auto"/>
      </w:pPr>
      <w:r>
        <w:separator/>
      </w:r>
    </w:p>
  </w:endnote>
  <w:endnote w:type="continuationSeparator" w:id="0">
    <w:p w14:paraId="671C4611" w14:textId="77777777" w:rsidR="00A329BB" w:rsidRDefault="00A329BB" w:rsidP="003A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2259025"/>
      <w:docPartObj>
        <w:docPartGallery w:val="Page Numbers (Bottom of Page)"/>
        <w:docPartUnique/>
      </w:docPartObj>
    </w:sdtPr>
    <w:sdtEndPr>
      <w:rPr>
        <w:noProof/>
      </w:rPr>
    </w:sdtEndPr>
    <w:sdtContent>
      <w:p w14:paraId="066210FC" w14:textId="33C54967" w:rsidR="003A76DC" w:rsidRDefault="003A76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06286" w14:textId="77777777" w:rsidR="003A76DC" w:rsidRDefault="003A7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B7F6E" w14:textId="77777777" w:rsidR="00A329BB" w:rsidRDefault="00A329BB" w:rsidP="003A76DC">
      <w:pPr>
        <w:spacing w:after="0" w:line="240" w:lineRule="auto"/>
      </w:pPr>
      <w:r>
        <w:separator/>
      </w:r>
    </w:p>
  </w:footnote>
  <w:footnote w:type="continuationSeparator" w:id="0">
    <w:p w14:paraId="5354EC2D" w14:textId="77777777" w:rsidR="00A329BB" w:rsidRDefault="00A329BB" w:rsidP="003A7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1E5"/>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5B230A1"/>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89328B1"/>
    <w:multiLevelType w:val="hybridMultilevel"/>
    <w:tmpl w:val="74742978"/>
    <w:lvl w:ilvl="0" w:tplc="C5C49042">
      <w:start w:val="1"/>
      <w:numFmt w:val="decimal"/>
      <w:lvlText w:val="[%1]"/>
      <w:lvlJc w:val="left"/>
      <w:pPr>
        <w:ind w:left="360" w:hanging="360"/>
      </w:pPr>
      <w:rPr>
        <w:rFonts w:ascii="Arial" w:hAnsi="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133380"/>
    <w:multiLevelType w:val="multilevel"/>
    <w:tmpl w:val="DE3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4BC"/>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211433AE"/>
    <w:multiLevelType w:val="multilevel"/>
    <w:tmpl w:val="8D1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646E"/>
    <w:multiLevelType w:val="multilevel"/>
    <w:tmpl w:val="3E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E4A55"/>
    <w:multiLevelType w:val="multilevel"/>
    <w:tmpl w:val="B9E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D6E83"/>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9" w15:restartNumberingAfterBreak="0">
    <w:nsid w:val="2D7F1D96"/>
    <w:multiLevelType w:val="hybridMultilevel"/>
    <w:tmpl w:val="973C6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9B2698"/>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1" w15:restartNumberingAfterBreak="0">
    <w:nsid w:val="38752FDA"/>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2" w15:restartNumberingAfterBreak="0">
    <w:nsid w:val="46115050"/>
    <w:multiLevelType w:val="multilevel"/>
    <w:tmpl w:val="3198E0C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13" w15:restartNumberingAfterBreak="0">
    <w:nsid w:val="46306578"/>
    <w:multiLevelType w:val="multilevel"/>
    <w:tmpl w:val="E71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A25F1"/>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5" w15:restartNumberingAfterBreak="0">
    <w:nsid w:val="71EB0D52"/>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6" w15:restartNumberingAfterBreak="0">
    <w:nsid w:val="7C8E3468"/>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7F3A1851"/>
    <w:multiLevelType w:val="multilevel"/>
    <w:tmpl w:val="0C8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4461">
    <w:abstractNumId w:val="12"/>
  </w:num>
  <w:num w:numId="2" w16cid:durableId="1725903940">
    <w:abstractNumId w:val="17"/>
  </w:num>
  <w:num w:numId="3" w16cid:durableId="1821649740">
    <w:abstractNumId w:val="9"/>
  </w:num>
  <w:num w:numId="4" w16cid:durableId="1227448661">
    <w:abstractNumId w:val="13"/>
  </w:num>
  <w:num w:numId="5" w16cid:durableId="1037857317">
    <w:abstractNumId w:val="6"/>
  </w:num>
  <w:num w:numId="6" w16cid:durableId="1721512426">
    <w:abstractNumId w:val="4"/>
  </w:num>
  <w:num w:numId="7" w16cid:durableId="289477468">
    <w:abstractNumId w:val="7"/>
  </w:num>
  <w:num w:numId="8" w16cid:durableId="625502861">
    <w:abstractNumId w:val="14"/>
  </w:num>
  <w:num w:numId="9" w16cid:durableId="577903637">
    <w:abstractNumId w:val="1"/>
  </w:num>
  <w:num w:numId="10" w16cid:durableId="71120137">
    <w:abstractNumId w:val="5"/>
  </w:num>
  <w:num w:numId="11" w16cid:durableId="987132990">
    <w:abstractNumId w:val="3"/>
  </w:num>
  <w:num w:numId="12" w16cid:durableId="434667469">
    <w:abstractNumId w:val="8"/>
  </w:num>
  <w:num w:numId="13" w16cid:durableId="725253689">
    <w:abstractNumId w:val="10"/>
  </w:num>
  <w:num w:numId="14" w16cid:durableId="919867756">
    <w:abstractNumId w:val="16"/>
  </w:num>
  <w:num w:numId="15" w16cid:durableId="348994228">
    <w:abstractNumId w:val="11"/>
  </w:num>
  <w:num w:numId="16" w16cid:durableId="1743676529">
    <w:abstractNumId w:val="0"/>
  </w:num>
  <w:num w:numId="17" w16cid:durableId="748581401">
    <w:abstractNumId w:val="15"/>
  </w:num>
  <w:num w:numId="18" w16cid:durableId="188779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0F"/>
    <w:rsid w:val="00032FF2"/>
    <w:rsid w:val="00067224"/>
    <w:rsid w:val="000A703E"/>
    <w:rsid w:val="000B78C7"/>
    <w:rsid w:val="000C3ECB"/>
    <w:rsid w:val="000D0A5B"/>
    <w:rsid w:val="000E0170"/>
    <w:rsid w:val="000F7663"/>
    <w:rsid w:val="00114358"/>
    <w:rsid w:val="0012326E"/>
    <w:rsid w:val="00154B04"/>
    <w:rsid w:val="0015669C"/>
    <w:rsid w:val="001604BF"/>
    <w:rsid w:val="001A113E"/>
    <w:rsid w:val="001C5DA1"/>
    <w:rsid w:val="001E3773"/>
    <w:rsid w:val="00207DFC"/>
    <w:rsid w:val="00237E34"/>
    <w:rsid w:val="00242E14"/>
    <w:rsid w:val="00243502"/>
    <w:rsid w:val="002640CB"/>
    <w:rsid w:val="002763E1"/>
    <w:rsid w:val="0029044B"/>
    <w:rsid w:val="0029241F"/>
    <w:rsid w:val="002A09C3"/>
    <w:rsid w:val="002A4A2B"/>
    <w:rsid w:val="002B4090"/>
    <w:rsid w:val="002D16B0"/>
    <w:rsid w:val="003204CE"/>
    <w:rsid w:val="00342096"/>
    <w:rsid w:val="00355A51"/>
    <w:rsid w:val="003807C8"/>
    <w:rsid w:val="003A76DC"/>
    <w:rsid w:val="003D0652"/>
    <w:rsid w:val="003D67F6"/>
    <w:rsid w:val="003F0B91"/>
    <w:rsid w:val="00400E67"/>
    <w:rsid w:val="0042235C"/>
    <w:rsid w:val="00424EF1"/>
    <w:rsid w:val="0043137F"/>
    <w:rsid w:val="00454747"/>
    <w:rsid w:val="00466B70"/>
    <w:rsid w:val="004C2EC5"/>
    <w:rsid w:val="00506926"/>
    <w:rsid w:val="0053528B"/>
    <w:rsid w:val="00556B5C"/>
    <w:rsid w:val="00582DB9"/>
    <w:rsid w:val="005E5E6D"/>
    <w:rsid w:val="005F4C74"/>
    <w:rsid w:val="00602E47"/>
    <w:rsid w:val="0062299F"/>
    <w:rsid w:val="006735E3"/>
    <w:rsid w:val="006D0AE8"/>
    <w:rsid w:val="006D7A1A"/>
    <w:rsid w:val="00736A98"/>
    <w:rsid w:val="00741759"/>
    <w:rsid w:val="007634C9"/>
    <w:rsid w:val="00797951"/>
    <w:rsid w:val="007A1C92"/>
    <w:rsid w:val="007A32B7"/>
    <w:rsid w:val="007C5D0F"/>
    <w:rsid w:val="007D0311"/>
    <w:rsid w:val="007D58CB"/>
    <w:rsid w:val="007F17C4"/>
    <w:rsid w:val="008241E4"/>
    <w:rsid w:val="00832AA2"/>
    <w:rsid w:val="00853076"/>
    <w:rsid w:val="008718C4"/>
    <w:rsid w:val="008A26EE"/>
    <w:rsid w:val="008B6FAB"/>
    <w:rsid w:val="008C4E86"/>
    <w:rsid w:val="008D6C27"/>
    <w:rsid w:val="008E641C"/>
    <w:rsid w:val="00917F82"/>
    <w:rsid w:val="00923B6D"/>
    <w:rsid w:val="00932CF7"/>
    <w:rsid w:val="009621B3"/>
    <w:rsid w:val="009650DC"/>
    <w:rsid w:val="009A55C2"/>
    <w:rsid w:val="00A27566"/>
    <w:rsid w:val="00A2769E"/>
    <w:rsid w:val="00A329BB"/>
    <w:rsid w:val="00A32B91"/>
    <w:rsid w:val="00A8781B"/>
    <w:rsid w:val="00A90EB2"/>
    <w:rsid w:val="00AA74B0"/>
    <w:rsid w:val="00AB0C3F"/>
    <w:rsid w:val="00AC0396"/>
    <w:rsid w:val="00B11907"/>
    <w:rsid w:val="00B23BE1"/>
    <w:rsid w:val="00B2698D"/>
    <w:rsid w:val="00B63B73"/>
    <w:rsid w:val="00B82FBD"/>
    <w:rsid w:val="00B96BFC"/>
    <w:rsid w:val="00BC46ED"/>
    <w:rsid w:val="00BC7E5E"/>
    <w:rsid w:val="00BE464A"/>
    <w:rsid w:val="00C06F42"/>
    <w:rsid w:val="00C257A0"/>
    <w:rsid w:val="00C45FD8"/>
    <w:rsid w:val="00C63EFC"/>
    <w:rsid w:val="00C86CCF"/>
    <w:rsid w:val="00CA51EB"/>
    <w:rsid w:val="00CD3532"/>
    <w:rsid w:val="00CE6004"/>
    <w:rsid w:val="00CF221A"/>
    <w:rsid w:val="00D535E1"/>
    <w:rsid w:val="00D91084"/>
    <w:rsid w:val="00DB553E"/>
    <w:rsid w:val="00DE3E70"/>
    <w:rsid w:val="00DF0861"/>
    <w:rsid w:val="00E03E9F"/>
    <w:rsid w:val="00E27F89"/>
    <w:rsid w:val="00E40B3C"/>
    <w:rsid w:val="00E51907"/>
    <w:rsid w:val="00E624F1"/>
    <w:rsid w:val="00EA48E7"/>
    <w:rsid w:val="00EC663F"/>
    <w:rsid w:val="00ED2256"/>
    <w:rsid w:val="00EE6E2E"/>
    <w:rsid w:val="00F23852"/>
    <w:rsid w:val="00F3052C"/>
    <w:rsid w:val="00F66E20"/>
    <w:rsid w:val="00FC2070"/>
    <w:rsid w:val="00FD189B"/>
    <w:rsid w:val="00FD4393"/>
    <w:rsid w:val="00FF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DB3B"/>
  <w15:chartTrackingRefBased/>
  <w15:docId w15:val="{AB10AAE4-80AA-44B1-98A8-AC18F49A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D0F"/>
    <w:rPr>
      <w:rFonts w:eastAsiaTheme="majorEastAsia" w:cstheme="majorBidi"/>
      <w:color w:val="272727" w:themeColor="text1" w:themeTint="D8"/>
    </w:rPr>
  </w:style>
  <w:style w:type="paragraph" w:styleId="Title">
    <w:name w:val="Title"/>
    <w:basedOn w:val="Normal"/>
    <w:next w:val="Normal"/>
    <w:link w:val="TitleChar"/>
    <w:uiPriority w:val="10"/>
    <w:qFormat/>
    <w:rsid w:val="007C5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D0F"/>
    <w:pPr>
      <w:spacing w:before="160"/>
      <w:jc w:val="center"/>
    </w:pPr>
    <w:rPr>
      <w:i/>
      <w:iCs/>
      <w:color w:val="404040" w:themeColor="text1" w:themeTint="BF"/>
    </w:rPr>
  </w:style>
  <w:style w:type="character" w:customStyle="1" w:styleId="QuoteChar">
    <w:name w:val="Quote Char"/>
    <w:basedOn w:val="DefaultParagraphFont"/>
    <w:link w:val="Quote"/>
    <w:uiPriority w:val="29"/>
    <w:rsid w:val="007C5D0F"/>
    <w:rPr>
      <w:i/>
      <w:iCs/>
      <w:color w:val="404040" w:themeColor="text1" w:themeTint="BF"/>
    </w:rPr>
  </w:style>
  <w:style w:type="paragraph" w:styleId="ListParagraph">
    <w:name w:val="List Paragraph"/>
    <w:basedOn w:val="Normal"/>
    <w:uiPriority w:val="34"/>
    <w:qFormat/>
    <w:rsid w:val="007C5D0F"/>
    <w:pPr>
      <w:ind w:left="720"/>
      <w:contextualSpacing/>
    </w:pPr>
  </w:style>
  <w:style w:type="character" w:styleId="IntenseEmphasis">
    <w:name w:val="Intense Emphasis"/>
    <w:basedOn w:val="DefaultParagraphFont"/>
    <w:uiPriority w:val="21"/>
    <w:qFormat/>
    <w:rsid w:val="007C5D0F"/>
    <w:rPr>
      <w:i/>
      <w:iCs/>
      <w:color w:val="0F4761" w:themeColor="accent1" w:themeShade="BF"/>
    </w:rPr>
  </w:style>
  <w:style w:type="paragraph" w:styleId="IntenseQuote">
    <w:name w:val="Intense Quote"/>
    <w:basedOn w:val="Normal"/>
    <w:next w:val="Normal"/>
    <w:link w:val="IntenseQuoteChar"/>
    <w:uiPriority w:val="30"/>
    <w:qFormat/>
    <w:rsid w:val="007C5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D0F"/>
    <w:rPr>
      <w:i/>
      <w:iCs/>
      <w:color w:val="0F4761" w:themeColor="accent1" w:themeShade="BF"/>
    </w:rPr>
  </w:style>
  <w:style w:type="character" w:styleId="IntenseReference">
    <w:name w:val="Intense Reference"/>
    <w:basedOn w:val="DefaultParagraphFont"/>
    <w:uiPriority w:val="32"/>
    <w:qFormat/>
    <w:rsid w:val="007C5D0F"/>
    <w:rPr>
      <w:b/>
      <w:bCs/>
      <w:smallCaps/>
      <w:color w:val="0F4761" w:themeColor="accent1" w:themeShade="BF"/>
      <w:spacing w:val="5"/>
    </w:rPr>
  </w:style>
  <w:style w:type="character" w:styleId="Hyperlink">
    <w:name w:val="Hyperlink"/>
    <w:basedOn w:val="DefaultParagraphFont"/>
    <w:uiPriority w:val="99"/>
    <w:unhideWhenUsed/>
    <w:rsid w:val="00A32B91"/>
    <w:rPr>
      <w:color w:val="467886" w:themeColor="hyperlink"/>
      <w:u w:val="single"/>
    </w:rPr>
  </w:style>
  <w:style w:type="character" w:styleId="UnresolvedMention">
    <w:name w:val="Unresolved Mention"/>
    <w:basedOn w:val="DefaultParagraphFont"/>
    <w:uiPriority w:val="99"/>
    <w:semiHidden/>
    <w:unhideWhenUsed/>
    <w:rsid w:val="00A32B91"/>
    <w:rPr>
      <w:color w:val="605E5C"/>
      <w:shd w:val="clear" w:color="auto" w:fill="E1DFDD"/>
    </w:rPr>
  </w:style>
  <w:style w:type="paragraph" w:styleId="NormalWeb">
    <w:name w:val="Normal (Web)"/>
    <w:basedOn w:val="Normal"/>
    <w:uiPriority w:val="99"/>
    <w:unhideWhenUsed/>
    <w:rsid w:val="000A703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8E641C"/>
    <w:rPr>
      <w:i/>
      <w:iCs/>
    </w:rPr>
  </w:style>
  <w:style w:type="table" w:styleId="PlainTable3">
    <w:name w:val="Plain Table 3"/>
    <w:basedOn w:val="TableNormal"/>
    <w:uiPriority w:val="43"/>
    <w:rsid w:val="003420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A7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6DC"/>
  </w:style>
  <w:style w:type="paragraph" w:styleId="Footer">
    <w:name w:val="footer"/>
    <w:basedOn w:val="Normal"/>
    <w:link w:val="FooterChar"/>
    <w:uiPriority w:val="99"/>
    <w:unhideWhenUsed/>
    <w:rsid w:val="003A7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325">
      <w:bodyDiv w:val="1"/>
      <w:marLeft w:val="0"/>
      <w:marRight w:val="0"/>
      <w:marTop w:val="0"/>
      <w:marBottom w:val="0"/>
      <w:divBdr>
        <w:top w:val="none" w:sz="0" w:space="0" w:color="auto"/>
        <w:left w:val="none" w:sz="0" w:space="0" w:color="auto"/>
        <w:bottom w:val="none" w:sz="0" w:space="0" w:color="auto"/>
        <w:right w:val="none" w:sz="0" w:space="0" w:color="auto"/>
      </w:divBdr>
    </w:div>
    <w:div w:id="26495404">
      <w:bodyDiv w:val="1"/>
      <w:marLeft w:val="0"/>
      <w:marRight w:val="0"/>
      <w:marTop w:val="0"/>
      <w:marBottom w:val="0"/>
      <w:divBdr>
        <w:top w:val="none" w:sz="0" w:space="0" w:color="auto"/>
        <w:left w:val="none" w:sz="0" w:space="0" w:color="auto"/>
        <w:bottom w:val="none" w:sz="0" w:space="0" w:color="auto"/>
        <w:right w:val="none" w:sz="0" w:space="0" w:color="auto"/>
      </w:divBdr>
    </w:div>
    <w:div w:id="41561629">
      <w:bodyDiv w:val="1"/>
      <w:marLeft w:val="0"/>
      <w:marRight w:val="0"/>
      <w:marTop w:val="0"/>
      <w:marBottom w:val="0"/>
      <w:divBdr>
        <w:top w:val="none" w:sz="0" w:space="0" w:color="auto"/>
        <w:left w:val="none" w:sz="0" w:space="0" w:color="auto"/>
        <w:bottom w:val="none" w:sz="0" w:space="0" w:color="auto"/>
        <w:right w:val="none" w:sz="0" w:space="0" w:color="auto"/>
      </w:divBdr>
    </w:div>
    <w:div w:id="71974809">
      <w:bodyDiv w:val="1"/>
      <w:marLeft w:val="0"/>
      <w:marRight w:val="0"/>
      <w:marTop w:val="0"/>
      <w:marBottom w:val="0"/>
      <w:divBdr>
        <w:top w:val="none" w:sz="0" w:space="0" w:color="auto"/>
        <w:left w:val="none" w:sz="0" w:space="0" w:color="auto"/>
        <w:bottom w:val="none" w:sz="0" w:space="0" w:color="auto"/>
        <w:right w:val="none" w:sz="0" w:space="0" w:color="auto"/>
      </w:divBdr>
    </w:div>
    <w:div w:id="72894873">
      <w:bodyDiv w:val="1"/>
      <w:marLeft w:val="0"/>
      <w:marRight w:val="0"/>
      <w:marTop w:val="0"/>
      <w:marBottom w:val="0"/>
      <w:divBdr>
        <w:top w:val="none" w:sz="0" w:space="0" w:color="auto"/>
        <w:left w:val="none" w:sz="0" w:space="0" w:color="auto"/>
        <w:bottom w:val="none" w:sz="0" w:space="0" w:color="auto"/>
        <w:right w:val="none" w:sz="0" w:space="0" w:color="auto"/>
      </w:divBdr>
    </w:div>
    <w:div w:id="186482677">
      <w:bodyDiv w:val="1"/>
      <w:marLeft w:val="0"/>
      <w:marRight w:val="0"/>
      <w:marTop w:val="0"/>
      <w:marBottom w:val="0"/>
      <w:divBdr>
        <w:top w:val="none" w:sz="0" w:space="0" w:color="auto"/>
        <w:left w:val="none" w:sz="0" w:space="0" w:color="auto"/>
        <w:bottom w:val="none" w:sz="0" w:space="0" w:color="auto"/>
        <w:right w:val="none" w:sz="0" w:space="0" w:color="auto"/>
      </w:divBdr>
    </w:div>
    <w:div w:id="228613532">
      <w:bodyDiv w:val="1"/>
      <w:marLeft w:val="0"/>
      <w:marRight w:val="0"/>
      <w:marTop w:val="0"/>
      <w:marBottom w:val="0"/>
      <w:divBdr>
        <w:top w:val="none" w:sz="0" w:space="0" w:color="auto"/>
        <w:left w:val="none" w:sz="0" w:space="0" w:color="auto"/>
        <w:bottom w:val="none" w:sz="0" w:space="0" w:color="auto"/>
        <w:right w:val="none" w:sz="0" w:space="0" w:color="auto"/>
      </w:divBdr>
    </w:div>
    <w:div w:id="285625659">
      <w:bodyDiv w:val="1"/>
      <w:marLeft w:val="0"/>
      <w:marRight w:val="0"/>
      <w:marTop w:val="0"/>
      <w:marBottom w:val="0"/>
      <w:divBdr>
        <w:top w:val="none" w:sz="0" w:space="0" w:color="auto"/>
        <w:left w:val="none" w:sz="0" w:space="0" w:color="auto"/>
        <w:bottom w:val="none" w:sz="0" w:space="0" w:color="auto"/>
        <w:right w:val="none" w:sz="0" w:space="0" w:color="auto"/>
      </w:divBdr>
    </w:div>
    <w:div w:id="307560885">
      <w:bodyDiv w:val="1"/>
      <w:marLeft w:val="0"/>
      <w:marRight w:val="0"/>
      <w:marTop w:val="0"/>
      <w:marBottom w:val="0"/>
      <w:divBdr>
        <w:top w:val="none" w:sz="0" w:space="0" w:color="auto"/>
        <w:left w:val="none" w:sz="0" w:space="0" w:color="auto"/>
        <w:bottom w:val="none" w:sz="0" w:space="0" w:color="auto"/>
        <w:right w:val="none" w:sz="0" w:space="0" w:color="auto"/>
      </w:divBdr>
    </w:div>
    <w:div w:id="313148736">
      <w:bodyDiv w:val="1"/>
      <w:marLeft w:val="0"/>
      <w:marRight w:val="0"/>
      <w:marTop w:val="0"/>
      <w:marBottom w:val="0"/>
      <w:divBdr>
        <w:top w:val="none" w:sz="0" w:space="0" w:color="auto"/>
        <w:left w:val="none" w:sz="0" w:space="0" w:color="auto"/>
        <w:bottom w:val="none" w:sz="0" w:space="0" w:color="auto"/>
        <w:right w:val="none" w:sz="0" w:space="0" w:color="auto"/>
      </w:divBdr>
    </w:div>
    <w:div w:id="350032785">
      <w:bodyDiv w:val="1"/>
      <w:marLeft w:val="0"/>
      <w:marRight w:val="0"/>
      <w:marTop w:val="0"/>
      <w:marBottom w:val="0"/>
      <w:divBdr>
        <w:top w:val="none" w:sz="0" w:space="0" w:color="auto"/>
        <w:left w:val="none" w:sz="0" w:space="0" w:color="auto"/>
        <w:bottom w:val="none" w:sz="0" w:space="0" w:color="auto"/>
        <w:right w:val="none" w:sz="0" w:space="0" w:color="auto"/>
      </w:divBdr>
    </w:div>
    <w:div w:id="356466774">
      <w:bodyDiv w:val="1"/>
      <w:marLeft w:val="0"/>
      <w:marRight w:val="0"/>
      <w:marTop w:val="0"/>
      <w:marBottom w:val="0"/>
      <w:divBdr>
        <w:top w:val="none" w:sz="0" w:space="0" w:color="auto"/>
        <w:left w:val="none" w:sz="0" w:space="0" w:color="auto"/>
        <w:bottom w:val="none" w:sz="0" w:space="0" w:color="auto"/>
        <w:right w:val="none" w:sz="0" w:space="0" w:color="auto"/>
      </w:divBdr>
    </w:div>
    <w:div w:id="503545484">
      <w:bodyDiv w:val="1"/>
      <w:marLeft w:val="0"/>
      <w:marRight w:val="0"/>
      <w:marTop w:val="0"/>
      <w:marBottom w:val="0"/>
      <w:divBdr>
        <w:top w:val="none" w:sz="0" w:space="0" w:color="auto"/>
        <w:left w:val="none" w:sz="0" w:space="0" w:color="auto"/>
        <w:bottom w:val="none" w:sz="0" w:space="0" w:color="auto"/>
        <w:right w:val="none" w:sz="0" w:space="0" w:color="auto"/>
      </w:divBdr>
    </w:div>
    <w:div w:id="563176301">
      <w:bodyDiv w:val="1"/>
      <w:marLeft w:val="0"/>
      <w:marRight w:val="0"/>
      <w:marTop w:val="0"/>
      <w:marBottom w:val="0"/>
      <w:divBdr>
        <w:top w:val="none" w:sz="0" w:space="0" w:color="auto"/>
        <w:left w:val="none" w:sz="0" w:space="0" w:color="auto"/>
        <w:bottom w:val="none" w:sz="0" w:space="0" w:color="auto"/>
        <w:right w:val="none" w:sz="0" w:space="0" w:color="auto"/>
      </w:divBdr>
    </w:div>
    <w:div w:id="606428980">
      <w:bodyDiv w:val="1"/>
      <w:marLeft w:val="0"/>
      <w:marRight w:val="0"/>
      <w:marTop w:val="0"/>
      <w:marBottom w:val="0"/>
      <w:divBdr>
        <w:top w:val="none" w:sz="0" w:space="0" w:color="auto"/>
        <w:left w:val="none" w:sz="0" w:space="0" w:color="auto"/>
        <w:bottom w:val="none" w:sz="0" w:space="0" w:color="auto"/>
        <w:right w:val="none" w:sz="0" w:space="0" w:color="auto"/>
      </w:divBdr>
    </w:div>
    <w:div w:id="677468245">
      <w:bodyDiv w:val="1"/>
      <w:marLeft w:val="0"/>
      <w:marRight w:val="0"/>
      <w:marTop w:val="0"/>
      <w:marBottom w:val="0"/>
      <w:divBdr>
        <w:top w:val="none" w:sz="0" w:space="0" w:color="auto"/>
        <w:left w:val="none" w:sz="0" w:space="0" w:color="auto"/>
        <w:bottom w:val="none" w:sz="0" w:space="0" w:color="auto"/>
        <w:right w:val="none" w:sz="0" w:space="0" w:color="auto"/>
      </w:divBdr>
    </w:div>
    <w:div w:id="875235917">
      <w:bodyDiv w:val="1"/>
      <w:marLeft w:val="0"/>
      <w:marRight w:val="0"/>
      <w:marTop w:val="0"/>
      <w:marBottom w:val="0"/>
      <w:divBdr>
        <w:top w:val="none" w:sz="0" w:space="0" w:color="auto"/>
        <w:left w:val="none" w:sz="0" w:space="0" w:color="auto"/>
        <w:bottom w:val="none" w:sz="0" w:space="0" w:color="auto"/>
        <w:right w:val="none" w:sz="0" w:space="0" w:color="auto"/>
      </w:divBdr>
    </w:div>
    <w:div w:id="925383381">
      <w:bodyDiv w:val="1"/>
      <w:marLeft w:val="0"/>
      <w:marRight w:val="0"/>
      <w:marTop w:val="0"/>
      <w:marBottom w:val="0"/>
      <w:divBdr>
        <w:top w:val="none" w:sz="0" w:space="0" w:color="auto"/>
        <w:left w:val="none" w:sz="0" w:space="0" w:color="auto"/>
        <w:bottom w:val="none" w:sz="0" w:space="0" w:color="auto"/>
        <w:right w:val="none" w:sz="0" w:space="0" w:color="auto"/>
      </w:divBdr>
    </w:div>
    <w:div w:id="946158029">
      <w:bodyDiv w:val="1"/>
      <w:marLeft w:val="0"/>
      <w:marRight w:val="0"/>
      <w:marTop w:val="0"/>
      <w:marBottom w:val="0"/>
      <w:divBdr>
        <w:top w:val="none" w:sz="0" w:space="0" w:color="auto"/>
        <w:left w:val="none" w:sz="0" w:space="0" w:color="auto"/>
        <w:bottom w:val="none" w:sz="0" w:space="0" w:color="auto"/>
        <w:right w:val="none" w:sz="0" w:space="0" w:color="auto"/>
      </w:divBdr>
    </w:div>
    <w:div w:id="957837238">
      <w:bodyDiv w:val="1"/>
      <w:marLeft w:val="0"/>
      <w:marRight w:val="0"/>
      <w:marTop w:val="0"/>
      <w:marBottom w:val="0"/>
      <w:divBdr>
        <w:top w:val="none" w:sz="0" w:space="0" w:color="auto"/>
        <w:left w:val="none" w:sz="0" w:space="0" w:color="auto"/>
        <w:bottom w:val="none" w:sz="0" w:space="0" w:color="auto"/>
        <w:right w:val="none" w:sz="0" w:space="0" w:color="auto"/>
      </w:divBdr>
    </w:div>
    <w:div w:id="1025331400">
      <w:bodyDiv w:val="1"/>
      <w:marLeft w:val="0"/>
      <w:marRight w:val="0"/>
      <w:marTop w:val="0"/>
      <w:marBottom w:val="0"/>
      <w:divBdr>
        <w:top w:val="none" w:sz="0" w:space="0" w:color="auto"/>
        <w:left w:val="none" w:sz="0" w:space="0" w:color="auto"/>
        <w:bottom w:val="none" w:sz="0" w:space="0" w:color="auto"/>
        <w:right w:val="none" w:sz="0" w:space="0" w:color="auto"/>
      </w:divBdr>
    </w:div>
    <w:div w:id="1090196220">
      <w:bodyDiv w:val="1"/>
      <w:marLeft w:val="0"/>
      <w:marRight w:val="0"/>
      <w:marTop w:val="0"/>
      <w:marBottom w:val="0"/>
      <w:divBdr>
        <w:top w:val="none" w:sz="0" w:space="0" w:color="auto"/>
        <w:left w:val="none" w:sz="0" w:space="0" w:color="auto"/>
        <w:bottom w:val="none" w:sz="0" w:space="0" w:color="auto"/>
        <w:right w:val="none" w:sz="0" w:space="0" w:color="auto"/>
      </w:divBdr>
    </w:div>
    <w:div w:id="1106850891">
      <w:bodyDiv w:val="1"/>
      <w:marLeft w:val="0"/>
      <w:marRight w:val="0"/>
      <w:marTop w:val="0"/>
      <w:marBottom w:val="0"/>
      <w:divBdr>
        <w:top w:val="none" w:sz="0" w:space="0" w:color="auto"/>
        <w:left w:val="none" w:sz="0" w:space="0" w:color="auto"/>
        <w:bottom w:val="none" w:sz="0" w:space="0" w:color="auto"/>
        <w:right w:val="none" w:sz="0" w:space="0" w:color="auto"/>
      </w:divBdr>
    </w:div>
    <w:div w:id="1132092251">
      <w:bodyDiv w:val="1"/>
      <w:marLeft w:val="0"/>
      <w:marRight w:val="0"/>
      <w:marTop w:val="0"/>
      <w:marBottom w:val="0"/>
      <w:divBdr>
        <w:top w:val="none" w:sz="0" w:space="0" w:color="auto"/>
        <w:left w:val="none" w:sz="0" w:space="0" w:color="auto"/>
        <w:bottom w:val="none" w:sz="0" w:space="0" w:color="auto"/>
        <w:right w:val="none" w:sz="0" w:space="0" w:color="auto"/>
      </w:divBdr>
    </w:div>
    <w:div w:id="1160123759">
      <w:bodyDiv w:val="1"/>
      <w:marLeft w:val="0"/>
      <w:marRight w:val="0"/>
      <w:marTop w:val="0"/>
      <w:marBottom w:val="0"/>
      <w:divBdr>
        <w:top w:val="none" w:sz="0" w:space="0" w:color="auto"/>
        <w:left w:val="none" w:sz="0" w:space="0" w:color="auto"/>
        <w:bottom w:val="none" w:sz="0" w:space="0" w:color="auto"/>
        <w:right w:val="none" w:sz="0" w:space="0" w:color="auto"/>
      </w:divBdr>
    </w:div>
    <w:div w:id="1219707014">
      <w:bodyDiv w:val="1"/>
      <w:marLeft w:val="0"/>
      <w:marRight w:val="0"/>
      <w:marTop w:val="0"/>
      <w:marBottom w:val="0"/>
      <w:divBdr>
        <w:top w:val="none" w:sz="0" w:space="0" w:color="auto"/>
        <w:left w:val="none" w:sz="0" w:space="0" w:color="auto"/>
        <w:bottom w:val="none" w:sz="0" w:space="0" w:color="auto"/>
        <w:right w:val="none" w:sz="0" w:space="0" w:color="auto"/>
      </w:divBdr>
    </w:div>
    <w:div w:id="1221020526">
      <w:bodyDiv w:val="1"/>
      <w:marLeft w:val="0"/>
      <w:marRight w:val="0"/>
      <w:marTop w:val="0"/>
      <w:marBottom w:val="0"/>
      <w:divBdr>
        <w:top w:val="none" w:sz="0" w:space="0" w:color="auto"/>
        <w:left w:val="none" w:sz="0" w:space="0" w:color="auto"/>
        <w:bottom w:val="none" w:sz="0" w:space="0" w:color="auto"/>
        <w:right w:val="none" w:sz="0" w:space="0" w:color="auto"/>
      </w:divBdr>
    </w:div>
    <w:div w:id="1223829838">
      <w:bodyDiv w:val="1"/>
      <w:marLeft w:val="0"/>
      <w:marRight w:val="0"/>
      <w:marTop w:val="0"/>
      <w:marBottom w:val="0"/>
      <w:divBdr>
        <w:top w:val="none" w:sz="0" w:space="0" w:color="auto"/>
        <w:left w:val="none" w:sz="0" w:space="0" w:color="auto"/>
        <w:bottom w:val="none" w:sz="0" w:space="0" w:color="auto"/>
        <w:right w:val="none" w:sz="0" w:space="0" w:color="auto"/>
      </w:divBdr>
    </w:div>
    <w:div w:id="1231188871">
      <w:bodyDiv w:val="1"/>
      <w:marLeft w:val="0"/>
      <w:marRight w:val="0"/>
      <w:marTop w:val="0"/>
      <w:marBottom w:val="0"/>
      <w:divBdr>
        <w:top w:val="none" w:sz="0" w:space="0" w:color="auto"/>
        <w:left w:val="none" w:sz="0" w:space="0" w:color="auto"/>
        <w:bottom w:val="none" w:sz="0" w:space="0" w:color="auto"/>
        <w:right w:val="none" w:sz="0" w:space="0" w:color="auto"/>
      </w:divBdr>
    </w:div>
    <w:div w:id="1269463274">
      <w:bodyDiv w:val="1"/>
      <w:marLeft w:val="0"/>
      <w:marRight w:val="0"/>
      <w:marTop w:val="0"/>
      <w:marBottom w:val="0"/>
      <w:divBdr>
        <w:top w:val="none" w:sz="0" w:space="0" w:color="auto"/>
        <w:left w:val="none" w:sz="0" w:space="0" w:color="auto"/>
        <w:bottom w:val="none" w:sz="0" w:space="0" w:color="auto"/>
        <w:right w:val="none" w:sz="0" w:space="0" w:color="auto"/>
      </w:divBdr>
    </w:div>
    <w:div w:id="1314220454">
      <w:bodyDiv w:val="1"/>
      <w:marLeft w:val="0"/>
      <w:marRight w:val="0"/>
      <w:marTop w:val="0"/>
      <w:marBottom w:val="0"/>
      <w:divBdr>
        <w:top w:val="none" w:sz="0" w:space="0" w:color="auto"/>
        <w:left w:val="none" w:sz="0" w:space="0" w:color="auto"/>
        <w:bottom w:val="none" w:sz="0" w:space="0" w:color="auto"/>
        <w:right w:val="none" w:sz="0" w:space="0" w:color="auto"/>
      </w:divBdr>
    </w:div>
    <w:div w:id="1320499534">
      <w:bodyDiv w:val="1"/>
      <w:marLeft w:val="0"/>
      <w:marRight w:val="0"/>
      <w:marTop w:val="0"/>
      <w:marBottom w:val="0"/>
      <w:divBdr>
        <w:top w:val="none" w:sz="0" w:space="0" w:color="auto"/>
        <w:left w:val="none" w:sz="0" w:space="0" w:color="auto"/>
        <w:bottom w:val="none" w:sz="0" w:space="0" w:color="auto"/>
        <w:right w:val="none" w:sz="0" w:space="0" w:color="auto"/>
      </w:divBdr>
    </w:div>
    <w:div w:id="1335257659">
      <w:bodyDiv w:val="1"/>
      <w:marLeft w:val="0"/>
      <w:marRight w:val="0"/>
      <w:marTop w:val="0"/>
      <w:marBottom w:val="0"/>
      <w:divBdr>
        <w:top w:val="none" w:sz="0" w:space="0" w:color="auto"/>
        <w:left w:val="none" w:sz="0" w:space="0" w:color="auto"/>
        <w:bottom w:val="none" w:sz="0" w:space="0" w:color="auto"/>
        <w:right w:val="none" w:sz="0" w:space="0" w:color="auto"/>
      </w:divBdr>
    </w:div>
    <w:div w:id="1364940027">
      <w:bodyDiv w:val="1"/>
      <w:marLeft w:val="0"/>
      <w:marRight w:val="0"/>
      <w:marTop w:val="0"/>
      <w:marBottom w:val="0"/>
      <w:divBdr>
        <w:top w:val="none" w:sz="0" w:space="0" w:color="auto"/>
        <w:left w:val="none" w:sz="0" w:space="0" w:color="auto"/>
        <w:bottom w:val="none" w:sz="0" w:space="0" w:color="auto"/>
        <w:right w:val="none" w:sz="0" w:space="0" w:color="auto"/>
      </w:divBdr>
    </w:div>
    <w:div w:id="1396590289">
      <w:bodyDiv w:val="1"/>
      <w:marLeft w:val="0"/>
      <w:marRight w:val="0"/>
      <w:marTop w:val="0"/>
      <w:marBottom w:val="0"/>
      <w:divBdr>
        <w:top w:val="none" w:sz="0" w:space="0" w:color="auto"/>
        <w:left w:val="none" w:sz="0" w:space="0" w:color="auto"/>
        <w:bottom w:val="none" w:sz="0" w:space="0" w:color="auto"/>
        <w:right w:val="none" w:sz="0" w:space="0" w:color="auto"/>
      </w:divBdr>
    </w:div>
    <w:div w:id="1459646487">
      <w:bodyDiv w:val="1"/>
      <w:marLeft w:val="0"/>
      <w:marRight w:val="0"/>
      <w:marTop w:val="0"/>
      <w:marBottom w:val="0"/>
      <w:divBdr>
        <w:top w:val="none" w:sz="0" w:space="0" w:color="auto"/>
        <w:left w:val="none" w:sz="0" w:space="0" w:color="auto"/>
        <w:bottom w:val="none" w:sz="0" w:space="0" w:color="auto"/>
        <w:right w:val="none" w:sz="0" w:space="0" w:color="auto"/>
      </w:divBdr>
    </w:div>
    <w:div w:id="1471241240">
      <w:bodyDiv w:val="1"/>
      <w:marLeft w:val="0"/>
      <w:marRight w:val="0"/>
      <w:marTop w:val="0"/>
      <w:marBottom w:val="0"/>
      <w:divBdr>
        <w:top w:val="none" w:sz="0" w:space="0" w:color="auto"/>
        <w:left w:val="none" w:sz="0" w:space="0" w:color="auto"/>
        <w:bottom w:val="none" w:sz="0" w:space="0" w:color="auto"/>
        <w:right w:val="none" w:sz="0" w:space="0" w:color="auto"/>
      </w:divBdr>
    </w:div>
    <w:div w:id="1472283040">
      <w:bodyDiv w:val="1"/>
      <w:marLeft w:val="0"/>
      <w:marRight w:val="0"/>
      <w:marTop w:val="0"/>
      <w:marBottom w:val="0"/>
      <w:divBdr>
        <w:top w:val="none" w:sz="0" w:space="0" w:color="auto"/>
        <w:left w:val="none" w:sz="0" w:space="0" w:color="auto"/>
        <w:bottom w:val="none" w:sz="0" w:space="0" w:color="auto"/>
        <w:right w:val="none" w:sz="0" w:space="0" w:color="auto"/>
      </w:divBdr>
    </w:div>
    <w:div w:id="1499541393">
      <w:bodyDiv w:val="1"/>
      <w:marLeft w:val="0"/>
      <w:marRight w:val="0"/>
      <w:marTop w:val="0"/>
      <w:marBottom w:val="0"/>
      <w:divBdr>
        <w:top w:val="none" w:sz="0" w:space="0" w:color="auto"/>
        <w:left w:val="none" w:sz="0" w:space="0" w:color="auto"/>
        <w:bottom w:val="none" w:sz="0" w:space="0" w:color="auto"/>
        <w:right w:val="none" w:sz="0" w:space="0" w:color="auto"/>
      </w:divBdr>
    </w:div>
    <w:div w:id="1566259079">
      <w:bodyDiv w:val="1"/>
      <w:marLeft w:val="0"/>
      <w:marRight w:val="0"/>
      <w:marTop w:val="0"/>
      <w:marBottom w:val="0"/>
      <w:divBdr>
        <w:top w:val="none" w:sz="0" w:space="0" w:color="auto"/>
        <w:left w:val="none" w:sz="0" w:space="0" w:color="auto"/>
        <w:bottom w:val="none" w:sz="0" w:space="0" w:color="auto"/>
        <w:right w:val="none" w:sz="0" w:space="0" w:color="auto"/>
      </w:divBdr>
    </w:div>
    <w:div w:id="1615207577">
      <w:bodyDiv w:val="1"/>
      <w:marLeft w:val="0"/>
      <w:marRight w:val="0"/>
      <w:marTop w:val="0"/>
      <w:marBottom w:val="0"/>
      <w:divBdr>
        <w:top w:val="none" w:sz="0" w:space="0" w:color="auto"/>
        <w:left w:val="none" w:sz="0" w:space="0" w:color="auto"/>
        <w:bottom w:val="none" w:sz="0" w:space="0" w:color="auto"/>
        <w:right w:val="none" w:sz="0" w:space="0" w:color="auto"/>
      </w:divBdr>
    </w:div>
    <w:div w:id="1645697052">
      <w:bodyDiv w:val="1"/>
      <w:marLeft w:val="0"/>
      <w:marRight w:val="0"/>
      <w:marTop w:val="0"/>
      <w:marBottom w:val="0"/>
      <w:divBdr>
        <w:top w:val="none" w:sz="0" w:space="0" w:color="auto"/>
        <w:left w:val="none" w:sz="0" w:space="0" w:color="auto"/>
        <w:bottom w:val="none" w:sz="0" w:space="0" w:color="auto"/>
        <w:right w:val="none" w:sz="0" w:space="0" w:color="auto"/>
      </w:divBdr>
    </w:div>
    <w:div w:id="1723749376">
      <w:bodyDiv w:val="1"/>
      <w:marLeft w:val="0"/>
      <w:marRight w:val="0"/>
      <w:marTop w:val="0"/>
      <w:marBottom w:val="0"/>
      <w:divBdr>
        <w:top w:val="none" w:sz="0" w:space="0" w:color="auto"/>
        <w:left w:val="none" w:sz="0" w:space="0" w:color="auto"/>
        <w:bottom w:val="none" w:sz="0" w:space="0" w:color="auto"/>
        <w:right w:val="none" w:sz="0" w:space="0" w:color="auto"/>
      </w:divBdr>
    </w:div>
    <w:div w:id="1836870412">
      <w:bodyDiv w:val="1"/>
      <w:marLeft w:val="0"/>
      <w:marRight w:val="0"/>
      <w:marTop w:val="0"/>
      <w:marBottom w:val="0"/>
      <w:divBdr>
        <w:top w:val="none" w:sz="0" w:space="0" w:color="auto"/>
        <w:left w:val="none" w:sz="0" w:space="0" w:color="auto"/>
        <w:bottom w:val="none" w:sz="0" w:space="0" w:color="auto"/>
        <w:right w:val="none" w:sz="0" w:space="0" w:color="auto"/>
      </w:divBdr>
    </w:div>
    <w:div w:id="1881092568">
      <w:bodyDiv w:val="1"/>
      <w:marLeft w:val="0"/>
      <w:marRight w:val="0"/>
      <w:marTop w:val="0"/>
      <w:marBottom w:val="0"/>
      <w:divBdr>
        <w:top w:val="none" w:sz="0" w:space="0" w:color="auto"/>
        <w:left w:val="none" w:sz="0" w:space="0" w:color="auto"/>
        <w:bottom w:val="none" w:sz="0" w:space="0" w:color="auto"/>
        <w:right w:val="none" w:sz="0" w:space="0" w:color="auto"/>
      </w:divBdr>
    </w:div>
    <w:div w:id="1917008350">
      <w:bodyDiv w:val="1"/>
      <w:marLeft w:val="0"/>
      <w:marRight w:val="0"/>
      <w:marTop w:val="0"/>
      <w:marBottom w:val="0"/>
      <w:divBdr>
        <w:top w:val="none" w:sz="0" w:space="0" w:color="auto"/>
        <w:left w:val="none" w:sz="0" w:space="0" w:color="auto"/>
        <w:bottom w:val="none" w:sz="0" w:space="0" w:color="auto"/>
        <w:right w:val="none" w:sz="0" w:space="0" w:color="auto"/>
      </w:divBdr>
    </w:div>
    <w:div w:id="1922637385">
      <w:bodyDiv w:val="1"/>
      <w:marLeft w:val="0"/>
      <w:marRight w:val="0"/>
      <w:marTop w:val="0"/>
      <w:marBottom w:val="0"/>
      <w:divBdr>
        <w:top w:val="none" w:sz="0" w:space="0" w:color="auto"/>
        <w:left w:val="none" w:sz="0" w:space="0" w:color="auto"/>
        <w:bottom w:val="none" w:sz="0" w:space="0" w:color="auto"/>
        <w:right w:val="none" w:sz="0" w:space="0" w:color="auto"/>
      </w:divBdr>
    </w:div>
    <w:div w:id="1940527634">
      <w:bodyDiv w:val="1"/>
      <w:marLeft w:val="0"/>
      <w:marRight w:val="0"/>
      <w:marTop w:val="0"/>
      <w:marBottom w:val="0"/>
      <w:divBdr>
        <w:top w:val="none" w:sz="0" w:space="0" w:color="auto"/>
        <w:left w:val="none" w:sz="0" w:space="0" w:color="auto"/>
        <w:bottom w:val="none" w:sz="0" w:space="0" w:color="auto"/>
        <w:right w:val="none" w:sz="0" w:space="0" w:color="auto"/>
      </w:divBdr>
    </w:div>
    <w:div w:id="1945532278">
      <w:bodyDiv w:val="1"/>
      <w:marLeft w:val="0"/>
      <w:marRight w:val="0"/>
      <w:marTop w:val="0"/>
      <w:marBottom w:val="0"/>
      <w:divBdr>
        <w:top w:val="none" w:sz="0" w:space="0" w:color="auto"/>
        <w:left w:val="none" w:sz="0" w:space="0" w:color="auto"/>
        <w:bottom w:val="none" w:sz="0" w:space="0" w:color="auto"/>
        <w:right w:val="none" w:sz="0" w:space="0" w:color="auto"/>
      </w:divBdr>
    </w:div>
    <w:div w:id="1966154054">
      <w:bodyDiv w:val="1"/>
      <w:marLeft w:val="0"/>
      <w:marRight w:val="0"/>
      <w:marTop w:val="0"/>
      <w:marBottom w:val="0"/>
      <w:divBdr>
        <w:top w:val="none" w:sz="0" w:space="0" w:color="auto"/>
        <w:left w:val="none" w:sz="0" w:space="0" w:color="auto"/>
        <w:bottom w:val="none" w:sz="0" w:space="0" w:color="auto"/>
        <w:right w:val="none" w:sz="0" w:space="0" w:color="auto"/>
      </w:divBdr>
    </w:div>
    <w:div w:id="2025326894">
      <w:bodyDiv w:val="1"/>
      <w:marLeft w:val="0"/>
      <w:marRight w:val="0"/>
      <w:marTop w:val="0"/>
      <w:marBottom w:val="0"/>
      <w:divBdr>
        <w:top w:val="none" w:sz="0" w:space="0" w:color="auto"/>
        <w:left w:val="none" w:sz="0" w:space="0" w:color="auto"/>
        <w:bottom w:val="none" w:sz="0" w:space="0" w:color="auto"/>
        <w:right w:val="none" w:sz="0" w:space="0" w:color="auto"/>
      </w:divBdr>
    </w:div>
    <w:div w:id="2029745285">
      <w:bodyDiv w:val="1"/>
      <w:marLeft w:val="0"/>
      <w:marRight w:val="0"/>
      <w:marTop w:val="0"/>
      <w:marBottom w:val="0"/>
      <w:divBdr>
        <w:top w:val="none" w:sz="0" w:space="0" w:color="auto"/>
        <w:left w:val="none" w:sz="0" w:space="0" w:color="auto"/>
        <w:bottom w:val="none" w:sz="0" w:space="0" w:color="auto"/>
        <w:right w:val="none" w:sz="0" w:space="0" w:color="auto"/>
      </w:divBdr>
    </w:div>
    <w:div w:id="2049647564">
      <w:bodyDiv w:val="1"/>
      <w:marLeft w:val="0"/>
      <w:marRight w:val="0"/>
      <w:marTop w:val="0"/>
      <w:marBottom w:val="0"/>
      <w:divBdr>
        <w:top w:val="none" w:sz="0" w:space="0" w:color="auto"/>
        <w:left w:val="none" w:sz="0" w:space="0" w:color="auto"/>
        <w:bottom w:val="none" w:sz="0" w:space="0" w:color="auto"/>
        <w:right w:val="none" w:sz="0" w:space="0" w:color="auto"/>
      </w:divBdr>
    </w:div>
    <w:div w:id="2092045488">
      <w:bodyDiv w:val="1"/>
      <w:marLeft w:val="0"/>
      <w:marRight w:val="0"/>
      <w:marTop w:val="0"/>
      <w:marBottom w:val="0"/>
      <w:divBdr>
        <w:top w:val="none" w:sz="0" w:space="0" w:color="auto"/>
        <w:left w:val="none" w:sz="0" w:space="0" w:color="auto"/>
        <w:bottom w:val="none" w:sz="0" w:space="0" w:color="auto"/>
        <w:right w:val="none" w:sz="0" w:space="0" w:color="auto"/>
      </w:divBdr>
    </w:div>
    <w:div w:id="2102212990">
      <w:bodyDiv w:val="1"/>
      <w:marLeft w:val="0"/>
      <w:marRight w:val="0"/>
      <w:marTop w:val="0"/>
      <w:marBottom w:val="0"/>
      <w:divBdr>
        <w:top w:val="none" w:sz="0" w:space="0" w:color="auto"/>
        <w:left w:val="none" w:sz="0" w:space="0" w:color="auto"/>
        <w:bottom w:val="none" w:sz="0" w:space="0" w:color="auto"/>
        <w:right w:val="none" w:sz="0" w:space="0" w:color="auto"/>
      </w:divBdr>
    </w:div>
    <w:div w:id="2129423156">
      <w:bodyDiv w:val="1"/>
      <w:marLeft w:val="0"/>
      <w:marRight w:val="0"/>
      <w:marTop w:val="0"/>
      <w:marBottom w:val="0"/>
      <w:divBdr>
        <w:top w:val="none" w:sz="0" w:space="0" w:color="auto"/>
        <w:left w:val="none" w:sz="0" w:space="0" w:color="auto"/>
        <w:bottom w:val="none" w:sz="0" w:space="0" w:color="auto"/>
        <w:right w:val="none" w:sz="0" w:space="0" w:color="auto"/>
      </w:divBdr>
    </w:div>
    <w:div w:id="214107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6.012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7bshantanu.shukla10@gmail.com%7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312.15268" TargetMode="External"/><Relationship Id="rId5" Type="http://schemas.openxmlformats.org/officeDocument/2006/relationships/footnotes" Target="footnotes.xml"/><Relationship Id="rId10" Type="http://schemas.openxmlformats.org/officeDocument/2006/relationships/hyperlink" Target="https://arxiv.org/abs/2204.00987" TargetMode="External"/><Relationship Id="rId4" Type="http://schemas.openxmlformats.org/officeDocument/2006/relationships/webSettings" Target="webSettings.xml"/><Relationship Id="rId9" Type="http://schemas.openxmlformats.org/officeDocument/2006/relationships/hyperlink" Target="https://arxiv.org/abs/2011.141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Shukla</dc:creator>
  <cp:keywords/>
  <dc:description/>
  <cp:lastModifiedBy>Shantanu Shukla</cp:lastModifiedBy>
  <cp:revision>119</cp:revision>
  <cp:lastPrinted>2025-05-18T10:10:00Z</cp:lastPrinted>
  <dcterms:created xsi:type="dcterms:W3CDTF">2025-05-18T09:12:00Z</dcterms:created>
  <dcterms:modified xsi:type="dcterms:W3CDTF">2025-05-18T15:48:00Z</dcterms:modified>
</cp:coreProperties>
</file>