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1A2E"/>
          <w:sz w:val="56"/>
        </w:rPr>
        <w:t>Acme Corporation</w:t>
      </w:r>
    </w:p>
    <w:p>
      <w:pPr>
        <w:jc w:val="center"/>
      </w:pPr>
      <w:r>
        <w:rPr>
          <w:color w:val="444444"/>
          <w:sz w:val="28"/>
        </w:rPr>
        <w:t>Employee Onboarding Guide — Engineering Division</w:t>
      </w:r>
    </w:p>
    <w:p>
      <w:pPr>
        <w:jc w:val="center"/>
      </w:pPr>
      <w:r>
        <w:rPr>
          <w:color w:val="888888"/>
          <w:sz w:val="20"/>
        </w:rPr>
        <w:t>Version 2.1  |  Effective: Q1 2026  |  Owner: Engineering People Team</w:t>
      </w:r>
    </w:p>
    <w:p/>
    <w:p>
      <w:r>
        <w:br w:type="page"/>
      </w:r>
    </w:p>
    <w:p>
      <w:pPr>
        <w:pStyle w:val="Heading1"/>
      </w:pPr>
      <w:r>
        <w:rPr>
          <w:color w:val="1A1A2E"/>
        </w:rPr>
        <w:t>1. Welcome to Engineering at Acme</w:t>
      </w:r>
    </w:p>
    <w:p>
      <w:pPr>
        <w:jc w:val="both"/>
      </w:pPr>
      <w:r>
        <w:t>This guide covers everything a new engineer needs to know in their first 90 days. It is not a replacement for conversations with your manager and team — it is a starting point. If something is unclear or out of date, please update this document.</w:t>
      </w:r>
    </w:p>
    <w:p>
      <w:pPr>
        <w:pStyle w:val="Heading2"/>
      </w:pPr>
      <w:r>
        <w:rPr>
          <w:color w:val="1A1A2E"/>
        </w:rPr>
        <w:t>1.1 Your First Week</w:t>
      </w:r>
    </w:p>
    <w:p>
      <w:pPr>
        <w:jc w:val="both"/>
      </w:pPr>
      <w:r>
        <w:t>Your first week is structured to give you the foundations without overwhelming you. You will set up your development environment, meet your immediate team, and complete required compliance training. No code is expected in the first week.</w:t>
      </w:r>
    </w:p>
    <w:p>
      <w:pPr>
        <w:pStyle w:val="ListNumber"/>
      </w:pPr>
      <w:r>
        <w:t>Day 1: IT setup (laptop, VPN, GitHub access, Slack, Jira). Contact it-help@acme.com for issues.</w:t>
      </w:r>
    </w:p>
    <w:p>
      <w:pPr>
        <w:pStyle w:val="ListNumber"/>
      </w:pPr>
      <w:r>
        <w:t>Day 2: Meet your team. Attend sprint standup (9:00 AM PT daily). Review current sprint board.</w:t>
      </w:r>
    </w:p>
    <w:p>
      <w:pPr>
        <w:pStyle w:val="ListNumber"/>
      </w:pPr>
      <w:r>
        <w:t>Day 3: Clone the main repository. Follow README.md to get the dev environment running locally.</w:t>
      </w:r>
    </w:p>
    <w:p>
      <w:pPr>
        <w:pStyle w:val="ListNumber"/>
      </w:pPr>
      <w:r>
        <w:t>Day 4: Shadow a pull request review. Read CONTRIBUTING.md and coding standards in SKILLS.md.</w:t>
      </w:r>
    </w:p>
    <w:p>
      <w:pPr>
        <w:pStyle w:val="ListNumber"/>
      </w:pPr>
      <w:r>
        <w:t>Day 5: 1:1 with your manager. Discuss your 30/60/90 day goals.</w:t>
      </w:r>
    </w:p>
    <w:p>
      <w:pPr>
        <w:pStyle w:val="Heading2"/>
      </w:pPr>
      <w:r>
        <w:rPr>
          <w:color w:val="1A1A2E"/>
        </w:rPr>
        <w:t>1.2 Required Access and Accounts</w:t>
      </w:r>
    </w:p>
    <w:p>
      <w:pPr>
        <w:jc w:val="both"/>
      </w:pPr>
      <w:r>
        <w:t>All access requests go through the **IT Service Portal** at it.acme.internal. Your manager must approve access requests before IT can provision them. Standard engineering access includes the following systems: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880"/>
            <w:shd w:val="clear" w:color="auto" w:fill="1A1A2E"/>
          </w:tcPr>
          <w:p>
            <w:r>
              <w:rPr>
                <w:b/>
                <w:color w:val="FFFFFF"/>
              </w:rPr>
              <w:t>System</w:t>
            </w:r>
          </w:p>
        </w:tc>
        <w:tc>
          <w:tcPr>
            <w:tcW w:type="dxa" w:w="2016"/>
            <w:shd w:val="clear" w:color="auto" w:fill="1A1A2E"/>
          </w:tcPr>
          <w:p>
            <w:r>
              <w:rPr>
                <w:b/>
                <w:color w:val="FFFFFF"/>
              </w:rPr>
              <w:t>Access Level</w:t>
            </w:r>
          </w:p>
        </w:tc>
        <w:tc>
          <w:tcPr>
            <w:tcW w:type="dxa" w:w="2592"/>
            <w:shd w:val="clear" w:color="auto" w:fill="1A1A2E"/>
          </w:tcPr>
          <w:p>
            <w:r>
              <w:rPr>
                <w:b/>
                <w:color w:val="FFFFFF"/>
              </w:rPr>
              <w:t>Request Via</w:t>
            </w:r>
          </w:p>
        </w:tc>
        <w:tc>
          <w:tcPr>
            <w:tcW w:type="dxa" w:w="1728"/>
            <w:shd w:val="clear" w:color="auto" w:fill="1A1A2E"/>
          </w:tcPr>
          <w:p>
            <w:r>
              <w:rPr>
                <w:b/>
                <w:color w:val="FFFFFF"/>
              </w:rPr>
              <w:t>SLA</w:t>
            </w:r>
          </w:p>
        </w:tc>
      </w:tr>
      <w:tr>
        <w:tc>
          <w:tcPr>
            <w:tcW w:type="dxa" w:w="2880"/>
          </w:tcPr>
          <w:p>
            <w:r>
              <w:t>GitHub (acme-corp org)</w:t>
            </w:r>
          </w:p>
        </w:tc>
        <w:tc>
          <w:tcPr>
            <w:tcW w:type="dxa" w:w="2016"/>
          </w:tcPr>
          <w:p>
            <w:r>
              <w:t>Member</w:t>
            </w:r>
          </w:p>
        </w:tc>
        <w:tc>
          <w:tcPr>
            <w:tcW w:type="dxa" w:w="2592"/>
          </w:tcPr>
          <w:p>
            <w:r>
              <w:t>IT Portal</w:t>
            </w:r>
          </w:p>
        </w:tc>
        <w:tc>
          <w:tcPr>
            <w:tcW w:type="dxa" w:w="1728"/>
          </w:tcPr>
          <w:p>
            <w:r>
              <w:t>1 business day</w:t>
            </w:r>
          </w:p>
        </w:tc>
      </w:tr>
      <w:tr>
        <w:tc>
          <w:tcPr>
            <w:tcW w:type="dxa" w:w="2880"/>
            <w:shd w:val="clear" w:color="auto" w:fill="F5F5F5"/>
          </w:tcPr>
          <w:p>
            <w:r>
              <w:t>AWS Console</w:t>
            </w:r>
          </w:p>
        </w:tc>
        <w:tc>
          <w:tcPr>
            <w:tcW w:type="dxa" w:w="2016"/>
            <w:shd w:val="clear" w:color="auto" w:fill="F5F5F5"/>
          </w:tcPr>
          <w:p>
            <w:r>
              <w:t>ReadOnly (default)</w:t>
            </w:r>
          </w:p>
        </w:tc>
        <w:tc>
          <w:tcPr>
            <w:tcW w:type="dxa" w:w="2592"/>
            <w:shd w:val="clear" w:color="auto" w:fill="F5F5F5"/>
          </w:tcPr>
          <w:p>
            <w:r>
              <w:t>IT Portal + Manager approval</w:t>
            </w:r>
          </w:p>
        </w:tc>
        <w:tc>
          <w:tcPr>
            <w:tcW w:type="dxa" w:w="1728"/>
            <w:shd w:val="clear" w:color="auto" w:fill="F5F5F5"/>
          </w:tcPr>
          <w:p>
            <w:r>
              <w:t>2 business days</w:t>
            </w:r>
          </w:p>
        </w:tc>
      </w:tr>
      <w:tr>
        <w:tc>
          <w:tcPr>
            <w:tcW w:type="dxa" w:w="2880"/>
          </w:tcPr>
          <w:p>
            <w:r>
              <w:t>Jira / Confluence</w:t>
            </w:r>
          </w:p>
        </w:tc>
        <w:tc>
          <w:tcPr>
            <w:tcW w:type="dxa" w:w="2016"/>
          </w:tcPr>
          <w:p>
            <w:r>
              <w:t>Member</w:t>
            </w:r>
          </w:p>
        </w:tc>
        <w:tc>
          <w:tcPr>
            <w:tcW w:type="dxa" w:w="2592"/>
          </w:tcPr>
          <w:p>
            <w:r>
              <w:t>IT Portal</w:t>
            </w:r>
          </w:p>
        </w:tc>
        <w:tc>
          <w:tcPr>
            <w:tcW w:type="dxa" w:w="1728"/>
          </w:tcPr>
          <w:p>
            <w:r>
              <w:t>1 business day</w:t>
            </w:r>
          </w:p>
        </w:tc>
      </w:tr>
      <w:tr>
        <w:tc>
          <w:tcPr>
            <w:tcW w:type="dxa" w:w="2880"/>
            <w:shd w:val="clear" w:color="auto" w:fill="F5F5F5"/>
          </w:tcPr>
          <w:p>
            <w:r>
              <w:t>Datadog</w:t>
            </w:r>
          </w:p>
        </w:tc>
        <w:tc>
          <w:tcPr>
            <w:tcW w:type="dxa" w:w="2016"/>
            <w:shd w:val="clear" w:color="auto" w:fill="F5F5F5"/>
          </w:tcPr>
          <w:p>
            <w:r>
              <w:t>Viewer</w:t>
            </w:r>
          </w:p>
        </w:tc>
        <w:tc>
          <w:tcPr>
            <w:tcW w:type="dxa" w:w="2592"/>
            <w:shd w:val="clear" w:color="auto" w:fill="F5F5F5"/>
          </w:tcPr>
          <w:p>
            <w:r>
              <w:t>IT Portal</w:t>
            </w:r>
          </w:p>
        </w:tc>
        <w:tc>
          <w:tcPr>
            <w:tcW w:type="dxa" w:w="1728"/>
            <w:shd w:val="clear" w:color="auto" w:fill="F5F5F5"/>
          </w:tcPr>
          <w:p>
            <w:r>
              <w:t>1 business day</w:t>
            </w:r>
          </w:p>
        </w:tc>
      </w:tr>
      <w:tr>
        <w:tc>
          <w:tcPr>
            <w:tcW w:type="dxa" w:w="2880"/>
          </w:tcPr>
          <w:p>
            <w:r>
              <w:t>PagerDuty</w:t>
            </w:r>
          </w:p>
        </w:tc>
        <w:tc>
          <w:tcPr>
            <w:tcW w:type="dxa" w:w="2016"/>
          </w:tcPr>
          <w:p>
            <w:r>
              <w:t>Responder (on-call)</w:t>
            </w:r>
          </w:p>
        </w:tc>
        <w:tc>
          <w:tcPr>
            <w:tcW w:type="dxa" w:w="2592"/>
          </w:tcPr>
          <w:p>
            <w:r>
              <w:t>Team lead request</w:t>
            </w:r>
          </w:p>
        </w:tc>
        <w:tc>
          <w:tcPr>
            <w:tcW w:type="dxa" w:w="1728"/>
          </w:tcPr>
          <w:p>
            <w:r>
              <w:t>3 business days</w:t>
            </w:r>
          </w:p>
        </w:tc>
      </w:tr>
      <w:tr>
        <w:tc>
          <w:tcPr>
            <w:tcW w:type="dxa" w:w="2880"/>
            <w:shd w:val="clear" w:color="auto" w:fill="F5F5F5"/>
          </w:tcPr>
          <w:p>
            <w:r>
              <w:t>Vault (secrets)</w:t>
            </w:r>
          </w:p>
        </w:tc>
        <w:tc>
          <w:tcPr>
            <w:tcW w:type="dxa" w:w="2016"/>
            <w:shd w:val="clear" w:color="auto" w:fill="F5F5F5"/>
          </w:tcPr>
          <w:p>
            <w:r>
              <w:t>Team namespace only</w:t>
            </w:r>
          </w:p>
        </w:tc>
        <w:tc>
          <w:tcPr>
            <w:tcW w:type="dxa" w:w="2592"/>
            <w:shd w:val="clear" w:color="auto" w:fill="F5F5F5"/>
          </w:tcPr>
          <w:p>
            <w:r>
              <w:t>Security team approval</w:t>
            </w:r>
          </w:p>
        </w:tc>
        <w:tc>
          <w:tcPr>
            <w:tcW w:type="dxa" w:w="1728"/>
            <w:shd w:val="clear" w:color="auto" w:fill="F5F5F5"/>
          </w:tcPr>
          <w:p>
            <w:r>
              <w:t>5 business days</w:t>
            </w:r>
          </w:p>
        </w:tc>
      </w:tr>
      <w:tr>
        <w:tc>
          <w:tcPr>
            <w:tcW w:type="dxa" w:w="2880"/>
          </w:tcPr>
          <w:p>
            <w:r>
              <w:t>Production access</w:t>
            </w:r>
          </w:p>
        </w:tc>
        <w:tc>
          <w:tcPr>
            <w:tcW w:type="dxa" w:w="2016"/>
          </w:tcPr>
          <w:p>
            <w:r>
              <w:t>By exception only</w:t>
            </w:r>
          </w:p>
        </w:tc>
        <w:tc>
          <w:tcPr>
            <w:tcW w:type="dxa" w:w="2592"/>
          </w:tcPr>
          <w:p>
            <w:r>
              <w:t>VP Engineering + Security</w:t>
            </w:r>
          </w:p>
        </w:tc>
        <w:tc>
          <w:tcPr>
            <w:tcW w:type="dxa" w:w="1728"/>
          </w:tcPr>
          <w:p>
            <w:r>
              <w:t>5–10 business days</w:t>
            </w:r>
          </w:p>
        </w:tc>
      </w:tr>
    </w:tbl>
    <w:p/>
    <w:p>
      <w:r>
        <w:br w:type="page"/>
      </w:r>
    </w:p>
    <w:p>
      <w:pPr>
        <w:pStyle w:val="Heading1"/>
      </w:pPr>
      <w:r>
        <w:rPr>
          <w:color w:val="1A1A2E"/>
        </w:rPr>
        <w:t>2. Development Environment Setup</w:t>
      </w:r>
    </w:p>
    <w:p>
      <w:pPr>
        <w:jc w:val="both"/>
      </w:pPr>
      <w:r>
        <w:t>Acme engineering uses a standardised development environment to minimise "works on my machine" issues. The setup script automates most of this, but understanding what each component does matters for debugging.</w:t>
      </w:r>
    </w:p>
    <w:p>
      <w:pPr>
        <w:pStyle w:val="Heading2"/>
      </w:pPr>
      <w:r>
        <w:rPr>
          <w:color w:val="1A1A2E"/>
        </w:rPr>
        <w:t>2.1 Prerequisites</w:t>
      </w:r>
    </w:p>
    <w:p>
      <w:pPr>
        <w:pStyle w:val="ListBullet"/>
      </w:pPr>
      <w:r>
        <w:t>macOS 13+ or Ubuntu 22.04+ (Windows via WSL2 is supported but not standard)</w:t>
      </w:r>
    </w:p>
    <w:p>
      <w:pPr>
        <w:pStyle w:val="ListBullet"/>
      </w:pPr>
      <w:r>
        <w:t>Homebrew (macOS) or apt (Ubuntu)</w:t>
      </w:r>
    </w:p>
    <w:p>
      <w:pPr>
        <w:pStyle w:val="ListBullet"/>
      </w:pPr>
      <w:r>
        <w:t>Git 2.40+ (check: git --version)</w:t>
      </w:r>
    </w:p>
    <w:p>
      <w:pPr>
        <w:pStyle w:val="ListBullet"/>
      </w:pPr>
      <w:r>
        <w:t>Docker Desktop 4.x with at least 8 GB RAM allocated to Docker</w:t>
      </w:r>
    </w:p>
    <w:p>
      <w:pPr>
        <w:pStyle w:val="ListBullet"/>
      </w:pPr>
      <w:r>
        <w:t>uv (Python package manager) — install via: curl -LsSf https://astral.sh/uv/install.sh | sh</w:t>
      </w:r>
    </w:p>
    <w:p>
      <w:pPr>
        <w:pStyle w:val="Heading2"/>
      </w:pPr>
      <w:r>
        <w:rPr>
          <w:color w:val="1A1A2E"/>
        </w:rPr>
        <w:t>2.2 Repository Structure</w:t>
      </w:r>
    </w:p>
    <w:p>
      <w:pPr>
        <w:jc w:val="both"/>
      </w:pPr>
      <w:r>
        <w:t>The main monorepo at **github.com/acme-corp/platform** follows a standard layout. Each service has its own directory under services/ with its own pyproject.toml, tests/, and README.md. Shared libraries live in libs/.</w:t>
      </w:r>
    </w:p>
    <w:p>
      <w:pPr>
        <w:pStyle w:val="Heading2"/>
      </w:pPr>
      <w:r>
        <w:rPr>
          <w:color w:val="1A1A2E"/>
        </w:rPr>
        <w:t>2.3 Running the Stack Locally</w:t>
      </w:r>
    </w:p>
    <w:p>
      <w:pPr>
        <w:jc w:val="both"/>
      </w:pPr>
      <w:r>
        <w:t>The full stack (all microservices + databases) runs via Docker Compose. Individual services can be run outside Docker for development using uv.</w:t>
      </w:r>
    </w:p>
    <w:tbl>
      <w:tblPr>
        <w:tblStyle w:val="TableGrid"/>
        <w:tblW w:type="auto" w:w="0"/>
        <w:jc w:val="left"/>
        <w:tblLook w:firstColumn="1" w:firstRow="1" w:lastColumn="0" w:lastRow="0" w:noHBand="0" w:noVBand="1" w:val="04A0"/>
      </w:tblPr>
      <w:tblGrid>
        <w:gridCol w:w="4536"/>
        <w:gridCol w:w="4536"/>
      </w:tblGrid>
      <w:tr>
        <w:tc>
          <w:tcPr>
            <w:tcW w:type="dxa" w:w="3600"/>
            <w:shd w:val="clear" w:color="auto" w:fill="1A1A2E"/>
          </w:tcPr>
          <w:p>
            <w:r>
              <w:rPr>
                <w:b/>
                <w:color w:val="FFFFFF"/>
              </w:rPr>
              <w:t>Command</w:t>
            </w:r>
          </w:p>
        </w:tc>
        <w:tc>
          <w:tcPr>
            <w:tcW w:type="dxa" w:w="5616"/>
            <w:shd w:val="clear" w:color="auto" w:fill="1A1A2E"/>
          </w:tcPr>
          <w:p>
            <w:r>
              <w:rPr>
                <w:b/>
                <w:color w:val="FFFFFF"/>
              </w:rPr>
              <w:t>What It Does</w:t>
            </w:r>
          </w:p>
        </w:tc>
      </w:tr>
      <w:tr>
        <w:tc>
          <w:tcPr>
            <w:tcW w:type="dxa" w:w="3600"/>
          </w:tcPr>
          <w:p>
            <w:r>
              <w:t>docker compose up -d</w:t>
            </w:r>
          </w:p>
        </w:tc>
        <w:tc>
          <w:tcPr>
            <w:tcW w:type="dxa" w:w="5616"/>
          </w:tcPr>
          <w:p>
            <w:r>
              <w:t>Start all infrastructure services (PG, Redis, Qdrant, MinIO)</w:t>
            </w:r>
          </w:p>
        </w:tc>
      </w:tr>
      <w:tr>
        <w:tc>
          <w:tcPr>
            <w:tcW w:type="dxa" w:w="3600"/>
            <w:shd w:val="clear" w:color="auto" w:fill="F5F5F5"/>
          </w:tcPr>
          <w:p>
            <w:r>
              <w:t>uv sync</w:t>
            </w:r>
          </w:p>
        </w:tc>
        <w:tc>
          <w:tcPr>
            <w:tcW w:type="dxa" w:w="5616"/>
            <w:shd w:val="clear" w:color="auto" w:fill="F5F5F5"/>
          </w:tcPr>
          <w:p>
            <w:r>
              <w:t>Install Python dependencies from pyproject.toml into .venv</w:t>
            </w:r>
          </w:p>
        </w:tc>
      </w:tr>
      <w:tr>
        <w:tc>
          <w:tcPr>
            <w:tcW w:type="dxa" w:w="3600"/>
          </w:tcPr>
          <w:p>
            <w:r>
              <w:t>uv run pytest tests/unit/</w:t>
            </w:r>
          </w:p>
        </w:tc>
        <w:tc>
          <w:tcPr>
            <w:tcW w:type="dxa" w:w="5616"/>
          </w:tcPr>
          <w:p>
            <w:r>
              <w:t>Run unit tests (no Docker needed)</w:t>
            </w:r>
          </w:p>
        </w:tc>
      </w:tr>
      <w:tr>
        <w:tc>
          <w:tcPr>
            <w:tcW w:type="dxa" w:w="3600"/>
            <w:shd w:val="clear" w:color="auto" w:fill="F5F5F5"/>
          </w:tcPr>
          <w:p>
            <w:r>
              <w:t>uv run pytest tests/integration/</w:t>
            </w:r>
          </w:p>
        </w:tc>
        <w:tc>
          <w:tcPr>
            <w:tcW w:type="dxa" w:w="5616"/>
            <w:shd w:val="clear" w:color="auto" w:fill="F5F5F5"/>
          </w:tcPr>
          <w:p>
            <w:r>
              <w:t>Run integration tests (requires Docker services)</w:t>
            </w:r>
          </w:p>
        </w:tc>
      </w:tr>
      <w:tr>
        <w:tc>
          <w:tcPr>
            <w:tcW w:type="dxa" w:w="3600"/>
          </w:tcPr>
          <w:p>
            <w:r>
              <w:t>uv run uvicorn src.api.main:app --reload</w:t>
            </w:r>
          </w:p>
        </w:tc>
        <w:tc>
          <w:tcPr>
            <w:tcW w:type="dxa" w:w="5616"/>
          </w:tcPr>
          <w:p>
            <w:r>
              <w:t>Start the API in development mode</w:t>
            </w:r>
          </w:p>
        </w:tc>
      </w:tr>
      <w:tr>
        <w:tc>
          <w:tcPr>
            <w:tcW w:type="dxa" w:w="3600"/>
            <w:shd w:val="clear" w:color="auto" w:fill="F5F5F5"/>
          </w:tcPr>
          <w:p>
            <w:r>
              <w:t>docker compose logs -f service-name</w:t>
            </w:r>
          </w:p>
        </w:tc>
        <w:tc>
          <w:tcPr>
            <w:tcW w:type="dxa" w:w="5616"/>
            <w:shd w:val="clear" w:color="auto" w:fill="F5F5F5"/>
          </w:tcPr>
          <w:p>
            <w:r>
              <w:t>Tail logs for a specific service</w:t>
            </w:r>
          </w:p>
        </w:tc>
      </w:tr>
    </w:tbl>
    <w:p/>
    <w:p>
      <w:pPr>
        <w:pStyle w:val="Heading2"/>
      </w:pPr>
      <w:r>
        <w:rPr>
          <w:color w:val="1A1A2E"/>
        </w:rPr>
        <w:t>2.4 Environment Variables</w:t>
      </w:r>
    </w:p>
    <w:p>
      <w:pPr>
        <w:jc w:val="both"/>
      </w:pPr>
      <w:r>
        <w:t>All configuration is via environment variables loaded from **.env** using pydantic-settings. Never commit .env files. Copy **.env.example** and fill in values for your local environment. Secrets are in Vault — ask your team lead for the namespace path.</w:t>
      </w:r>
    </w:p>
    <w:p>
      <w:r>
        <w:br w:type="page"/>
      </w:r>
    </w:p>
    <w:p>
      <w:pPr>
        <w:pStyle w:val="Heading1"/>
      </w:pPr>
      <w:r>
        <w:rPr>
          <w:color w:val="1A1A2E"/>
        </w:rPr>
        <w:t>3. Engineering Standards</w:t>
      </w:r>
    </w:p>
    <w:p>
      <w:pPr>
        <w:pStyle w:val="Heading2"/>
      </w:pPr>
      <w:r>
        <w:rPr>
          <w:color w:val="1A1A2E"/>
        </w:rPr>
        <w:t>3.1 Code Review Process</w:t>
      </w:r>
    </w:p>
    <w:p>
      <w:pPr>
        <w:jc w:val="both"/>
      </w:pPr>
      <w:r>
        <w:t>All code changes require at least **one approval** from a team member before merging. Changes to shared infrastructure, authentication, or security-sensitive code require **two approvals**, one of which must be from a senior engineer or staff engineer.</w:t>
      </w:r>
    </w:p>
    <w:p>
      <w:pPr>
        <w:pStyle w:val="ListBullet"/>
      </w:pPr>
      <w:r>
        <w:t>PRs should be small and focused — one feature or bugfix per PR.</w:t>
      </w:r>
    </w:p>
    <w:p>
      <w:pPr>
        <w:pStyle w:val="ListBullet"/>
      </w:pPr>
      <w:r>
        <w:t>Write a clear PR description: what changed, why, and how to test it.</w:t>
      </w:r>
    </w:p>
    <w:p>
      <w:pPr>
        <w:pStyle w:val="ListBullet"/>
      </w:pPr>
      <w:r>
        <w:t>Respond to review comments within 1 business day.</w:t>
      </w:r>
    </w:p>
    <w:p>
      <w:pPr>
        <w:pStyle w:val="ListBullet"/>
      </w:pPr>
      <w:r>
        <w:t>Do not merge your own PRs unless explicitly authorised (e.g. hotfix with post-merge review).</w:t>
      </w:r>
    </w:p>
    <w:p>
      <w:pPr>
        <w:pStyle w:val="ListBullet"/>
      </w:pPr>
      <w:r>
        <w:t>All CI checks must pass before merging. Do not override failing checks.</w:t>
      </w:r>
    </w:p>
    <w:p>
      <w:pPr>
        <w:pStyle w:val="Heading2"/>
      </w:pPr>
      <w:r>
        <w:rPr>
          <w:color w:val="1A1A2E"/>
        </w:rPr>
        <w:t>3.2 On-Call Responsibilities</w:t>
      </w:r>
    </w:p>
    <w:p>
      <w:pPr>
        <w:jc w:val="both"/>
      </w:pPr>
      <w:r>
        <w:t>Engineers join the on-call rotation after **90 days** on the team. The rotation is weekly (Monday 9:00 AM PT to the following Monday 9:00 AM PT). On-call engineers are expected to respond to PagerDuty alerts within **15 minutes** for P1 incidents and **1 hour** for P2 incidents.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1296"/>
            <w:shd w:val="clear" w:color="auto" w:fill="1A1A2E"/>
          </w:tcPr>
          <w:p>
            <w:r>
              <w:rPr>
                <w:b/>
                <w:color w:val="FFFFFF"/>
              </w:rPr>
              <w:t>Priority</w:t>
            </w:r>
          </w:p>
        </w:tc>
        <w:tc>
          <w:tcPr>
            <w:tcW w:type="dxa" w:w="2880"/>
            <w:shd w:val="clear" w:color="auto" w:fill="1A1A2E"/>
          </w:tcPr>
          <w:p>
            <w:r>
              <w:rPr>
                <w:b/>
                <w:color w:val="FFFFFF"/>
              </w:rPr>
              <w:t>Definition</w:t>
            </w:r>
          </w:p>
        </w:tc>
        <w:tc>
          <w:tcPr>
            <w:tcW w:type="dxa" w:w="1872"/>
            <w:shd w:val="clear" w:color="auto" w:fill="1A1A2E"/>
          </w:tcPr>
          <w:p>
            <w:r>
              <w:rPr>
                <w:b/>
                <w:color w:val="FFFFFF"/>
              </w:rPr>
              <w:t>Response Time</w:t>
            </w:r>
          </w:p>
        </w:tc>
        <w:tc>
          <w:tcPr>
            <w:tcW w:type="dxa" w:w="3168"/>
            <w:shd w:val="clear" w:color="auto" w:fill="1A1A2E"/>
          </w:tcPr>
          <w:p>
            <w:r>
              <w:rPr>
                <w:b/>
                <w:color w:val="FFFFFF"/>
              </w:rPr>
              <w:t>Escalation Path</w:t>
            </w:r>
          </w:p>
        </w:tc>
      </w:tr>
      <w:tr>
        <w:tc>
          <w:tcPr>
            <w:tcW w:type="dxa" w:w="1296"/>
          </w:tcPr>
          <w:p>
            <w:r>
              <w:t>P1 – Critical</w:t>
            </w:r>
          </w:p>
        </w:tc>
        <w:tc>
          <w:tcPr>
            <w:tcW w:type="dxa" w:w="2880"/>
          </w:tcPr>
          <w:p>
            <w:r>
              <w:t>Production down or data loss risk</w:t>
            </w:r>
          </w:p>
        </w:tc>
        <w:tc>
          <w:tcPr>
            <w:tcW w:type="dxa" w:w="1872"/>
          </w:tcPr>
          <w:p>
            <w:r>
              <w:t>15 minutes</w:t>
            </w:r>
          </w:p>
        </w:tc>
        <w:tc>
          <w:tcPr>
            <w:tcW w:type="dxa" w:w="3168"/>
          </w:tcPr>
          <w:p>
            <w:r>
              <w:t>On-call → Tech Lead → VP Eng</w:t>
            </w:r>
          </w:p>
        </w:tc>
      </w:tr>
      <w:tr>
        <w:tc>
          <w:tcPr>
            <w:tcW w:type="dxa" w:w="1296"/>
            <w:shd w:val="clear" w:color="auto" w:fill="F5F5F5"/>
          </w:tcPr>
          <w:p>
            <w:r>
              <w:t>P2 – High</w:t>
            </w:r>
          </w:p>
        </w:tc>
        <w:tc>
          <w:tcPr>
            <w:tcW w:type="dxa" w:w="2880"/>
            <w:shd w:val="clear" w:color="auto" w:fill="F5F5F5"/>
          </w:tcPr>
          <w:p>
            <w:r>
              <w:t>Major feature broken, no workaround</w:t>
            </w:r>
          </w:p>
        </w:tc>
        <w:tc>
          <w:tcPr>
            <w:tcW w:type="dxa" w:w="1872"/>
            <w:shd w:val="clear" w:color="auto" w:fill="F5F5F5"/>
          </w:tcPr>
          <w:p>
            <w:r>
              <w:t>1 hour</w:t>
            </w:r>
          </w:p>
        </w:tc>
        <w:tc>
          <w:tcPr>
            <w:tcW w:type="dxa" w:w="3168"/>
            <w:shd w:val="clear" w:color="auto" w:fill="F5F5F5"/>
          </w:tcPr>
          <w:p>
            <w:r>
              <w:t>On-call → Tech Lead</w:t>
            </w:r>
          </w:p>
        </w:tc>
      </w:tr>
      <w:tr>
        <w:tc>
          <w:tcPr>
            <w:tcW w:type="dxa" w:w="1296"/>
          </w:tcPr>
          <w:p>
            <w:r>
              <w:t>P3 – Medium</w:t>
            </w:r>
          </w:p>
        </w:tc>
        <w:tc>
          <w:tcPr>
            <w:tcW w:type="dxa" w:w="2880"/>
          </w:tcPr>
          <w:p>
            <w:r>
              <w:t>Feature degraded, workaround exists</w:t>
            </w:r>
          </w:p>
        </w:tc>
        <w:tc>
          <w:tcPr>
            <w:tcW w:type="dxa" w:w="1872"/>
          </w:tcPr>
          <w:p>
            <w:r>
              <w:t>Next business day</w:t>
            </w:r>
          </w:p>
        </w:tc>
        <w:tc>
          <w:tcPr>
            <w:tcW w:type="dxa" w:w="3168"/>
          </w:tcPr>
          <w:p>
            <w:r>
              <w:t>On-call → Jira ticket</w:t>
            </w:r>
          </w:p>
        </w:tc>
      </w:tr>
      <w:tr>
        <w:tc>
          <w:tcPr>
            <w:tcW w:type="dxa" w:w="1296"/>
            <w:shd w:val="clear" w:color="auto" w:fill="F5F5F5"/>
          </w:tcPr>
          <w:p>
            <w:r>
              <w:t>P4 – Low</w:t>
            </w:r>
          </w:p>
        </w:tc>
        <w:tc>
          <w:tcPr>
            <w:tcW w:type="dxa" w:w="2880"/>
            <w:shd w:val="clear" w:color="auto" w:fill="F5F5F5"/>
          </w:tcPr>
          <w:p>
            <w:r>
              <w:t>Minor cosmetic or edge case</w:t>
            </w:r>
          </w:p>
        </w:tc>
        <w:tc>
          <w:tcPr>
            <w:tcW w:type="dxa" w:w="1872"/>
            <w:shd w:val="clear" w:color="auto" w:fill="F5F5F5"/>
          </w:tcPr>
          <w:p>
            <w:r>
              <w:t>1 week</w:t>
            </w:r>
          </w:p>
        </w:tc>
        <w:tc>
          <w:tcPr>
            <w:tcW w:type="dxa" w:w="3168"/>
            <w:shd w:val="clear" w:color="auto" w:fill="F5F5F5"/>
          </w:tcPr>
          <w:p>
            <w:r>
              <w:t>Jira ticket only</w:t>
            </w:r>
          </w:p>
        </w:tc>
      </w:tr>
    </w:tbl>
    <w:p/>
    <w:p>
      <w:pPr>
        <w:jc w:val="both"/>
      </w:pPr>
      <w:r>
        <w:t>If you are paged for something you cannot resolve alone, **escalate immediately**. There is no shame in escalating — staying silent while an incident worsens is the only wrong answer. Runbooks for common incidents are in Confluence under Engineering &gt; Runbooks.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