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FC9795A">
      <w:pPr>
        <w:keepNext w:val="1"/>
        <w:keepLines w:val="1"/>
        <w:spacing w:before="100" w:beforeAutospacing="1" w:after="100" w:afterAutospacing="1"/>
        <w:outlineLvl w:val="0"/>
        <w:rPr>
          <w:kern w:val="44"/>
          <w:sz w:val="44"/>
          <w:szCs w:val="44"/>
        </w:rPr>
      </w:pPr>
      <w:r>
        <w:rPr>
          <w:rFonts w:hint="eastAsia"/>
          <w:b w:val="1"/>
          <w:sz w:val="44"/>
        </w:rPr>
        <w:t>Hybrid TEE-Rollup 实验补充详细流程</w:t>
      </w:r>
    </w:p>
    <w:p w14:paraId="38B3BC43">
      <w:pPr>
        <w:keepNext w:val="1"/>
        <w:keepLines w:val="1"/>
        <w:spacing w:before="100" w:beforeAutospacing="1" w:after="100" w:afterAutospacing="1"/>
        <w:outlineLvl w:val="1"/>
        <w:rPr>
          <w:sz w:val="32"/>
          <w:szCs w:val="32"/>
        </w:rPr>
      </w:pPr>
      <w:r>
        <w:rPr>
          <w:rFonts w:hint="eastAsia"/>
          <w:b w:val="1"/>
          <w:sz w:val="32"/>
        </w:rPr>
        <w:t>1. 文档目的与执行原则</w:t>
      </w:r>
    </w:p>
    <w:p w14:paraId="7F6C8724">
      <w:r>
        <w:rPr>
          <w:rFonts w:hint="eastAsia"/>
        </w:rPr>
        <w:t>本流程专门用于补充论文第5章实验，不修改原论文正文。目标是把专家提出的“模拟TEE、模拟DA、未对接真实网络、缺少完整罚没闭环、缺少端到端与跨方案定量比较”等问题，转化为可复现的实验任务、数据表和论文证据。</w:t>
      </w:r>
    </w:p>
    <w:p w14:paraId="20FF7807">
      <w:r>
        <w:rPr>
          <w:rFonts w:hint="eastAsia"/>
        </w:rPr>
        <w:t>执行顺序必须是：</w:t>
      </w:r>
      <w:r>
        <w:rPr>
          <w:rFonts w:hint="eastAsia"/>
          <w:b w:val="1"/>
        </w:rPr>
        <w:t>冻结协议版本 → 建立实验环境 → 先跑本地闭环 → 再做真实TEE → 再做真实Blob/DA → 最后做性能、成本和第三方比较 → 统一统计 → 回填论文</w:t>
      </w:r>
      <w:r>
        <w:rPr>
          <w:rFonts w:hint="eastAsia"/>
        </w:rPr>
        <w:t>。任何一组实验都不能先写结论后补数据。</w:t>
      </w:r>
    </w:p>
    <w:p w14:paraId="2996AFFD">
      <w:r>
        <w:rPr>
          <w:rFonts w:hint="eastAsia"/>
        </w:rPr>
        <w:t>本流程采用三种结果标签：</w:t>
      </w:r>
    </w:p>
    <w:p w14:paraId="1C12F579">
      <w:pPr>
        <w:numPr>
          <w:ilvl w:val="0"/>
          <w:numId w:val="1"/>
        </w:numPr>
      </w:pPr>
      <w:r>
        <w:rPr>
          <w:rFonts w:hint="eastAsia"/>
          <w:b w:val="1"/>
        </w:rPr>
        <w:t>已完成</w:t>
      </w:r>
      <w:r>
        <w:rPr>
          <w:rFonts w:hint="eastAsia"/>
        </w:rPr>
        <w:t>：有原始日志、配置、代码版本和可复核输出；</w:t>
      </w:r>
    </w:p>
    <w:p w14:paraId="27E58AA7">
      <w:pPr>
        <w:numPr>
          <w:ilvl w:val="0"/>
          <w:numId w:val="1"/>
        </w:numPr>
      </w:pPr>
      <w:r>
        <w:rPr>
          <w:rFonts w:hint="eastAsia"/>
          <w:b w:val="1"/>
        </w:rPr>
        <w:t>可用于基线</w:t>
      </w:r>
      <w:r>
        <w:rPr>
          <w:rFonts w:hint="eastAsia"/>
        </w:rPr>
        <w:t>：实验可复现，但环境受控，不能外推到公网或生产；</w:t>
      </w:r>
    </w:p>
    <w:p w14:paraId="6636AD66">
      <w:pPr>
        <w:numPr>
          <w:ilvl w:val="0"/>
          <w:numId w:val="1"/>
        </w:numPr>
      </w:pPr>
      <w:r>
        <w:rPr>
          <w:rFonts w:hint="eastAsia"/>
          <w:b w:val="1"/>
        </w:rPr>
        <w:t>阻塞/未完成</w:t>
      </w:r>
      <w:r>
        <w:rPr>
          <w:rFonts w:hint="eastAsia"/>
        </w:rPr>
        <w:t>：缺少真实资源、凭据、部署或独立验证，论文不得写成已验证。</w:t>
      </w:r>
    </w:p>
    <w:p w14:paraId="5E6FB112">
      <w:r>
        <w:rPr>
          <w:rFonts w:hint="eastAsia"/>
        </w:rPr>
        <w:t>当前基线中，真实Sepolia Blob发布、Beacon独立取回和真实TEE Quote均未完成；因此下面的真实实验部分是待执行流程，不是现有结果。</w:t>
      </w:r>
    </w:p>
    <w:p w14:paraId="692574EB">
      <w:pPr>
        <w:keepNext w:val="1"/>
        <w:keepLines w:val="1"/>
        <w:spacing w:before="100" w:beforeAutospacing="1" w:after="100" w:afterAutospacing="1"/>
        <w:outlineLvl w:val="1"/>
        <w:rPr>
          <w:sz w:val="32"/>
          <w:szCs w:val="32"/>
        </w:rPr>
      </w:pPr>
      <w:r>
        <w:rPr>
          <w:rFonts w:hint="eastAsia"/>
          <w:b w:val="1"/>
          <w:sz w:val="32"/>
        </w:rPr>
        <w:t>2. 实验总览与依赖关系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Pr>
          <w:p w14:paraId="6001E2D5">
            <w:pPr>
              <w:rPr>
                <w:b w:val="1"/>
                <w:bCs w:val="1"/>
              </w:rPr>
            </w:pPr>
            <w:r>
              <w:rPr>
                <w:rFonts w:hint="eastAsia"/>
                <w:b w:val="1"/>
              </w:rPr>
              <w:t>阶段</w:t>
            </w:r>
          </w:p>
        </w:tc>
        <w:tc>
          <w:tcPr>
            <w:tcW w:w="1661" w:type="dxa"/>
          </w:tcPr>
          <w:p w14:paraId="17794877">
            <w:pPr>
              <w:rPr>
                <w:b w:val="1"/>
                <w:bCs w:val="1"/>
              </w:rPr>
            </w:pPr>
            <w:r>
              <w:rPr>
                <w:rFonts w:hint="eastAsia"/>
                <w:b w:val="1"/>
              </w:rPr>
              <w:t>实验模块</w:t>
            </w:r>
          </w:p>
        </w:tc>
        <w:tc>
          <w:tcPr>
            <w:tcW w:w="1661" w:type="dxa"/>
          </w:tcPr>
          <w:p w14:paraId="63DB7BCD">
            <w:pPr>
              <w:rPr>
                <w:b w:val="1"/>
                <w:bCs w:val="1"/>
              </w:rPr>
            </w:pPr>
            <w:r>
              <w:rPr>
                <w:rFonts w:hint="eastAsia"/>
                <w:b w:val="1"/>
              </w:rPr>
              <w:t>直接回答的审稿问题</w:t>
            </w:r>
          </w:p>
        </w:tc>
        <w:tc>
          <w:tcPr>
            <w:tcW w:w="1661" w:type="dxa"/>
          </w:tcPr>
          <w:p w14:paraId="11CB4AAD">
            <w:pPr>
              <w:rPr>
                <w:b w:val="1"/>
                <w:bCs w:val="1"/>
              </w:rPr>
            </w:pPr>
            <w:r>
              <w:rPr>
                <w:rFonts w:hint="eastAsia"/>
                <w:b w:val="1"/>
              </w:rPr>
              <w:t>是否依赖外部资源</w:t>
            </w:r>
          </w:p>
        </w:tc>
        <w:tc>
          <w:tcPr>
            <w:tcW w:w="1661" w:type="dxa"/>
          </w:tcPr>
          <w:p w14:paraId="4712F2A2">
            <w:pPr>
              <w:rPr>
                <w:b w:val="1"/>
                <w:bCs w:val="1"/>
              </w:rPr>
            </w:pPr>
            <w:r>
              <w:rPr>
                <w:rFonts w:hint="eastAsia"/>
                <w:b w:val="1"/>
              </w:rPr>
              <w:t>主要产物</w:t>
            </w:r>
          </w:p>
        </w:tc>
      </w:tr>
      <w:tr>
        <w:trPr/>
        <w:tc>
          <w:tcPr>
            <w:tcW w:w="1661" w:type="dxa"/>
          </w:tcPr>
          <w:p w14:paraId="3E322464">
            <w:r>
              <w:t>A</w:t>
            </w:r>
          </w:p>
        </w:tc>
        <w:tc>
          <w:tcPr>
            <w:tcW w:w="1661" w:type="dxa"/>
          </w:tcPr>
          <w:p w14:paraId="2880799A">
            <w:r>
              <w:rPr>
                <w:rFonts w:hint="eastAsia"/>
              </w:rPr>
              <w:t>版本、环境和口径冻结</w:t>
            </w:r>
          </w:p>
        </w:tc>
        <w:tc>
          <w:tcPr>
            <w:tcW w:w="1661" w:type="dxa"/>
          </w:tcPr>
          <w:p w14:paraId="56E746BD">
            <w:r>
              <w:rPr>
                <w:rFonts w:hint="eastAsia"/>
              </w:rPr>
              <w:t>所有实验能否复现</w:t>
            </w:r>
          </w:p>
        </w:tc>
        <w:tc>
          <w:tcPr>
            <w:tcW w:w="1661" w:type="dxa"/>
          </w:tcPr>
          <w:p w14:paraId="33BF4C0A">
            <w:r>
              <w:rPr>
                <w:rFonts w:hint="eastAsia"/>
              </w:rPr>
              <w:t>否</w:t>
            </w:r>
          </w:p>
        </w:tc>
        <w:tc>
          <w:tcPr>
            <w:tcW w:w="1661" w:type="dxa"/>
          </w:tcPr>
          <w:p w14:paraId="1F80564E">
            <w:r>
              <w:rPr>
                <w:rFonts w:hint="eastAsia"/>
              </w:rPr>
              <w:t>run_manifest、commit、配置、数据字典</w:t>
            </w:r>
          </w:p>
        </w:tc>
      </w:tr>
      <w:tr>
        <w:trPr/>
        <w:tc>
          <w:tcPr>
            <w:tcW w:w="1661" w:type="dxa"/>
          </w:tcPr>
          <w:p w14:paraId="16E4B8CC">
            <w:r>
              <w:t>B</w:t>
            </w:r>
          </w:p>
        </w:tc>
        <w:tc>
          <w:tcPr>
            <w:tcW w:w="1661" w:type="dxa"/>
          </w:tcPr>
          <w:p w14:paraId="0313E657">
            <w:r>
              <w:rPr>
                <w:rFonts w:hint="eastAsia"/>
              </w:rPr>
              <w:t>功能、安全和资金闭环</w:t>
            </w:r>
          </w:p>
        </w:tc>
        <w:tc>
          <w:tcPr>
            <w:tcW w:w="1661" w:type="dxa"/>
          </w:tcPr>
          <w:p w14:paraId="2349513E">
            <w:r>
              <w:rPr>
                <w:rFonts w:hint="eastAsia"/>
              </w:rPr>
              <w:t>故障是否可检测、可归责并真正罚没</w:t>
            </w:r>
          </w:p>
        </w:tc>
        <w:tc>
          <w:tcPr>
            <w:tcW w:w="1661" w:type="dxa"/>
          </w:tcPr>
          <w:p w14:paraId="33790888">
            <w:r>
              <w:rPr>
                <w:rFonts w:hint="eastAsia"/>
              </w:rPr>
              <w:t>否，使用本地链</w:t>
            </w:r>
          </w:p>
        </w:tc>
        <w:tc>
          <w:tcPr>
            <w:tcW w:w="1661" w:type="dxa"/>
          </w:tcPr>
          <w:p w14:paraId="58573B93">
            <w:r>
              <w:rPr>
                <w:rFonts w:hint="eastAsia"/>
              </w:rPr>
              <w:t>测试报告、事件、余额账本</w:t>
            </w:r>
          </w:p>
        </w:tc>
      </w:tr>
      <w:tr>
        <w:trPr/>
        <w:tc>
          <w:tcPr>
            <w:tcW w:w="1661" w:type="dxa"/>
          </w:tcPr>
          <w:p w14:paraId="53779B9D">
            <w:r>
              <w:t>C</w:t>
            </w:r>
          </w:p>
        </w:tc>
        <w:tc>
          <w:tcPr>
            <w:tcW w:w="1661" w:type="dxa"/>
          </w:tcPr>
          <w:p w14:paraId="42B6D4A1">
            <w:r>
              <w:rPr>
                <w:rFonts w:hint="eastAsia"/>
              </w:rPr>
              <w:t>恢复与DoS</w:t>
            </w:r>
          </w:p>
        </w:tc>
        <w:tc>
          <w:tcPr>
            <w:tcW w:w="1661" w:type="dxa"/>
          </w:tcPr>
          <w:p w14:paraId="7B38FC42">
            <w:r>
              <w:rPr>
                <w:rFonts w:hint="eastAsia"/>
              </w:rPr>
              <w:t>恢复谁触发、是否重放/延长/回滚、是否终止</w:t>
            </w:r>
          </w:p>
        </w:tc>
        <w:tc>
          <w:tcPr>
            <w:tcW w:w="1661" w:type="dxa"/>
          </w:tcPr>
          <w:p w14:paraId="0B3BC430">
            <w:r>
              <w:rPr>
                <w:rFonts w:hint="eastAsia"/>
              </w:rPr>
              <w:t>否，使用本地链</w:t>
            </w:r>
          </w:p>
        </w:tc>
        <w:tc>
          <w:tcPr>
            <w:tcW w:w="1661" w:type="dxa"/>
          </w:tcPr>
          <w:p w14:paraId="6FB28437">
            <w:r>
              <w:rPr>
                <w:rFonts w:hint="eastAsia"/>
              </w:rPr>
              <w:t>状态轨迹、攻击矩阵、时间数据</w:t>
            </w:r>
          </w:p>
        </w:tc>
      </w:tr>
      <w:tr>
        <w:trPr/>
        <w:tc>
          <w:tcPr>
            <w:tcW w:w="1661" w:type="dxa"/>
          </w:tcPr>
          <w:p w14:paraId="669237F1">
            <w:r>
              <w:t>D</w:t>
            </w:r>
          </w:p>
        </w:tc>
        <w:tc>
          <w:tcPr>
            <w:tcW w:w="1661" w:type="dxa"/>
          </w:tcPr>
          <w:p w14:paraId="3B161F89">
            <w:r>
              <w:rPr>
                <w:rFonts w:hint="eastAsia"/>
              </w:rPr>
              <w:t>真实TEE</w:t>
            </w:r>
          </w:p>
        </w:tc>
        <w:tc>
          <w:tcPr>
            <w:tcW w:w="1661" w:type="dxa"/>
          </w:tcPr>
          <w:p w14:paraId="3D9F8675">
            <w:r>
              <w:rPr>
                <w:rFonts w:hint="eastAsia"/>
              </w:rPr>
              <w:t>模拟证明能否替换为真实远程证明</w:t>
            </w:r>
          </w:p>
        </w:tc>
        <w:tc>
          <w:tcPr>
            <w:tcW w:w="1661" w:type="dxa"/>
          </w:tcPr>
          <w:p w14:paraId="44A4ADBB">
            <w:r>
              <w:rPr>
                <w:rFonts w:hint="eastAsia"/>
              </w:rPr>
              <w:t>是，SGX/TDX实例</w:t>
            </w:r>
          </w:p>
        </w:tc>
        <w:tc>
          <w:tcPr>
            <w:tcW w:w="1661" w:type="dxa"/>
          </w:tcPr>
          <w:p w14:paraId="39CB73B7">
            <w:r>
              <w:rPr>
                <w:rFonts w:hint="eastAsia"/>
              </w:rPr>
              <w:t>Quote、collateral、独立验证记录</w:t>
            </w:r>
          </w:p>
        </w:tc>
      </w:tr>
      <w:tr>
        <w:trPr/>
        <w:tc>
          <w:tcPr>
            <w:tcW w:w="1661" w:type="dxa"/>
          </w:tcPr>
          <w:p w14:paraId="309383F5">
            <w:r>
              <w:t>E</w:t>
            </w:r>
          </w:p>
        </w:tc>
        <w:tc>
          <w:tcPr>
            <w:tcW w:w="1661" w:type="dxa"/>
          </w:tcPr>
          <w:p w14:paraId="7C72102C">
            <w:r>
              <w:rPr>
                <w:rFonts w:hint="eastAsia"/>
              </w:rPr>
              <w:t>真实Blob/DA</w:t>
            </w:r>
          </w:p>
        </w:tc>
        <w:tc>
          <w:tcPr>
            <w:tcW w:w="1661" w:type="dxa"/>
          </w:tcPr>
          <w:p w14:paraId="17ACF506">
            <w:r>
              <w:rPr>
                <w:rFonts w:hint="eastAsia"/>
              </w:rPr>
              <w:t>Blob是否发布、可独立取回并与任务绑定</w:t>
            </w:r>
          </w:p>
        </w:tc>
        <w:tc>
          <w:tcPr>
            <w:tcW w:w="1661" w:type="dxa"/>
          </w:tcPr>
          <w:p w14:paraId="782F86FE">
            <w:r>
              <w:rPr>
                <w:rFonts w:hint="eastAsia"/>
              </w:rPr>
              <w:t>是，RPC、测试币、取回端点</w:t>
            </w:r>
          </w:p>
        </w:tc>
        <w:tc>
          <w:tcPr>
            <w:tcW w:w="1661" w:type="dxa"/>
          </w:tcPr>
          <w:p w14:paraId="0A7CD04A">
            <w:r>
              <w:rPr>
                <w:rFonts w:hint="eastAsia"/>
              </w:rPr>
              <w:t>tx receipt、Blob验证、DA挑战结算</w:t>
            </w:r>
          </w:p>
        </w:tc>
      </w:tr>
      <w:tr>
        <w:trPr/>
        <w:tc>
          <w:tcPr>
            <w:tcW w:w="1661" w:type="dxa"/>
          </w:tcPr>
          <w:p w14:paraId="058046CC">
            <w:r>
              <w:t>F</w:t>
            </w:r>
          </w:p>
        </w:tc>
        <w:tc>
          <w:tcPr>
            <w:tcW w:w="1661" w:type="dxa"/>
          </w:tcPr>
          <w:p w14:paraId="336B316B">
            <w:r>
              <w:rPr>
                <w:rFonts w:hint="eastAsia"/>
              </w:rPr>
              <w:t>性能、费用和消融</w:t>
            </w:r>
          </w:p>
        </w:tc>
        <w:tc>
          <w:tcPr>
            <w:tcW w:w="1661" w:type="dxa"/>
          </w:tcPr>
          <w:p w14:paraId="72B9FC08">
            <w:r>
              <w:rPr>
                <w:rFonts w:hint="eastAsia"/>
              </w:rPr>
              <w:t>成本、吞吐、恢复开销是否有量化依据</w:t>
            </w:r>
          </w:p>
        </w:tc>
        <w:tc>
          <w:tcPr>
            <w:tcW w:w="1661" w:type="dxa"/>
          </w:tcPr>
          <w:p w14:paraId="15CF2313">
            <w:r>
              <w:rPr>
                <w:rFonts w:hint="eastAsia"/>
              </w:rPr>
              <w:t>本地链；真实费用需外部链</w:t>
            </w:r>
          </w:p>
        </w:tc>
        <w:tc>
          <w:tcPr>
            <w:tcW w:w="1661" w:type="dxa"/>
          </w:tcPr>
          <w:p w14:paraId="57F6E86A">
            <w:r>
              <w:rPr>
                <w:rFonts w:hint="eastAsia"/>
              </w:rPr>
              <w:t>raw samples、统计表、图</w:t>
            </w:r>
          </w:p>
        </w:tc>
      </w:tr>
      <w:tr>
        <w:trPr/>
        <w:tc>
          <w:tcPr>
            <w:tcW w:w="1661" w:type="dxa"/>
          </w:tcPr>
          <w:p w14:paraId="4CA56AD0">
            <w:r>
              <w:t>G</w:t>
            </w:r>
          </w:p>
        </w:tc>
        <w:tc>
          <w:tcPr>
            <w:tcW w:w="1661" w:type="dxa"/>
          </w:tcPr>
          <w:p w14:paraId="205DDA3D">
            <w:r>
              <w:rPr>
                <w:rFonts w:hint="eastAsia"/>
              </w:rPr>
              <w:t>第三方比较</w:t>
            </w:r>
          </w:p>
        </w:tc>
        <w:tc>
          <w:tcPr>
            <w:tcW w:w="1661" w:type="dxa"/>
          </w:tcPr>
          <w:p w14:paraId="1C49978B">
            <w:r>
              <w:rPr>
                <w:rFonts w:hint="eastAsia"/>
              </w:rPr>
              <w:t>相较TeeRollup、Arbitrum、Optimism是否有实质差异</w:t>
            </w:r>
          </w:p>
        </w:tc>
        <w:tc>
          <w:tcPr>
            <w:tcW w:w="1661" w:type="dxa"/>
          </w:tcPr>
          <w:p w14:paraId="2C497F07">
            <w:r>
              <w:rPr>
                <w:rFonts w:hint="eastAsia"/>
              </w:rPr>
              <w:t>视官方实现而定</w:t>
            </w:r>
          </w:p>
        </w:tc>
        <w:tc>
          <w:tcPr>
            <w:tcW w:w="1661" w:type="dxa"/>
          </w:tcPr>
          <w:p w14:paraId="13AFFCEF">
            <w:r>
              <w:rPr>
                <w:rFonts w:hint="eastAsia"/>
              </w:rPr>
              <w:t>机制矩阵、可比实验、限制说明</w:t>
            </w:r>
          </w:p>
        </w:tc>
      </w:tr>
      <w:tr>
        <w:trPr/>
        <w:tc>
          <w:tcPr>
            <w:tcW w:w="1661" w:type="dxa"/>
          </w:tcPr>
          <w:p w14:paraId="08805921">
            <w:r>
              <w:t>H</w:t>
            </w:r>
          </w:p>
        </w:tc>
        <w:tc>
          <w:tcPr>
            <w:tcW w:w="1661" w:type="dxa"/>
          </w:tcPr>
          <w:p w14:paraId="425EEE2A">
            <w:r>
              <w:rPr>
                <w:rFonts w:hint="eastAsia"/>
              </w:rPr>
              <w:t>论文回填</w:t>
            </w:r>
          </w:p>
        </w:tc>
        <w:tc>
          <w:tcPr>
            <w:tcW w:w="1661" w:type="dxa"/>
          </w:tcPr>
          <w:p w14:paraId="6549B140">
            <w:r>
              <w:rPr>
                <w:rFonts w:hint="eastAsia"/>
              </w:rPr>
              <w:t>每个数字和结论是否有来源</w:t>
            </w:r>
          </w:p>
        </w:tc>
        <w:tc>
          <w:tcPr>
            <w:tcW w:w="1661" w:type="dxa"/>
          </w:tcPr>
          <w:p w14:paraId="4392024C">
            <w:r>
              <w:rPr>
                <w:rFonts w:hint="eastAsia"/>
              </w:rPr>
              <w:t>否</w:t>
            </w:r>
          </w:p>
        </w:tc>
        <w:tc>
          <w:tcPr>
            <w:tcW w:w="1661" w:type="dxa"/>
          </w:tcPr>
          <w:p w14:paraId="48CB3B78">
            <w:r>
              <w:rPr>
                <w:rFonts w:hint="eastAsia"/>
              </w:rPr>
              <w:t>第5章、图表、逐条答复</w:t>
            </w:r>
          </w:p>
        </w:tc>
      </w:tr>
    </w:tbl>
    <w:p w14:paraId="0B5DC205">
      <w:r>
        <w:rPr>
          <w:rFonts w:hint="eastAsia"/>
        </w:rPr>
        <w:t>依赖关系：A→B→C；A→D；A→E；B/C/D/E→F；A和文献核对可并行进行G；B至G完成后才能进行H。若D或E因资源阻塞，应将对应结果写为未完成/范围收缩，不得用Mock或离线材料填充“真实实验”栏目。</w:t>
      </w:r>
    </w:p>
    <w:p w14:paraId="64FF283F">
      <w:pPr>
        <w:keepNext w:val="1"/>
        <w:keepLines w:val="1"/>
        <w:spacing w:before="100" w:beforeAutospacing="1" w:after="100" w:afterAutospacing="1"/>
        <w:outlineLvl w:val="1"/>
        <w:rPr>
          <w:sz w:val="32"/>
          <w:szCs w:val="32"/>
        </w:rPr>
      </w:pPr>
      <w:r>
        <w:rPr>
          <w:rFonts w:hint="eastAsia"/>
          <w:b w:val="1"/>
          <w:sz w:val="32"/>
        </w:rPr>
        <w:t>3. 阶段A：冻结版本、环境和实验口径</w:t>
      </w:r>
    </w:p>
    <w:p w14:paraId="2924DBD6">
      <w:pPr>
        <w:keepNext w:val="1"/>
        <w:keepLines w:val="1"/>
        <w:spacing w:before="100" w:beforeAutospacing="1" w:after="100" w:afterAutospacing="1"/>
        <w:outlineLvl w:val="2"/>
        <w:rPr>
          <w:sz w:val="32"/>
          <w:szCs w:val="32"/>
        </w:rPr>
      </w:pPr>
      <w:r>
        <w:rPr>
          <w:rFonts w:hint="eastAsia"/>
          <w:b w:val="1"/>
          <w:sz w:val="32"/>
        </w:rPr>
        <w:t>A1. 建立独立返修实验分支</w:t>
      </w:r>
    </w:p>
    <w:p w14:paraId="572D170D">
      <w:pPr>
        <w:numPr>
          <w:ilvl w:val="0"/>
          <w:numId w:val="2"/>
        </w:numPr>
      </w:pPr>
      <w:r>
        <w:rPr>
          <w:rFonts w:hint="eastAsia"/>
        </w:rPr>
        <w:t xml:space="preserve">复制当前基线run目录，不覆盖 </w:t>
      </w:r>
      <w:r>
        <w:rPr>
          <w:rFonts w:ascii="Consolas" w:hAnsi="Consolas" w:eastAsia="Consolas" w:cs="Consolas"/>
          <w:shd w:val="clear" w:fill="f5f5f5"/>
        </w:rPr>
        <w:t>revision_runs/20260911T095029Z</w:t>
      </w:r>
      <w:r>
        <w:rPr>
          <w:rFonts w:hint="eastAsia"/>
        </w:rPr>
        <w:t>。</w:t>
      </w:r>
    </w:p>
    <w:p w14:paraId="10BD1406">
      <w:pPr>
        <w:numPr>
          <w:ilvl w:val="0"/>
          <w:numId w:val="2"/>
        </w:numPr>
      </w:pPr>
      <w:r>
        <w:rPr>
          <w:rFonts w:hint="eastAsia"/>
        </w:rPr>
        <w:t xml:space="preserve">创建新的 </w:t>
      </w:r>
      <w:r>
        <w:rPr>
          <w:rFonts w:ascii="Consolas" w:hAnsi="Consolas" w:eastAsia="Consolas" w:cs="Consolas"/>
          <w:shd w:val="clear" w:fill="f5f5f5"/>
        </w:rPr>
        <w:t>REVISION_RUN</w:t>
      </w:r>
      <w:r>
        <w:rPr>
          <w:rFonts w:hint="eastAsia"/>
        </w:rPr>
        <w:t>，记录日期、git commit、Node/Python版本、依赖锁定文件、操作系统、Hardhat hardfork、chainId和账户配置。</w:t>
      </w:r>
    </w:p>
    <w:p w14:paraId="406C5967">
      <w:pPr>
        <w:numPr>
          <w:ilvl w:val="0"/>
          <w:numId w:val="2"/>
        </w:numPr>
      </w:pPr>
      <w:r>
        <w:rPr>
          <w:rFonts w:hint="eastAsia"/>
        </w:rPr>
        <w:t>记录唯一权威合约入口。</w:t>
      </w:r>
      <w:r>
        <w:rPr>
          <w:rFonts w:ascii="Consolas" w:hAnsi="Consolas" w:eastAsia="Consolas" w:cs="Consolas"/>
          <w:shd w:val="clear" w:fill="f5f5f5"/>
        </w:rPr>
        <w:t>BoundedTaskRollup.sol</w:t>
      </w:r>
      <w:r>
        <w:rPr>
          <w:rFonts w:hint="eastAsia"/>
        </w:rPr>
        <w:t xml:space="preserve">、旧的 </w:t>
      </w:r>
      <w:r>
        <w:rPr>
          <w:rFonts w:ascii="Consolas" w:hAnsi="Consolas" w:eastAsia="Consolas" w:cs="Consolas"/>
          <w:shd w:val="clear" w:fill="f5f5f5"/>
        </w:rPr>
        <w:t>HybridTEERollup.sol</w:t>
      </w:r>
      <w:r>
        <w:rPr>
          <w:rFonts w:hint="eastAsia"/>
        </w:rPr>
        <w:t>、Blob锚定合约和Mock合约必须在实验清单中标注用途，避免把旧实现结果混入新实现。</w:t>
      </w:r>
    </w:p>
    <w:p w14:paraId="35AF0F71">
      <w:pPr>
        <w:numPr>
          <w:ilvl w:val="0"/>
          <w:numId w:val="2"/>
        </w:numPr>
      </w:pPr>
      <w:r>
        <w:rPr>
          <w:rFonts w:hint="eastAsia"/>
        </w:rPr>
        <w:t xml:space="preserve">新增 </w:t>
      </w:r>
      <w:r>
        <w:rPr>
          <w:rFonts w:ascii="Consolas" w:hAnsi="Consolas" w:eastAsia="Consolas" w:cs="Consolas"/>
          <w:shd w:val="clear" w:fill="f5f5f5"/>
        </w:rPr>
        <w:t>run_manifest.json</w:t>
      </w:r>
      <w:r>
        <w:rPr>
          <w:rFonts w:hint="eastAsia"/>
        </w:rPr>
        <w:t>，至少包含：实验编号、代码commit、配置哈希、随机种子、任务编码版本、编译器版本、优化参数、RPC端点类型、TEE/DA后端类型、时间戳和结果状态。</w:t>
      </w:r>
    </w:p>
    <w:p w14:paraId="23494EC3">
      <w:pPr>
        <w:keepNext w:val="1"/>
        <w:keepLines w:val="1"/>
        <w:spacing w:before="100" w:beforeAutospacing="1" w:after="100" w:afterAutospacing="1"/>
        <w:outlineLvl w:val="2"/>
        <w:rPr>
          <w:sz w:val="32"/>
          <w:szCs w:val="32"/>
        </w:rPr>
      </w:pPr>
      <w:r>
        <w:rPr>
          <w:rFonts w:hint="eastAsia"/>
          <w:b w:val="1"/>
          <w:sz w:val="32"/>
        </w:rPr>
        <w:t>A2. 冻结变量和分母</w:t>
      </w:r>
    </w:p>
    <w:p w14:paraId="07AB0DAB">
      <w:r>
        <w:rPr>
          <w:rFonts w:hint="eastAsia"/>
        </w:rPr>
        <w:t>统一以下定义，并写入数据字典：</w:t>
      </w:r>
    </w:p>
    <w:p w14:paraId="6332EC9A">
      <w:pPr>
        <w:numPr>
          <w:ilvl w:val="0"/>
          <w:numId w:val="1"/>
        </w:numPr>
      </w:pPr>
      <w:r>
        <w:rPr>
          <w:rFonts w:hint="eastAsia"/>
        </w:rPr>
        <w:t>batchSize：一批包含的任务数；</w:t>
      </w:r>
    </w:p>
    <w:p w14:paraId="71809AE6">
      <w:pPr>
        <w:numPr>
          <w:ilvl w:val="0"/>
          <w:numId w:val="1"/>
        </w:numPr>
      </w:pPr>
      <w:r>
        <w:rPr>
          <w:rFonts w:hint="eastAsia"/>
        </w:rPr>
        <w:t>payloadBytes：每个任务原始载荷字节数；</w:t>
      </w:r>
    </w:p>
    <w:p w14:paraId="5DB9ECB6">
      <w:pPr>
        <w:numPr>
          <w:ilvl w:val="0"/>
          <w:numId w:val="1"/>
        </w:numPr>
      </w:pPr>
      <w:r>
        <w:rPr>
          <w:rFonts w:hint="eastAsia"/>
        </w:rPr>
        <w:t>blobCount：按实际编码容量和填充后的Blob数；</w:t>
      </w:r>
    </w:p>
    <w:p w14:paraId="097F1051">
      <w:pPr>
        <w:numPr>
          <w:ilvl w:val="0"/>
          <w:numId w:val="1"/>
        </w:numPr>
      </w:pPr>
      <w:r>
        <w:rPr>
          <w:rFonts w:hint="eastAsia"/>
        </w:rPr>
        <w:t xml:space="preserve">concurrency：同时在途的任务或批次数，不能再用 </w:t>
      </w:r>
      <w:r>
        <w:rPr>
          <w:rFonts w:ascii="Consolas" w:hAnsi="Consolas" w:eastAsia="Consolas" w:cs="Consolas"/>
          <w:shd w:val="clear" w:fill="f5f5f5"/>
        </w:rPr>
        <w:t>min(batchSize, concurrency)</w:t>
      </w:r>
      <w:r>
        <w:rPr>
          <w:rFonts w:hint="eastAsia"/>
        </w:rPr>
        <w:t xml:space="preserve"> 替代用户设置；</w:t>
      </w:r>
    </w:p>
    <w:p w14:paraId="5C3A5BDD">
      <w:pPr>
        <w:numPr>
          <w:ilvl w:val="0"/>
          <w:numId w:val="1"/>
        </w:numPr>
      </w:pPr>
      <w:r>
        <w:rPr>
          <w:rFonts w:hint="eastAsia"/>
        </w:rPr>
        <w:t>acceptedTasks：链上已接受任务数；</w:t>
      </w:r>
    </w:p>
    <w:p w14:paraId="29DAF980">
      <w:pPr>
        <w:numPr>
          <w:ilvl w:val="0"/>
          <w:numId w:val="1"/>
        </w:numPr>
      </w:pPr>
      <w:r>
        <w:rPr>
          <w:rFonts w:hint="eastAsia"/>
        </w:rPr>
        <w:t>finalizedTasks：已完成协议终局的任务数；</w:t>
      </w:r>
    </w:p>
    <w:p w14:paraId="5B489F43">
      <w:pPr>
        <w:numPr>
          <w:ilvl w:val="0"/>
          <w:numId w:val="1"/>
        </w:numPr>
      </w:pPr>
      <w:r>
        <w:rPr>
          <w:rFonts w:hint="eastAsia"/>
        </w:rPr>
        <w:t>recoveryTime：从故障注入到恢复后首次有效推进、最终裁决和可提现的分段时间；</w:t>
      </w:r>
    </w:p>
    <w:p w14:paraId="696EC35D">
      <w:pPr>
        <w:numPr>
          <w:ilvl w:val="0"/>
          <w:numId w:val="1"/>
        </w:numPr>
      </w:pPr>
      <w:r>
        <w:rPr>
          <w:rFonts w:hint="eastAsia"/>
        </w:rPr>
        <w:t>submitCost、challengeCost、recoveryCost、settleCost：分别统计，不能只报总gas；</w:t>
      </w:r>
    </w:p>
    <w:p w14:paraId="6632C4E5">
      <w:pPr>
        <w:numPr>
          <w:ilvl w:val="0"/>
          <w:numId w:val="1"/>
        </w:numPr>
      </w:pPr>
      <w:r>
        <w:rPr>
          <w:rFonts w:hint="eastAsia"/>
        </w:rPr>
        <w:t>realFee：从真实receipt计算，区分L1执行费用和Blob gas费用；</w:t>
      </w:r>
    </w:p>
    <w:p w14:paraId="17640168">
      <w:pPr>
        <w:numPr>
          <w:ilvl w:val="0"/>
          <w:numId w:val="1"/>
        </w:numPr>
      </w:pPr>
      <w:r>
        <w:rPr>
          <w:rFonts w:hint="eastAsia"/>
        </w:rPr>
        <w:t>p50/p95：按独立运行或独立批次定义样本，不把同一批内任务不加说明地当成独立样本。</w:t>
      </w:r>
    </w:p>
    <w:p w14:paraId="68DA4A00">
      <w:r>
        <w:rPr>
          <w:rFonts w:hint="eastAsia"/>
        </w:rPr>
        <w:t xml:space="preserve">特别检查 </w:t>
      </w:r>
      <w:r>
        <w:rPr>
          <w:rFonts w:ascii="Consolas" w:hAnsi="Consolas" w:eastAsia="Consolas" w:cs="Consolas"/>
          <w:shd w:val="clear" w:fill="f5f5f5"/>
        </w:rPr>
        <w:t>blobcodec.js</w:t>
      </w:r>
      <w:r>
        <w:rPr>
          <w:rFonts w:hint="eastAsia"/>
        </w:rPr>
        <w:t xml:space="preserve"> 和性能脚本中的“每批KiB/每任务KiB”是否一致；未统一前不得比较摊销趋势。</w:t>
      </w:r>
    </w:p>
    <w:p w14:paraId="53BC0C13">
      <w:pPr>
        <w:keepNext w:val="1"/>
        <w:keepLines w:val="1"/>
        <w:spacing w:before="100" w:beforeAutospacing="1" w:after="100" w:afterAutospacing="1"/>
        <w:outlineLvl w:val="2"/>
        <w:rPr>
          <w:sz w:val="32"/>
          <w:szCs w:val="32"/>
        </w:rPr>
      </w:pPr>
      <w:r>
        <w:rPr>
          <w:rFonts w:hint="eastAsia"/>
          <w:b w:val="1"/>
          <w:sz w:val="32"/>
        </w:rPr>
        <w:t>A3. 先定义记录格式</w:t>
      </w:r>
    </w:p>
    <w:p w14:paraId="08254FF3">
      <w:r>
        <w:rPr>
          <w:rFonts w:hint="eastAsia"/>
        </w:rPr>
        <w:t>所有脚本应输出机器可读JSON/JSONL，不仅输出终端文本。每个样本包含：runId、caseId、seed、taskCount、payloadBytes、stepCount、concurrency、backend、start/end时间、交易哈希或本地区块、状态前后摘要、gas字段、费用字段、成功/失败原因和证据文件相对路径。</w:t>
      </w:r>
    </w:p>
    <w:p w14:paraId="6CB6ACD0">
      <w:pPr>
        <w:keepNext w:val="1"/>
        <w:keepLines w:val="1"/>
        <w:spacing w:before="100" w:beforeAutospacing="1" w:after="100" w:afterAutospacing="1"/>
        <w:outlineLvl w:val="1"/>
        <w:rPr>
          <w:sz w:val="32"/>
          <w:szCs w:val="32"/>
        </w:rPr>
      </w:pPr>
      <w:r>
        <w:rPr>
          <w:rFonts w:hint="eastAsia"/>
          <w:b w:val="1"/>
          <w:sz w:val="32"/>
        </w:rPr>
        <w:t>4. 阶段B：本地功能、安全和资金闭环</w:t>
      </w:r>
    </w:p>
    <w:p w14:paraId="30DE35C0">
      <w:pPr>
        <w:keepNext w:val="1"/>
        <w:keepLines w:val="1"/>
        <w:spacing w:before="100" w:beforeAutospacing="1" w:after="100" w:afterAutospacing="1"/>
        <w:outlineLvl w:val="2"/>
        <w:rPr>
          <w:sz w:val="32"/>
          <w:szCs w:val="32"/>
        </w:rPr>
      </w:pPr>
      <w:r>
        <w:rPr>
          <w:rFonts w:hint="eastAsia"/>
          <w:b w:val="1"/>
          <w:sz w:val="32"/>
        </w:rPr>
        <w:t>B1. 正常路径回归</w:t>
      </w:r>
    </w:p>
    <w:p w14:paraId="5B2C27E2">
      <w:r>
        <w:rPr>
          <w:rFonts w:hint="eastAsia"/>
        </w:rPr>
        <w:t>先执行编译、单元测试和正常提交/挑战/响应/裁决/终局/提现路径。验证：任务摘要唯一；签名绑定链、合约、任务nonce和程序版本；相同任务不能重复提交；失败交易不能改变状态；终局后不能重开；提现不能重复。</w:t>
      </w:r>
    </w:p>
    <w:p w14:paraId="2FD89E3E">
      <w:r>
        <w:rPr>
          <w:rFonts w:hint="eastAsia"/>
        </w:rPr>
        <w:t>现有入口可作为基线：</w:t>
      </w:r>
    </w:p>
    <w:p w14:paraId="0400B2B3">
      <w:pPr>
        <w:numPr>
          <w:ilvl w:val="0"/>
          <w:numId w:val="1"/>
        </w:numPr>
      </w:pPr>
      <w:r>
        <w:rPr>
          <w:rFonts w:ascii="Consolas" w:hAnsi="Consolas" w:eastAsia="Consolas" w:cs="Consolas"/>
          <w:shd w:val="clear" w:fill="f5f5f5"/>
        </w:rPr>
        <w:t>evm/revision/security.test.js</w:t>
      </w:r>
      <w:r>
        <w:rPr>
          <w:rFonts w:hint="eastAsia"/>
        </w:rPr>
        <w:t>：定向安全和资金测试；</w:t>
      </w:r>
    </w:p>
    <w:p w14:paraId="73015D37">
      <w:pPr>
        <w:numPr>
          <w:ilvl w:val="0"/>
          <w:numId w:val="1"/>
        </w:numPr>
      </w:pPr>
      <w:r>
        <w:rPr>
          <w:rFonts w:ascii="Consolas" w:hAnsi="Consolas" w:eastAsia="Consolas" w:cs="Consolas"/>
          <w:shd w:val="clear" w:fill="f5f5f5"/>
        </w:rPr>
        <w:t>evm/revision/random_security.js</w:t>
      </w:r>
      <w:r>
        <w:rPr>
          <w:rFonts w:hint="eastAsia"/>
        </w:rPr>
        <w:t>：固定种子随机序列；</w:t>
      </w:r>
    </w:p>
    <w:p w14:paraId="24CEDF4E">
      <w:pPr>
        <w:numPr>
          <w:ilvl w:val="0"/>
          <w:numId w:val="1"/>
        </w:numPr>
      </w:pPr>
      <w:r>
        <w:rPr>
          <w:rFonts w:ascii="Consolas" w:hAnsi="Consolas" w:eastAsia="Consolas" w:cs="Consolas"/>
          <w:shd w:val="clear" w:fill="f5f5f5"/>
        </w:rPr>
        <w:t>evm/revision/legacy_counterexamples.js</w:t>
      </w:r>
      <w:r>
        <w:rPr>
          <w:rFonts w:hint="eastAsia"/>
        </w:rPr>
        <w:t>：旧实现反例回归；</w:t>
      </w:r>
    </w:p>
    <w:p w14:paraId="7512930B">
      <w:pPr>
        <w:numPr>
          <w:ilvl w:val="0"/>
          <w:numId w:val="1"/>
        </w:numPr>
      </w:pPr>
      <w:r>
        <w:rPr>
          <w:rFonts w:ascii="Consolas" w:hAnsi="Consolas" w:eastAsia="Consolas" w:cs="Consolas"/>
          <w:shd w:val="clear" w:fill="f5f5f5"/>
        </w:rPr>
        <w:t>evm/revision/performance.js</w:t>
      </w:r>
      <w:r>
        <w:rPr>
          <w:rFonts w:hint="eastAsia"/>
        </w:rPr>
        <w:t>：本地性能与calldata基线；</w:t>
      </w:r>
    </w:p>
    <w:p w14:paraId="457709C1">
      <w:pPr>
        <w:numPr>
          <w:ilvl w:val="0"/>
          <w:numId w:val="1"/>
        </w:numPr>
      </w:pPr>
      <w:r>
        <w:rPr>
          <w:rFonts w:ascii="Consolas" w:hAnsi="Consolas" w:eastAsia="Consolas" w:cs="Consolas"/>
          <w:shd w:val="clear" w:fill="f5f5f5"/>
        </w:rPr>
        <w:t>evm/revision/blob_offline.js</w:t>
      </w:r>
      <w:r>
        <w:rPr>
          <w:rFonts w:hint="eastAsia"/>
        </w:rPr>
        <w:t>：离线KZG和Blob编码负例。</w:t>
      </w:r>
    </w:p>
    <w:p w14:paraId="766DEFA8">
      <w:r>
        <w:rPr>
          <w:rFonts w:hint="eastAsia"/>
        </w:rPr>
        <w:t>修改后必须用新run重新执行，旧报告只能作历史基线。</w:t>
      </w:r>
    </w:p>
    <w:p w14:paraId="3AD8E60B">
      <w:pPr>
        <w:keepNext w:val="1"/>
        <w:keepLines w:val="1"/>
        <w:spacing w:before="100" w:beforeAutospacing="1" w:after="100" w:afterAutospacing="1"/>
        <w:outlineLvl w:val="2"/>
        <w:rPr>
          <w:sz w:val="32"/>
          <w:szCs w:val="32"/>
        </w:rPr>
      </w:pPr>
      <w:r>
        <w:rPr>
          <w:rFonts w:hint="eastAsia"/>
          <w:b w:val="1"/>
          <w:sz w:val="32"/>
        </w:rPr>
        <w:t>B2. 故障场景矩阵</w:t>
      </w:r>
    </w:p>
    <w:p w14:paraId="1580CAC8">
      <w:r>
        <w:rPr>
          <w:rFonts w:hint="eastAsia"/>
        </w:rPr>
        <w:t>至少逐项执行以下case，并记录“检测、证据、责任方、状态、余额变化”五类结果：</w:t>
      </w:r>
    </w:p>
    <w:p w14:paraId="0357A24C">
      <w:pPr>
        <w:numPr>
          <w:ilvl w:val="0"/>
          <w:numId w:val="3"/>
        </w:numPr>
      </w:pPr>
      <w:r>
        <w:rPr>
          <w:rFonts w:hint="eastAsia"/>
        </w:rPr>
        <w:t>远程证明无效；</w:t>
      </w:r>
    </w:p>
    <w:p w14:paraId="0800DBA8">
      <w:pPr>
        <w:numPr>
          <w:ilvl w:val="0"/>
          <w:numId w:val="3"/>
        </w:numPr>
      </w:pPr>
      <w:r>
        <w:rPr>
          <w:rFonts w:hint="eastAsia"/>
        </w:rPr>
        <w:t>TEE结果与承诺不一致；</w:t>
      </w:r>
    </w:p>
    <w:p w14:paraId="79C85CAC">
      <w:pPr>
        <w:numPr>
          <w:ilvl w:val="0"/>
          <w:numId w:val="3"/>
        </w:numPr>
      </w:pPr>
      <w:r>
        <w:rPr>
          <w:rFonts w:hint="eastAsia"/>
        </w:rPr>
        <w:t>响应内容篡改；</w:t>
      </w:r>
    </w:p>
    <w:p w14:paraId="09A5653E">
      <w:pPr>
        <w:numPr>
          <w:ilvl w:val="0"/>
          <w:numId w:val="3"/>
        </w:numPr>
      </w:pPr>
      <w:r>
        <w:rPr>
          <w:rFonts w:hint="eastAsia"/>
        </w:rPr>
        <w:t>轨迹长度不匹配；</w:t>
      </w:r>
    </w:p>
    <w:p w14:paraId="19932D81">
      <w:pPr>
        <w:numPr>
          <w:ilvl w:val="0"/>
          <w:numId w:val="3"/>
        </w:numPr>
      </w:pPr>
      <w:r>
        <w:rPr>
          <w:rFonts w:hint="eastAsia"/>
        </w:rPr>
        <w:t>DA引用不存在；</w:t>
      </w:r>
    </w:p>
    <w:p w14:paraId="634A312A">
      <w:pPr>
        <w:numPr>
          <w:ilvl w:val="0"/>
          <w:numId w:val="3"/>
        </w:numPr>
      </w:pPr>
      <w:r>
        <w:rPr>
          <w:rFonts w:hint="eastAsia"/>
        </w:rPr>
        <w:t>Blob存在但任务索引错误；</w:t>
      </w:r>
    </w:p>
    <w:p w14:paraId="3725BE59">
      <w:pPr>
        <w:numPr>
          <w:ilvl w:val="0"/>
          <w:numId w:val="3"/>
        </w:numPr>
      </w:pPr>
      <w:r>
        <w:rPr>
          <w:rFonts w:hint="eastAsia"/>
        </w:rPr>
        <w:t>Blob载荷被篡改；</w:t>
      </w:r>
    </w:p>
    <w:p w14:paraId="035D6632">
      <w:pPr>
        <w:numPr>
          <w:ilvl w:val="0"/>
          <w:numId w:val="3"/>
        </w:numPr>
      </w:pPr>
      <w:r>
        <w:rPr>
          <w:rFonts w:hint="eastAsia"/>
        </w:rPr>
        <w:t>提交者超时；</w:t>
      </w:r>
    </w:p>
    <w:p w14:paraId="5EE6EFC4">
      <w:pPr>
        <w:numPr>
          <w:ilvl w:val="0"/>
          <w:numId w:val="3"/>
        </w:numPr>
      </w:pPr>
      <w:r>
        <w:rPr>
          <w:rFonts w:hint="eastAsia"/>
        </w:rPr>
        <w:t>挑战者超时；</w:t>
      </w:r>
    </w:p>
    <w:p w14:paraId="6E1F16BA">
      <w:pPr>
        <w:numPr>
          <w:ilvl w:val="0"/>
          <w:numId w:val="3"/>
        </w:numPr>
      </w:pPr>
      <w:r>
        <w:rPr>
          <w:rFonts w:hint="eastAsia"/>
        </w:rPr>
        <w:t>DA责任方超时；</w:t>
      </w:r>
    </w:p>
    <w:p w14:paraId="1BAC44DF">
      <w:pPr>
        <w:numPr>
          <w:ilvl w:val="0"/>
          <w:numId w:val="3"/>
        </w:numPr>
      </w:pPr>
      <w:r>
        <w:rPr>
          <w:rFonts w:hint="eastAsia"/>
        </w:rPr>
        <w:t>无效挑战；</w:t>
      </w:r>
    </w:p>
    <w:p w14:paraId="1E244D15">
      <w:pPr>
        <w:numPr>
          <w:ilvl w:val="0"/>
          <w:numId w:val="3"/>
        </w:numPr>
      </w:pPr>
      <w:r>
        <w:rPr>
          <w:rFonts w:hint="eastAsia"/>
        </w:rPr>
        <w:t>重复挑战、重复恢复、重复结算和重复提现。</w:t>
      </w:r>
    </w:p>
    <w:p w14:paraId="449521AA">
      <w:r>
        <w:rPr>
          <w:rFonts w:hint="eastAsia"/>
        </w:rPr>
        <w:t>对每个case必须有预期结果和实际结果。至少验证：异常被拒绝或导出确定责任；对应抵押确实从锁定账本转入罚没/赔付/协议金；非责任方押金不被误扣；合约余额、内部账本和提现金额守恒。只有事件日志而无余额变化的结果标记为“检测到但未完成罚没”。</w:t>
      </w:r>
    </w:p>
    <w:p w14:paraId="087E9047">
      <w:pPr>
        <w:keepNext w:val="1"/>
        <w:keepLines w:val="1"/>
        <w:spacing w:before="100" w:beforeAutospacing="1" w:after="100" w:afterAutospacing="1"/>
        <w:outlineLvl w:val="2"/>
        <w:rPr>
          <w:sz w:val="32"/>
          <w:szCs w:val="32"/>
        </w:rPr>
      </w:pPr>
      <w:r>
        <w:rPr>
          <w:rFonts w:hint="eastAsia"/>
          <w:b w:val="1"/>
          <w:sz w:val="32"/>
        </w:rPr>
        <w:t>B3. 资金闭环检查</w:t>
      </w:r>
    </w:p>
    <w:p w14:paraId="06BFBFB1">
      <w:r>
        <w:rPr>
          <w:rFonts w:hint="eastAsia"/>
        </w:rPr>
        <w:t>每个任务建立独立账本快照：提交前、提交后、挑战后、恢复后、裁决后、终局后、提现后。校验公式：任务锁定资金 + 可提现余额 + 已支付金额 + 协议费用 = 任务相关流入，并与合约实际余额核对。</w:t>
      </w:r>
    </w:p>
    <w:p w14:paraId="3AF55040">
      <w:r>
        <w:rPr>
          <w:rFonts w:hint="eastAsia"/>
        </w:rPr>
        <w:t>加入恶意接收者和重入测试；采用先更新内部账本再外部转账的模式。验证失败、重复调用、非法调用者和截止边界不会产生资金转移。跨任务不能透支或复用押金。</w:t>
      </w:r>
    </w:p>
    <w:p w14:paraId="7CDF8DDD">
      <w:pPr>
        <w:keepNext w:val="1"/>
        <w:keepLines w:val="1"/>
        <w:spacing w:before="100" w:beforeAutospacing="1" w:after="100" w:afterAutospacing="1"/>
        <w:outlineLvl w:val="1"/>
        <w:rPr>
          <w:sz w:val="32"/>
          <w:szCs w:val="32"/>
        </w:rPr>
      </w:pPr>
      <w:r>
        <w:rPr>
          <w:rFonts w:hint="eastAsia"/>
          <w:b w:val="1"/>
          <w:sz w:val="32"/>
        </w:rPr>
        <w:t>5. 阶段C：恢复、活性和DoS实验</w:t>
      </w:r>
    </w:p>
    <w:p w14:paraId="2D4E1D74">
      <w:pPr>
        <w:keepNext w:val="1"/>
        <w:keepLines w:val="1"/>
        <w:spacing w:before="100" w:beforeAutospacing="1" w:after="100" w:afterAutospacing="1"/>
        <w:outlineLvl w:val="2"/>
        <w:rPr>
          <w:sz w:val="32"/>
          <w:szCs w:val="32"/>
        </w:rPr>
      </w:pPr>
      <w:r>
        <w:rPr>
          <w:rFonts w:hint="eastAsia"/>
          <w:b w:val="1"/>
          <w:sz w:val="32"/>
        </w:rPr>
        <w:t>C1. 构造时间线</w:t>
      </w:r>
    </w:p>
    <w:p w14:paraId="7EE3A06E">
      <w:r>
        <w:rPr>
          <w:rFonts w:hint="eastAsia"/>
        </w:rPr>
        <w:t>为每个case记录区块时间或模拟时间：提交、挑战、应答、故障注入、原应答截止、recover、接管应答截止、绝对截止、resolve、finalize和withdraw。不要只测“函数能调用”，要测同一区块/同一时间边界的先后规则。</w:t>
      </w:r>
    </w:p>
    <w:p w14:paraId="27E5A155">
      <w:pPr>
        <w:keepNext w:val="1"/>
        <w:keepLines w:val="1"/>
        <w:spacing w:before="100" w:beforeAutospacing="1" w:after="100" w:afterAutospacing="1"/>
        <w:outlineLvl w:val="2"/>
        <w:rPr>
          <w:sz w:val="32"/>
          <w:szCs w:val="32"/>
        </w:rPr>
      </w:pPr>
      <w:r>
        <w:rPr>
          <w:rFonts w:hint="eastAsia"/>
          <w:b w:val="1"/>
          <w:sz w:val="32"/>
        </w:rPr>
        <w:t>C2. 角色消失和接管组合</w:t>
      </w:r>
    </w:p>
    <w:p w14:paraId="49010CC5">
      <w:r>
        <w:rPr>
          <w:rFonts w:hint="eastAsia"/>
        </w:rPr>
        <w:t>至少测试以下组合：</w:t>
      </w:r>
    </w:p>
    <w:p w14:paraId="50CE27AF">
      <w:pPr>
        <w:numPr>
          <w:ilvl w:val="0"/>
          <w:numId w:val="1"/>
        </w:numPr>
      </w:pPr>
      <w:r>
        <w:rPr>
          <w:rFonts w:hint="eastAsia"/>
        </w:rPr>
        <w:t>提交者正常、挑战者消失；</w:t>
      </w:r>
    </w:p>
    <w:p w14:paraId="6794FF16">
      <w:pPr>
        <w:numPr>
          <w:ilvl w:val="0"/>
          <w:numId w:val="1"/>
        </w:numPr>
      </w:pPr>
      <w:r>
        <w:rPr>
          <w:rFonts w:hint="eastAsia"/>
        </w:rPr>
        <w:t>提交者消失、挑战者正常；</w:t>
      </w:r>
    </w:p>
    <w:p w14:paraId="56563D09">
      <w:pPr>
        <w:numPr>
          <w:ilvl w:val="0"/>
          <w:numId w:val="1"/>
        </w:numPr>
      </w:pPr>
      <w:r>
        <w:rPr>
          <w:rFonts w:hint="eastAsia"/>
        </w:rPr>
        <w:t>双方先后消失；</w:t>
      </w:r>
    </w:p>
    <w:p w14:paraId="29F3412B">
      <w:pPr>
        <w:numPr>
          <w:ilvl w:val="0"/>
          <w:numId w:val="1"/>
        </w:numPr>
      </w:pPr>
      <w:r>
        <w:rPr>
          <w:rFonts w:hint="eastAsia"/>
        </w:rPr>
        <w:t>恶意观察者抢先recover但不推进；</w:t>
      </w:r>
    </w:p>
    <w:p w14:paraId="16011B33">
      <w:pPr>
        <w:numPr>
          <w:ilvl w:val="0"/>
          <w:numId w:val="1"/>
        </w:numPr>
      </w:pPr>
      <w:r>
        <w:rPr>
          <w:rFonts w:hint="eastAsia"/>
        </w:rPr>
        <w:t>多个观察者重复recover；</w:t>
      </w:r>
    </w:p>
    <w:p w14:paraId="72F153BA">
      <w:pPr>
        <w:numPr>
          <w:ilvl w:val="0"/>
          <w:numId w:val="1"/>
        </w:numPr>
      </w:pPr>
      <w:r>
        <w:rPr>
          <w:rFonts w:hint="eastAsia"/>
        </w:rPr>
        <w:t>recover后提交旧检查点；</w:t>
      </w:r>
    </w:p>
    <w:p w14:paraId="22F8D81F">
      <w:pPr>
        <w:numPr>
          <w:ilvl w:val="0"/>
          <w:numId w:val="1"/>
        </w:numPr>
      </w:pPr>
      <w:r>
        <w:rPr>
          <w:rFonts w:hint="eastAsia"/>
        </w:rPr>
        <w:t>recover接近absoluteDeadline；</w:t>
      </w:r>
    </w:p>
    <w:p w14:paraId="286BEF2D">
      <w:pPr>
        <w:numPr>
          <w:ilvl w:val="0"/>
          <w:numId w:val="1"/>
        </w:numPr>
      </w:pPr>
      <w:r>
        <w:rPr>
          <w:rFonts w:hint="eastAsia"/>
        </w:rPr>
        <w:t>recover与resolveTimeout同时满足条件；</w:t>
      </w:r>
    </w:p>
    <w:p w14:paraId="222596C7">
      <w:pPr>
        <w:numPr>
          <w:ilvl w:val="0"/>
          <w:numId w:val="1"/>
        </w:numPr>
      </w:pPr>
      <w:r>
        <w:rPr>
          <w:rFonts w:hint="eastAsia"/>
        </w:rPr>
        <w:t>旧任务、旧epoch、旧签名跨任务重放。</w:t>
      </w:r>
    </w:p>
    <w:p w14:paraId="11EBA8A5">
      <w:r>
        <w:rPr>
          <w:rFonts w:hint="eastAsia"/>
        </w:rPr>
        <w:t>输出：恢复成功率、首次有效接管时间、首次有效推进时间、最终结算时间、最大恢复次数、接管后超时次数、无效交易gas和最终状态。</w:t>
      </w:r>
    </w:p>
    <w:p w14:paraId="4FDA3554">
      <w:pPr>
        <w:keepNext w:val="1"/>
        <w:keepLines w:val="1"/>
        <w:spacing w:before="100" w:beforeAutospacing="1" w:after="100" w:afterAutospacing="1"/>
        <w:outlineLvl w:val="2"/>
        <w:rPr>
          <w:sz w:val="32"/>
          <w:szCs w:val="32"/>
        </w:rPr>
      </w:pPr>
      <w:r>
        <w:rPr>
          <w:rFonts w:hint="eastAsia"/>
          <w:b w:val="1"/>
          <w:sz w:val="32"/>
        </w:rPr>
        <w:t>C3. 不变量检查</w:t>
      </w:r>
    </w:p>
    <w:p w14:paraId="58FDF1C0">
      <w:r>
        <w:rPr>
          <w:rFonts w:hint="eastAsia"/>
        </w:rPr>
        <w:t>每次状态改变后自动断言：</w:t>
      </w:r>
    </w:p>
    <w:p w14:paraId="68810832">
      <w:pPr>
        <w:numPr>
          <w:ilvl w:val="0"/>
          <w:numId w:val="1"/>
        </w:numPr>
      </w:pPr>
      <w:r>
        <w:rPr>
          <w:rFonts w:hint="eastAsia"/>
        </w:rPr>
        <w:t>争议区间不扩大；</w:t>
      </w:r>
    </w:p>
    <w:p w14:paraId="255F8E62">
      <w:pPr>
        <w:numPr>
          <w:ilvl w:val="0"/>
          <w:numId w:val="1"/>
        </w:numPr>
      </w:pPr>
      <w:r>
        <w:rPr>
          <w:rFonts w:hint="eastAsia"/>
        </w:rPr>
        <w:t>已验证证据不被替换；</w:t>
      </w:r>
    </w:p>
    <w:p w14:paraId="28D82604">
      <w:pPr>
        <w:numPr>
          <w:ilvl w:val="0"/>
          <w:numId w:val="1"/>
        </w:numPr>
      </w:pPr>
      <w:r>
        <w:rPr>
          <w:rFonts w:hint="eastAsia"/>
        </w:rPr>
        <w:t>recoveryCount单调增加且不超过上限；</w:t>
      </w:r>
    </w:p>
    <w:p w14:paraId="134819AC">
      <w:pPr>
        <w:numPr>
          <w:ilvl w:val="0"/>
          <w:numId w:val="1"/>
        </w:numPr>
      </w:pPr>
      <w:r>
        <w:rPr>
          <w:rFonts w:hint="eastAsia"/>
        </w:rPr>
        <w:t>absoluteDeadline不延长；</w:t>
      </w:r>
    </w:p>
    <w:p w14:paraId="2B8112F8">
      <w:pPr>
        <w:numPr>
          <w:ilvl w:val="0"/>
          <w:numId w:val="1"/>
        </w:numPr>
      </w:pPr>
      <w:r>
        <w:rPr>
          <w:rFonts w:hint="eastAsia"/>
        </w:rPr>
        <w:t>无效交易不改变协议状态；</w:t>
      </w:r>
    </w:p>
    <w:p w14:paraId="1F278362">
      <w:pPr>
        <w:numPr>
          <w:ilvl w:val="0"/>
          <w:numId w:val="1"/>
        </w:numPr>
      </w:pPr>
      <w:r>
        <w:rPr>
          <w:rFonts w:hint="eastAsia"/>
        </w:rPr>
        <w:t>Resolved/Finalized不接受重开；</w:t>
      </w:r>
    </w:p>
    <w:p w14:paraId="4D071016">
      <w:pPr>
        <w:numPr>
          <w:ilvl w:val="0"/>
          <w:numId w:val="1"/>
        </w:numPr>
      </w:pPr>
      <w:r>
        <w:rPr>
          <w:rFonts w:hint="eastAsia"/>
        </w:rPr>
        <w:t>任务资金账本守恒；</w:t>
      </w:r>
    </w:p>
    <w:p w14:paraId="5DF1499B">
      <w:pPr>
        <w:numPr>
          <w:ilvl w:val="0"/>
          <w:numId w:val="1"/>
        </w:numPr>
      </w:pPr>
      <w:r>
        <w:rPr>
          <w:rFonts w:hint="eastAsia"/>
        </w:rPr>
        <w:t>结算和提现幂等。</w:t>
      </w:r>
    </w:p>
    <w:p w14:paraId="02E6B91E">
      <w:r>
        <w:rPr>
          <w:rFonts w:hint="eastAsia"/>
        </w:rPr>
        <w:t>随机测试至少保留固定seed、最小失败序列、每一步操作和回退状态检查。原有1,000条序列和22,686次回退检查可作基线，但修改协议后必须重新生成报告。</w:t>
      </w:r>
    </w:p>
    <w:p w14:paraId="30364C02">
      <w:pPr>
        <w:keepNext w:val="1"/>
        <w:keepLines w:val="1"/>
        <w:spacing w:before="100" w:beforeAutospacing="1" w:after="100" w:afterAutospacing="1"/>
        <w:outlineLvl w:val="2"/>
        <w:rPr>
          <w:sz w:val="32"/>
          <w:szCs w:val="32"/>
        </w:rPr>
      </w:pPr>
      <w:r>
        <w:rPr>
          <w:rFonts w:hint="eastAsia"/>
          <w:b w:val="1"/>
          <w:sz w:val="32"/>
        </w:rPr>
        <w:t>C4. DoS边界</w:t>
      </w:r>
    </w:p>
    <w:p w14:paraId="25C805D3">
      <w:r>
        <w:rPr>
          <w:rFonts w:hint="eastAsia"/>
        </w:rPr>
        <w:t>逐步提高任务步数、证明字节数、批大小、并发、无效挑战次数和恢复次数，测量单笔最坏gas、区块占用、内存、响应时间和失败原因。给出协议上限，并证明超过上限会被拒绝而非无限消耗资源。区分链下服务被打满和链上状态机被拖延两种DoS。</w:t>
      </w:r>
    </w:p>
    <w:p w14:paraId="7B7138CA">
      <w:pPr>
        <w:keepNext w:val="1"/>
        <w:keepLines w:val="1"/>
        <w:spacing w:before="100" w:beforeAutospacing="1" w:after="100" w:afterAutospacing="1"/>
        <w:outlineLvl w:val="1"/>
        <w:rPr>
          <w:sz w:val="32"/>
          <w:szCs w:val="32"/>
        </w:rPr>
      </w:pPr>
      <w:r>
        <w:rPr>
          <w:rFonts w:hint="eastAsia"/>
          <w:b w:val="1"/>
          <w:sz w:val="32"/>
        </w:rPr>
        <w:t>6. 阶段D：真实TEE实验</w:t>
      </w:r>
    </w:p>
    <w:p w14:paraId="106EEBA4">
      <w:pPr>
        <w:keepNext w:val="1"/>
        <w:keepLines w:val="1"/>
        <w:spacing w:before="100" w:beforeAutospacing="1" w:after="100" w:afterAutospacing="1"/>
        <w:outlineLvl w:val="2"/>
        <w:rPr>
          <w:sz w:val="32"/>
          <w:szCs w:val="32"/>
        </w:rPr>
      </w:pPr>
      <w:r>
        <w:rPr>
          <w:rFonts w:hint="eastAsia"/>
          <w:b w:val="1"/>
          <w:sz w:val="32"/>
        </w:rPr>
        <w:t>D0. 选择平台和信任路线</w:t>
      </w:r>
    </w:p>
    <w:p w14:paraId="6E679834">
      <w:r>
        <w:rPr>
          <w:rFonts w:hint="eastAsia"/>
        </w:rPr>
        <w:t>SGX/TDX二选一，优先选择已有实例和可独立验证环境的一种。实验前写清：TEE硬件信任、云主机/宿主机信任、DCAP/PCCS或同类验证服务信任、链上注册服务信任，以及各自失效后论文结论如何降级。</w:t>
      </w:r>
    </w:p>
    <w:p w14:paraId="4A9CFE80">
      <w:r>
        <w:rPr>
          <w:rFonts w:hint="eastAsia"/>
        </w:rPr>
        <w:t>若只是链下DCAP验证后由服务签名再上链，实验标题应为“真实TEE证明+链下验证服务注册”，不能写成合约自主验证硬件证明。只有实际实现可验证链上证明桥接时，才能作无该服务信任的声明。</w:t>
      </w:r>
    </w:p>
    <w:p w14:paraId="243DDFF5">
      <w:pPr>
        <w:keepNext w:val="1"/>
        <w:keepLines w:val="1"/>
        <w:spacing w:before="100" w:beforeAutospacing="1" w:after="100" w:afterAutospacing="1"/>
        <w:outlineLvl w:val="2"/>
        <w:rPr>
          <w:sz w:val="32"/>
          <w:szCs w:val="32"/>
        </w:rPr>
      </w:pPr>
      <w:r>
        <w:rPr>
          <w:rFonts w:hint="eastAsia"/>
          <w:b w:val="1"/>
          <w:sz w:val="32"/>
        </w:rPr>
        <w:t>D1. 环境和应用绑定</w:t>
      </w:r>
    </w:p>
    <w:p w14:paraId="64CBA149">
      <w:r>
        <w:rPr>
          <w:rFonts w:hint="eastAsia"/>
        </w:rPr>
        <w:t>记录实例类型、区域、镜像摘要、内核/运行时、编译器、源码commit、启动参数和测量值。执行程序与Quote中的measurement或报告数据必须绑定；只验证平台measurement而不绑定应用构建，不算完成。</w:t>
      </w:r>
    </w:p>
    <w:p w14:paraId="39B58CDE">
      <w:r>
        <w:rPr>
          <w:rFonts w:hint="eastAsia"/>
        </w:rPr>
        <w:t>在TEE内生成执行密钥。Quote报告数据绑定：协议版本、chainId、合约地址、任务nonce或session epoch、执行公钥和程序摘要。密钥释放必须以验证通过为前提，记录密钥轮换、撤销和有效期。</w:t>
      </w:r>
    </w:p>
    <w:p w14:paraId="3F486190">
      <w:pPr>
        <w:keepNext w:val="1"/>
        <w:keepLines w:val="1"/>
        <w:spacing w:before="100" w:beforeAutospacing="1" w:after="100" w:afterAutospacing="1"/>
        <w:outlineLvl w:val="2"/>
        <w:rPr>
          <w:sz w:val="32"/>
          <w:szCs w:val="32"/>
        </w:rPr>
      </w:pPr>
      <w:r>
        <w:rPr>
          <w:rFonts w:hint="eastAsia"/>
          <w:b w:val="1"/>
          <w:sz w:val="32"/>
        </w:rPr>
        <w:t>D2. Quote采集与独立验证</w:t>
      </w:r>
    </w:p>
    <w:p w14:paraId="4B7828DF">
      <w:r>
        <w:rPr>
          <w:rFonts w:hint="eastAsia"/>
        </w:rPr>
        <w:t>保存脱敏Quote、PCK证书链、TCB Info、QE Identity、PCK CRL及版本信息；使用独立验证工具检查证书链、撤销、TCB状态、measurement和报告数据。对OK、过期、需配置、未知和错误结果逐类记录接受策略。</w:t>
      </w:r>
    </w:p>
    <w:p w14:paraId="7EDF9E82">
      <w:r>
        <w:rPr>
          <w:rFonts w:hint="eastAsia"/>
        </w:rPr>
        <w:t>不要把Quote、私钥、云凭据或测试钱包私钥写入公开实验包。公开Quote摘要、哈希、验证政策、测量映射和验证结果即可。</w:t>
      </w:r>
    </w:p>
    <w:p w14:paraId="3301B53B">
      <w:pPr>
        <w:keepNext w:val="1"/>
        <w:keepLines w:val="1"/>
        <w:spacing w:before="100" w:beforeAutospacing="1" w:after="100" w:afterAutospacing="1"/>
        <w:outlineLvl w:val="2"/>
        <w:rPr>
          <w:sz w:val="32"/>
          <w:szCs w:val="32"/>
        </w:rPr>
      </w:pPr>
      <w:r>
        <w:rPr>
          <w:rFonts w:hint="eastAsia"/>
          <w:b w:val="1"/>
          <w:sz w:val="32"/>
        </w:rPr>
        <w:t>D3. 真实TEE负例与指标</w:t>
      </w:r>
    </w:p>
    <w:p w14:paraId="6948F8F0">
      <w:r>
        <w:rPr>
          <w:rFonts w:hint="eastAsia"/>
        </w:rPr>
        <w:t>负例包括错误measurement、错误报告数据、公钥替换、过期collateral、撤销后新任务、旧epoch签名、跨链签名、重启重放和快照回滚。测量：Quote生成、冷/热验证、密钥登记、受保护执行、任务签名、重启接续和失败恢复时间。</w:t>
      </w:r>
    </w:p>
    <w:p w14:paraId="6710E9D1">
      <w:r>
        <w:rPr>
          <w:rFonts w:hint="eastAsia"/>
        </w:rPr>
        <w:t xml:space="preserve">对比Python </w:t>
      </w:r>
      <w:r>
        <w:rPr>
          <w:rFonts w:ascii="Consolas" w:hAnsi="Consolas" w:eastAsia="Consolas" w:cs="Consolas"/>
          <w:shd w:val="clear" w:fill="f5f5f5"/>
        </w:rPr>
        <w:t>simulated-hmac-sha256</w:t>
      </w:r>
      <w:r>
        <w:rPr>
          <w:rFonts w:hint="eastAsia"/>
        </w:rPr>
        <w:t xml:space="preserve"> 与真实后端时，分别报告功能通过率和时间开销；模拟后端只能作为控制组，不能作为真实TEE性能或安全性的代表。</w:t>
      </w:r>
    </w:p>
    <w:p w14:paraId="31376C1C">
      <w:pPr>
        <w:keepNext w:val="1"/>
        <w:keepLines w:val="1"/>
        <w:spacing w:before="100" w:beforeAutospacing="1" w:after="100" w:afterAutospacing="1"/>
        <w:outlineLvl w:val="1"/>
        <w:rPr>
          <w:sz w:val="32"/>
          <w:szCs w:val="32"/>
        </w:rPr>
      </w:pPr>
      <w:r>
        <w:rPr>
          <w:rFonts w:hint="eastAsia"/>
          <w:b w:val="1"/>
          <w:sz w:val="32"/>
        </w:rPr>
        <w:t>7. 阶段E：真实EIP-4844 Blob/DA实验</w:t>
      </w:r>
    </w:p>
    <w:p w14:paraId="412F5796">
      <w:pPr>
        <w:keepNext w:val="1"/>
        <w:keepLines w:val="1"/>
        <w:spacing w:before="100" w:beforeAutospacing="1" w:after="100" w:afterAutospacing="1"/>
        <w:outlineLvl w:val="2"/>
        <w:rPr>
          <w:sz w:val="32"/>
          <w:szCs w:val="32"/>
        </w:rPr>
      </w:pPr>
      <w:r>
        <w:rPr>
          <w:rFonts w:hint="eastAsia"/>
          <w:b w:val="1"/>
          <w:sz w:val="32"/>
        </w:rPr>
        <w:t>E0. 前置检查</w:t>
      </w:r>
    </w:p>
    <w:p w14:paraId="05F7390C">
      <w:r>
        <w:rPr>
          <w:rFonts w:hint="eastAsia"/>
        </w:rPr>
        <w:t>需要：Sepolia RPC、受控且有测试币的签名账户、</w:t>
      </w:r>
      <w:r>
        <w:rPr>
          <w:rFonts w:ascii="Consolas" w:hAnsi="Consolas" w:eastAsia="Consolas" w:cs="Consolas"/>
          <w:shd w:val="clear" w:fill="f5f5f5"/>
        </w:rPr>
        <w:t>BlobBatchAnchor.sol</w:t>
      </w:r>
      <w:r>
        <w:rPr>
          <w:rFonts w:hint="eastAsia"/>
        </w:rPr>
        <w:t>或新版绑定合约部署地址和receipt、支持完整Blob sidecar取回的Beacon/Blob端点、</w:t>
      </w:r>
      <w:r>
        <w:rPr>
          <w:rFonts w:ascii="Consolas" w:hAnsi="Consolas" w:eastAsia="Consolas" w:cs="Consolas"/>
          <w:shd w:val="clear" w:fill="f5f5f5"/>
        </w:rPr>
        <w:t>c-kzg</w:t>
      </w:r>
      <w:r>
        <w:rPr>
          <w:rFonts w:hint="eastAsia"/>
        </w:rPr>
        <w:t>与trusted setup。当前基线缺少这些条件时，脚本必须fail-closed，不广播、不伪造结果。</w:t>
      </w:r>
    </w:p>
    <w:p w14:paraId="72879537">
      <w:pPr>
        <w:keepNext w:val="1"/>
        <w:keepLines w:val="1"/>
        <w:spacing w:before="100" w:beforeAutospacing="1" w:after="100" w:afterAutospacing="1"/>
        <w:outlineLvl w:val="2"/>
        <w:rPr>
          <w:sz w:val="32"/>
          <w:szCs w:val="32"/>
        </w:rPr>
      </w:pPr>
      <w:r>
        <w:rPr>
          <w:rFonts w:hint="eastAsia"/>
          <w:b w:val="1"/>
          <w:sz w:val="32"/>
        </w:rPr>
        <w:t>E1. 发布与链上绑定</w:t>
      </w:r>
    </w:p>
    <w:p w14:paraId="16486AAA">
      <w:r>
        <w:rPr>
          <w:rFonts w:hint="eastAsia"/>
        </w:rPr>
        <w:t>使用统一manifest编码任务顺序、每任务长度、任务摘要、程序版本、batchId、Blob数量和版本。发布前离线生成KZG commitment/proof并保存原始Blob哈希；发布后记录type-3交易哈希、区块、receipt、实际versionedHash和锚定事件。</w:t>
      </w:r>
    </w:p>
    <w:p w14:paraId="79F43334">
      <w:r>
        <w:rPr>
          <w:rFonts w:hint="eastAsia"/>
        </w:rPr>
        <w:t>关键验收：任务注册与Blob引用必须由合约强制绑定。仅把versionedHash和taskRoot同时写入事件、或依赖链下脚本重算，均不算强绑定。需要证明任务摘要来自被引用Blob的固定布局，且错误Blob、错误索引、无关anchor和跨任务复用都会失败。</w:t>
      </w:r>
    </w:p>
    <w:p w14:paraId="6C2A1BCE">
      <w:pPr>
        <w:keepNext w:val="1"/>
        <w:keepLines w:val="1"/>
        <w:spacing w:before="100" w:beforeAutospacing="1" w:after="100" w:afterAutospacing="1"/>
        <w:outlineLvl w:val="2"/>
        <w:rPr>
          <w:sz w:val="32"/>
          <w:szCs w:val="32"/>
        </w:rPr>
      </w:pPr>
      <w:r>
        <w:rPr>
          <w:rFonts w:hint="eastAsia"/>
          <w:b w:val="1"/>
          <w:sz w:val="32"/>
        </w:rPr>
        <w:t>E2. 独立取回与校验</w:t>
      </w:r>
    </w:p>
    <w:p w14:paraId="142A243B">
      <w:r>
        <w:rPr>
          <w:rFonts w:hint="eastAsia"/>
        </w:rPr>
        <w:t>由不同进程、不同工作目录和独立数据源取回Blob；禁止读取发布机原始文件作为成功依据。记录端点、请求时间、区块、versionedHash、返回字节数、KZG验证、manifest解码、taskRoot重算和任务内容重算。</w:t>
      </w:r>
    </w:p>
    <w:p w14:paraId="71A6D419">
      <w:r>
        <w:rPr>
          <w:rFonts w:hint="eastAsia"/>
        </w:rPr>
        <w:t>必须区分：链上承诺存在、观察者能取回、承担责任的服务方能在协议期限内披露。KZG证明内容与承诺一致，但不自动证明数据长期可取回；Beacon节点可能不保留完整Blob，应使用明确支持完整sidecar的端点。</w:t>
      </w:r>
    </w:p>
    <w:p w14:paraId="28A675E2">
      <w:pPr>
        <w:keepNext w:val="1"/>
        <w:keepLines w:val="1"/>
        <w:spacing w:before="100" w:beforeAutospacing="1" w:after="100" w:afterAutospacing="1"/>
        <w:outlineLvl w:val="2"/>
        <w:rPr>
          <w:sz w:val="32"/>
          <w:szCs w:val="32"/>
        </w:rPr>
      </w:pPr>
      <w:r>
        <w:rPr>
          <w:rFonts w:hint="eastAsia"/>
          <w:b w:val="1"/>
          <w:sz w:val="32"/>
        </w:rPr>
        <w:t>E3. DA故障和罚没闭环</w:t>
      </w:r>
    </w:p>
    <w:p w14:paraId="3D5A56D4">
      <w:r>
        <w:rPr>
          <w:rFonts w:hint="eastAsia"/>
        </w:rPr>
        <w:t>执行正常披露、错误数据、错误manifest、数据过期、责任方不披露、观察者端点失败、端点短时不可用、挑战者接管和超时结算。只有被协议明确登记并抵押的责任方，才能承担链上可罚的披露义务；不能因为单个观察者下载失败就自动处罚外部DA平台。</w:t>
      </w:r>
    </w:p>
    <w:p w14:paraId="5E788F2F">
      <w:r>
        <w:rPr>
          <w:rFonts w:hint="eastAsia"/>
        </w:rPr>
        <w:t>记录挑战交易、指定数据范围、保证金、应答窗口、恢复次数、裁决事件、扣罚金额、赔付/退款和withdraw receipt。确认KZG证明不能替代接管者继续验证所需的数据披露；若采用兜底calldata披露，必须测量其最坏gas和对成本模型的影响。</w:t>
      </w:r>
    </w:p>
    <w:p w14:paraId="6E7FC0A2">
      <w:pPr>
        <w:keepNext w:val="1"/>
        <w:keepLines w:val="1"/>
        <w:spacing w:before="100" w:beforeAutospacing="1" w:after="100" w:afterAutospacing="1"/>
        <w:outlineLvl w:val="2"/>
        <w:rPr>
          <w:sz w:val="32"/>
          <w:szCs w:val="32"/>
        </w:rPr>
      </w:pPr>
      <w:r>
        <w:rPr>
          <w:rFonts w:hint="eastAsia"/>
          <w:b w:val="1"/>
          <w:sz w:val="32"/>
        </w:rPr>
        <w:t>E4. 真实费用</w:t>
      </w:r>
    </w:p>
    <w:p w14:paraId="2365781D">
      <w:r>
        <w:rPr>
          <w:rFonts w:hint="eastAsia"/>
        </w:rPr>
        <w:t>从receipt分开计算：执行gas = gasUsed × effectiveGasPrice；Blob费用 = blobGasUsed × blobGasPrice；再记录测试网环境、确认时间和汇率不适用说明。与同一原始载荷的calldata路径对比，额外报告编码填充、Blob跨界阶梯、证明和争议开销。</w:t>
      </w:r>
    </w:p>
    <w:p w14:paraId="54FAF074">
      <w:r>
        <w:rPr>
          <w:rFonts w:hint="eastAsia"/>
        </w:rPr>
        <w:t>Sepolia实测只能说明测试网运行时费用和技术可行性，不能直接推出主网长期价格或生产经济性。</w:t>
      </w:r>
    </w:p>
    <w:p w14:paraId="75024091">
      <w:pPr>
        <w:keepNext w:val="1"/>
        <w:keepLines w:val="1"/>
        <w:spacing w:before="100" w:beforeAutospacing="1" w:after="100" w:afterAutospacing="1"/>
        <w:outlineLvl w:val="1"/>
        <w:rPr>
          <w:sz w:val="32"/>
          <w:szCs w:val="32"/>
        </w:rPr>
      </w:pPr>
      <w:r>
        <w:rPr>
          <w:rFonts w:hint="eastAsia"/>
          <w:b w:val="1"/>
          <w:sz w:val="32"/>
        </w:rPr>
        <w:t>8. 阶段F：性能、恢复时间与消融</w:t>
      </w:r>
    </w:p>
    <w:p w14:paraId="0511770D">
      <w:pPr>
        <w:keepNext w:val="1"/>
        <w:keepLines w:val="1"/>
        <w:spacing w:before="100" w:beforeAutospacing="1" w:after="100" w:afterAutospacing="1"/>
        <w:outlineLvl w:val="2"/>
        <w:rPr>
          <w:sz w:val="32"/>
          <w:szCs w:val="32"/>
        </w:rPr>
      </w:pPr>
      <w:r>
        <w:rPr>
          <w:rFonts w:hint="eastAsia"/>
          <w:b w:val="1"/>
          <w:sz w:val="32"/>
        </w:rPr>
        <w:t>F1. 负载矩阵</w:t>
      </w:r>
    </w:p>
    <w:p w14:paraId="6AE9DAB9">
      <w:r>
        <w:rPr>
          <w:rFonts w:hint="eastAsia"/>
        </w:rPr>
        <w:t>保留旧基线的任务数1/8/32和载荷1/8/32 KiB，另设独立并发1/4/8；步数或程序规模作为单独变量。若实际编码超过单Blob容量，按实际Blob数切分，不强行沿用名义矩阵。</w:t>
      </w:r>
    </w:p>
    <w:p w14:paraId="57F42B4B">
      <w:r>
        <w:rPr>
          <w:rFonts w:hint="eastAsia"/>
        </w:rPr>
        <w:t>至少设置：不可恢复对照、有界全量重算、Merkle区间/单步（若已实现）、TEE辅助、calldata DA、真实Blob DA。所有组使用相同任务、相同客户端硬件、相同编译参数和同一统计方法；不同链或不同终局定义的结果分表。</w:t>
      </w:r>
    </w:p>
    <w:p w14:paraId="2B718848">
      <w:pPr>
        <w:keepNext w:val="1"/>
        <w:keepLines w:val="1"/>
        <w:spacing w:before="100" w:beforeAutospacing="1" w:after="100" w:afterAutospacing="1"/>
        <w:outlineLvl w:val="2"/>
        <w:rPr>
          <w:sz w:val="32"/>
          <w:szCs w:val="32"/>
        </w:rPr>
      </w:pPr>
      <w:r>
        <w:rPr>
          <w:rFonts w:hint="eastAsia"/>
          <w:b w:val="1"/>
          <w:sz w:val="32"/>
        </w:rPr>
        <w:t>F2. 端到端时间线</w:t>
      </w:r>
    </w:p>
    <w:p w14:paraId="78299274">
      <w:r>
        <w:rPr>
          <w:rFonts w:hint="eastAsia"/>
        </w:rPr>
        <w:t>每个任务记录：排队、编码、TEE执行、证明生成、交易发送、L1纳入、独立取回、挑战、recover、下一次有效推进、resolve、finalize和可提现时间。报告四种延迟：提交确认、应用可用、协议终局、提款可用。恢复时间再拆成故障检测、接管、有效推进和最终结算。</w:t>
      </w:r>
    </w:p>
    <w:p w14:paraId="2BFF00ED">
      <w:pPr>
        <w:keepNext w:val="1"/>
        <w:keepLines w:val="1"/>
        <w:spacing w:before="100" w:beforeAutospacing="1" w:after="100" w:afterAutospacing="1"/>
        <w:outlineLvl w:val="2"/>
        <w:rPr>
          <w:sz w:val="32"/>
          <w:szCs w:val="32"/>
        </w:rPr>
      </w:pPr>
      <w:r>
        <w:rPr>
          <w:rFonts w:hint="eastAsia"/>
          <w:b w:val="1"/>
          <w:sz w:val="32"/>
        </w:rPr>
        <w:t>F3. 吞吐和资源</w:t>
      </w:r>
    </w:p>
    <w:p w14:paraId="6DCF0856">
      <w:r>
        <w:rPr>
          <w:rFonts w:hint="eastAsia"/>
        </w:rPr>
        <w:t>分别报告执行完成吞吐、L1接纳吞吐和最终结算吞吐；同时记录inflight、队列深度、失败率、重试率、CPU、内存、RPC请求数和链上gas。避免用本地自动出块速度代表公网TPS。</w:t>
      </w:r>
    </w:p>
    <w:p w14:paraId="7DC740DC">
      <w:pPr>
        <w:keepNext w:val="1"/>
        <w:keepLines w:val="1"/>
        <w:spacing w:before="100" w:beforeAutospacing="1" w:after="100" w:afterAutospacing="1"/>
        <w:outlineLvl w:val="2"/>
        <w:rPr>
          <w:sz w:val="32"/>
          <w:szCs w:val="32"/>
        </w:rPr>
      </w:pPr>
      <w:r>
        <w:rPr>
          <w:rFonts w:hint="eastAsia"/>
          <w:b w:val="1"/>
          <w:sz w:val="32"/>
        </w:rPr>
        <w:t>F4. 统计规则</w:t>
      </w:r>
    </w:p>
    <w:p w14:paraId="3C821286">
      <w:r>
        <w:rPr>
          <w:rFonts w:hint="eastAsia"/>
        </w:rPr>
        <w:t>本地实验建议至少3次独立运行，每次预热后不少于30个有效批次；保存全部失败和重试样本。每格报告样本数、均值/中位数、p50/p95、标准差或置信区间；样本不足不报告p99。时间数据按独立运行分组计算置信区间，不能把同一运行内所有任务假设为完全独立。</w:t>
      </w:r>
    </w:p>
    <w:p w14:paraId="267E30BA">
      <w:r>
        <w:rPr>
          <w:rFonts w:hint="eastAsia"/>
        </w:rPr>
        <w:t>现有每格5个样本只能作为初步基线。新论文主结果不应继续仅凭5个样本宣称稳定尾延迟。</w:t>
      </w:r>
    </w:p>
    <w:p w14:paraId="3770D9C8">
      <w:pPr>
        <w:keepNext w:val="1"/>
        <w:keepLines w:val="1"/>
        <w:spacing w:before="100" w:beforeAutospacing="1" w:after="100" w:afterAutospacing="1"/>
        <w:outlineLvl w:val="2"/>
        <w:rPr>
          <w:sz w:val="32"/>
          <w:szCs w:val="32"/>
        </w:rPr>
      </w:pPr>
      <w:r>
        <w:rPr>
          <w:rFonts w:hint="eastAsia"/>
          <w:b w:val="1"/>
          <w:sz w:val="32"/>
        </w:rPr>
        <w:t>F5. 消融解释</w:t>
      </w:r>
    </w:p>
    <w:p w14:paraId="2263B836">
      <w:r>
        <w:rPr>
          <w:rFonts w:hint="eastAsia"/>
        </w:rPr>
        <w:t>每次只移除一个机制，并固定其他条件：无恢复、无TEE绑定、无DA强绑定、无批处理、无单步证明或无真实Blob。分别说明变化影响的是安全性、链上gas、链下时间、交互轮数还是数据可用性。消融结果不用于证明不存在其他实现优化影响。</w:t>
      </w:r>
    </w:p>
    <w:p w14:paraId="26060EF0">
      <w:pPr>
        <w:keepNext w:val="1"/>
        <w:keepLines w:val="1"/>
        <w:spacing w:before="100" w:beforeAutospacing="1" w:after="100" w:afterAutospacing="1"/>
        <w:outlineLvl w:val="1"/>
        <w:rPr>
          <w:sz w:val="32"/>
          <w:szCs w:val="32"/>
        </w:rPr>
      </w:pPr>
      <w:r>
        <w:rPr>
          <w:rFonts w:hint="eastAsia"/>
          <w:b w:val="1"/>
          <w:sz w:val="32"/>
        </w:rPr>
        <w:t>9. 阶段G：与TeeRollup、Arbitrum、Optimism比较</w:t>
      </w:r>
    </w:p>
    <w:p w14:paraId="79AF9441">
      <w:pPr>
        <w:keepNext w:val="1"/>
        <w:keepLines w:val="1"/>
        <w:spacing w:before="100" w:beforeAutospacing="1" w:after="100" w:afterAutospacing="1"/>
        <w:outlineLvl w:val="2"/>
        <w:rPr>
          <w:sz w:val="32"/>
          <w:szCs w:val="32"/>
        </w:rPr>
      </w:pPr>
      <w:r>
        <w:rPr>
          <w:rFonts w:hint="eastAsia"/>
          <w:b w:val="1"/>
          <w:sz w:val="32"/>
        </w:rPr>
        <w:t>G1. 先做机制矩阵</w:t>
      </w:r>
    </w:p>
    <w:p w14:paraId="5B304C73">
      <w:r>
        <w:rPr>
          <w:rFonts w:hint="eastAsia"/>
        </w:rPr>
        <w:t>逐项比较执行模型、TEE信任、争议证明、恢复/接管、DA语义、挑战轮数、终止条件、提交成本、结算延迟和提款定义。注明“公开实现”“论文报告”“本文复测”“未核实”四种来源，不从名称推断能力。</w:t>
      </w:r>
    </w:p>
    <w:p w14:paraId="075D552C">
      <w:pPr>
        <w:keepNext w:val="1"/>
        <w:keepLines w:val="1"/>
        <w:spacing w:before="100" w:beforeAutospacing="1" w:after="100" w:afterAutospacing="1"/>
        <w:outlineLvl w:val="2"/>
        <w:rPr>
          <w:sz w:val="32"/>
          <w:szCs w:val="32"/>
        </w:rPr>
      </w:pPr>
      <w:r>
        <w:rPr>
          <w:rFonts w:hint="eastAsia"/>
          <w:b w:val="1"/>
          <w:sz w:val="32"/>
        </w:rPr>
        <w:t>G2. 两层定量比较</w:t>
      </w:r>
    </w:p>
    <w:p w14:paraId="2FA38401">
      <w:r>
        <w:rPr>
          <w:rFonts w:hint="eastAsia"/>
        </w:rPr>
        <w:t>第一层是同一计算模型微基准：统一输入、步数、批大小、硬件和L1模拟环境，比较提交、挑战、恢复、裁决和资金结算成本。这里的对照实现必须明确是“机制基线”，不能冒充Arbitrum或Optimism生产系统。</w:t>
      </w:r>
    </w:p>
    <w:p w14:paraId="7F94A168">
      <w:r>
        <w:rPr>
          <w:rFonts w:hint="eastAsia"/>
        </w:rPr>
        <w:t>第二层是官方实现或论文环境复测：固定release/commit、配置、链、节点、终局定义和负载；记录无法复现的依赖和原因。文献数字必须保留原始分母、环境和威胁模型，标注“文献报告，非本机复测”。</w:t>
      </w:r>
    </w:p>
    <w:p w14:paraId="2C0E6670">
      <w:r>
        <w:rPr>
          <w:rFonts w:hint="eastAsia"/>
        </w:rPr>
        <w:t>建议至少完成TeeRollup最接近方案的机制核对，并争取一个成熟OP系统的可复现微基准。不能把本地Hardhat自动出块、合成hash任务或缩短挑战窗口后的数据直接换算为相对官方系统的领先百分比。</w:t>
      </w:r>
    </w:p>
    <w:p w14:paraId="731FE147">
      <w:pPr>
        <w:keepNext w:val="1"/>
        <w:keepLines w:val="1"/>
        <w:spacing w:before="100" w:beforeAutospacing="1" w:after="100" w:afterAutospacing="1"/>
        <w:outlineLvl w:val="1"/>
        <w:rPr>
          <w:sz w:val="32"/>
          <w:szCs w:val="32"/>
        </w:rPr>
      </w:pPr>
      <w:r>
        <w:rPr>
          <w:rFonts w:hint="eastAsia"/>
          <w:b w:val="1"/>
          <w:sz w:val="32"/>
        </w:rPr>
        <w:t>10. 数据整理与结果判定</w:t>
      </w:r>
    </w:p>
    <w:p w14:paraId="02EED1EB">
      <w:pPr>
        <w:keepNext w:val="1"/>
        <w:keepLines w:val="1"/>
        <w:spacing w:before="100" w:beforeAutospacing="1" w:after="100" w:afterAutospacing="1"/>
        <w:outlineLvl w:val="2"/>
        <w:rPr>
          <w:sz w:val="32"/>
          <w:szCs w:val="32"/>
        </w:rPr>
      </w:pPr>
      <w:r>
        <w:rPr>
          <w:rFonts w:hint="eastAsia"/>
          <w:b w:val="1"/>
          <w:sz w:val="32"/>
        </w:rPr>
        <w:t>10.1 目录结构</w:t>
      </w:r>
    </w:p>
    <w:p w14:paraId="47A5B29C">
      <w:r>
        <w:rPr>
          <w:rFonts w:hint="eastAsia"/>
        </w:rPr>
        <w:t>建议每次run固定如下目录：</w:t>
      </w:r>
    </w:p>
    <w:p w14:paraId="70CCC8A9">
      <w:pPr>
        <w:numPr>
          <w:ilvl w:val="0"/>
          <w:numId w:val="1"/>
        </w:numPr>
      </w:pPr>
      <w:r>
        <w:rPr>
          <w:rFonts w:ascii="Consolas" w:hAnsi="Consolas" w:eastAsia="Consolas" w:cs="Consolas"/>
          <w:shd w:val="clear" w:fill="f5f5f5"/>
        </w:rPr>
        <w:t>manifest/</w:t>
      </w:r>
      <w:r>
        <w:rPr>
          <w:rFonts w:hint="eastAsia"/>
        </w:rPr>
        <w:t>：版本、环境、配置、数据字典、seed；</w:t>
      </w:r>
    </w:p>
    <w:p w14:paraId="56279D4C">
      <w:pPr>
        <w:numPr>
          <w:ilvl w:val="0"/>
          <w:numId w:val="1"/>
        </w:numPr>
      </w:pPr>
      <w:r>
        <w:rPr>
          <w:rFonts w:ascii="Consolas" w:hAnsi="Consolas" w:eastAsia="Consolas" w:cs="Consolas"/>
          <w:shd w:val="clear" w:fill="f5f5f5"/>
        </w:rPr>
        <w:t>security/</w:t>
      </w:r>
      <w:r>
        <w:rPr>
          <w:rFonts w:hint="eastAsia"/>
        </w:rPr>
        <w:t>：定向测试、随机序列、攻击矩阵、失败最小复现；</w:t>
      </w:r>
    </w:p>
    <w:p w14:paraId="0422BF9E">
      <w:pPr>
        <w:numPr>
          <w:ilvl w:val="0"/>
          <w:numId w:val="1"/>
        </w:numPr>
      </w:pPr>
      <w:r>
        <w:rPr>
          <w:rFonts w:ascii="Consolas" w:hAnsi="Consolas" w:eastAsia="Consolas" w:cs="Consolas"/>
          <w:shd w:val="clear" w:fill="f5f5f5"/>
        </w:rPr>
        <w:t>recovery/</w:t>
      </w:r>
      <w:r>
        <w:rPr>
          <w:rFonts w:hint="eastAsia"/>
        </w:rPr>
        <w:t>：状态时间线、恢复指标、DoS边界；</w:t>
      </w:r>
    </w:p>
    <w:p w14:paraId="7AB942DD">
      <w:pPr>
        <w:numPr>
          <w:ilvl w:val="0"/>
          <w:numId w:val="1"/>
        </w:numPr>
      </w:pPr>
      <w:r>
        <w:rPr>
          <w:rFonts w:ascii="Consolas" w:hAnsi="Consolas" w:eastAsia="Consolas" w:cs="Consolas"/>
          <w:shd w:val="clear" w:fill="f5f5f5"/>
        </w:rPr>
        <w:t>real_tee/</w:t>
      </w:r>
      <w:r>
        <w:rPr>
          <w:rFonts w:hint="eastAsia"/>
        </w:rPr>
        <w:t>：Quote摘要、验证结果、measurement映射、性能；</w:t>
      </w:r>
    </w:p>
    <w:p w14:paraId="17023230">
      <w:pPr>
        <w:numPr>
          <w:ilvl w:val="0"/>
          <w:numId w:val="1"/>
        </w:numPr>
      </w:pPr>
      <w:r>
        <w:rPr>
          <w:rFonts w:ascii="Consolas" w:hAnsi="Consolas" w:eastAsia="Consolas" w:cs="Consolas"/>
          <w:shd w:val="clear" w:fill="f5f5f5"/>
        </w:rPr>
        <w:t>public_blob/</w:t>
      </w:r>
      <w:r>
        <w:rPr>
          <w:rFonts w:hint="eastAsia"/>
        </w:rPr>
        <w:t>：发布状态、receipt、取回、KZG和DA挑战；</w:t>
      </w:r>
    </w:p>
    <w:p w14:paraId="0190E8E2">
      <w:pPr>
        <w:numPr>
          <w:ilvl w:val="0"/>
          <w:numId w:val="1"/>
        </w:numPr>
      </w:pPr>
      <w:r>
        <w:rPr>
          <w:rFonts w:ascii="Consolas" w:hAnsi="Consolas" w:eastAsia="Consolas" w:cs="Consolas"/>
          <w:shd w:val="clear" w:fill="f5f5f5"/>
        </w:rPr>
        <w:t>performance/</w:t>
      </w:r>
      <w:r>
        <w:rPr>
          <w:rFonts w:hint="eastAsia"/>
        </w:rPr>
        <w:t>：原始样本、聚合统计、图表源数据；</w:t>
      </w:r>
    </w:p>
    <w:p w14:paraId="4F7016BF">
      <w:pPr>
        <w:numPr>
          <w:ilvl w:val="0"/>
          <w:numId w:val="1"/>
        </w:numPr>
      </w:pPr>
      <w:r>
        <w:rPr>
          <w:rFonts w:ascii="Consolas" w:hAnsi="Consolas" w:eastAsia="Consolas" w:cs="Consolas"/>
          <w:shd w:val="clear" w:fill="f5f5f5"/>
        </w:rPr>
        <w:t>comparison/</w:t>
      </w:r>
      <w:r>
        <w:rPr>
          <w:rFonts w:hint="eastAsia"/>
        </w:rPr>
        <w:t>：第三方版本、配置和可比性说明；</w:t>
      </w:r>
    </w:p>
    <w:p w14:paraId="162C8218">
      <w:pPr>
        <w:numPr>
          <w:ilvl w:val="0"/>
          <w:numId w:val="1"/>
        </w:numPr>
      </w:pPr>
      <w:r>
        <w:rPr>
          <w:rFonts w:ascii="Consolas" w:hAnsi="Consolas" w:eastAsia="Consolas" w:cs="Consolas"/>
          <w:shd w:val="clear" w:fill="f5f5f5"/>
        </w:rPr>
        <w:t>paper/</w:t>
      </w:r>
      <w:r>
        <w:rPr>
          <w:rFonts w:hint="eastAsia"/>
        </w:rPr>
        <w:t>：表格CSV/JSON、绘图脚本、章节证据索引。</w:t>
      </w:r>
    </w:p>
    <w:p w14:paraId="3F1B8375">
      <w:pPr>
        <w:keepNext w:val="1"/>
        <w:keepLines w:val="1"/>
        <w:spacing w:before="100" w:beforeAutospacing="1" w:after="100" w:afterAutospacing="1"/>
        <w:outlineLvl w:val="2"/>
        <w:rPr>
          <w:sz w:val="32"/>
          <w:szCs w:val="32"/>
        </w:rPr>
      </w:pPr>
      <w:r>
        <w:rPr>
          <w:rFonts w:hint="eastAsia"/>
          <w:b w:val="1"/>
          <w:sz w:val="32"/>
        </w:rPr>
        <w:t>10.2 每个结论的证据链</w:t>
      </w:r>
    </w:p>
    <w:p w14:paraId="6D82C66A">
      <w:r>
        <w:rPr>
          <w:rFonts w:hint="eastAsia"/>
        </w:rPr>
        <w:t>每一项正文结论必须能沿以下链条回溯：论文句子 → 图/表编号 → 聚合数据 → 原始样本 → 执行命令与配置 → git commit/runId。外部结论另加来源URL、版本、访问日期和原始定义。</w:t>
      </w:r>
    </w:p>
    <w:p w14:paraId="3B79D1D5">
      <w:pPr>
        <w:keepNext w:val="1"/>
        <w:keepLines w:val="1"/>
        <w:spacing w:before="100" w:beforeAutospacing="1" w:after="100" w:afterAutospacing="1"/>
        <w:outlineLvl w:val="2"/>
        <w:rPr>
          <w:sz w:val="32"/>
          <w:szCs w:val="32"/>
        </w:rPr>
      </w:pPr>
      <w:r>
        <w:rPr>
          <w:rFonts w:hint="eastAsia"/>
          <w:b w:val="1"/>
          <w:sz w:val="32"/>
        </w:rPr>
        <w:t>10.3 失败判定</w:t>
      </w:r>
    </w:p>
    <w:p w14:paraId="76BDB506">
      <w:r>
        <w:rPr>
          <w:rFonts w:hint="eastAsia"/>
        </w:rPr>
        <w:t>以下任一情况，相关实验判定为失败或未完成：代码版本无法确定；关键样本缺失；仅有终端截图而无原始数据；使用发布机本地文件代替独立Blob取回；只有KZG而无任务绑定验证；只有事件无资金转移；只有Mock而无真实后端；第三方比较的分母或终局定义不一致且未标注。</w:t>
      </w:r>
    </w:p>
    <w:p w14:paraId="2797F9B8">
      <w:r>
        <w:rPr>
          <w:rFonts w:hint="eastAsia"/>
        </w:rPr>
        <w:t>失败样本不删除，进入</w:t>
      </w:r>
      <w:r>
        <w:rPr>
          <w:rFonts w:ascii="Consolas" w:hAnsi="Consolas" w:eastAsia="Consolas" w:cs="Consolas"/>
          <w:shd w:val="clear" w:fill="f5f5f5"/>
        </w:rPr>
        <w:t>failures.jsonl</w:t>
      </w:r>
      <w:r>
        <w:rPr>
          <w:rFonts w:hint="eastAsia"/>
        </w:rPr>
        <w:t>并记录原因、是否重试和最终处理。论文中报告通过率时给分子、分母和失败类型。</w:t>
      </w:r>
    </w:p>
    <w:p w14:paraId="22EDF8F8">
      <w:pPr>
        <w:keepNext w:val="1"/>
        <w:keepLines w:val="1"/>
        <w:spacing w:before="100" w:beforeAutospacing="1" w:after="100" w:afterAutospacing="1"/>
        <w:outlineLvl w:val="1"/>
        <w:rPr>
          <w:sz w:val="32"/>
          <w:szCs w:val="32"/>
        </w:rPr>
      </w:pPr>
      <w:r>
        <w:rPr>
          <w:rFonts w:hint="eastAsia"/>
          <w:b w:val="1"/>
          <w:sz w:val="32"/>
        </w:rPr>
        <w:t>11. 阶段H：回填论文第5章的具体顺序</w:t>
      </w:r>
    </w:p>
    <w:p w14:paraId="67B49F91">
      <w:pPr>
        <w:keepNext w:val="1"/>
        <w:keepLines w:val="1"/>
        <w:spacing w:before="100" w:beforeAutospacing="1" w:after="100" w:afterAutospacing="1"/>
        <w:outlineLvl w:val="2"/>
        <w:rPr>
          <w:sz w:val="32"/>
          <w:szCs w:val="32"/>
        </w:rPr>
      </w:pPr>
      <w:r>
        <w:rPr>
          <w:rFonts w:hint="eastAsia"/>
          <w:b w:val="1"/>
          <w:sz w:val="32"/>
        </w:rPr>
        <w:t>H1. 先回填实验环境与边界</w:t>
      </w:r>
    </w:p>
    <w:p w14:paraId="345934C0">
      <w:r>
        <w:rPr>
          <w:rFonts w:hint="eastAsia"/>
        </w:rPr>
        <w:t>第5章开头先写硬件、软件、链、编译器、合约commit、任务模型、样本量和统计方法。把实验分为</w:t>
      </w:r>
      <w:r>
        <w:rPr>
          <w:rFonts w:ascii="Consolas" w:hAnsi="Consolas" w:eastAsia="Consolas" w:cs="Consolas"/>
          <w:shd w:val="clear" w:fill="f5f5f5"/>
        </w:rPr>
        <w:t>local_evm</w:t>
      </w:r>
      <w:r>
        <w:rPr>
          <w:rFonts w:hint="eastAsia"/>
        </w:rPr>
        <w:t>、</w:t>
      </w:r>
      <w:r>
        <w:rPr>
          <w:rFonts w:ascii="Consolas" w:hAnsi="Consolas" w:eastAsia="Consolas" w:cs="Consolas"/>
          <w:shd w:val="clear" w:fill="f5f5f5"/>
        </w:rPr>
        <w:t>offline_kzg</w:t>
      </w:r>
      <w:r>
        <w:rPr>
          <w:rFonts w:hint="eastAsia"/>
        </w:rPr>
        <w:t>、</w:t>
      </w:r>
      <w:r>
        <w:rPr>
          <w:rFonts w:ascii="Consolas" w:hAnsi="Consolas" w:eastAsia="Consolas" w:cs="Consolas"/>
          <w:shd w:val="clear" w:fill="f5f5f5"/>
        </w:rPr>
        <w:t>real_tee</w:t>
      </w:r>
      <w:r>
        <w:rPr>
          <w:rFonts w:hint="eastAsia"/>
        </w:rPr>
        <w:t>、</w:t>
      </w:r>
      <w:r>
        <w:rPr>
          <w:rFonts w:ascii="Consolas" w:hAnsi="Consolas" w:eastAsia="Consolas" w:cs="Consolas"/>
          <w:shd w:val="clear" w:fill="f5f5f5"/>
        </w:rPr>
        <w:t>public_blob</w:t>
      </w:r>
      <w:r>
        <w:rPr>
          <w:rFonts w:hint="eastAsia"/>
        </w:rPr>
        <w:t>和</w:t>
      </w:r>
      <w:r>
        <w:rPr>
          <w:rFonts w:ascii="Consolas" w:hAnsi="Consolas" w:eastAsia="Consolas" w:cs="Consolas"/>
          <w:shd w:val="clear" w:fill="f5f5f5"/>
        </w:rPr>
        <w:t>third_party</w:t>
      </w:r>
      <w:r>
        <w:rPr>
          <w:rFonts w:hint="eastAsia"/>
        </w:rPr>
        <w:t>，每类明示是否完成及其证据。</w:t>
      </w:r>
    </w:p>
    <w:p w14:paraId="3D706F3C">
      <w:pPr>
        <w:keepNext w:val="1"/>
        <w:keepLines w:val="1"/>
        <w:spacing w:before="100" w:beforeAutospacing="1" w:after="100" w:afterAutospacing="1"/>
        <w:outlineLvl w:val="2"/>
        <w:rPr>
          <w:sz w:val="32"/>
          <w:szCs w:val="32"/>
        </w:rPr>
      </w:pPr>
      <w:r>
        <w:rPr>
          <w:rFonts w:hint="eastAsia"/>
          <w:b w:val="1"/>
          <w:sz w:val="32"/>
        </w:rPr>
        <w:t>H2. 再回填安全和资金</w:t>
      </w:r>
    </w:p>
    <w:p w14:paraId="18A7F4A0">
      <w:r>
        <w:rPr>
          <w:rFonts w:hint="eastAsia"/>
        </w:rPr>
        <w:t>将现有故障表重做为：故障注入、检测方式、可验证证据、责任方、实际余额变化、终局状态、失败原因和样本数。把“检测到但未罚没”与“已完成处罚闭环”分开。不要将提交前拒绝与提交后罚没混列。</w:t>
      </w:r>
    </w:p>
    <w:p w14:paraId="2AD4F993">
      <w:pPr>
        <w:keepNext w:val="1"/>
        <w:keepLines w:val="1"/>
        <w:spacing w:before="100" w:beforeAutospacing="1" w:after="100" w:afterAutospacing="1"/>
        <w:outlineLvl w:val="2"/>
        <w:rPr>
          <w:sz w:val="32"/>
          <w:szCs w:val="32"/>
        </w:rPr>
      </w:pPr>
      <w:r>
        <w:rPr>
          <w:rFonts w:hint="eastAsia"/>
          <w:b w:val="1"/>
          <w:sz w:val="32"/>
        </w:rPr>
        <w:t>H3. 再回填恢复</w:t>
      </w:r>
    </w:p>
    <w:p w14:paraId="131CB332">
      <w:r>
        <w:rPr>
          <w:rFonts w:hint="eastAsia"/>
        </w:rPr>
        <w:t>增加恢复状态轨迹、角色组合、恢复次数、绝对截止、接管后首次有效推进、最终结算和提款时间。用一张表回答：谁触发、何时可触发、能否延长窗口、能否重复、如何防回滚、如何处理同时满足recover/timeout。</w:t>
      </w:r>
    </w:p>
    <w:p w14:paraId="115B4AB8">
      <w:pPr>
        <w:keepNext w:val="1"/>
        <w:keepLines w:val="1"/>
        <w:spacing w:before="100" w:beforeAutospacing="1" w:after="100" w:afterAutospacing="1"/>
        <w:outlineLvl w:val="2"/>
        <w:rPr>
          <w:sz w:val="32"/>
          <w:szCs w:val="32"/>
        </w:rPr>
      </w:pPr>
      <w:r>
        <w:rPr>
          <w:rFonts w:hint="eastAsia"/>
          <w:b w:val="1"/>
          <w:sz w:val="32"/>
        </w:rPr>
        <w:t>H4. 回填真实TEE和真实DA</w:t>
      </w:r>
    </w:p>
    <w:p w14:paraId="4B10DBDC">
      <w:r>
        <w:rPr>
          <w:rFonts w:hint="eastAsia"/>
        </w:rPr>
        <w:t>只有取得真实Quote和独立验证记录后，才把真实TEE列为已完成；只有取得type-3 receipt、独立Blob取回和任务绑定校验后，才把真实Blob实验列为已完成。否则保留阻塞说明，并将模拟/离线结果放入受控基线小节。</w:t>
      </w:r>
    </w:p>
    <w:p w14:paraId="0E6738F5">
      <w:pPr>
        <w:keepNext w:val="1"/>
        <w:keepLines w:val="1"/>
        <w:spacing w:before="100" w:beforeAutospacing="1" w:after="100" w:afterAutospacing="1"/>
        <w:outlineLvl w:val="2"/>
        <w:rPr>
          <w:sz w:val="32"/>
          <w:szCs w:val="32"/>
        </w:rPr>
      </w:pPr>
      <w:r>
        <w:rPr>
          <w:rFonts w:hint="eastAsia"/>
          <w:b w:val="1"/>
          <w:sz w:val="32"/>
        </w:rPr>
        <w:t>H5. 回填性能、费用和比较</w:t>
      </w:r>
    </w:p>
    <w:p w14:paraId="5EE67A86">
      <w:r>
        <w:rPr>
          <w:rFonts w:hint="eastAsia"/>
        </w:rPr>
        <w:t>先放原始指标定义，再放聚合结果。表格中分开gas、真实费用、TEE时间、DA取回时间、挑战轮数和恢复时间。跨方案比较分为“同模型机制基准”和“第三方官方/文献结果”两张表，并增加不可直接比较原因。</w:t>
      </w:r>
    </w:p>
    <w:p w14:paraId="5D0283EC">
      <w:pPr>
        <w:keepNext w:val="1"/>
        <w:keepLines w:val="1"/>
        <w:spacing w:before="100" w:beforeAutospacing="1" w:after="100" w:afterAutospacing="1"/>
        <w:outlineLvl w:val="2"/>
        <w:rPr>
          <w:sz w:val="32"/>
          <w:szCs w:val="32"/>
        </w:rPr>
      </w:pPr>
      <w:r>
        <w:rPr>
          <w:rFonts w:hint="eastAsia"/>
          <w:b w:val="1"/>
          <w:sz w:val="32"/>
        </w:rPr>
        <w:t>H6. 最后修改摘要、引言和结论</w:t>
      </w:r>
    </w:p>
    <w:p w14:paraId="75F91AF7">
      <w:r>
        <w:rPr>
          <w:rFonts w:hint="eastAsia"/>
        </w:rPr>
        <w:t>实验数字冻结前，不修改摘要中的性能优势和结论。最终只保留被数据支持的表述，例如“在本地受控环境下”“在选定测试网条件下”“在所定义的有界计算模型下”。生产网络、通用EVM安全性、无限数据可用性和绝对抗审查能力不得由这些实验外推。</w:t>
      </w:r>
    </w:p>
    <w:p w14:paraId="3A0E982C">
      <w:pPr>
        <w:keepNext w:val="1"/>
        <w:keepLines w:val="1"/>
        <w:spacing w:before="100" w:beforeAutospacing="1" w:after="100" w:afterAutospacing="1"/>
        <w:outlineLvl w:val="1"/>
        <w:rPr>
          <w:sz w:val="32"/>
          <w:szCs w:val="32"/>
        </w:rPr>
      </w:pPr>
      <w:r>
        <w:rPr>
          <w:rFonts w:hint="eastAsia"/>
          <w:b w:val="1"/>
          <w:sz w:val="32"/>
        </w:rPr>
        <w:t>12. 推荐执行清单</w:t>
      </w:r>
    </w:p>
    <w:p w14:paraId="42B9258B">
      <w:pPr>
        <w:numPr>
          <w:ilvl w:val="0"/>
          <w:numId w:val="4"/>
        </w:numPr>
      </w:pPr>
      <w:r>
        <w:rPr>
          <w:rFonts w:hint="eastAsia"/>
        </w:rPr>
        <w:t>新建返修run并冻结commit、环境、数据字典和负载矩阵。</w:t>
      </w:r>
    </w:p>
    <w:p w14:paraId="7E220FCF">
      <w:pPr>
        <w:numPr>
          <w:ilvl w:val="0"/>
          <w:numId w:val="4"/>
        </w:numPr>
      </w:pPr>
      <w:r>
        <w:rPr>
          <w:rFonts w:hint="eastAsia"/>
        </w:rPr>
        <w:t>修改协议后先跑B阶段正常、安全、资金回归；任何旧反例在新入口复现即停止后续性能实验。</w:t>
      </w:r>
    </w:p>
    <w:p w14:paraId="60B45DFE">
      <w:pPr>
        <w:numPr>
          <w:ilvl w:val="0"/>
          <w:numId w:val="4"/>
        </w:numPr>
      </w:pPr>
      <w:r>
        <w:rPr>
          <w:rFonts w:hint="eastAsia"/>
        </w:rPr>
        <w:t>完成C阶段恢复、角色消失、重复调用、边界时限和DoS实验。</w:t>
      </w:r>
    </w:p>
    <w:p w14:paraId="7628EAC0">
      <w:pPr>
        <w:numPr>
          <w:ilvl w:val="0"/>
          <w:numId w:val="4"/>
        </w:numPr>
      </w:pPr>
      <w:r>
        <w:rPr>
          <w:rFonts w:hint="eastAsia"/>
        </w:rPr>
        <w:t>根据资源情况并行准备D阶段真实TEE和E阶段Sepolia Blob；二者均保存独立证据。</w:t>
      </w:r>
    </w:p>
    <w:p w14:paraId="1FD7CE90">
      <w:pPr>
        <w:numPr>
          <w:ilvl w:val="0"/>
          <w:numId w:val="4"/>
        </w:numPr>
      </w:pPr>
      <w:r>
        <w:rPr>
          <w:rFonts w:hint="eastAsia"/>
        </w:rPr>
        <w:t>完成F阶段本地性能、恢复时间、费用和消融；统一分母与样本量。</w:t>
      </w:r>
    </w:p>
    <w:p w14:paraId="64220622">
      <w:pPr>
        <w:numPr>
          <w:ilvl w:val="0"/>
          <w:numId w:val="4"/>
        </w:numPr>
      </w:pPr>
      <w:r>
        <w:rPr>
          <w:rFonts w:hint="eastAsia"/>
        </w:rPr>
        <w:t>完成G阶段机制矩阵和至少一组可比定量基线；不可比项保留原始定义。</w:t>
      </w:r>
    </w:p>
    <w:p w14:paraId="482D1C4E">
      <w:pPr>
        <w:numPr>
          <w:ilvl w:val="0"/>
          <w:numId w:val="4"/>
        </w:numPr>
      </w:pPr>
      <w:r>
        <w:rPr>
          <w:rFonts w:hint="eastAsia"/>
        </w:rPr>
        <w:t>自动生成图表和表格，人工复核每个数字能回溯到raw数据。</w:t>
      </w:r>
    </w:p>
    <w:p w14:paraId="3730541F">
      <w:pPr>
        <w:numPr>
          <w:ilvl w:val="0"/>
          <w:numId w:val="4"/>
        </w:numPr>
      </w:pPr>
      <w:r>
        <w:rPr>
          <w:rFonts w:hint="eastAsia"/>
        </w:rPr>
        <w:t>按H1至H6回填第5章，再同步修改摘要、引言、相关工作和结论。</w:t>
      </w:r>
    </w:p>
    <w:p w14:paraId="2ABC3CBA">
      <w:pPr>
        <w:numPr>
          <w:ilvl w:val="0"/>
          <w:numId w:val="4"/>
        </w:numPr>
      </w:pPr>
      <w:r>
        <w:rPr>
          <w:rFonts w:hint="eastAsia"/>
        </w:rPr>
        <w:t>用独立环境从头运行一次公开命令；将所有失败样本和未完成外部实验写入限制部分。</w:t>
      </w:r>
    </w:p>
    <w:p w14:paraId="264FC805">
      <w:pPr>
        <w:numPr>
          <w:ilvl w:val="0"/>
          <w:numId w:val="4"/>
        </w:numPr>
      </w:pPr>
      <w:r>
        <w:rPr>
          <w:rFonts w:hint="eastAsia"/>
        </w:rPr>
        <w:t>生成逐条评审答复，标明意见已解决、部分解决或未解决，不用“实验已完成”覆盖阻塞项。</w:t>
      </w:r>
    </w:p>
    <w:p w14:paraId="38F5DA6F">
      <w:pPr>
        <w:keepNext w:val="1"/>
        <w:keepLines w:val="1"/>
        <w:spacing w:before="100" w:beforeAutospacing="1" w:after="100" w:afterAutospacing="1"/>
        <w:outlineLvl w:val="1"/>
        <w:rPr>
          <w:sz w:val="32"/>
          <w:szCs w:val="32"/>
        </w:rPr>
      </w:pPr>
      <w:r>
        <w:rPr>
          <w:rFonts w:hint="eastAsia"/>
          <w:b w:val="1"/>
          <w:sz w:val="32"/>
        </w:rPr>
        <w:t>13. 当前可以立即执行与必须等待的事项</w:t>
      </w:r>
    </w:p>
    <w:p w14:paraId="144CCAFB">
      <w:pPr>
        <w:keepNext w:val="1"/>
        <w:keepLines w:val="1"/>
        <w:spacing w:before="100" w:beforeAutospacing="1" w:after="100" w:afterAutospacing="1"/>
        <w:outlineLvl w:val="2"/>
        <w:rPr>
          <w:sz w:val="32"/>
          <w:szCs w:val="32"/>
        </w:rPr>
      </w:pPr>
      <w:r>
        <w:rPr>
          <w:rFonts w:hint="eastAsia"/>
          <w:b w:val="1"/>
          <w:sz w:val="32"/>
        </w:rPr>
        <w:t>可以立即执行</w:t>
      </w:r>
    </w:p>
    <w:p w14:paraId="48EB13CC">
      <w:pPr>
        <w:numPr>
          <w:ilvl w:val="0"/>
          <w:numId w:val="1"/>
        </w:numPr>
      </w:pPr>
      <w:r>
        <w:rPr>
          <w:rFonts w:hint="eastAsia"/>
        </w:rPr>
        <w:t>A阶段版本、环境、口径和数据结构冻结；</w:t>
      </w:r>
    </w:p>
    <w:p w14:paraId="4A49BC22">
      <w:pPr>
        <w:numPr>
          <w:ilvl w:val="0"/>
          <w:numId w:val="1"/>
        </w:numPr>
      </w:pPr>
      <w:r>
        <w:rPr>
          <w:rFonts w:hint="eastAsia"/>
        </w:rPr>
        <w:t>B阶段本地功能、安全、资金闭环；</w:t>
      </w:r>
    </w:p>
    <w:p w14:paraId="08D7F19D">
      <w:pPr>
        <w:numPr>
          <w:ilvl w:val="0"/>
          <w:numId w:val="1"/>
        </w:numPr>
      </w:pPr>
      <w:r>
        <w:rPr>
          <w:rFonts w:hint="eastAsia"/>
        </w:rPr>
        <w:t>C阶段恢复、DoS、随机和边界测试；</w:t>
      </w:r>
    </w:p>
    <w:p w14:paraId="41D98F26">
      <w:pPr>
        <w:numPr>
          <w:ilvl w:val="0"/>
          <w:numId w:val="1"/>
        </w:numPr>
      </w:pPr>
      <w:r>
        <w:rPr>
          <w:rFonts w:hint="eastAsia"/>
        </w:rPr>
        <w:t>F阶段本地性能、消融和calldata基线；</w:t>
      </w:r>
    </w:p>
    <w:p w14:paraId="612B1ED9">
      <w:pPr>
        <w:numPr>
          <w:ilvl w:val="0"/>
          <w:numId w:val="1"/>
        </w:numPr>
      </w:pPr>
      <w:r>
        <w:rPr>
          <w:rFonts w:hint="eastAsia"/>
        </w:rPr>
        <w:t>G阶段文献机制矩阵和可复现性核查；</w:t>
      </w:r>
    </w:p>
    <w:p w14:paraId="1855EDAB">
      <w:pPr>
        <w:numPr>
          <w:ilvl w:val="0"/>
          <w:numId w:val="1"/>
        </w:numPr>
      </w:pPr>
      <w:r>
        <w:rPr>
          <w:rFonts w:hint="eastAsia"/>
        </w:rPr>
        <w:t>第5章实验方法、指标定义和限制部分的草稿。</w:t>
      </w:r>
    </w:p>
    <w:p w14:paraId="62A6E2ED">
      <w:pPr>
        <w:keepNext w:val="1"/>
        <w:keepLines w:val="1"/>
        <w:spacing w:before="100" w:beforeAutospacing="1" w:after="100" w:afterAutospacing="1"/>
        <w:outlineLvl w:val="2"/>
        <w:rPr>
          <w:sz w:val="32"/>
          <w:szCs w:val="32"/>
        </w:rPr>
      </w:pPr>
      <w:r>
        <w:rPr>
          <w:rFonts w:hint="eastAsia"/>
          <w:b w:val="1"/>
          <w:sz w:val="32"/>
        </w:rPr>
        <w:t>必须取得外部条件后执行</w:t>
      </w:r>
    </w:p>
    <w:p w14:paraId="17D5DABF">
      <w:pPr>
        <w:numPr>
          <w:ilvl w:val="0"/>
          <w:numId w:val="1"/>
        </w:numPr>
      </w:pPr>
      <w:r>
        <w:rPr>
          <w:rFonts w:hint="eastAsia"/>
        </w:rPr>
        <w:t>D阶段真实SGX/TDX Quote、PCK链和独立验证；</w:t>
      </w:r>
    </w:p>
    <w:p w14:paraId="391D0724">
      <w:pPr>
        <w:numPr>
          <w:ilvl w:val="0"/>
          <w:numId w:val="1"/>
        </w:numPr>
      </w:pPr>
      <w:r>
        <w:rPr>
          <w:rFonts w:hint="eastAsia"/>
        </w:rPr>
        <w:t>E阶段真实type-3交易、Blob sidecar独立取回、任务绑定和真实Blob fee；</w:t>
      </w:r>
    </w:p>
    <w:p w14:paraId="3590AE8A">
      <w:pPr>
        <w:numPr>
          <w:ilvl w:val="0"/>
          <w:numId w:val="1"/>
        </w:numPr>
      </w:pPr>
      <w:r>
        <w:rPr>
          <w:rFonts w:hint="eastAsia"/>
        </w:rPr>
        <w:t>依赖官方节点/服务的第三方端到端吞吐与终局数据。</w:t>
      </w:r>
    </w:p>
    <w:p w14:paraId="69F8B13E">
      <w:r>
        <w:rPr>
          <w:rFonts w:hint="eastAsia"/>
        </w:rPr>
        <w:t>当前不能用以下材料替代上述外部实验：Python模拟HMAC、MockDARegistry、离线KZG、Hardhat本地gas、发布机本地Blob文件、文献中其他环境的费用或延迟。</w:t>
      </w:r>
    </w:p>
    <w:p w14:paraId="11107F6A">
      <w:pPr>
        <w:keepNext w:val="1"/>
        <w:keepLines w:val="1"/>
        <w:spacing w:before="100" w:beforeAutospacing="1" w:after="100" w:afterAutospacing="1"/>
        <w:outlineLvl w:val="1"/>
        <w:rPr>
          <w:sz w:val="32"/>
          <w:szCs w:val="32"/>
        </w:rPr>
      </w:pPr>
      <w:r>
        <w:rPr>
          <w:rFonts w:hint="eastAsia"/>
          <w:b w:val="1"/>
          <w:sz w:val="32"/>
        </w:rPr>
        <w:t>14. 最终实验完成判据</w:t>
      </w:r>
    </w:p>
    <w:p w14:paraId="6728B4AA">
      <w:r>
        <w:rPr>
          <w:rFonts w:hint="eastAsia"/>
        </w:rPr>
        <w:t>只有同时满足以下条件，才建议在答复中称“实验补充完成”：</w:t>
      </w:r>
    </w:p>
    <w:p w14:paraId="371FBD0F">
      <w:pPr>
        <w:numPr>
          <w:ilvl w:val="0"/>
          <w:numId w:val="5"/>
        </w:numPr>
      </w:pPr>
      <w:r>
        <w:rPr>
          <w:rFonts w:hint="eastAsia"/>
        </w:rPr>
        <w:t>新版本协议、合约和实验入口唯一且commit可追溯；</w:t>
      </w:r>
    </w:p>
    <w:p w14:paraId="1B7968AC">
      <w:pPr>
        <w:numPr>
          <w:ilvl w:val="0"/>
          <w:numId w:val="5"/>
        </w:numPr>
      </w:pPr>
      <w:r>
        <w:rPr>
          <w:rFonts w:hint="eastAsia"/>
        </w:rPr>
        <w:t>安全、恢复、DoS和资金闭环测试全部有正负例及原始结果；</w:t>
      </w:r>
    </w:p>
    <w:p w14:paraId="08CADC35">
      <w:pPr>
        <w:numPr>
          <w:ilvl w:val="0"/>
          <w:numId w:val="5"/>
        </w:numPr>
      </w:pPr>
      <w:r>
        <w:rPr>
          <w:rFonts w:hint="eastAsia"/>
        </w:rPr>
        <w:t>每种已声明的故障均有责任方、证据、结算和余额变化；</w:t>
      </w:r>
    </w:p>
    <w:p w14:paraId="2F377493">
      <w:pPr>
        <w:numPr>
          <w:ilvl w:val="0"/>
          <w:numId w:val="5"/>
        </w:numPr>
      </w:pPr>
      <w:r>
        <w:rPr>
          <w:rFonts w:hint="eastAsia"/>
        </w:rPr>
        <w:t>真实TEE部分有Quote、独立验证、应用measurement绑定和负例；</w:t>
      </w:r>
    </w:p>
    <w:p w14:paraId="75A2C368">
      <w:pPr>
        <w:numPr>
          <w:ilvl w:val="0"/>
          <w:numId w:val="5"/>
        </w:numPr>
      </w:pPr>
      <w:r>
        <w:rPr>
          <w:rFonts w:hint="eastAsia"/>
        </w:rPr>
        <w:t>真实DA部分有发布receipt、独立取回、KZG/manifest/任务绑定和DA故障处置；</w:t>
      </w:r>
    </w:p>
    <w:p w14:paraId="3C3FFD79">
      <w:pPr>
        <w:numPr>
          <w:ilvl w:val="0"/>
          <w:numId w:val="5"/>
        </w:numPr>
      </w:pPr>
      <w:r>
        <w:rPr>
          <w:rFonts w:hint="eastAsia"/>
        </w:rPr>
        <w:t>性能报告给出端到端分段延迟、吞吐、恢复时间、样本量和不确定性；</w:t>
      </w:r>
    </w:p>
    <w:p w14:paraId="5ACAB042">
      <w:pPr>
        <w:numPr>
          <w:ilvl w:val="0"/>
          <w:numId w:val="5"/>
        </w:numPr>
      </w:pPr>
      <w:r>
        <w:rPr>
          <w:rFonts w:hint="eastAsia"/>
        </w:rPr>
        <w:t>成本模型区分L1 gas、Blob gas、TEE、DA和争议开销；</w:t>
      </w:r>
    </w:p>
    <w:p w14:paraId="0AA67D87">
      <w:pPr>
        <w:numPr>
          <w:ilvl w:val="0"/>
          <w:numId w:val="5"/>
        </w:numPr>
      </w:pPr>
      <w:r>
        <w:rPr>
          <w:rFonts w:hint="eastAsia"/>
        </w:rPr>
        <w:t>与TeeRollup、Arbitrum、Optimism的比较保留统一口径和不可比边界；</w:t>
      </w:r>
    </w:p>
    <w:p w14:paraId="4CF0B060">
      <w:pPr>
        <w:numPr>
          <w:ilvl w:val="0"/>
          <w:numId w:val="5"/>
        </w:numPr>
      </w:pPr>
      <w:r>
        <w:rPr>
          <w:rFonts w:hint="eastAsia"/>
        </w:rPr>
        <w:t>第5章每个图表均有可重建数据和脚本；</w:t>
      </w:r>
    </w:p>
    <w:p w14:paraId="39AB7CCC">
      <w:pPr>
        <w:numPr>
          <w:ilvl w:val="0"/>
          <w:numId w:val="5"/>
        </w:numPr>
      </w:pPr>
      <w:r>
        <w:rPr>
          <w:rFonts w:hint="eastAsia"/>
        </w:rPr>
        <w:t>摘要、结论和逐条答复没有超出实验实际证明范围。</w:t>
      </w:r>
    </w:p>
    <w:p w14:paraId="09FD5724">
      <w:r>
        <w:rPr>
          <w:rFonts w:hint="eastAsia"/>
        </w:rPr>
        <w:t>最终原则：先补证据，再写结论；先区分“检测到”与“已罚没”，再讨论安全性；先区分“本地基线”与“真实网络”，再讨论性能优势。</w:t>
      </w:r>
    </w:p>
    <w:p w14:paraId="2BB47CAA"/>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bullet"/>
      <w:lvlText w:val=""/>
      <w:lvlJc w:val="left"/>
      <w:pPr>
        <w:ind w:left="420" w:hanging="420"/>
      </w:pPr>
      <w:rPr>
        <w:rFonts w:hint="default" w:ascii="Wingdings" w:hAnsi="Wingdings"/>
      </w:rPr>
    </w:lvl>
  </w:abstractNum>
  <w:num w:numId="1">
    <w:abstractNumId w:val="4"/>
  </w:num>
  <w:num w:numId="2">
    <w:abstractNumId w:val="2"/>
  </w:num>
  <w:num w:numId="5">
    <w:abstractNumId w:val="3"/>
  </w:num>
  <w:num w:numId="4">
    <w:abstractNumId w:val="0"/>
  </w:num>
  <w:num w:numId="3">
    <w:abstractNumId w:val="1"/>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2026-09-12T15:54:01Z</dcterms:created>
  <dcterms:modified xsi:type="dcterms:W3CDTF">2026-09-12T15:54:01Z</dcterms:modified>
</cp:coreProperties>
</file>