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14="http://schemas.microsoft.com/office/word/2010/wordml" xmlns:w="http://schemas.openxmlformats.org/wordprocessingml/2006/main" xmlns:mc="http://schemas.openxmlformats.org/markup-compatibility/2006" mc:Ignorable="w14">
  <w:body>
    <w:p w14:paraId="2FC9795A"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Hybrid TEE-Rollup 论文返修实施计划</w:t>
      </w:r>
    </w:p>
    <w:p w14:paraId="6DEBB2C9">
      <w:r>
        <w:rPr>
          <w:rFonts w:hint="eastAsia"/>
        </w:rPr>
        <w:t>工程补强、验证证据与逐章改稿对应方案</w:t>
      </w:r>
    </w:p>
    <w:p w14:paraId="0864AE70">
      <w:r>
        <w:rPr>
          <w:rFonts w:hint="eastAsia"/>
        </w:rPr>
        <w:t>制定日期：2026年9月11日。对象：Hybrid_TEE_Rollup修改版.docx。基线：revision_runs/20260911T095029Z。本文为待确认的实施计划，不是新增实验结果，不代表原论文已修改。</w:t>
      </w:r>
    </w:p>
    <w:p w14:paraId="5400350F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1. 结论与返修目标</w:t>
      </w:r>
    </w:p>
    <w:p w14:paraId="784B14B8">
      <w:r>
        <w:rPr>
          <w:rFonts w:hint="eastAsia"/>
        </w:rPr>
        <w:t>当前返修的主要矛盾不是文字表达，而是论文主张、协议定义、实现能力和实验依据尚未形成一致闭环。建议按“定义协议 → 形成可归责的安全与资金闭环 → 接入真实服务 → 同口径实验 → 回填论文”的顺序推进。相关工作和威胁模型可并行先写，但摘要中的性能数字、优势判断和结论必须最后确定。</w:t>
      </w:r>
    </w:p>
    <w:p w14:paraId="274B03C2">
      <w:r>
        <w:rPr>
          <w:rFonts w:hint="eastAsia"/>
        </w:rPr>
        <w:t>建议将论文中心问题收敛为：在明确的信任与数据可用性假设下，参与者中断后如何在固定争议事实和有界截止时间内接续挑战，并保证裁决和资金结算不被重置、重放或重复执行。哈希、Merkle树和按批摊销作为实现手段，而不是单独的创新点。该研究定位是候选贡献，仍须通过文献核对、协议论证和消融实验确认，不能提前宣称首创。</w:t>
      </w:r>
    </w:p>
    <w:p w14:paraId="3825EAF2">
      <w:r>
        <w:rPr>
          <w:rFonts w:hint="eastAsia"/>
        </w:rPr>
        <w:t>完整返修目标包括七项：恢复状态机与权限可审计；异常可归责且资金真实流转；TEE证明和链上接受之间的信任边界明确；真实Blob发布、独立取回与任务绑定；安全和性能实验可复现；与相关方案公平比较；每条评审意见均有正文位置和证据对应。</w:t>
      </w:r>
    </w:p>
    <w:p w14:paraId="04A5CF90">
      <w:r>
        <w:rPr>
          <w:rFonts w:hint="eastAsia"/>
        </w:rPr>
        <w:t>公网测试网实验可以补充真实网络与真实服务证据，但不等于生产主网验证。若未开展生产部署，论文必须继续明确这一边界，不因完成Sepolia实验而写成“生产环境已验证”。</w:t>
      </w:r>
    </w:p>
    <w:p w14:paraId="6E49108F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2. 已核对的事实基线</w:t>
      </w:r>
    </w:p>
    <w:p w14:paraId="790FD516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2.1 可复用的已有证据</w:t>
      </w:r>
    </w:p>
    <w:p w14:paraId="3A920931">
      <w:r>
        <w:rPr>
          <w:rFonts w:hint="eastAsia"/>
        </w:rPr>
        <w:t>现有审计记录包含：23项定向安全回归；1,000条固定种子随机序列、27,401次操作、22,686次回退状态检查；27格本地主矩阵、9格calldata矩阵、48格恢复矩阵，每格5个样本；9格离线真实KZG矩阵和负例；旧实现10个反例复现。上述数字均属于既有记录，本轮未重新执行。</w:t>
      </w:r>
    </w:p>
    <w:p w14:paraId="4E960784">
      <w:r>
        <w:rPr>
          <w:rFonts w:hint="eastAsia"/>
        </w:rPr>
        <w:t>这些材料可作为回归基线和初步测量，但不能证明修改后的协议正确，也不能替代真实硬件、公网DA或第三方Rollup复测。每个新协议版本必须重新跑相关测试；现有每格5个样本不适合支撑稳定的p99结论。</w:t>
      </w:r>
    </w:p>
    <w:p w14:paraId="71F600FE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2.2 当前缺口与证据边界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 w14:paraId="6ED7B6A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对象</w:t>
            </w:r>
          </w:p>
        </w:tc>
        <w:tc>
          <w:tcPr>
            <w:tcW w:w="2768" w:type="dxa"/>
          </w:tcPr>
          <w:p w14:paraId="425EEE2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已核对事实</w:t>
            </w:r>
          </w:p>
        </w:tc>
        <w:tc>
          <w:tcPr>
            <w:tcW w:w="2768" w:type="dxa"/>
          </w:tcPr>
          <w:p w14:paraId="33804DD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对返修的约束</w:t>
            </w:r>
          </w:p>
        </w:tc>
      </w:tr>
      <w:tr>
        <w:trPr/>
        <w:tc>
          <w:tcPr>
            <w:tcW w:w="2768" w:type="dxa"/>
          </w:tcPr>
          <w:p w14:paraId="4392024C">
            <w:r>
              <w:rPr>
                <w:rFonts w:hint="eastAsia"/>
              </w:rPr>
              <w:t>真实外部实验</w:t>
            </w:r>
          </w:p>
        </w:tc>
        <w:tc>
          <w:tcPr>
            <w:tcW w:w="2768" w:type="dxa"/>
          </w:tcPr>
          <w:p w14:paraId="1AC95A8F">
            <w:r>
              <w:rPr>
                <w:rFonts w:hint="eastAsia"/>
              </w:rPr>
              <w:t>external_status.json中公网测试网和真实TEE均为false</w:t>
            </w:r>
          </w:p>
        </w:tc>
        <w:tc>
          <w:tcPr>
            <w:tcW w:w="2768" w:type="dxa"/>
          </w:tcPr>
          <w:p w14:paraId="43DCBECE">
            <w:r>
              <w:rPr>
                <w:rFonts w:hint="eastAsia"/>
              </w:rPr>
              <w:t>不得写成已经完成；凭据、硬件、实际交易和Quote仍待补齐</w:t>
            </w:r>
          </w:p>
        </w:tc>
      </w:tr>
      <w:tr>
        <w:trPr/>
        <w:tc>
          <w:tcPr>
            <w:tcW w:w="2768" w:type="dxa"/>
          </w:tcPr>
          <w:p w14:paraId="319DFE42">
            <w:r>
              <w:rPr>
                <w:rFonts w:hint="eastAsia"/>
              </w:rPr>
              <w:t>TEE认证</w:t>
            </w:r>
          </w:p>
        </w:tc>
        <w:tc>
          <w:tcPr>
            <w:tcW w:w="2768" w:type="dxa"/>
          </w:tcPr>
          <w:p w14:paraId="6601DD87">
            <w:r>
              <w:rPr>
                <w:rFonts w:hint="eastAsia"/>
              </w:rPr>
              <w:t>MockTEEVerifier核验授权ECDSA签名；Python后端是模拟HMAC</w:t>
            </w:r>
          </w:p>
        </w:tc>
        <w:tc>
          <w:tcPr>
            <w:tcW w:w="2768" w:type="dxa"/>
          </w:tcPr>
          <w:p w14:paraId="4257FB60">
            <w:r>
              <w:rPr>
                <w:rFonts w:hint="eastAsia"/>
              </w:rPr>
              <w:t>授权签名不等于SGX或TDX远程证明</w:t>
            </w:r>
          </w:p>
        </w:tc>
      </w:tr>
      <w:tr>
        <w:trPr/>
        <w:tc>
          <w:tcPr>
            <w:tcW w:w="2768" w:type="dxa"/>
          </w:tcPr>
          <w:p w14:paraId="16CE9BDA">
            <w:r>
              <w:rPr>
                <w:rFonts w:hint="eastAsia"/>
              </w:rPr>
              <w:t>DA服务</w:t>
            </w:r>
          </w:p>
        </w:tc>
        <w:tc>
          <w:tcPr>
            <w:tcW w:w="2768" w:type="dxa"/>
          </w:tcPr>
          <w:p w14:paraId="5683F9E1">
            <w:r>
              <w:rPr>
                <w:rFonts w:hint="eastAsia"/>
              </w:rPr>
              <w:t>MockDARegistry由setter设置available字段</w:t>
            </w:r>
          </w:p>
        </w:tc>
        <w:tc>
          <w:tcPr>
            <w:tcW w:w="2768" w:type="dxa"/>
          </w:tcPr>
          <w:p w14:paraId="6FD9CE9F">
            <w:r>
              <w:rPr>
                <w:rFonts w:hint="eastAsia"/>
              </w:rPr>
              <w:t>可测试状态分支，不证明公网数据真的可取回</w:t>
            </w:r>
          </w:p>
        </w:tc>
      </w:tr>
      <w:tr>
        <w:trPr/>
        <w:tc>
          <w:tcPr>
            <w:tcW w:w="2768" w:type="dxa"/>
          </w:tcPr>
          <w:p w14:paraId="7FDD1613">
            <w:r>
              <w:rPr>
                <w:rFonts w:hint="eastAsia"/>
              </w:rPr>
              <w:t>Blob模块</w:t>
            </w:r>
          </w:p>
        </w:tc>
        <w:tc>
          <w:tcPr>
            <w:tcW w:w="2768" w:type="dxa"/>
          </w:tcPr>
          <w:p w14:paraId="7F955B86">
            <w:r>
              <w:rPr>
                <w:rFonts w:hint="eastAsia"/>
              </w:rPr>
              <w:t>BlobBatchAnchor独立锚定；blob_challenge_settle记录NOT_IMPLEMENTED和BINDING_GAP</w:t>
            </w:r>
          </w:p>
        </w:tc>
        <w:tc>
          <w:tcPr>
            <w:tcW w:w="2768" w:type="dxa"/>
          </w:tcPr>
          <w:p w14:paraId="731FFA2C">
            <w:r>
              <w:rPr>
                <w:rFonts w:hint="eastAsia"/>
              </w:rPr>
              <w:t>离线KZG、锚定、核心任务、挑战和结算尚未闭环</w:t>
            </w:r>
          </w:p>
        </w:tc>
      </w:tr>
      <w:tr>
        <w:trPr/>
        <w:tc>
          <w:tcPr>
            <w:tcW w:w="2768" w:type="dxa"/>
          </w:tcPr>
          <w:p w14:paraId="40961DB1">
            <w:r>
              <w:rPr>
                <w:rFonts w:hint="eastAsia"/>
              </w:rPr>
              <w:t>仲裁核心</w:t>
            </w:r>
          </w:p>
        </w:tc>
        <w:tc>
          <w:tcPr>
            <w:tcW w:w="2768" w:type="dxa"/>
          </w:tcPr>
          <w:p w14:paraId="65ED711E">
            <w:r>
              <w:rPr>
                <w:rFonts w:hint="eastAsia"/>
              </w:rPr>
              <w:t>BoundedTaskRollup采用至多128步全量hash重算，traceRoot为有序向量承诺</w:t>
            </w:r>
          </w:p>
        </w:tc>
        <w:tc>
          <w:tcPr>
            <w:tcW w:w="2768" w:type="dxa"/>
          </w:tcPr>
          <w:p w14:paraId="721FAA2C">
            <w:r>
              <w:rPr>
                <w:rFonts w:hint="eastAsia"/>
              </w:rPr>
              <w:t>不得描述为已实现Merkle单步争议或通用EVM欺诈证明</w:t>
            </w:r>
          </w:p>
        </w:tc>
      </w:tr>
      <w:tr>
        <w:trPr/>
        <w:tc>
          <w:tcPr>
            <w:tcW w:w="2768" w:type="dxa"/>
          </w:tcPr>
          <w:p w14:paraId="25CE934F">
            <w:r>
              <w:rPr>
                <w:rFonts w:hint="eastAsia"/>
              </w:rPr>
              <w:t>旧合约</w:t>
            </w:r>
          </w:p>
        </w:tc>
        <w:tc>
          <w:tcPr>
            <w:tcW w:w="2768" w:type="dxa"/>
          </w:tcPr>
          <w:p w14:paraId="6B6D0106">
            <w:r>
              <w:rPr>
                <w:rFonts w:hint="eastAsia"/>
              </w:rPr>
              <w:t>HybridTEERollup旧路径含resolutionBits，SLASHED状态不能代替资金划转</w:t>
            </w:r>
          </w:p>
        </w:tc>
        <w:tc>
          <w:tcPr>
            <w:tcW w:w="2768" w:type="dxa"/>
          </w:tcPr>
          <w:p w14:paraId="580797B4">
            <w:r>
              <w:rPr>
                <w:rFonts w:hint="eastAsia"/>
              </w:rPr>
              <w:t>需明确唯一权威实验实现，旧合约只保留作反例对照</w:t>
            </w:r>
          </w:p>
        </w:tc>
      </w:tr>
      <w:tr>
        <w:trPr/>
        <w:tc>
          <w:tcPr>
            <w:tcW w:w="2768" w:type="dxa"/>
          </w:tcPr>
          <w:p w14:paraId="2C808F37">
            <w:r>
              <w:rPr>
                <w:rFonts w:hint="eastAsia"/>
              </w:rPr>
              <w:t>性能脚本</w:t>
            </w:r>
          </w:p>
        </w:tc>
        <w:tc>
          <w:tcPr>
            <w:tcW w:w="2768" w:type="dxa"/>
          </w:tcPr>
          <w:p w14:paraId="74009B0E">
            <w:r>
              <w:t>effectiveConcurrency=min(batchSize,concurrency)</w:t>
            </w:r>
          </w:p>
        </w:tc>
        <w:tc>
          <w:tcPr>
            <w:tcW w:w="2768" w:type="dxa"/>
          </w:tcPr>
          <w:p w14:paraId="23E70A51">
            <w:r>
              <w:rPr>
                <w:rFonts w:hint="eastAsia"/>
              </w:rPr>
              <w:t>batchSize=1时并发设置实际均为1；需重做并发定义</w:t>
            </w:r>
          </w:p>
        </w:tc>
      </w:tr>
      <w:tr>
        <w:trPr/>
        <w:tc>
          <w:tcPr>
            <w:tcW w:w="2768" w:type="dxa"/>
          </w:tcPr>
          <w:p w14:paraId="705F0DFC">
            <w:r>
              <w:rPr>
                <w:rFonts w:hint="eastAsia"/>
              </w:rPr>
              <w:t>数据规模</w:t>
            </w:r>
          </w:p>
        </w:tc>
        <w:tc>
          <w:tcPr>
            <w:tcW w:w="2768" w:type="dxa"/>
          </w:tcPr>
          <w:p w14:paraId="4912367A">
            <w:r>
              <w:rPr>
                <w:rFonts w:hint="eastAsia"/>
              </w:rPr>
              <w:t>blobcodec与performance存在每批KiB、每任务KiB口径差异</w:t>
            </w:r>
          </w:p>
        </w:tc>
        <w:tc>
          <w:tcPr>
            <w:tcW w:w="2768" w:type="dxa"/>
          </w:tcPr>
          <w:p w14:paraId="2DDC3672">
            <w:r>
              <w:rPr>
                <w:rFonts w:hint="eastAsia"/>
              </w:rPr>
              <w:t>在比较费用、吞吐前先统一分母</w:t>
            </w:r>
          </w:p>
        </w:tc>
      </w:tr>
    </w:tbl>
    <w:p w14:paraId="1B3E542D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2.3 现稿定位</w:t>
      </w:r>
    </w:p>
    <w:p w14:paraId="4B48FBAD">
      <w:r>
        <w:rPr>
          <w:rFonts w:hint="eastAsia"/>
        </w:rPr>
        <w:t>现稿包含：第1章引言、第2章相关工作、第3章系统概览、第4章核心机制、第5章实验评估、第6章结论及参考文献。第4章已有4.1可恢复挑战协议、4.2紧凑提交、4.3 DA成本评估；第5章已有5.5 Solidity、本地EVM与Sepolia证据。后续定位采用章节标题和段落关键句，正式排版后再填写最终页码，不能沿用编辑前的字符坐标。</w:t>
      </w:r>
    </w:p>
    <w:p w14:paraId="3AEB5B71">
      <w:r>
        <w:rPr>
          <w:rFonts w:hint="eastAsia"/>
        </w:rPr>
        <w:t>现有表4将远程证明无效、DA不可用和DA证明无效列为“可检测但未统一惩罚”；检测率100%，挑战成功率与罚没比例为0%。这不是完整处罚闭环。现有表5为旧版本本地gas数据，例如submitRollup均值299,033.67；必须保留版本标签，不能与新合约的测量混用。</w:t>
      </w:r>
    </w:p>
    <w:p w14:paraId="5A80AA15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3. 审稿意见到交付证据的对应关系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 w14:paraId="53BC0C1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意见</w:t>
            </w:r>
          </w:p>
        </w:tc>
        <w:tc>
          <w:tcPr>
            <w:tcW w:w="2768" w:type="dxa"/>
          </w:tcPr>
          <w:p w14:paraId="63B645A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工程与研究动作</w:t>
            </w:r>
          </w:p>
        </w:tc>
        <w:tc>
          <w:tcPr>
            <w:tcW w:w="2768" w:type="dxa"/>
          </w:tcPr>
          <w:p w14:paraId="37DF6EF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论文位置与验收证据</w:t>
            </w:r>
          </w:p>
        </w:tc>
      </w:tr>
      <w:tr>
        <w:trPr/>
        <w:tc>
          <w:tcPr>
            <w:tcW w:w="2768" w:type="dxa"/>
          </w:tcPr>
          <w:p w14:paraId="41C9FF59">
            <w:r>
              <w:rPr>
                <w:rFonts w:hint="eastAsia"/>
              </w:rPr>
              <w:t>专家1：模拟TEE、DA注册表、未对接真实网络</w:t>
            </w:r>
          </w:p>
        </w:tc>
        <w:tc>
          <w:tcPr>
            <w:tcW w:w="2768" w:type="dxa"/>
          </w:tcPr>
          <w:p w14:paraId="4B5B318F">
            <w:r>
              <w:rPr>
                <w:rFonts w:hint="eastAsia"/>
              </w:rPr>
              <w:t>增加真实硬件证明后端、公网Blob实验、跨进程独立观察者</w:t>
            </w:r>
          </w:p>
        </w:tc>
        <w:tc>
          <w:tcPr>
            <w:tcW w:w="2768" w:type="dxa"/>
          </w:tcPr>
          <w:p w14:paraId="6D0F60C2">
            <w:r>
              <w:rPr>
                <w:rFonts w:hint="eastAsia"/>
              </w:rPr>
              <w:t>第3、5、6章；Quote验证记录、交易receipt、独立取回与费用字段</w:t>
            </w:r>
          </w:p>
        </w:tc>
      </w:tr>
      <w:tr>
        <w:trPr/>
        <w:tc>
          <w:tcPr>
            <w:tcW w:w="2768" w:type="dxa"/>
          </w:tcPr>
          <w:p w14:paraId="4871E9BA">
            <w:r>
              <w:rPr>
                <w:rFonts w:hint="eastAsia"/>
              </w:rPr>
              <w:t>专家1：部分故障无完整罚没</w:t>
            </w:r>
          </w:p>
        </w:tc>
        <w:tc>
          <w:tcPr>
            <w:tcW w:w="2768" w:type="dxa"/>
          </w:tcPr>
          <w:p w14:paraId="5A035E86">
            <w:r>
              <w:rPr>
                <w:rFonts w:hint="eastAsia"/>
              </w:rPr>
              <w:t>定义违规义务、可验证证据、责任人、资金结算和提现</w:t>
            </w:r>
          </w:p>
        </w:tc>
        <w:tc>
          <w:tcPr>
            <w:tcW w:w="2768" w:type="dxa"/>
          </w:tcPr>
          <w:p w14:paraId="75952EEA">
            <w:r>
              <w:rPr>
                <w:rFonts w:hint="eastAsia"/>
              </w:rPr>
              <w:t>第4章协议与第5章攻击实验；逐场景余额变化与事件</w:t>
            </w:r>
          </w:p>
        </w:tc>
      </w:tr>
      <w:tr>
        <w:trPr/>
        <w:tc>
          <w:tcPr>
            <w:tcW w:w="2768" w:type="dxa"/>
          </w:tcPr>
          <w:p w14:paraId="2BFF49CB">
            <w:r>
              <w:rPr>
                <w:rFonts w:hint="eastAsia"/>
              </w:rPr>
              <w:t>专家2-1：创新性和实质区别不足</w:t>
            </w:r>
          </w:p>
        </w:tc>
        <w:tc>
          <w:tcPr>
            <w:tcW w:w="2768" w:type="dxa"/>
          </w:tcPr>
          <w:p w14:paraId="45488396">
            <w:r>
              <w:rPr>
                <w:rFonts w:hint="eastAsia"/>
              </w:rPr>
              <w:t>核对最接近方案；突出有界恢复与证据不变式；做消融</w:t>
            </w:r>
          </w:p>
        </w:tc>
        <w:tc>
          <w:tcPr>
            <w:tcW w:w="2768" w:type="dxa"/>
          </w:tcPr>
          <w:p w14:paraId="575A72BA">
            <w:r>
              <w:rPr>
                <w:rFonts w:hint="eastAsia"/>
              </w:rPr>
              <w:t>引言、相关工作、4.1、消融实验；差异矩阵和局限</w:t>
            </w:r>
          </w:p>
        </w:tc>
      </w:tr>
      <w:tr>
        <w:trPr/>
        <w:tc>
          <w:tcPr>
            <w:tcW w:w="2768" w:type="dxa"/>
          </w:tcPr>
          <w:p w14:paraId="6F877C4F">
            <w:r>
              <w:rPr>
                <w:rFonts w:hint="eastAsia"/>
              </w:rPr>
              <w:t>专家2-2：恢复触发、重置与DoS不清</w:t>
            </w:r>
          </w:p>
        </w:tc>
        <w:tc>
          <w:tcPr>
            <w:tcW w:w="2768" w:type="dxa"/>
          </w:tcPr>
          <w:p w14:paraId="16FD4069">
            <w:r>
              <w:rPr>
                <w:rFonts w:hint="eastAsia"/>
              </w:rPr>
              <w:t>状态转移表、接管资格、固定截止时间、恢复次数上限、重复保护</w:t>
            </w:r>
          </w:p>
        </w:tc>
        <w:tc>
          <w:tcPr>
            <w:tcW w:w="2768" w:type="dxa"/>
          </w:tcPr>
          <w:p w14:paraId="4FF30916">
            <w:r>
              <w:rPr>
                <w:rFonts w:hint="eastAsia"/>
              </w:rPr>
              <w:t>第4章及附录；状态模型、定向攻击、随机序列</w:t>
            </w:r>
          </w:p>
        </w:tc>
      </w:tr>
      <w:tr>
        <w:trPr/>
        <w:tc>
          <w:tcPr>
            <w:tcW w:w="2768" w:type="dxa"/>
          </w:tcPr>
          <w:p w14:paraId="38769B50">
            <w:r>
              <w:rPr>
                <w:rFonts w:hint="eastAsia"/>
              </w:rPr>
              <w:t>专家2-3：串谋、回滚、泄钥、分叉、审查缺失</w:t>
            </w:r>
          </w:p>
        </w:tc>
        <w:tc>
          <w:tcPr>
            <w:tcW w:w="2768" w:type="dxa"/>
          </w:tcPr>
          <w:p w14:paraId="16B5032C">
            <w:r>
              <w:rPr>
                <w:rFonts w:hint="eastAsia"/>
              </w:rPr>
              <w:t>明确攻击者能力与条件性安全结论，加入对应负例</w:t>
            </w:r>
          </w:p>
        </w:tc>
        <w:tc>
          <w:tcPr>
            <w:tcW w:w="2768" w:type="dxa"/>
          </w:tcPr>
          <w:p w14:paraId="6DC8913B">
            <w:r>
              <w:rPr>
                <w:rFonts w:hint="eastAsia"/>
              </w:rPr>
              <w:t>第3章威胁模型、第4章安全分析、第5章攻击表</w:t>
            </w:r>
          </w:p>
        </w:tc>
      </w:tr>
      <w:tr>
        <w:trPr/>
        <w:tc>
          <w:tcPr>
            <w:tcW w:w="2768" w:type="dxa"/>
          </w:tcPr>
          <w:p w14:paraId="5E7507A7">
            <w:r>
              <w:rPr>
                <w:rFonts w:hint="eastAsia"/>
              </w:rPr>
              <w:t>专家2-4：真实TEE/DA及端到端指标不足</w:t>
            </w:r>
          </w:p>
        </w:tc>
        <w:tc>
          <w:tcPr>
            <w:tcW w:w="2768" w:type="dxa"/>
          </w:tcPr>
          <w:p w14:paraId="63874655">
            <w:r>
              <w:rPr>
                <w:rFonts w:hint="eastAsia"/>
              </w:rPr>
              <w:t>真实证明与公网DA整链路；分阶段延迟、吞吐、恢复、失败率</w:t>
            </w:r>
          </w:p>
        </w:tc>
        <w:tc>
          <w:tcPr>
            <w:tcW w:w="2768" w:type="dxa"/>
          </w:tcPr>
          <w:p w14:paraId="7AC86AEE">
            <w:r>
              <w:rPr>
                <w:rFonts w:hint="eastAsia"/>
              </w:rPr>
              <w:t>第5章；原始日志、配置、样本量、置信区间</w:t>
            </w:r>
          </w:p>
        </w:tc>
      </w:tr>
      <w:tr>
        <w:trPr/>
        <w:tc>
          <w:tcPr>
            <w:tcW w:w="2768" w:type="dxa"/>
          </w:tcPr>
          <w:p w14:paraId="41B3F387">
            <w:r>
              <w:rPr>
                <w:rFonts w:hint="eastAsia"/>
              </w:rPr>
              <w:t>专家2-5：缺少定量比较</w:t>
            </w:r>
          </w:p>
        </w:tc>
        <w:tc>
          <w:tcPr>
            <w:tcW w:w="2768" w:type="dxa"/>
          </w:tcPr>
          <w:p w14:paraId="324E2D5B">
            <w:r>
              <w:rPr>
                <w:rFonts w:hint="eastAsia"/>
              </w:rPr>
              <w:t>统一抽象任务微基准与第三方官方实现比较分层报告</w:t>
            </w:r>
          </w:p>
        </w:tc>
        <w:tc>
          <w:tcPr>
            <w:tcW w:w="2768" w:type="dxa"/>
          </w:tcPr>
          <w:p w14:paraId="4F5C3EEF">
            <w:r>
              <w:rPr>
                <w:rFonts w:hint="eastAsia"/>
              </w:rPr>
              <w:t>第2、5章；代码版本、参数、可比边界、无法复现项</w:t>
            </w:r>
          </w:p>
        </w:tc>
      </w:tr>
      <w:tr>
        <w:trPr/>
        <w:tc>
          <w:tcPr>
            <w:tcW w:w="2768" w:type="dxa"/>
          </w:tcPr>
          <w:p w14:paraId="766DEFA8">
            <w:r>
              <w:rPr>
                <w:rFonts w:hint="eastAsia"/>
              </w:rPr>
              <w:t>专家2-6：引文不就近</w:t>
            </w:r>
          </w:p>
        </w:tc>
        <w:tc>
          <w:tcPr>
            <w:tcW w:w="2768" w:type="dxa"/>
          </w:tcPr>
          <w:p w14:paraId="43834CBD">
            <w:r>
              <w:rPr>
                <w:rFonts w:hint="eastAsia"/>
              </w:rPr>
              <w:t>建立论断与来源对应表，按首次出现顺序整理引用</w:t>
            </w:r>
          </w:p>
        </w:tc>
        <w:tc>
          <w:tcPr>
            <w:tcW w:w="2768" w:type="dxa"/>
          </w:tcPr>
          <w:p w14:paraId="27D62A6B">
            <w:r>
              <w:rPr>
                <w:rFonts w:hint="eastAsia"/>
              </w:rPr>
              <w:t>全文尤其第2章；逐句引文检查与文献表</w:t>
            </w:r>
          </w:p>
        </w:tc>
      </w:tr>
    </w:tbl>
    <w:p w14:paraId="0357A24C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4. 实施范围与依赖顺序</w:t>
      </w:r>
    </w:p>
    <w:p w14:paraId="2A48E339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4.1 推荐路线与备选路线</w:t>
      </w:r>
    </w:p>
    <w:p w14:paraId="3F644079">
      <w:r>
        <w:rPr>
          <w:rFonts w:hint="eastAsia"/>
        </w:rPr>
        <w:t>推荐：保持研究原型定位，复用已修复的有界仲裁作为对照；新版本实现明确计算模型下的Merkle区间争议与单步验证，接入一种真实TEE和一种真实DA。该路线能更完整回应评审，但单步验证不是对现有traceRoot改名即可完成，而是需要新增状态承诺、区间缩小、取证及裁决模块。</w:t>
      </w:r>
    </w:p>
    <w:p w14:paraId="7A4A0281">
      <w:r>
        <w:rPr>
          <w:rFonts w:hint="eastAsia"/>
        </w:rPr>
        <w:t>备选：继续采用至多128步全量重算，优先完成真实TEE、Blob绑定、恢复与资金闭环。选择此路线时，必须删除或收缩Merkle单步、通用Rollup可扩展性和低链上重算成本等主张，并以有界任务原型表述结论。它不能完全替代推荐路线的可扩展性验证，应明确为范围收缩，而不是宣称相同能力。</w:t>
      </w:r>
    </w:p>
    <w:p w14:paraId="5F836435">
      <w:r>
        <w:rPr>
          <w:rFonts w:hint="eastAsia"/>
        </w:rPr>
        <w:t>不建议本轮同时开发多种TEE、多个DA平台和通用EVM证明系统。先把一种真实后端做成可复查闭环；SGX/TDX二选一，优先采用能实际取得实例和独立验证条件的一种，不预设云库存或价格。</w:t>
      </w:r>
    </w:p>
    <w:p w14:paraId="2224529E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4.2 工作包与依赖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 w14:paraId="3B32E42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工作包</w:t>
            </w:r>
          </w:p>
        </w:tc>
        <w:tc>
          <w:tcPr>
            <w:tcW w:w="2768" w:type="dxa"/>
          </w:tcPr>
          <w:p w14:paraId="764843F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前置条件</w:t>
            </w:r>
          </w:p>
        </w:tc>
        <w:tc>
          <w:tcPr>
            <w:tcW w:w="2768" w:type="dxa"/>
          </w:tcPr>
          <w:p w14:paraId="3AF5504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主要产出与出口条件</w:t>
            </w:r>
          </w:p>
        </w:tc>
      </w:tr>
      <w:tr>
        <w:trPr/>
        <w:tc>
          <w:tcPr>
            <w:tcW w:w="2768" w:type="dxa"/>
          </w:tcPr>
          <w:p w14:paraId="63F7F16F">
            <w:r>
              <w:rPr>
                <w:rFonts w:hint="eastAsia"/>
              </w:rPr>
              <w:t>WP0 协议与版本冻结</w:t>
            </w:r>
          </w:p>
        </w:tc>
        <w:tc>
          <w:tcPr>
            <w:tcW w:w="2768" w:type="dxa"/>
          </w:tcPr>
          <w:p w14:paraId="38483DB9">
            <w:r>
              <w:rPr>
                <w:rFonts w:hint="eastAsia"/>
              </w:rPr>
              <w:t>无</w:t>
            </w:r>
          </w:p>
        </w:tc>
        <w:tc>
          <w:tcPr>
            <w:tcW w:w="2768" w:type="dxa"/>
          </w:tcPr>
          <w:p w14:paraId="565A0E81">
            <w:r>
              <w:rPr>
                <w:rFonts w:hint="eastAsia"/>
              </w:rPr>
              <w:t>唯一权威实现、任务编码、术语、信任假设和实验口径</w:t>
            </w:r>
          </w:p>
        </w:tc>
      </w:tr>
      <w:tr>
        <w:trPr/>
        <w:tc>
          <w:tcPr>
            <w:tcW w:w="2768" w:type="dxa"/>
          </w:tcPr>
          <w:p w14:paraId="7F4BFFAA">
            <w:r>
              <w:rPr>
                <w:rFonts w:hint="eastAsia"/>
              </w:rPr>
              <w:t>WP1 恢复与资金闭环</w:t>
            </w:r>
          </w:p>
        </w:tc>
        <w:tc>
          <w:tcPr>
            <w:tcW w:w="2768" w:type="dxa"/>
          </w:tcPr>
          <w:p w14:paraId="086C6766">
            <w:r>
              <w:t>WP0</w:t>
            </w:r>
          </w:p>
        </w:tc>
        <w:tc>
          <w:tcPr>
            <w:tcW w:w="2768" w:type="dxa"/>
          </w:tcPr>
          <w:p w14:paraId="386681DB">
            <w:r>
              <w:rPr>
                <w:rFonts w:hint="eastAsia"/>
              </w:rPr>
              <w:t>恢复不可重置、裁决唯一、真实余额转移；定向测试通过</w:t>
            </w:r>
          </w:p>
        </w:tc>
      </w:tr>
      <w:tr>
        <w:trPr/>
        <w:tc>
          <w:tcPr>
            <w:tcW w:w="2768" w:type="dxa"/>
          </w:tcPr>
          <w:p w14:paraId="25F778E0">
            <w:r>
              <w:rPr>
                <w:rFonts w:hint="eastAsia"/>
              </w:rPr>
              <w:t>WP2 计算承诺与单步裁决</w:t>
            </w:r>
          </w:p>
        </w:tc>
        <w:tc>
          <w:tcPr>
            <w:tcW w:w="2768" w:type="dxa"/>
          </w:tcPr>
          <w:p w14:paraId="0A65820E">
            <w:r>
              <w:rPr>
                <w:rFonts w:hint="eastAsia"/>
              </w:rPr>
              <w:t>WP0，与WP1联调</w:t>
            </w:r>
          </w:p>
        </w:tc>
        <w:tc>
          <w:tcPr>
            <w:tcW w:w="2768" w:type="dxa"/>
          </w:tcPr>
          <w:p w14:paraId="5383123F">
            <w:r>
              <w:rPr>
                <w:rFonts w:hint="eastAsia"/>
              </w:rPr>
              <w:t>Merkle路径、区间协议、独立单步验证；或明确选择有界备选</w:t>
            </w:r>
          </w:p>
        </w:tc>
      </w:tr>
      <w:tr>
        <w:trPr/>
        <w:tc>
          <w:tcPr>
            <w:tcW w:w="2768" w:type="dxa"/>
          </w:tcPr>
          <w:p w14:paraId="393D4475">
            <w:r>
              <w:rPr>
                <w:rFonts w:hint="eastAsia"/>
              </w:rPr>
              <w:t>WP3 真实TEE</w:t>
            </w:r>
          </w:p>
        </w:tc>
        <w:tc>
          <w:tcPr>
            <w:tcW w:w="2768" w:type="dxa"/>
          </w:tcPr>
          <w:p w14:paraId="6B4850C4">
            <w:r>
              <w:rPr>
                <w:rFonts w:hint="eastAsia"/>
              </w:rPr>
              <w:t>WP0及真实硬件</w:t>
            </w:r>
          </w:p>
        </w:tc>
        <w:tc>
          <w:tcPr>
            <w:tcW w:w="2768" w:type="dxa"/>
          </w:tcPr>
          <w:p w14:paraId="3D4836B7">
            <w:r>
              <w:rPr>
                <w:rFonts w:hint="eastAsia"/>
              </w:rPr>
              <w:t>Quote、独立验证、密钥注册与任务绑定的端到端证据</w:t>
            </w:r>
          </w:p>
        </w:tc>
      </w:tr>
      <w:tr>
        <w:trPr/>
        <w:tc>
          <w:tcPr>
            <w:tcW w:w="2768" w:type="dxa"/>
          </w:tcPr>
          <w:p w14:paraId="5D7CC19E">
            <w:r>
              <w:rPr>
                <w:rFonts w:hint="eastAsia"/>
              </w:rPr>
              <w:t>WP4 真实Blob与任务绑定</w:t>
            </w:r>
          </w:p>
        </w:tc>
        <w:tc>
          <w:tcPr>
            <w:tcW w:w="2768" w:type="dxa"/>
          </w:tcPr>
          <w:p w14:paraId="744AE2B4">
            <w:r>
              <w:rPr>
                <w:rFonts w:hint="eastAsia"/>
              </w:rPr>
              <w:t>WP0及RPC、取回端点；联调WP1/2</w:t>
            </w:r>
          </w:p>
        </w:tc>
        <w:tc>
          <w:tcPr>
            <w:tcW w:w="2768" w:type="dxa"/>
          </w:tcPr>
          <w:p w14:paraId="02E46B34">
            <w:r>
              <w:rPr>
                <w:rFonts w:hint="eastAsia"/>
              </w:rPr>
              <w:t>type-3、独立取回、内容绑定、DA挑战与结算</w:t>
            </w:r>
          </w:p>
        </w:tc>
      </w:tr>
      <w:tr>
        <w:trPr/>
        <w:tc>
          <w:tcPr>
            <w:tcW w:w="2768" w:type="dxa"/>
          </w:tcPr>
          <w:p w14:paraId="68174D7A">
            <w:r>
              <w:rPr>
                <w:rFonts w:hint="eastAsia"/>
              </w:rPr>
              <w:t>WP5 安全和实验</w:t>
            </w:r>
          </w:p>
        </w:tc>
        <w:tc>
          <w:tcPr>
            <w:tcW w:w="2768" w:type="dxa"/>
          </w:tcPr>
          <w:p w14:paraId="7F78298A">
            <w:r>
              <w:rPr>
                <w:rFonts w:hint="eastAsia"/>
              </w:rPr>
              <w:t>WP1至WP4达到验收</w:t>
            </w:r>
          </w:p>
        </w:tc>
        <w:tc>
          <w:tcPr>
            <w:tcW w:w="2768" w:type="dxa"/>
          </w:tcPr>
          <w:p w14:paraId="0DCA27DF">
            <w:r>
              <w:rPr>
                <w:rFonts w:hint="eastAsia"/>
              </w:rPr>
              <w:t>攻击矩阵、形式化检查、同口径性能与基线、消融结果</w:t>
            </w:r>
          </w:p>
        </w:tc>
      </w:tr>
      <w:tr>
        <w:trPr/>
        <w:tc>
          <w:tcPr>
            <w:tcW w:w="2768" w:type="dxa"/>
          </w:tcPr>
          <w:p w14:paraId="73249654">
            <w:r>
              <w:rPr>
                <w:rFonts w:hint="eastAsia"/>
              </w:rPr>
              <w:t>WP6 改稿与答复</w:t>
            </w:r>
          </w:p>
        </w:tc>
        <w:tc>
          <w:tcPr>
            <w:tcW w:w="2768" w:type="dxa"/>
          </w:tcPr>
          <w:p w14:paraId="7E810152">
            <w:r>
              <w:rPr>
                <w:rFonts w:hint="eastAsia"/>
              </w:rPr>
              <w:t>文献工作可先行，数值依赖WP5</w:t>
            </w:r>
          </w:p>
        </w:tc>
        <w:tc>
          <w:tcPr>
            <w:tcW w:w="2768" w:type="dxa"/>
          </w:tcPr>
          <w:p w14:paraId="2596CAF7">
            <w:r>
              <w:rPr>
                <w:rFonts w:hint="eastAsia"/>
              </w:rPr>
              <w:t>修订稿、逐条答复、引用核对、可复现材料索引</w:t>
            </w:r>
          </w:p>
        </w:tc>
      </w:tr>
    </w:tbl>
    <w:p w14:paraId="3113C53E">
      <w:r>
        <w:rPr>
          <w:rFonts w:hint="eastAsia"/>
        </w:rPr>
        <w:t>每个工作包只有在出口条件满足后才能标记完成。外部依赖未满足应标记“阻塞”或“范围缩减”，不能以“已记录原因”替代“实验完成”。代码建议在独立返修分支实施，不覆盖既有审计run；每次测量绑定commit、配置、种子与新run_id。</w:t>
      </w:r>
    </w:p>
    <w:p w14:paraId="515DD241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5. WP0：先形成可执行协议规范</w:t>
      </w:r>
    </w:p>
    <w:p w14:paraId="4BBC83EC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5.1 统一对象与编码</w:t>
      </w:r>
    </w:p>
    <w:p w14:paraId="05BC94AC">
      <w:r>
        <w:rPr>
          <w:rFonts w:hint="eastAsia"/>
        </w:rPr>
        <w:t>定义protocolVersion、chainId、verifyingContract、taskId、submitter、taskNonce、inputCommitment、outputCommitment、traceCommitment、stepCount、batchId和DA引用。固定字段类型、字节序、长度前缀、域分离标签、hash函数、空值和重复任务处理规则。禁止签名只覆盖一个缺少链和合约上下文的裸hash。</w:t>
      </w:r>
    </w:p>
    <w:p w14:paraId="1025B7FB">
      <w:r>
        <w:rPr>
          <w:rFonts w:hint="eastAsia"/>
        </w:rPr>
        <w:t>提交签名、TEE执行签名、DA承诺和争议检查点分别定义消息域；提交摘要必须承诺初态、终态、程序版本及DA身份。taskId应由域与唯一nonce导出或强制唯一，禁止跨任务、跨链、跨合约复用证明。为编码加入固定测试向量和跨语言一致性测试。</w:t>
      </w:r>
    </w:p>
    <w:p w14:paraId="6C380CAE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5.2 统一实现入口</w:t>
      </w:r>
    </w:p>
    <w:p w14:paraId="2DCE5B95">
      <w:r>
        <w:rPr>
          <w:rFonts w:hint="eastAsia"/>
        </w:rPr>
        <w:t>计划修改evm/contracts/BoundedTaskRollup.sol及evm/revision/下的测试、性能、Blob脚本。需要单步扩展时新增专用库或合约，不把实验性代码直接混入旧接口。旧HybridTEERollup.sol保留作legacy对照并在运行入口明确区分；MockTEEVerifier、MockDARegistry只用于本地测试。</w:t>
      </w:r>
    </w:p>
    <w:p w14:paraId="35370D0C">
      <w:r>
        <w:rPr>
          <w:rFonts w:hint="eastAsia"/>
        </w:rPr>
        <w:t>验收：同一配置只能选择一个权威裁决入口；默认公共网络运行模式禁止静默回退Mock；未知证明类型、缺失凭据、绑定失败均明确失败并保存原因；规范中的每个检查都能对应测试或明确的外部信任假设。</w:t>
      </w:r>
    </w:p>
    <w:p w14:paraId="10C82D7A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6. WP1：恢复状态机与真实资金闭环</w:t>
      </w:r>
    </w:p>
    <w:p w14:paraId="4EA4B2DE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6.1 状态与权限</w:t>
      </w:r>
    </w:p>
    <w:p w14:paraId="08A6E3F8">
      <w:r>
        <w:rPr>
          <w:rFonts w:hint="eastAsia"/>
        </w:rPr>
        <w:t>建议逻辑状态为Committed、Challenged、Responding、Disputing、Resolved、Finalized。具体枚举应适配现有实现；Recovery更适合作为同一争议内的接管事件，而不是清空争议并重新开始的入口。保留初始提交、当前争议区间、已验证证据和资金归属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 w14:paraId="7186BC3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操作</w:t>
            </w:r>
          </w:p>
        </w:tc>
        <w:tc>
          <w:tcPr>
            <w:tcW w:w="2768" w:type="dxa"/>
          </w:tcPr>
          <w:p w14:paraId="206A232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调用者与前置条件</w:t>
            </w:r>
          </w:p>
        </w:tc>
        <w:tc>
          <w:tcPr>
            <w:tcW w:w="2768" w:type="dxa"/>
          </w:tcPr>
          <w:p w14:paraId="1EC8297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必须保持或改变的状态</w:t>
            </w:r>
          </w:p>
        </w:tc>
      </w:tr>
      <w:tr>
        <w:trPr/>
        <w:tc>
          <w:tcPr>
            <w:tcW w:w="2768" w:type="dxa"/>
          </w:tcPr>
          <w:p w14:paraId="2EFA21C7">
            <w:r>
              <w:t>submit</w:t>
            </w:r>
          </w:p>
        </w:tc>
        <w:tc>
          <w:tcPr>
            <w:tcW w:w="2768" w:type="dxa"/>
          </w:tcPr>
          <w:p w14:paraId="0A91072C">
            <w:r>
              <w:rPr>
                <w:rFonts w:hint="eastAsia"/>
              </w:rPr>
              <w:t>合法提交者、签名与承诺正确、押金足额</w:t>
            </w:r>
          </w:p>
        </w:tc>
        <w:tc>
          <w:tcPr>
            <w:tcW w:w="2768" w:type="dxa"/>
          </w:tcPr>
          <w:p w14:paraId="358FAF89">
            <w:r>
              <w:rPr>
                <w:rFonts w:hint="eastAsia"/>
              </w:rPr>
              <w:t>创建唯一任务，记录固定挑战截止时间</w:t>
            </w:r>
          </w:p>
        </w:tc>
      </w:tr>
      <w:tr>
        <w:trPr/>
        <w:tc>
          <w:tcPr>
            <w:tcW w:w="2768" w:type="dxa"/>
          </w:tcPr>
          <w:p w14:paraId="28110E91">
            <w:r>
              <w:t>openChallenge</w:t>
            </w:r>
          </w:p>
        </w:tc>
        <w:tc>
          <w:tcPr>
            <w:tcW w:w="2768" w:type="dxa"/>
          </w:tcPr>
          <w:p w14:paraId="6A02D452">
            <w:r>
              <w:rPr>
                <w:rFonts w:hint="eastAsia"/>
              </w:rPr>
              <w:t>窗口内的有资格挑战者，提交规定押金</w:t>
            </w:r>
          </w:p>
        </w:tc>
        <w:tc>
          <w:tcPr>
            <w:tcW w:w="2768" w:type="dxa"/>
          </w:tcPr>
          <w:p w14:paraId="78EC63D6">
            <w:r>
              <w:rPr>
                <w:rFonts w:hint="eastAsia"/>
              </w:rPr>
              <w:t>建立唯一争议或规范化争议键，固定绝对解决截止时间</w:t>
            </w:r>
          </w:p>
        </w:tc>
      </w:tr>
      <w:tr>
        <w:trPr/>
        <w:tc>
          <w:tcPr>
            <w:tcW w:w="2768" w:type="dxa"/>
          </w:tcPr>
          <w:p w14:paraId="3D3684ED">
            <w:r>
              <w:t>respond/step</w:t>
            </w:r>
          </w:p>
        </w:tc>
        <w:tc>
          <w:tcPr>
            <w:tcW w:w="2768" w:type="dxa"/>
          </w:tcPr>
          <w:p w14:paraId="38CE9D97">
            <w:r>
              <w:rPr>
                <w:rFonts w:hint="eastAsia"/>
              </w:rPr>
              <w:t>当前应答方或能提交该方有效证据的转发者</w:t>
            </w:r>
          </w:p>
        </w:tc>
        <w:tc>
          <w:tcPr>
            <w:tcW w:w="2768" w:type="dxa"/>
          </w:tcPr>
          <w:p w14:paraId="0D931FB3">
            <w:r>
              <w:rPr>
                <w:rFonts w:hint="eastAsia"/>
              </w:rPr>
              <w:t>只接受规定阶段的证明；有效进展才更新活动时间</w:t>
            </w:r>
          </w:p>
        </w:tc>
      </w:tr>
      <w:tr>
        <w:trPr/>
        <w:tc>
          <w:tcPr>
            <w:tcW w:w="2768" w:type="dxa"/>
          </w:tcPr>
          <w:p w14:paraId="3FB3EF47">
            <w:r>
              <w:t>recover</w:t>
            </w:r>
          </w:p>
        </w:tc>
        <w:tc>
          <w:tcPr>
            <w:tcW w:w="2768" w:type="dxa"/>
          </w:tcPr>
          <w:p w14:paraId="223115EB">
            <w:r>
              <w:rPr>
                <w:rFonts w:hint="eastAsia"/>
              </w:rPr>
              <w:t>当前应答期限已过、绝对截止未到、恢复次数未用尽</w:t>
            </w:r>
          </w:p>
        </w:tc>
        <w:tc>
          <w:tcPr>
            <w:tcW w:w="2768" w:type="dxa"/>
          </w:tcPr>
          <w:p w14:paraId="16B6BC0F">
            <w:r>
              <w:rPr>
                <w:rFonts w:hint="eastAsia"/>
              </w:rPr>
              <w:t>接续检查点与轮次；不改变提交事实和绝对截止时间</w:t>
            </w:r>
          </w:p>
        </w:tc>
      </w:tr>
      <w:tr>
        <w:trPr/>
        <w:tc>
          <w:tcPr>
            <w:tcW w:w="2768" w:type="dxa"/>
          </w:tcPr>
          <w:p w14:paraId="16F12867">
            <w:r>
              <w:t>resolveTimeout</w:t>
            </w:r>
          </w:p>
        </w:tc>
        <w:tc>
          <w:tcPr>
            <w:tcW w:w="2768" w:type="dxa"/>
          </w:tcPr>
          <w:p w14:paraId="683A345E">
            <w:r>
              <w:rPr>
                <w:rFonts w:hint="eastAsia"/>
              </w:rPr>
              <w:t>条件成立后可由任意地址触发</w:t>
            </w:r>
          </w:p>
        </w:tc>
        <w:tc>
          <w:tcPr>
            <w:tcW w:w="2768" w:type="dxa"/>
          </w:tcPr>
          <w:p w14:paraId="44656E1A">
            <w:r>
              <w:rPr>
                <w:rFonts w:hint="eastAsia"/>
              </w:rPr>
              <w:t>按最后有效状态与应答责任确定结果，不能由调用者选择赢家</w:t>
            </w:r>
          </w:p>
        </w:tc>
      </w:tr>
      <w:tr>
        <w:trPr/>
        <w:tc>
          <w:tcPr>
            <w:tcW w:w="2768" w:type="dxa"/>
          </w:tcPr>
          <w:p w14:paraId="20E60818">
            <w:r>
              <w:t>finalize/withdraw</w:t>
            </w:r>
          </w:p>
        </w:tc>
        <w:tc>
          <w:tcPr>
            <w:tcW w:w="2768" w:type="dxa"/>
          </w:tcPr>
          <w:p w14:paraId="0475B021">
            <w:r>
              <w:rPr>
                <w:rFonts w:hint="eastAsia"/>
              </w:rPr>
              <w:t>已满足终局规则或有可提现余额</w:t>
            </w:r>
          </w:p>
        </w:tc>
        <w:tc>
          <w:tcPr>
            <w:tcW w:w="2768" w:type="dxa"/>
          </w:tcPr>
          <w:p w14:paraId="4D03E944">
            <w:r>
              <w:rPr>
                <w:rFonts w:hint="eastAsia"/>
              </w:rPr>
              <w:t>结算幂等，资金只支付一次，提现遵循余额账本</w:t>
            </w:r>
          </w:p>
        </w:tc>
      </w:tr>
    </w:tbl>
    <w:p w14:paraId="4C82FB79">
      <w:r>
        <w:rPr>
          <w:rFonts w:hint="eastAsia"/>
        </w:rPr>
        <w:t>现有recover虽允许任何地址触发，但若后续响应仍只能由原提交者执行，恢复不一定能恢复进展。必须分开定义“谁能触发接管”与“谁能产生下一份有效证据”。对挑战者消失，可允许新挑战者持有效证据和押金接管；对提交者离线，可允许预签名证据转发，或在期限届满后按未履约结算。不得允许第三方重新选择提交者的输出或伪造其签名。</w:t>
      </w:r>
    </w:p>
    <w:p w14:paraId="3A13C0B4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6.2 恢复的六项约束</w:t>
      </w:r>
    </w:p>
    <w:p w14:paraId="0F0385FC">
      <w:pPr>
        <w:numPr>
          <w:ilvl w:val="0"/>
          <w:numId w:val="1"/>
        </w:numPr>
      </w:pPr>
      <w:r>
        <w:rPr>
          <w:rFonts w:hint="eastAsia"/>
        </w:rPr>
        <w:t>固定争议身份：disputeId绑定taskId、提交摘要和争议类型；重复打开同一争议不能覆盖原状态。是否允许不同有效争议并存，必须定义聚合与最终结算规则。</w:t>
      </w:r>
    </w:p>
    <w:p w14:paraId="7A3AFCC6">
      <w:pPr>
        <w:numPr>
          <w:ilvl w:val="0"/>
          <w:numId w:val="1"/>
        </w:numPr>
      </w:pPr>
      <w:r>
        <w:rPr>
          <w:rFonts w:hint="eastAsia"/>
        </w:rPr>
        <w:t>固定绝对截止：在任务提交或首次合法挑战时按公开公式确定absoluteDeadline。recover不得延长；未被挑战的任务也应有独立且固定的挑战关闭时间。</w:t>
      </w:r>
    </w:p>
    <w:p w14:paraId="1B34FC21">
      <w:pPr>
        <w:numPr>
          <w:ilvl w:val="0"/>
          <w:numId w:val="1"/>
        </w:numPr>
      </w:pPr>
      <w:r>
        <w:rPr>
          <w:rFonts w:hint="eastAsia"/>
        </w:rPr>
        <w:t>双重时限：阶段截止取min(lastValidProgress加阶段窗口，absoluteDeadline)；仅合法推进更新lastValidProgress，失败交易、重复证据、重复recover不能刷新计时。</w:t>
      </w:r>
    </w:p>
    <w:p w14:paraId="2349B2F0">
      <w:pPr>
        <w:numPr>
          <w:ilvl w:val="0"/>
          <w:numId w:val="1"/>
        </w:numPr>
      </w:pPr>
      <w:r>
        <w:rPr>
          <w:rFonts w:hint="eastAsia"/>
        </w:rPr>
        <w:t>有界接管：recoveryCount不超过maxRecoveries；接管等待与证据提交均有期限。防止攻击者抢先recover占位后一直不工作。押金和费用是补充约束，不是唯一的安全依据。</w:t>
      </w:r>
    </w:p>
    <w:p w14:paraId="576BDEF5">
      <w:pPr>
        <w:numPr>
          <w:ilvl w:val="0"/>
          <w:numId w:val="1"/>
        </w:numPr>
      </w:pPr>
      <w:r>
        <w:rPr>
          <w:rFonts w:hint="eastAsia"/>
        </w:rPr>
        <w:t>不丢失证据：区间不能扩大，已经验证的证据不能失效或被替换；recoveryCount单调增加，round和证据上下文有明确绑定。</w:t>
      </w:r>
    </w:p>
    <w:p w14:paraId="0C1154C5">
      <w:pPr>
        <w:numPr>
          <w:ilvl w:val="0"/>
          <w:numId w:val="1"/>
        </w:numPr>
      </w:pPr>
      <w:r>
        <w:rPr>
          <w:rFonts w:hint="eastAsia"/>
        </w:rPr>
        <w:t>终局不可逆：Resolved/Finalized不接受重开、状态回滚、再次罚没或重复提现；结算函数采用先更新账本后外部调用，并测试重入。</w:t>
      </w:r>
    </w:p>
    <w:p w14:paraId="5B0250BC">
      <w:r>
        <w:rPr>
          <w:rFonts w:hint="eastAsia"/>
        </w:rPr>
        <w:t>接管不刷新原角色的履约记录，但可启动预先规定、受absoluteDeadline截断的接管应答窗口，以独立的takeoverDeadline记录。该窗口只能由成功接管建立，重复调用不得刷新；窗口到期后的再次接管还须满足剩余额度和总时间预算。规范须明确recover与resolveTimeout同时具备条件时的状态转换与交易先后语义；剩余时间不足以完成规定应答时，不再建立新的接管义务，而按既定超时规则结算。阶段窗口、最大轮数及恢复额度须与总截止预算相容，避免允许接管后立即超时或把不可能完成的义务转嫁给接管者。</w:t>
      </w:r>
    </w:p>
    <w:p w14:paraId="70025366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6.3 责任划分与资金账本</w:t>
      </w:r>
    </w:p>
    <w:p w14:paraId="1FF7E065">
      <w:r>
        <w:rPr>
          <w:rFonts w:hint="eastAsia"/>
        </w:rPr>
        <w:t>定义proposerBond、challengerBond、恢复服务报酬及可选DA服务押金；记录锁定额、待提现额、协议费用和退款。验收关注合约账本与真实链上余额变化，不只检查SLASHED事件。资金流入减流出与合约余额应守恒，且不同任务不能共用或透支同一笔抵押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 w14:paraId="072653D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场景</w:t>
            </w:r>
          </w:p>
        </w:tc>
        <w:tc>
          <w:tcPr>
            <w:tcW w:w="2768" w:type="dxa"/>
          </w:tcPr>
          <w:p w14:paraId="4D90F33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处理原则</w:t>
            </w:r>
          </w:p>
        </w:tc>
        <w:tc>
          <w:tcPr>
            <w:tcW w:w="2768" w:type="dxa"/>
          </w:tcPr>
          <w:p w14:paraId="5DDD2AC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不能作出的推断</w:t>
            </w:r>
          </w:p>
        </w:tc>
      </w:tr>
      <w:tr>
        <w:trPr/>
        <w:tc>
          <w:tcPr>
            <w:tcW w:w="2768" w:type="dxa"/>
          </w:tcPr>
          <w:p w14:paraId="73824253">
            <w:r>
              <w:rPr>
                <w:rFonts w:hint="eastAsia"/>
              </w:rPr>
              <w:t>提交前证明无效</w:t>
            </w:r>
          </w:p>
        </w:tc>
        <w:tc>
          <w:tcPr>
            <w:tcW w:w="2768" w:type="dxa"/>
          </w:tcPr>
          <w:p w14:paraId="38909EBE">
            <w:r>
              <w:rPr>
                <w:rFonts w:hint="eastAsia"/>
              </w:rPr>
              <w:t>拒绝创建任务；交易回滚，不进入活跃任务集合</w:t>
            </w:r>
          </w:p>
        </w:tc>
        <w:tc>
          <w:tcPr>
            <w:tcW w:w="2768" w:type="dxa"/>
          </w:tcPr>
          <w:p w14:paraId="5B4D6F96">
            <w:r>
              <w:rPr>
                <w:rFonts w:hint="eastAsia"/>
              </w:rPr>
              <w:t>被拒绝的交易不等于已有任务被罚没</w:t>
            </w:r>
          </w:p>
        </w:tc>
      </w:tr>
      <w:tr>
        <w:trPr/>
        <w:tc>
          <w:tcPr>
            <w:tcW w:w="2768" w:type="dxa"/>
          </w:tcPr>
          <w:p w14:paraId="2FA65463">
            <w:r>
              <w:rPr>
                <w:rFonts w:hint="eastAsia"/>
              </w:rPr>
              <w:t>已接受承诺被反证</w:t>
            </w:r>
          </w:p>
        </w:tc>
        <w:tc>
          <w:tcPr>
            <w:tcW w:w="2768" w:type="dxa"/>
          </w:tcPr>
          <w:p w14:paraId="4F86455A">
            <w:r>
              <w:rPr>
                <w:rFonts w:hint="eastAsia"/>
              </w:rPr>
              <w:t>核验证据后处罚承担该承诺的抵押方</w:t>
            </w:r>
          </w:p>
        </w:tc>
        <w:tc>
          <w:tcPr>
            <w:tcW w:w="2768" w:type="dxa"/>
          </w:tcPr>
          <w:p w14:paraId="2B108552">
            <w:r>
              <w:rPr>
                <w:rFonts w:hint="eastAsia"/>
              </w:rPr>
              <w:t>不能凭观察者自报异常直接罚没</w:t>
            </w:r>
          </w:p>
        </w:tc>
      </w:tr>
      <w:tr>
        <w:trPr/>
        <w:tc>
          <w:tcPr>
            <w:tcW w:w="2768" w:type="dxa"/>
          </w:tcPr>
          <w:p w14:paraId="7F4B2A3D">
            <w:r>
              <w:rPr>
                <w:rFonts w:hint="eastAsia"/>
              </w:rPr>
              <w:t>提交者未按约应答</w:t>
            </w:r>
          </w:p>
        </w:tc>
        <w:tc>
          <w:tcPr>
            <w:tcW w:w="2768" w:type="dxa"/>
          </w:tcPr>
          <w:p w14:paraId="21BD4B80">
            <w:r>
              <w:rPr>
                <w:rFonts w:hint="eastAsia"/>
              </w:rPr>
              <w:t>经过客观链上期限，按协议归责和结算</w:t>
            </w:r>
          </w:p>
        </w:tc>
        <w:tc>
          <w:tcPr>
            <w:tcW w:w="2768" w:type="dxa"/>
          </w:tcPr>
          <w:p w14:paraId="63908163">
            <w:r>
              <w:rPr>
                <w:rFonts w:hint="eastAsia"/>
              </w:rPr>
              <w:t>不把一次RPC故障等同于提交者违规</w:t>
            </w:r>
          </w:p>
        </w:tc>
      </w:tr>
      <w:tr>
        <w:trPr/>
        <w:tc>
          <w:tcPr>
            <w:tcW w:w="2768" w:type="dxa"/>
          </w:tcPr>
          <w:p w14:paraId="3CAEBC74">
            <w:r>
              <w:rPr>
                <w:rFonts w:hint="eastAsia"/>
              </w:rPr>
              <w:t>挑战者提交无效挑战或失联</w:t>
            </w:r>
          </w:p>
        </w:tc>
        <w:tc>
          <w:tcPr>
            <w:tcW w:w="2768" w:type="dxa"/>
          </w:tcPr>
          <w:p w14:paraId="67B417D9">
            <w:r>
              <w:rPr>
                <w:rFonts w:hint="eastAsia"/>
              </w:rPr>
              <w:t>按明确规则扣押挑战保证金，保留有界接管路径</w:t>
            </w:r>
          </w:p>
        </w:tc>
        <w:tc>
          <w:tcPr>
            <w:tcW w:w="2768" w:type="dxa"/>
          </w:tcPr>
          <w:p w14:paraId="65CB7811">
            <w:r>
              <w:rPr>
                <w:rFonts w:hint="eastAsia"/>
              </w:rPr>
              <w:t>不允许恶意挑战无限延迟诚实任务</w:t>
            </w:r>
          </w:p>
        </w:tc>
      </w:tr>
      <w:tr>
        <w:trPr/>
        <w:tc>
          <w:tcPr>
            <w:tcW w:w="2768" w:type="dxa"/>
          </w:tcPr>
          <w:p w14:paraId="399C7982">
            <w:r>
              <w:rPr>
                <w:rFonts w:hint="eastAsia"/>
              </w:rPr>
              <w:t>DA应答义务超时</w:t>
            </w:r>
          </w:p>
        </w:tc>
        <w:tc>
          <w:tcPr>
            <w:tcW w:w="2768" w:type="dxa"/>
          </w:tcPr>
          <w:p w14:paraId="1A3F44A0">
            <w:r>
              <w:rPr>
                <w:rFonts w:hint="eastAsia"/>
              </w:rPr>
              <w:t>处罚事先登记、收取责任并抵押的应答方</w:t>
            </w:r>
          </w:p>
        </w:tc>
        <w:tc>
          <w:tcPr>
            <w:tcW w:w="2768" w:type="dxa"/>
          </w:tcPr>
          <w:p w14:paraId="0939B446">
            <w:r>
              <w:rPr>
                <w:rFonts w:hint="eastAsia"/>
              </w:rPr>
              <w:t>未加入协议的外部DA平台不自动承担合约可罚责任</w:t>
            </w:r>
          </w:p>
        </w:tc>
      </w:tr>
    </w:tbl>
    <w:p w14:paraId="523D05D9">
      <w:r>
        <w:rPr>
          <w:rFonts w:hint="eastAsia"/>
        </w:rPr>
        <w:t>必测：重复挑战、重复recover、抢先接管后失联、截止前后边界、旧检查点重放、证据跨任务复用、恶意接收者、重入、重复finalize、重复withdraw、多任务押金隔离、余额守恒。</w:t>
      </w:r>
    </w:p>
    <w:p w14:paraId="72AB940C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7. WP2：计算承诺与确定性裁决</w:t>
      </w:r>
    </w:p>
    <w:p w14:paraId="00D8CB24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7.1 推荐扩展：明确模型下的Merkle单步证明</w:t>
      </w:r>
    </w:p>
    <w:p w14:paraId="36945093">
      <w:r>
        <w:rPr>
          <w:rFonts w:hint="eastAsia"/>
        </w:rPr>
        <w:t>先选择可复现且状态转移可精确定义的计算模型，例如有界确定性任务或小型确定性虚拟机；不得由此宣称实现通用EVM Rollup。状态叶子应包含域标签、taskId、stepIndex和完整状态摘要，内部节点使用独立域标签。规定叶子数量、补齐方式、索引边界、初态和终态验证规则。</w:t>
      </w:r>
    </w:p>
    <w:p w14:paraId="775B8781">
      <w:r>
        <w:rPr>
          <w:rFonts w:hint="eastAsia"/>
        </w:rPr>
        <w:t>争议双方对执行轨迹根作承诺，通过二分定位不一致区间；合约验证双方对应状态的Merkle包含关系、区间边界和轮次，只允许区间严格缩小。定位单步后，由链上确定性step verifier验证transition(preState,inputWitness,program)与postState。仅验证两个状态各自在Merkle树中，并不能证明二者之间的计算正确。</w:t>
      </w:r>
    </w:p>
    <w:p w14:paraId="162C4662">
      <w:r>
        <w:rPr>
          <w:rFonts w:hint="eastAsia"/>
        </w:rPr>
        <w:t>输入访问、程序身份、停止条件、越界行为、异常终止及最长步数必须纳入模型。涉及内存或读取数据时，单步见证须与承诺的输入或内存根绑定。采用成熟密码库，保留确定性测试向量；不要自行设计新hash或自称完成未实现的VM。</w:t>
      </w:r>
    </w:p>
    <w:p w14:paraId="47FF68D1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7.2 与恢复联动</w:t>
      </w:r>
    </w:p>
    <w:p w14:paraId="3EA28C7B">
      <w:r>
        <w:rPr>
          <w:rFonts w:hint="eastAsia"/>
        </w:rPr>
        <w:t>检查点至少承诺争议区间、双方边界状态、轨迹根、证据摘要、轮次、下一应答方、阶段和绝对截止时间。recover只能换执行责任或恢复执行，不能改这些决定裁决的问题事实。旧证据是否可复用由其域和区间决定，不能无条件拒绝所有旧证据，也不能跨争议复用。</w:t>
      </w:r>
    </w:p>
    <w:p w14:paraId="0913CE86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7.3 验收与范围决策</w:t>
      </w:r>
    </w:p>
    <w:p w14:paraId="048631DD">
      <w:r>
        <w:rPr>
          <w:rFonts w:hint="eastAsia"/>
        </w:rPr>
        <w:t>正例覆盖最短任务、非2次幂轨迹、最长任务、终止状态；负例覆盖中间步骤篡改、合法路径配错误叶子、索引错位、错误输入证明、程序替换、步数伪报、区间扩张和重放。分别测量证明字节、链上验证gas、交互轮数和恢复后的剩余工作量。</w:t>
      </w:r>
    </w:p>
    <w:p w14:paraId="32BB0304">
      <w:r>
        <w:rPr>
          <w:rFonts w:hint="eastAsia"/>
        </w:rPr>
        <w:t>若采用有界备选路线，则将现有traceRoot统一改称有序轨迹向量承诺，明确仲裁为至多128步重算。保留上限测试和DoS边界，删除单步验证与对数争议复杂度的实现性主张。不得把修改术语当作新增工程能力。选择128步有界重算路线后，所有单步验证实现、实验及结果列均改为条件项；未实现项标注“不适用／未实现”，不计为该路线验收缺失。应用负载必须落在已实现的有界计算与裁决模型内；第三方机制比较继续保留，但不将本方案有界重算结果外推为通用Rollup性能。</w:t>
      </w:r>
    </w:p>
    <w:p w14:paraId="2D902A22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8. WP3：真实TEE证明与应用身份绑定</w:t>
      </w:r>
    </w:p>
    <w:p w14:paraId="10DEB9B5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8.1 从硬件证明到任务签名</w:t>
      </w:r>
    </w:p>
    <w:p w14:paraId="520228FA">
      <w:pPr>
        <w:numPr>
          <w:ilvl w:val="0"/>
          <w:numId w:val="2"/>
        </w:numPr>
      </w:pPr>
      <w:r>
        <w:rPr>
          <w:rFonts w:hint="eastAsia"/>
        </w:rPr>
        <w:t>部署一种真实SGX或TDX环境，固定镜像、程序构建、运行配置和允许的测量值。保留可公开的镜像与源码摘要。</w:t>
      </w:r>
    </w:p>
    <w:p w14:paraId="2C101E9F">
      <w:pPr>
        <w:numPr>
          <w:ilvl w:val="0"/>
          <w:numId w:val="2"/>
        </w:numPr>
      </w:pPr>
      <w:r>
        <w:rPr>
          <w:rFonts w:hint="eastAsia"/>
        </w:rPr>
        <w:t>在受保护环境内生成执行密钥；将执行公钥、协议域、挑战nonce、会话或epoch的摘要写入报告数据，并取得真实Quote。报告数据具体布局遵循所用平台接口，不直接假定所有字段原样装入。</w:t>
      </w:r>
    </w:p>
    <w:p w14:paraId="31DB5BE6">
      <w:pPr>
        <w:numPr>
          <w:ilvl w:val="0"/>
          <w:numId w:val="2"/>
        </w:numPr>
      </w:pPr>
      <w:r>
        <w:rPr>
          <w:rFonts w:hint="eastAsia"/>
        </w:rPr>
        <w:t>独立验证者使用验证库与有效collateral检查证书链、撤销、TCB状态、测量值和报告数据。对“过期”“需配置”“未知”等结果逐项制定接受策略，不把非致命返回码一律当成功。</w:t>
      </w:r>
    </w:p>
    <w:p w14:paraId="192ADE00">
      <w:pPr>
        <w:numPr>
          <w:ilvl w:val="0"/>
          <w:numId w:val="2"/>
        </w:numPr>
      </w:pPr>
      <w:r>
        <w:rPr>
          <w:rFonts w:hint="eastAsia"/>
        </w:rPr>
        <w:t>建立经过证明的执行密钥登记、有效期、撤销和轮换流程。任务结果签名绑定链、合约、任务nonce、初态/终态、轨迹、DA摘要和程序版本。</w:t>
      </w:r>
    </w:p>
    <w:p w14:paraId="7947ECB2">
      <w:pPr>
        <w:numPr>
          <w:ilvl w:val="0"/>
          <w:numId w:val="2"/>
        </w:numPr>
      </w:pPr>
      <w:r>
        <w:rPr>
          <w:rFonts w:hint="eastAsia"/>
        </w:rPr>
        <w:t>在提交与最终确认前按协议检查key epoch、登记状态和任务上下文，防止旧密钥和旧Quote跨会话重放。</w:t>
      </w:r>
    </w:p>
    <w:p w14:paraId="5E2953BA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8.2 必须披露的链上信任边界</w:t>
      </w:r>
    </w:p>
    <w:p w14:paraId="75B49BF6">
      <w:r>
        <w:rPr>
          <w:rFonts w:hint="eastAsia"/>
        </w:rPr>
        <w:t>链下验证DCAP后再由授权服务签字，并不等于合约自主验证硬件证明。最低可执行方案可使用显式注册的证明验证服务，并将其列为可信方；保存真实Quote和独立验证结果以便复核。若使用多验证者阈值，必须记录成员独立性和阈值假设，不能因为签名数量增加就宣称去信任。</w:t>
      </w:r>
    </w:p>
    <w:p w14:paraId="4BBADCD9">
      <w:r>
        <w:rPr>
          <w:rFonts w:hint="eastAsia"/>
        </w:rPr>
        <w:t>若要声明端到端无需信任验证服务，需采用可验证的链上证明桥接或已有可靠证明方案，并把证明正确性、成本与维护假设纳入实验。本轮不以手工ECDSA白名单替代该能力。</w:t>
      </w:r>
    </w:p>
    <w:p w14:paraId="274C8831">
      <w:r>
        <w:rPr>
          <w:rFonts w:hint="eastAsia"/>
        </w:rPr>
        <w:t>TDX度量不能自动证明任意用户态应用就是论文中的执行程序。必须把应用镜像、启动链、运行时度量或不可变部署策略和证明后的密钥释放连起来，说明宿主机控制者及客户机管理权限的能力。只核对一个硬件measurement而没有应用绑定，不算完成WP3。还需区分任务接受时的密钥有效性与后续撤销状态，明确撤销对新任务、在途任务和已终局任务的不同影响；撤销本身不证明既有结果错误，受影响的在途任务按预定义规则进入独立计算验证或其他终止路径，不因撤销无限等待，也不直接据此罚没历史任务。</w:t>
      </w:r>
    </w:p>
    <w:p w14:paraId="0DE3EFE2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8.3 负例与性能指标</w:t>
      </w:r>
    </w:p>
    <w:p w14:paraId="5B9CB72B">
      <w:r>
        <w:rPr>
          <w:rFonts w:hint="eastAsia"/>
        </w:rPr>
        <w:t>负例：错误measurement、过期或不可接受collateral、错误报告数据、公钥替换、旧nonce、旧epoch、跨链任务签名、重启后重放、密钥撤销后的新任务。快照回滚实验只说明应用反重放机制，不宣称突破或全面验证硬件抗回滚能力。</w:t>
      </w:r>
    </w:p>
    <w:p w14:paraId="3114C7D9">
      <w:r>
        <w:rPr>
          <w:rFonts w:hint="eastAsia"/>
        </w:rPr>
        <w:t>记录Quote生成、冷/热验证、密钥登记、单任务签名、受保护执行、重启与接续延迟；将一次性证明开销与按会话摊销开销分开。验收材料包括Quote摘要、非敏感collateral版本、验证政策与结果、measurement及应用构建映射、任务签名验证日志。不得提交云密钥、执行私钥或测试钱包私钥。</w:t>
      </w:r>
    </w:p>
    <w:p w14:paraId="4A1E8D7C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9. WP4：真实Blob、强绑定与DA挑战</w:t>
      </w:r>
    </w:p>
    <w:p w14:paraId="0CC76993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9.1 三层DA语义必须分开</w:t>
      </w:r>
    </w:p>
    <w:p w14:paraId="3149A2C8">
      <w:r>
        <w:rPr>
          <w:rFonts w:hint="eastAsia"/>
        </w:rPr>
        <w:t>第一层是链上承诺和发布事实：某交易关联某Blob versioned hash。第二层是观察者在规定窗口能取回数据并验证其内容。第三层是承担服务义务的一方在争议时限内能够披露指定数据。KZG只证明内容与承诺的一致性，不单独证明任何时刻、任何观察者均可取回数据，更不证明永久存储。</w:t>
      </w:r>
    </w:p>
    <w:p w14:paraId="332E3BEE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9.2 从独立锚点改为协议内绑定</w:t>
      </w:r>
    </w:p>
    <w:p w14:paraId="54176089">
      <w:r>
        <w:rPr>
          <w:rFonts w:hint="eastAsia"/>
        </w:rPr>
        <w:t>计划修改BlobBatchAnchor.sol、核心合约及blob_publish.js、blob_fetch.js、blob_verify.js、blob_challenge_settle.js。优先采用一个type-3交易中的原子锚定与任务注册，或有严格身份和状态检查的锚点消费机制。禁止任意账户仅通过传入一个anchorId就把无关Blob关联到自己的任务。</w:t>
      </w:r>
    </w:p>
    <w:p w14:paraId="5DCE8E68">
      <w:r>
        <w:rPr>
          <w:rFonts w:hint="eastAsia"/>
        </w:rPr>
        <w:t>规范化batch manifest需描述编码版本、任务顺序、每任务原始字节数、载荷范围、输入和结果摘要、轨迹引用、填充和多Blob切分规则。任务承诺绑定batchId、versionedHash列表及其位置。Blob数量按实际编码容量计算，不能把名义载荷字节直接当成可用容量，也不能把每批KiB误作每任务KiB。</w:t>
      </w:r>
    </w:p>
    <w:p w14:paraId="28177999">
      <w:r>
        <w:rPr>
          <w:rFonts w:hint="eastAsia"/>
        </w:rPr>
        <w:t>关键证明义务：将versionedHash和taskRoot放在同一个事件里，不足以证明二者对应。链下重算一致也不是链上强制绑定。WP4必须选定可验证路径：固定布局manifest中的任务摘要用KZG求值证明连接到Blob；必要时对被挑战字段或数据块逐项证明并验证解码规则。任务Merkle路径和KZG证明各自证明什么，须在规范中分别列明。链下取回重算仅构成独立校验证据；若用于保障manifest与payload一致性，必须明确其依赖的诚实观察者假设、可提交的反证及链上裁决路径，否则不得计为链上强制绑定。DA披露义务须使接管者能够取得协议规定、足以继续验证的数据及其承诺一致性证明；仅提交KZG证明、摘要或持有证明不能替代数据披露。数据可取回或兜底披露的保障窗口须覆盖挑战与恢复所需时段。</w:t>
      </w:r>
    </w:p>
    <w:p w14:paraId="5D68E1B6">
      <w:r>
        <w:rPr>
          <w:rFonts w:hint="eastAsia"/>
        </w:rPr>
        <w:t>KZG验证的是多项式求值，不是任意偏移字节自动包含证明。应明确字段元素、evaluation domain、索引映射和合法编码，使用符合该布局的证明生成器与链上验证接口。完整payload与manifest摘要的关系需由受约束的取回重算、可裁决的数据挑战或完整有界披露补齐，不能只证明manifest存在就声称全部载荷语义正确。若这些强绑定义务未实现，论文只能称“独立锚定及链下校验”，WP4不得按强绑定完成验收。</w:t>
      </w:r>
    </w:p>
    <w:p w14:paraId="4C9B28BC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9.3 公网流程</w:t>
      </w:r>
    </w:p>
    <w:p w14:paraId="259FF11A">
      <w:r>
        <w:rPr>
          <w:rFonts w:hint="eastAsia"/>
        </w:rPr>
        <w:t>部署并记录合约地址和receipt → 广播真实type-3交易 → 检查区块与锚定事件 → 由独立进程和独立数据源取回 → 校验KZG、versionedHash、manifest和任务内容 → 从取回数据构造挑战 → 恢复或超时裁决 → 资金结算与提现。</w:t>
      </w:r>
    </w:p>
    <w:p w14:paraId="063C0530">
      <w:r>
        <w:rPr>
          <w:rFonts w:hint="eastAsia"/>
        </w:rPr>
        <w:t>独立取回客户端不能读取发布机的原始Blob文件作为成功依据；至少保存请求端点标识、区块、取回时间、字节数和校验结果。执行前核对目标网络与端点实际支持的Blob取回方式及保留窗口，不把此前文档中的API假定为现场可用。</w:t>
      </w:r>
    </w:p>
    <w:p w14:paraId="22071589">
      <w:r>
        <w:rPr>
          <w:rFonts w:hint="eastAsia"/>
        </w:rPr>
        <w:t>必须保存type-3交易哈希、区块哈希与确认策略、实际versionedHash、receipt中的gasUsed/effectiveGasPrice/blobGasUsed/blobGasPrice、取回日志、验证结果、挑战/恢复/结算事件与余额。可公开交易和合约，不公开凭据。</w:t>
      </w:r>
    </w:p>
    <w:p w14:paraId="0F90A4A0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9.4 DA不可用的可裁决义务</w:t>
      </w:r>
    </w:p>
    <w:p w14:paraId="1759D334">
      <w:r>
        <w:rPr>
          <w:rFonts w:hint="eastAsia"/>
        </w:rPr>
        <w:t>定义由提交者承担最终披露义务，或由显式登记且抵押的DA服务商承担约定范围内义务。挑战者链上指定任务和数据范围并缴纳保证金；责任人在固定期限内提交与承诺一致的数据或指定证明。对有界任务，可采用完整任务calldata披露；必须限制规模、计算最坏gas，并承认这一兜底会影响成本。</w:t>
      </w:r>
    </w:p>
    <w:p w14:paraId="4B314E80">
      <w:r>
        <w:rPr>
          <w:rFonts w:hint="eastAsia"/>
        </w:rPr>
        <w:t>大任务若采用分块披露，需限制每次块数和总体交互数，并定义何种覆盖足以满足协议。抽样若无可量化的可用性保证，不能当成完整数据可用性的证明。挑战者已拿到某块并不表示所有用户能够重构整批。</w:t>
      </w:r>
    </w:p>
    <w:p w14:paraId="6D1EB173">
      <w:r>
        <w:rPr>
          <w:rFonts w:hint="eastAsia"/>
        </w:rPr>
        <w:t>某观察者“下载失败”不能直接证明整个DA网络不可用，也不能自动处罚DA平台。可客观裁决的是已抵押责任方未完成协议内披露义务。短时网络故障、端点限制、数据过期和恶意拒绝应在实验中分别标注。</w:t>
      </w:r>
    </w:p>
    <w:p w14:paraId="67373CAB">
      <w:r>
        <w:rPr>
          <w:rFonts w:hint="eastAsia"/>
        </w:rPr>
        <w:t>验收场景至少包括：正确Blob闭环；Blob A配任务B；错误批次索引；载荷篡改；无关anchor复用；多个Blob边界；责任方正常补发；责任方超时且真实扣罚；观察者离线后接管；最终提现和重复调用拒绝。</w:t>
      </w:r>
    </w:p>
    <w:p w14:paraId="251D71C8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10. 安全模型、证明义务与攻击测试</w:t>
      </w:r>
    </w:p>
    <w:p w14:paraId="73E86669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10.1 基础假设</w:t>
      </w:r>
    </w:p>
    <w:p w14:paraId="6635C286">
      <w:r>
        <w:rPr>
          <w:rFonts w:hint="eastAsia"/>
        </w:rPr>
        <w:t>安全结论需明确依赖：底层链按选定确认策略最终稳定；合约规则和密码原语满足假设；至少一个有数据、有资金且可及时上链的诚实观察者存在，或说明没有该观察者时的降级；所选TEE和证明验证路径符合披露的信任模型；有效证据能够在时限内提交。</w:t>
      </w:r>
    </w:p>
    <w:p w14:paraId="074603DB">
      <w:r>
        <w:rPr>
          <w:rFonts w:hint="eastAsia"/>
        </w:rPr>
        <w:t>可恢复性不是对永久审查或无限网络分区的解决方案。链上截止到达也不会自动执行结算，仍需有人提交交易。终止定理应表达为“满足可上链和调用假设时，在绝对截止后可于有界结算步骤内终止”，而不是无需外部动作的绝对墙钟保证。</w:t>
      </w:r>
    </w:p>
    <w:p w14:paraId="318D624D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10.2 攻击与串谋矩阵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 w14:paraId="6505E2D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攻击或串谋</w:t>
            </w:r>
          </w:p>
        </w:tc>
        <w:tc>
          <w:tcPr>
            <w:tcW w:w="2768" w:type="dxa"/>
          </w:tcPr>
          <w:p w14:paraId="569D3D7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机制或测试</w:t>
            </w:r>
          </w:p>
        </w:tc>
        <w:tc>
          <w:tcPr>
            <w:tcW w:w="2768" w:type="dxa"/>
          </w:tcPr>
          <w:p w14:paraId="585A01E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安全结论边界</w:t>
            </w:r>
          </w:p>
        </w:tc>
      </w:tr>
      <w:tr>
        <w:trPr/>
        <w:tc>
          <w:tcPr>
            <w:tcW w:w="2768" w:type="dxa"/>
          </w:tcPr>
          <w:p w14:paraId="32F45EB1">
            <w:r>
              <w:rPr>
                <w:rFonts w:hint="eastAsia"/>
              </w:rPr>
              <w:t>提交者与挑战者串谋</w:t>
            </w:r>
          </w:p>
        </w:tc>
        <w:tc>
          <w:tcPr>
            <w:tcW w:w="2768" w:type="dxa"/>
          </w:tcPr>
          <w:p w14:paraId="11157FF0">
            <w:r>
              <w:rPr>
                <w:rFonts w:hint="eastAsia"/>
              </w:rPr>
              <w:t>错误结果、虚假友好挑战、抢占唯一争议</w:t>
            </w:r>
          </w:p>
        </w:tc>
        <w:tc>
          <w:tcPr>
            <w:tcW w:w="2768" w:type="dxa"/>
          </w:tcPr>
          <w:p w14:paraId="0B8529C5">
            <w:r>
              <w:rPr>
                <w:rFonts w:hint="eastAsia"/>
              </w:rPr>
              <w:t>必须保留诚实反证进入路径；全部观察者被排除则不能保证纠错</w:t>
            </w:r>
          </w:p>
        </w:tc>
      </w:tr>
      <w:tr>
        <w:trPr/>
        <w:tc>
          <w:tcPr>
            <w:tcW w:w="2768" w:type="dxa"/>
          </w:tcPr>
          <w:p w14:paraId="20855A5F">
            <w:r>
              <w:rPr>
                <w:rFonts w:hint="eastAsia"/>
              </w:rPr>
              <w:t>提交者与DA责任方串谋</w:t>
            </w:r>
          </w:p>
        </w:tc>
        <w:tc>
          <w:tcPr>
            <w:tcW w:w="2768" w:type="dxa"/>
          </w:tcPr>
          <w:p w14:paraId="17A8C20B">
            <w:r>
              <w:rPr>
                <w:rFonts w:hint="eastAsia"/>
              </w:rPr>
              <w:t>隐藏载荷、仅向友方供数、错误manifest</w:t>
            </w:r>
          </w:p>
        </w:tc>
        <w:tc>
          <w:tcPr>
            <w:tcW w:w="2768" w:type="dxa"/>
          </w:tcPr>
          <w:p w14:paraId="6D4609EA">
            <w:r>
              <w:rPr>
                <w:rFonts w:hint="eastAsia"/>
              </w:rPr>
              <w:t>依赖绑定证明及有界披露义务；不能由RPC失败直接推导全局不可用</w:t>
            </w:r>
          </w:p>
        </w:tc>
      </w:tr>
      <w:tr>
        <w:trPr/>
        <w:tc>
          <w:tcPr>
            <w:tcW w:w="2768" w:type="dxa"/>
          </w:tcPr>
          <w:p w14:paraId="47D4ECCC">
            <w:r>
              <w:rPr>
                <w:rFonts w:hint="eastAsia"/>
              </w:rPr>
              <w:t>多个观察者恶意占位</w:t>
            </w:r>
          </w:p>
        </w:tc>
        <w:tc>
          <w:tcPr>
            <w:tcW w:w="2768" w:type="dxa"/>
          </w:tcPr>
          <w:p w14:paraId="0CCA37A3">
            <w:r>
              <w:rPr>
                <w:rFonts w:hint="eastAsia"/>
              </w:rPr>
              <w:t>挑战重复、recover抢跑、不给有效进展</w:t>
            </w:r>
          </w:p>
        </w:tc>
        <w:tc>
          <w:tcPr>
            <w:tcW w:w="2768" w:type="dxa"/>
          </w:tcPr>
          <w:p w14:paraId="73616187">
            <w:r>
              <w:rPr>
                <w:rFonts w:hint="eastAsia"/>
              </w:rPr>
              <w:t>固定期限、有限并发争议、接管规则和有界gas</w:t>
            </w:r>
          </w:p>
        </w:tc>
      </w:tr>
      <w:tr>
        <w:trPr/>
        <w:tc>
          <w:tcPr>
            <w:tcW w:w="2768" w:type="dxa"/>
          </w:tcPr>
          <w:p w14:paraId="008555B3">
            <w:r>
              <w:rPr>
                <w:rFonts w:hint="eastAsia"/>
              </w:rPr>
              <w:t>TEE快照回滚</w:t>
            </w:r>
          </w:p>
        </w:tc>
        <w:tc>
          <w:tcPr>
            <w:tcW w:w="2768" w:type="dxa"/>
          </w:tcPr>
          <w:p w14:paraId="7E84FBC5">
            <w:r>
              <w:rPr>
                <w:rFonts w:hint="eastAsia"/>
              </w:rPr>
              <w:t>旧epoch/nonce、旧状态签名、重启后重复提交</w:t>
            </w:r>
          </w:p>
        </w:tc>
        <w:tc>
          <w:tcPr>
            <w:tcW w:w="2768" w:type="dxa"/>
          </w:tcPr>
          <w:p w14:paraId="4322A564">
            <w:r>
              <w:rPr>
                <w:rFonts w:hint="eastAsia"/>
              </w:rPr>
              <w:t>链上单调状态抗协议重放；不声称解决全部硬件回滚</w:t>
            </w:r>
          </w:p>
        </w:tc>
      </w:tr>
      <w:tr>
        <w:trPr/>
        <w:tc>
          <w:tcPr>
            <w:tcW w:w="2768" w:type="dxa"/>
          </w:tcPr>
          <w:p w14:paraId="7333ADF1">
            <w:r>
              <w:rPr>
                <w:rFonts w:hint="eastAsia"/>
              </w:rPr>
              <w:t>执行密钥泄露</w:t>
            </w:r>
          </w:p>
        </w:tc>
        <w:tc>
          <w:tcPr>
            <w:tcW w:w="2768" w:type="dxa"/>
          </w:tcPr>
          <w:p w14:paraId="3161F892">
            <w:r>
              <w:rPr>
                <w:rFonts w:hint="eastAsia"/>
              </w:rPr>
              <w:t>伪造后续结果、撤销、轮换、重复签名</w:t>
            </w:r>
          </w:p>
        </w:tc>
        <w:tc>
          <w:tcPr>
            <w:tcW w:w="2768" w:type="dxa"/>
          </w:tcPr>
          <w:p w14:paraId="488CDCCD">
            <w:r>
              <w:rPr>
                <w:rFonts w:hint="eastAsia"/>
              </w:rPr>
              <w:t>泄露期结果需独立计算反证兜底；只信TEE签名则安全边界失效</w:t>
            </w:r>
          </w:p>
        </w:tc>
      </w:tr>
      <w:tr>
        <w:trPr/>
        <w:tc>
          <w:tcPr>
            <w:tcW w:w="2768" w:type="dxa"/>
          </w:tcPr>
          <w:p w14:paraId="0F7A39F4">
            <w:r>
              <w:rPr>
                <w:rFonts w:hint="eastAsia"/>
              </w:rPr>
              <w:t>同一上下文双签或分叉证明</w:t>
            </w:r>
          </w:p>
        </w:tc>
        <w:tc>
          <w:tcPr>
            <w:tcW w:w="2768" w:type="dxa"/>
          </w:tcPr>
          <w:p w14:paraId="6B03C30D">
            <w:r>
              <w:rPr>
                <w:rFonts w:hint="eastAsia"/>
              </w:rPr>
              <w:t>同task/epoch对互斥结果签名</w:t>
            </w:r>
          </w:p>
        </w:tc>
        <w:tc>
          <w:tcPr>
            <w:tcW w:w="2768" w:type="dxa"/>
          </w:tcPr>
          <w:p w14:paraId="649108FF">
            <w:r>
              <w:rPr>
                <w:rFonts w:hint="eastAsia"/>
              </w:rPr>
              <w:t>两份签名及上下文形成可验证证据；正常链重组不应直接当双签</w:t>
            </w:r>
          </w:p>
        </w:tc>
      </w:tr>
      <w:tr>
        <w:trPr/>
        <w:tc>
          <w:tcPr>
            <w:tcW w:w="2768" w:type="dxa"/>
          </w:tcPr>
          <w:p w14:paraId="720FC235">
            <w:r>
              <w:rPr>
                <w:rFonts w:hint="eastAsia"/>
              </w:rPr>
              <w:t>L1重组与陈旧链头</w:t>
            </w:r>
          </w:p>
        </w:tc>
        <w:tc>
          <w:tcPr>
            <w:tcW w:w="2768" w:type="dxa"/>
          </w:tcPr>
          <w:p w14:paraId="1DE1BECE">
            <w:r>
              <w:rPr>
                <w:rFonts w:hint="eastAsia"/>
              </w:rPr>
              <w:t>确认策略、任务绑定、日志回退测试</w:t>
            </w:r>
          </w:p>
        </w:tc>
        <w:tc>
          <w:tcPr>
            <w:tcW w:w="2768" w:type="dxa"/>
          </w:tcPr>
          <w:p w14:paraId="3AAB8F90">
            <w:r>
              <w:rPr>
                <w:rFonts w:hint="eastAsia"/>
              </w:rPr>
              <w:t>按底层链假设处理，不把短分叉当永久最终性</w:t>
            </w:r>
          </w:p>
        </w:tc>
      </w:tr>
      <w:tr>
        <w:trPr/>
        <w:tc>
          <w:tcPr>
            <w:tcW w:w="2768" w:type="dxa"/>
          </w:tcPr>
          <w:p w14:paraId="6E1A770A">
            <w:r>
              <w:rPr>
                <w:rFonts w:hint="eastAsia"/>
              </w:rPr>
              <w:t>审查攻击</w:t>
            </w:r>
          </w:p>
        </w:tc>
        <w:tc>
          <w:tcPr>
            <w:tcW w:w="2768" w:type="dxa"/>
          </w:tcPr>
          <w:p w14:paraId="0E31062A">
            <w:r>
              <w:rPr>
                <w:rFonts w:hint="eastAsia"/>
              </w:rPr>
              <w:t>阶段性阻止应答/挑战、恢复者更换</w:t>
            </w:r>
          </w:p>
        </w:tc>
        <w:tc>
          <w:tcPr>
            <w:tcW w:w="2768" w:type="dxa"/>
          </w:tcPr>
          <w:p w14:paraId="736F92DF">
            <w:r>
              <w:rPr>
                <w:rFonts w:hint="eastAsia"/>
              </w:rPr>
              <w:t>有界审查可测；永久审查下明确不提供无条件活性</w:t>
            </w:r>
          </w:p>
        </w:tc>
      </w:tr>
      <w:tr>
        <w:trPr/>
        <w:tc>
          <w:tcPr>
            <w:tcW w:w="2768" w:type="dxa"/>
          </w:tcPr>
          <w:p w14:paraId="49A863D5">
            <w:r>
              <w:rPr>
                <w:rFonts w:hint="eastAsia"/>
              </w:rPr>
              <w:t>验证服务串谋或失陷</w:t>
            </w:r>
          </w:p>
        </w:tc>
        <w:tc>
          <w:tcPr>
            <w:tcW w:w="2768" w:type="dxa"/>
          </w:tcPr>
          <w:p w14:paraId="0362CB3C">
            <w:r>
              <w:rPr>
                <w:rFonts w:hint="eastAsia"/>
              </w:rPr>
              <w:t>错误密钥注册、伪造接受证书</w:t>
            </w:r>
          </w:p>
        </w:tc>
        <w:tc>
          <w:tcPr>
            <w:tcW w:w="2768" w:type="dxa"/>
          </w:tcPr>
          <w:p w14:paraId="743CD508">
            <w:r>
              <w:rPr>
                <w:rFonts w:hint="eastAsia"/>
              </w:rPr>
              <w:t>若依赖该服务，则属于显式信任失效，不伪称抵抗</w:t>
            </w:r>
          </w:p>
        </w:tc>
      </w:tr>
      <w:tr>
        <w:trPr/>
        <w:tc>
          <w:tcPr>
            <w:tcW w:w="2768" w:type="dxa"/>
          </w:tcPr>
          <w:p w14:paraId="429DA8ED">
            <w:r>
              <w:rPr>
                <w:rFonts w:hint="eastAsia"/>
              </w:rPr>
              <w:t>资金与交易层DoS</w:t>
            </w:r>
          </w:p>
        </w:tc>
        <w:tc>
          <w:tcPr>
            <w:tcW w:w="2768" w:type="dxa"/>
          </w:tcPr>
          <w:p w14:paraId="15875046">
            <w:r>
              <w:rPr>
                <w:rFonts w:hint="eastAsia"/>
              </w:rPr>
              <w:t>最大证明、最大任务、无效交易、恶意提现合约</w:t>
            </w:r>
          </w:p>
        </w:tc>
        <w:tc>
          <w:tcPr>
            <w:tcW w:w="2768" w:type="dxa"/>
          </w:tcPr>
          <w:p w14:paraId="66BAD596">
            <w:r>
              <w:rPr>
                <w:rFonts w:hint="eastAsia"/>
              </w:rPr>
              <w:t>证明输入有界、状态不被失败调用修改、资金隔离与重入防护</w:t>
            </w:r>
          </w:p>
        </w:tc>
      </w:tr>
    </w:tbl>
    <w:p w14:paraId="45381A8E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10.3 必须论证的性质</w:t>
      </w:r>
    </w:p>
    <w:p w14:paraId="7392E99D">
      <w:r>
        <w:rPr>
          <w:rFonts w:hint="eastAsia"/>
        </w:rPr>
        <w:t>P1 证据绑定：被接受的证据绑定唯一任务、程序、输入和DA身份。P2 裁决正确性：在选定计算模型与密码假设下，有效反证导出确定结果。P3 恢复不变式：恢复不改变争议事实、不扩大区间、不延长绝对时限。P4 资金安全：结算唯一、抵押隔离、余额守恒、不可重复提现。P5 条件性活性：每次有效操作减少剩余工作或消耗有限恢复额度，绝对截止提供最终超时出口。</w:t>
      </w:r>
    </w:p>
    <w:p w14:paraId="23879A46">
      <w:r>
        <w:rPr>
          <w:rFonts w:hint="eastAsia"/>
        </w:rPr>
        <w:t>建议用小状态形式模型枚举调用顺序、角色消失与时间推进，再做属性测试。用TLA+或同类方法检查模型是可选增强；模型检查、随机测试和完整数学证明应分别称述，不能互相替代。安全分析须列出每个命题的假设、关键不变式、证明思路和对应实现测试。</w:t>
      </w:r>
    </w:p>
    <w:p w14:paraId="43E16929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11. WP5：实验设计与统计口径</w:t>
      </w:r>
    </w:p>
    <w:p w14:paraId="64E12617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11.1 指标定义先于跑数</w:t>
      </w:r>
    </w:p>
    <w:p w14:paraId="2DDBB301">
      <w:r>
        <w:rPr>
          <w:rFonts w:hint="eastAsia"/>
        </w:rPr>
        <w:t>端到端延迟拆为：客户端发送与排队、TEE执行、证明/签名、DA编码与发布、L1纳入、观察者独立取回、挑战与恢复、裁决、协议终局。并行阶段不能简单相加，需用任务关联ID和时间线重建关键路径。</w:t>
      </w:r>
    </w:p>
    <w:p w14:paraId="18381278">
      <w:r>
        <w:rPr>
          <w:rFonts w:hint="eastAsia"/>
        </w:rPr>
        <w:t>分别报告提交确认延迟、应用可用延迟、协议最终结算延迟和提款可用时间；不能拿本方案提交时间对比对方完整挑战期。恢复时间从注入故障时刻开始计量，同时给出故障检测、接管、下一次有效推进和最终结算四个分量。</w:t>
      </w:r>
    </w:p>
    <w:p w14:paraId="49211D64">
      <w:r>
        <w:rPr>
          <w:rFonts w:hint="eastAsia"/>
        </w:rPr>
        <w:t>吞吐至少区分任务执行完成数、L1已接纳任务数和已最终结算任务数，分母为同一稳定测量区间；报告inflight、队列深度、批处理大小、客户端并发和失败率。并发定义为同时在途的独立批次数或任务数，不能再用min(batchSize,concurrency)折叠用户配置。</w:t>
      </w:r>
    </w:p>
    <w:p w14:paraId="78D56B16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11.2 实验组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 w14:paraId="41F82B1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组别</w:t>
            </w:r>
          </w:p>
        </w:tc>
        <w:tc>
          <w:tcPr>
            <w:tcW w:w="2768" w:type="dxa"/>
          </w:tcPr>
          <w:p w14:paraId="4A848B0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设计</w:t>
            </w:r>
          </w:p>
        </w:tc>
        <w:tc>
          <w:tcPr>
            <w:tcW w:w="2768" w:type="dxa"/>
          </w:tcPr>
          <w:p w14:paraId="7A93C38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交付与结论范围</w:t>
            </w:r>
          </w:p>
        </w:tc>
      </w:tr>
      <w:tr>
        <w:trPr/>
        <w:tc>
          <w:tcPr>
            <w:tcW w:w="2768" w:type="dxa"/>
          </w:tcPr>
          <w:p w14:paraId="2F3CD325">
            <w:r>
              <w:rPr>
                <w:rFonts w:hint="eastAsia"/>
              </w:rPr>
              <w:t>E1 功能与资金</w:t>
            </w:r>
          </w:p>
        </w:tc>
        <w:tc>
          <w:tcPr>
            <w:tcW w:w="2768" w:type="dxa"/>
          </w:tcPr>
          <w:p w14:paraId="4EA83DC8">
            <w:r>
              <w:rPr>
                <w:rFonts w:hint="eastAsia"/>
              </w:rPr>
              <w:t>全部正负例；逐步骤余额与状态快照</w:t>
            </w:r>
          </w:p>
        </w:tc>
        <w:tc>
          <w:tcPr>
            <w:tcW w:w="2768" w:type="dxa"/>
          </w:tcPr>
          <w:p w14:paraId="78DEAF60">
            <w:r>
              <w:rPr>
                <w:rFonts w:hint="eastAsia"/>
              </w:rPr>
              <w:t>通过/失败、预期责任方、实际扣罚/退款/提现金额</w:t>
            </w:r>
          </w:p>
        </w:tc>
      </w:tr>
      <w:tr>
        <w:trPr/>
        <w:tc>
          <w:tcPr>
            <w:tcW w:w="2768" w:type="dxa"/>
          </w:tcPr>
          <w:p w14:paraId="0EE11F9F">
            <w:r>
              <w:rPr>
                <w:rFonts w:hint="eastAsia"/>
              </w:rPr>
              <w:t>E2 恢复对抗</w:t>
            </w:r>
          </w:p>
        </w:tc>
        <w:tc>
          <w:tcPr>
            <w:tcW w:w="2768" w:type="dxa"/>
          </w:tcPr>
          <w:p w14:paraId="45CA9DE0">
            <w:r>
              <w:rPr>
                <w:rFonts w:hint="eastAsia"/>
              </w:rPr>
              <w:t>挑战者失联、提交者失联、接管后失联、重复恢复、重放、边界超时</w:t>
            </w:r>
          </w:p>
        </w:tc>
        <w:tc>
          <w:tcPr>
            <w:tcW w:w="2768" w:type="dxa"/>
          </w:tcPr>
          <w:p w14:paraId="598FCBCC">
            <w:r>
              <w:rPr>
                <w:rFonts w:hint="eastAsia"/>
              </w:rPr>
              <w:t>成功率、恢复分解延迟、最大恢复次数、最终终止及失败原因</w:t>
            </w:r>
          </w:p>
        </w:tc>
      </w:tr>
      <w:tr>
        <w:trPr/>
        <w:tc>
          <w:tcPr>
            <w:tcW w:w="2768" w:type="dxa"/>
          </w:tcPr>
          <w:p w14:paraId="4967005E">
            <w:r>
              <w:t>E3 TEE</w:t>
            </w:r>
          </w:p>
        </w:tc>
        <w:tc>
          <w:tcPr>
            <w:tcW w:w="2768" w:type="dxa"/>
          </w:tcPr>
          <w:p w14:paraId="55DAF180">
            <w:r>
              <w:rPr>
                <w:rFonts w:hint="eastAsia"/>
              </w:rPr>
              <w:t>模拟后端与真实后端；冷/热证明、会话复用、重启</w:t>
            </w:r>
          </w:p>
        </w:tc>
        <w:tc>
          <w:tcPr>
            <w:tcW w:w="2768" w:type="dxa"/>
          </w:tcPr>
          <w:p w14:paraId="46554F69">
            <w:r>
              <w:rPr>
                <w:rFonts w:hint="eastAsia"/>
              </w:rPr>
              <w:t>额外开销与信任差异；不把模拟速度作为真实硬件速度</w:t>
            </w:r>
          </w:p>
        </w:tc>
      </w:tr>
      <w:tr>
        <w:trPr/>
        <w:tc>
          <w:tcPr>
            <w:tcW w:w="2768" w:type="dxa"/>
          </w:tcPr>
          <w:p w14:paraId="5005AFCC">
            <w:r>
              <w:t>E4 DA</w:t>
            </w:r>
          </w:p>
        </w:tc>
        <w:tc>
          <w:tcPr>
            <w:tcW w:w="2768" w:type="dxa"/>
          </w:tcPr>
          <w:p w14:paraId="367151AC">
            <w:r>
              <w:rPr>
                <w:rFonts w:hint="eastAsia"/>
              </w:rPr>
              <w:t>同一原始载荷的calldata与真实Blob；正常、错误绑定、披露超时</w:t>
            </w:r>
          </w:p>
        </w:tc>
        <w:tc>
          <w:tcPr>
            <w:tcW w:w="2768" w:type="dxa"/>
          </w:tcPr>
          <w:p w14:paraId="29E30BFA">
            <w:r>
              <w:rPr>
                <w:rFonts w:hint="eastAsia"/>
              </w:rPr>
              <w:t>编码字节、Blob数量、实际费用、独立取回和DA争议成本</w:t>
            </w:r>
          </w:p>
        </w:tc>
      </w:tr>
      <w:tr>
        <w:trPr/>
        <w:tc>
          <w:tcPr>
            <w:tcW w:w="2768" w:type="dxa"/>
          </w:tcPr>
          <w:p w14:paraId="59FD4369">
            <w:r>
              <w:rPr>
                <w:rFonts w:hint="eastAsia"/>
              </w:rPr>
              <w:t>E5 微基准</w:t>
            </w:r>
          </w:p>
        </w:tc>
        <w:tc>
          <w:tcPr>
            <w:tcW w:w="2768" w:type="dxa"/>
          </w:tcPr>
          <w:p w14:paraId="246851D2">
            <w:r>
              <w:rPr>
                <w:rFonts w:hint="eastAsia"/>
              </w:rPr>
              <w:t>批大小、独立并发、每任务字节、计算步数分别控制</w:t>
            </w:r>
          </w:p>
        </w:tc>
        <w:tc>
          <w:tcPr>
            <w:tcW w:w="2768" w:type="dxa"/>
          </w:tcPr>
          <w:p w14:paraId="56C58C15">
            <w:r>
              <w:rPr>
                <w:rFonts w:hint="eastAsia"/>
              </w:rPr>
              <w:t>吞吐、p50/p95、资源占用、gas及限制因素</w:t>
            </w:r>
          </w:p>
        </w:tc>
      </w:tr>
      <w:tr>
        <w:trPr/>
        <w:tc>
          <w:tcPr>
            <w:tcW w:w="2768" w:type="dxa"/>
          </w:tcPr>
          <w:p w14:paraId="0A6A178E">
            <w:r>
              <w:rPr>
                <w:rFonts w:hint="eastAsia"/>
              </w:rPr>
              <w:t>E6 基线与消融</w:t>
            </w:r>
          </w:p>
        </w:tc>
        <w:tc>
          <w:tcPr>
            <w:tcW w:w="2768" w:type="dxa"/>
          </w:tcPr>
          <w:p w14:paraId="5228C93D">
            <w:r>
              <w:rPr>
                <w:rFonts w:hint="eastAsia"/>
              </w:rPr>
              <w:t>无恢复、无TEE优化、全量重算、Merkle单步、calldata/Blob</w:t>
            </w:r>
          </w:p>
        </w:tc>
        <w:tc>
          <w:tcPr>
            <w:tcW w:w="2768" w:type="dxa"/>
          </w:tcPr>
          <w:p w14:paraId="7DC6822D">
            <w:r>
              <w:rPr>
                <w:rFonts w:hint="eastAsia"/>
              </w:rPr>
              <w:t>每个机制带来的效果与代价；不从组合结果推单项贡献</w:t>
            </w:r>
          </w:p>
        </w:tc>
      </w:tr>
      <w:tr>
        <w:trPr/>
        <w:tc>
          <w:tcPr>
            <w:tcW w:w="2768" w:type="dxa"/>
          </w:tcPr>
          <w:p w14:paraId="306A30FB">
            <w:r>
              <w:rPr>
                <w:rFonts w:hint="eastAsia"/>
              </w:rPr>
              <w:t>E7 第三方比较</w:t>
            </w:r>
          </w:p>
        </w:tc>
        <w:tc>
          <w:tcPr>
            <w:tcW w:w="2768" w:type="dxa"/>
          </w:tcPr>
          <w:p w14:paraId="5013E1EB">
            <w:r>
              <w:rPr>
                <w:rFonts w:hint="eastAsia"/>
              </w:rPr>
              <w:t>官方实现可复现路径与文献数据分层</w:t>
            </w:r>
          </w:p>
        </w:tc>
        <w:tc>
          <w:tcPr>
            <w:tcW w:w="2768" w:type="dxa"/>
          </w:tcPr>
          <w:p w14:paraId="19611846">
            <w:r>
              <w:rPr>
                <w:rFonts w:hint="eastAsia"/>
              </w:rPr>
              <w:t>对齐负载、版本、终局定义；明确无法比较的项</w:t>
            </w:r>
          </w:p>
        </w:tc>
      </w:tr>
    </w:tbl>
    <w:p w14:paraId="05584705">
      <w:r>
        <w:rPr>
          <w:rFonts w:hint="eastAsia"/>
        </w:rPr>
        <w:t>建议沿用1/8/32任务批大小便于连接旧基线；每任务原始输入先选1/8/32 KiB，独立并发选1/4/8，再按实际容量决定是否分多个Blob。步数或程序规模作为独立变量。不要一次盲目展开所有维度；先局部筛出趋势，再对主要结论相关组合做预先固定的交叉实验。</w:t>
      </w:r>
    </w:p>
    <w:p w14:paraId="661C4C8F">
      <w:r>
        <w:rPr>
          <w:rFonts w:hint="eastAsia"/>
        </w:rPr>
        <w:t>哈希链负载仅适合微基准。应增加一种与应用相关的可复现确定性工作负载，确保其执行和单步验证均落在声明的模型内；若不能实现真实应用语义，应明确继续使用合成任务而不包装成生产业务。</w:t>
      </w:r>
    </w:p>
    <w:p w14:paraId="55E33A7A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11.3 样本与统计</w:t>
      </w:r>
    </w:p>
    <w:p w14:paraId="777D3BC7">
      <w:r>
        <w:rPr>
          <w:rFonts w:hint="eastAsia"/>
        </w:rPr>
        <w:t>本地关键配置建议至少3次独立运行、每次预热后不少于30个有效批次，并完整记录失败与重试，不选择性删除不利样本。这是初始采样计划，不是统计充分性的保证，应根据方差调整。公网实验分不同时段采样，报告链状态与取回条件。</w:t>
      </w:r>
    </w:p>
    <w:p w14:paraId="14CFB860">
      <w:r>
        <w:rPr>
          <w:rFonts w:hint="eastAsia"/>
        </w:rPr>
        <w:t>p50、p95同时报告样本数；样本不足时不报p99。均值或中位数比较使用按独立运行分组的置信区间，避免将同一批内任务当成相互独立样本。随机状态测试保留种子与失败最小复现；执行时间依赖墙钟时保存时钟同步与采样位置。</w:t>
      </w:r>
    </w:p>
    <w:p w14:paraId="6B4F128F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11.4 DA成本模型</w:t>
      </w:r>
    </w:p>
    <w:p w14:paraId="28EA60B3">
      <w:r>
        <w:rPr>
          <w:rFonts w:hint="eastAsia"/>
        </w:rPr>
        <w:t>每批总成本由L1执行gas乘实际执行价格、Blob gas乘实际Blob价格、TEE证明与执行、DA服务或归档、争议与恢复成本组成；实际采用哪些项应逐项列出。单任务成本用成功任务数作分母，同时给出按已提交任务数和失败开销的补充口径，避免失败被隐藏。</w:t>
      </w:r>
    </w:p>
    <w:p w14:paraId="596A2849">
      <w:r>
        <w:rPr>
          <w:rFonts w:hint="eastAsia"/>
        </w:rPr>
        <w:t>协议级比较先以gas、Blob gas、字节和实测时间列示，再做统一价格参数下的情景分析。Blob按实际个数计费存在阶梯，不是无限按1/批大小下降；需计入填充、跨Blob边界、低填充率和保留期。</w:t>
      </w:r>
    </w:p>
    <w:p w14:paraId="1E4DC777">
      <w:r>
        <w:rPr>
          <w:rFonts w:hint="eastAsia"/>
        </w:rPr>
        <w:t>实际费用可由receipt的gasUsed×effectiveGasPrice与blobGasUsed×blobGasPrice分别计算并核对。Sepolia结果说明测试网实付协议费用及运行可行性，不直接代表主网经济成本，也不以测试币价值支持商业收益结论。</w:t>
      </w:r>
    </w:p>
    <w:p w14:paraId="5E12A546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12. 与TEEROLLUP、Arbitrum、Optimism的比较</w:t>
      </w:r>
    </w:p>
    <w:p w14:paraId="554D587E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12.1 文献与机制比较</w:t>
      </w:r>
    </w:p>
    <w:p w14:paraId="2A5561FE">
      <w:r>
        <w:rPr>
          <w:rFonts w:hint="eastAsia"/>
        </w:rPr>
        <w:t>优先核对TeeRollup原论文、Arbitrum BoLD相关论文和实现、Optimism争议协议规范。项目已有来源清单可作入口，但返修时必须重新确认版本与具体论断，不以标题或摘要推断全部能力。差异表至少比较：执行可信基础、证明验证路径、DA与持久性假设、挑战参与条件、恢复/接管语义、超时与最坏终止条件、计算模型、链上成本、终局与提款含义。</w:t>
      </w:r>
    </w:p>
    <w:p w14:paraId="76C76203">
      <w:r>
        <w:rPr>
          <w:rFonts w:hint="eastAsia"/>
        </w:rPr>
        <w:t>不能把对方已有的可继续参与争议、动态争议图或超时规则遗漏后，再把“可恢复”概念本身宣称独有。需要回答的是：本方案恢复保存哪些状态，允许哪些角色接续，增加哪些可证明约束，代价是什么，以及这些差异在何种负载下有价值。</w:t>
      </w:r>
    </w:p>
    <w:p w14:paraId="1A29EA6B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12.2 定量比较采用两层报告</w:t>
      </w:r>
    </w:p>
    <w:p w14:paraId="6D733349">
      <w:r>
        <w:rPr>
          <w:rFonts w:hint="eastAsia"/>
        </w:rPr>
        <w:t>第一层为同一计算模型上的机制微基准：不可恢复对照、有界重算、Merkle区间争议、TEE辅助路径，统一输入、硬件、L1环境、DA和终止口径。这只能称“机制对照”，不得把自写简化实现标成Arbitrum或Optimism官方系统。</w:t>
      </w:r>
    </w:p>
    <w:p w14:paraId="3CDF8385">
      <w:r>
        <w:rPr>
          <w:rFonts w:hint="eastAsia"/>
        </w:rPr>
        <w:t>第二层为实际第三方实现或原论文结果：能启动官方实现时固定release/commit和配置，在受支持的工作负载上测量可比指标；不能完整复现时保留文献数值、原始环境和定义，明确“文献报告，非本机复测”。两层分表，避免拼成一个统一排名。</w:t>
      </w:r>
    </w:p>
    <w:p w14:paraId="4AF6C615">
      <w:r>
        <w:rPr>
          <w:rFonts w:hint="eastAsia"/>
        </w:rPr>
        <w:t>优先完成TEEROLLUP最接近工作核对，并至少争取一个成熟OP系统的官方实现实测；其余方案给出可核对的定量来源和机制差异。若三者都无法复现，意见5只能标记部分回应，不能凭文献表声称已做同环境实验。</w:t>
      </w:r>
    </w:p>
    <w:p w14:paraId="01D9F724">
      <w:r>
        <w:rPr>
          <w:rFonts w:hint="eastAsia"/>
        </w:rPr>
        <w:t>对于吞吐、费用和恢复时间，给出“可比”“部分可比”“不可直接比较”标签及原因。不得拿本地Hardhat自动出块时间、合成hash任务或短测试争议窗口，计算相对官方系统生产参数的领先百分比。</w:t>
      </w:r>
    </w:p>
    <w:p w14:paraId="47209FBD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13. WP6：逐章修改计划</w:t>
      </w:r>
    </w:p>
    <w:p w14:paraId="2C20ACD0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13.1 标题、摘要与引言</w:t>
      </w:r>
    </w:p>
    <w:p w14:paraId="6BA0AC5F">
      <w:r>
        <w:rPr>
          <w:rFonts w:hint="eastAsia"/>
        </w:rPr>
        <w:t>保留研究对象，必要时在标题或摘要中明确“原型”“有界执行模型”或所选范围。摘要按问题、方法、验证环境、关键结果、边界组织；实验完成前只写待填项，不编造性能提升。中英文摘要同步修改。</w:t>
      </w:r>
    </w:p>
    <w:p w14:paraId="33577DF4">
      <w:r>
        <w:rPr>
          <w:rFonts w:hint="eastAsia"/>
        </w:rPr>
        <w:t>第1章引言删除将哈希、Merkle和简单摊销本身列为创新的表述。提出可证伪的研究问题：参与者失联时能否接续；恢复是否引入延迟放大与DoS；紧凑承诺在恢复后是否仍能裁决；真实TEE与DA接入增加何种成本。贡献条目必须对应正式机制、论证和实验。</w:t>
      </w:r>
    </w:p>
    <w:p w14:paraId="615FACEF">
      <w:r>
        <w:rPr>
          <w:rFonts w:hint="eastAsia"/>
        </w:rPr>
        <w:t>原“实验采用合成负载、模拟TEE和可验证DA注册表”的段落不能直接删除。完成真实实验后改为分层描述本地受控实验、真实硬件实验和公网测试网实验，各自标明作用与限制。</w:t>
      </w:r>
    </w:p>
    <w:p w14:paraId="68795324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13.2 第2章相关工作</w:t>
      </w:r>
    </w:p>
    <w:p w14:paraId="351AB1C5">
      <w:r>
        <w:rPr>
          <w:rFonts w:hint="eastAsia"/>
        </w:rPr>
        <w:t>按TEE辅助Rollup、乐观争议与恢复、DA与Blob承诺三组重写，优先增加最接近工作的实质对照。每个介绍方案的段落首次提出具体机制时就近引用；数字、期限、信任阈值和成本结论在同句或紧邻句给来源。</w:t>
      </w:r>
    </w:p>
    <w:p w14:paraId="2DE1C651">
      <w:r>
        <w:rPr>
          <w:rFonts w:hint="eastAsia"/>
        </w:rPr>
        <w:t>增加“本方案与已有工作的差异”表，区分原论文声明、公开实现、本文复现和本文新增机制。对缺乏公开实现或无法确认的能力填“未核实”，不要擅自填“不支持”。</w:t>
      </w:r>
    </w:p>
    <w:p w14:paraId="3AD8E0CF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13.3 第3章系统概览</w:t>
      </w:r>
    </w:p>
    <w:p w14:paraId="7FF28B49">
      <w:r>
        <w:rPr>
          <w:rFonts w:hint="eastAsia"/>
        </w:rPr>
        <w:t>在现有架构后新增系统模型与威胁模型：提交者、挑战者、观察者、恢复者、DA责任方、证明验证服务、L1各自权限、资金和故障假设。明确TEE硬件信任与证明验证服务信任不是同一项。</w:t>
      </w:r>
    </w:p>
    <w:p w14:paraId="0235BE34">
      <w:r>
        <w:rPr>
          <w:rFonts w:hint="eastAsia"/>
        </w:rPr>
        <w:t>重画图1，标出任务数据流、承诺流、证明流和资金流；用图例区分链上验证、链下独立验证及可信服务。标明Blob数据暂存和长期恢复/归档的边界。</w:t>
      </w:r>
    </w:p>
    <w:p w14:paraId="0B9AE478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13.4 第4章核心机制</w:t>
      </w:r>
    </w:p>
    <w:p w14:paraId="79722E87">
      <w:r>
        <w:rPr>
          <w:rFonts w:hint="eastAsia"/>
        </w:rPr>
        <w:t>建议调整为：4.1 协议对象与可恢复挑战；4.2 计算承诺及裁决；4.3 TEE证明与密钥管理；4.4 DA绑定、披露与成本；4.5 安全性、活性及经济约束。若版面限制，可把测试明细与长证明移到附录，但不能删除核心假设和状态规则。</w:t>
      </w:r>
    </w:p>
    <w:p w14:paraId="1C0E5E99">
      <w:r>
        <w:rPr>
          <w:rFonts w:hint="eastAsia"/>
        </w:rPr>
        <w:t>在现4.1.1“恢复操作只有在恢复流程推进而不修改争议事实时才具有安全意义”后，补完整状态转移表、调用者权限、检查点字段、固定截止公式、重复防护及超时归责。图2改为可区分正常、挑战、接管、超时和结算的状态图。</w:t>
      </w:r>
    </w:p>
    <w:p w14:paraId="4660201C">
      <w:r>
        <w:rPr>
          <w:rFonts w:hint="eastAsia"/>
        </w:rPr>
        <w:t>4.2必须与最终实现一致：完成单步证明才写Merkle区间裁决；未完成则明确有序向量承诺与有界重算。新增编码与域分离定义，说明输入、程序、轨迹、结果和DA之间的绑定链条。</w:t>
      </w:r>
    </w:p>
    <w:p w14:paraId="4C3CAA4B">
      <w:r>
        <w:rPr>
          <w:rFonts w:hint="eastAsia"/>
        </w:rPr>
        <w:t>4.3/4.4公开验证者信任和DA责任合同；成本公式引入Blob数量阶梯、填充、证明、争议和恢复开销，补变量与单位说明。安全分析采用“假设、命题、论证、失效边界”的写法，不把测试通过写成无条件安全证明。</w:t>
      </w:r>
    </w:p>
    <w:p w14:paraId="5B058CD5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13.5 第5章实验评估</w:t>
      </w:r>
    </w:p>
    <w:p w14:paraId="1DFDDA8A">
      <w:r>
        <w:rPr>
          <w:rFonts w:hint="eastAsia"/>
        </w:rPr>
        <w:t>重组为：实验环境与口径；安全与资金闭环；恢复及DoS；真实TEE；真实Blob与端到端；同口径性能/消融；第三方比较与局限。现5.5中的Solidity、本地EVM与Sepolia证据拆分，真实公网部分没有receipt之前不能放入“已完成实验”。</w:t>
      </w:r>
    </w:p>
    <w:p w14:paraId="0055F03A">
      <w:r>
        <w:rPr>
          <w:rFonts w:hint="eastAsia"/>
        </w:rPr>
        <w:t>重做现表4：每行给出故障注入、检测方式、裁决证据、责任方、实际扣罚/退款、终止状态、次数与失败原因。证明在提交前被拒绝的场景单独列组，不再以“未罚没”混入闭环成功率。</w:t>
      </w:r>
    </w:p>
    <w:p w14:paraId="2B7655DC">
      <w:r>
        <w:rPr>
          <w:rFonts w:hint="eastAsia"/>
        </w:rPr>
        <w:t>重做现表5：所有gas值绑定合约commit、编译器、优化参数、EVM环境、任务规模和样本数；新增有界重算与单步扩展分列，明确真实费用和本地gas不是一列。旧gas放附录或旧版本对照，不与新结果平均。</w:t>
      </w:r>
    </w:p>
    <w:p w14:paraId="6BA97B48">
      <w:r>
        <w:rPr>
          <w:rFonts w:hint="eastAsia"/>
        </w:rPr>
        <w:t>现图3提交字节对比补上编码后字节、证明字节、额外元数据和是否含DA载荷；现图4摊销图增加Blob跨界阶梯、低填充率、争议率情景与真实测量点。图号与表号在最终稿统一连续编号，新增图表名称先用语义标题，不预填最终编号。</w:t>
      </w:r>
    </w:p>
    <w:p w14:paraId="75C49866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13.6 第6章、参考文献与附录</w:t>
      </w:r>
    </w:p>
    <w:p w14:paraId="559B64EB">
      <w:r>
        <w:rPr>
          <w:rFonts w:hint="eastAsia"/>
        </w:rPr>
        <w:t>结论逐项回答研究问题，明确真实验证范围、计算模型、观察者/审查假设、证明验证服务信任和DA保留限制。不写“完全去信任”“解决全部TEE风险”“优于所有Rollup”等无依据结论。</w:t>
      </w:r>
    </w:p>
    <w:p w14:paraId="34926511">
      <w:r>
        <w:rPr>
          <w:rFonts w:hint="eastAsia"/>
        </w:rPr>
        <w:t>参考文献按目标期刊规则整理作者、题名、会议/期刊或在线来源、年份、版本、DOI/URL与访问日期；交叉核对每个正文编号和来源。与技术返修并行维护引用，但最终编号、公式对象、矢量图和期刊模板适配放在正文稳定后进行。</w:t>
      </w:r>
    </w:p>
    <w:p w14:paraId="2FBC9D82">
      <w:r>
        <w:rPr>
          <w:rFonts w:hint="eastAsia"/>
        </w:rPr>
        <w:t>附录建议包括协议伪代码、完整攻击清单、配置与运行命令、原始数据索引、负例、第三方环境差异及未完成实验。必要的安全假设仍保留正文，不得全部移到补充材料。</w:t>
      </w:r>
    </w:p>
    <w:p w14:paraId="6DD66823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14. 返修验收、文件交付与启动条件</w:t>
      </w:r>
    </w:p>
    <w:p w14:paraId="312F4FD0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14.1 里程碑检查</w:t>
      </w:r>
    </w:p>
    <w:p w14:paraId="57F79ACC">
      <w:r>
        <w:rPr>
          <w:rFonts w:hint="eastAsia"/>
        </w:rPr>
        <w:t>G0 范围冻结：选择推荐单步路线或有界备选，所有贡献主张有对应证明义务。G1 本地协议闭环：恢复、确定性裁决和资金结算通过测试，旧反例不能再攻击新入口。G2 外部证据：真实TEE应用身份绑定和Blob协议绑定均有独立证据。G3 实验冻结：所有主图可由原始数据重建，比较定义与版本公开。G4 正文与答复冻结：每条审稿意见对应改动位置、证据、已解决程度及残余限制。</w:t>
      </w:r>
    </w:p>
    <w:p w14:paraId="70F58EAC">
      <w:r>
        <w:rPr>
          <w:rFonts w:hint="eastAsia"/>
        </w:rPr>
        <w:t>G2未满足时有两种选择：继续补实验；或明确收缩范围并在答复中承认部分回应。不允许把资料调研、离线KZG或模拟证明计为真实外部验证。即使全部检查通过，也只是满足返修材料自洽性，不保证审稿录用或达到生产审计标准。</w:t>
      </w:r>
    </w:p>
    <w:p w14:paraId="5BF37D87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14.2 最终应交付的材料</w:t>
      </w:r>
    </w:p>
    <w:p w14:paraId="00291BE9">
      <w:pPr>
        <w:numPr>
          <w:ilvl w:val="0"/>
          <w:numId w:val="3"/>
        </w:numPr>
      </w:pPr>
      <w:r>
        <w:rPr>
          <w:rFonts w:hint="eastAsia"/>
        </w:rPr>
        <w:t>修订论文：另存新版本，保留原稿；必要时附修订标记版与清洁版。</w:t>
      </w:r>
    </w:p>
    <w:p w14:paraId="3DE92E69">
      <w:pPr>
        <w:numPr>
          <w:ilvl w:val="0"/>
          <w:numId w:val="3"/>
        </w:numPr>
      </w:pPr>
      <w:r>
        <w:rPr>
          <w:rFonts w:hint="eastAsia"/>
        </w:rPr>
        <w:t>逐条评审答复：原意见、回应要点、具体改动、最终章节/页码、证据路径、剩余限制六项。</w:t>
      </w:r>
    </w:p>
    <w:p w14:paraId="44F28F66">
      <w:pPr>
        <w:numPr>
          <w:ilvl w:val="0"/>
          <w:numId w:val="3"/>
        </w:numPr>
      </w:pPr>
      <w:r>
        <w:rPr>
          <w:rFonts w:hint="eastAsia"/>
        </w:rPr>
        <w:t>工程版本：协议规范、合约与后端、部署参数、测试和重现实验入口。</w:t>
      </w:r>
    </w:p>
    <w:p w14:paraId="734C59B7">
      <w:pPr>
        <w:numPr>
          <w:ilvl w:val="0"/>
          <w:numId w:val="3"/>
        </w:numPr>
      </w:pPr>
      <w:r>
        <w:rPr>
          <w:rFonts w:hint="eastAsia"/>
        </w:rPr>
        <w:t>实验包：按local_evm、offline_kzg、real_tee、public_blob、third_party分目录；包含环境、commit、配置、种子、原始样本、失败记录和统计脚本。</w:t>
      </w:r>
    </w:p>
    <w:p w14:paraId="13D20C00">
      <w:pPr>
        <w:numPr>
          <w:ilvl w:val="0"/>
          <w:numId w:val="3"/>
        </w:numPr>
      </w:pPr>
      <w:r>
        <w:rPr>
          <w:rFonts w:hint="eastAsia"/>
        </w:rPr>
        <w:t>外部验证证据：脱敏Quote与验证摘要、交易receipt、独立DA取回记录、挑战/恢复/结算和余额证明。</w:t>
      </w:r>
    </w:p>
    <w:p w14:paraId="4AE0D3C3">
      <w:pPr>
        <w:numPr>
          <w:ilvl w:val="0"/>
          <w:numId w:val="3"/>
        </w:numPr>
      </w:pPr>
      <w:r>
        <w:rPr>
          <w:rFonts w:hint="eastAsia"/>
        </w:rPr>
        <w:t>论文证据索引：每项主张对应表图、计算脚本和原始数据；每项外部论断对应可查来源。</w:t>
      </w:r>
    </w:p>
    <w:p w14:paraId="5798D466">
      <w:r>
        <w:rPr>
          <w:rFonts w:hint="eastAsia"/>
        </w:rPr>
        <w:t>逐条答复应使用实事求是的结构。例如专家1的回答必须区分“新增真实TDX/SGX实验”“新增Sepolia Blob实验”“补充某些场景的罚没闭环”“仍未验证生产主网”。这些文字只有相应实验完成后才能改为过去时。</w:t>
      </w:r>
    </w:p>
    <w:p w14:paraId="1152708D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14.3 外部前置条件与授权</w:t>
      </w:r>
    </w:p>
    <w:p w14:paraId="3B15D437">
      <w:r>
        <w:rPr>
          <w:rFonts w:hint="eastAsia"/>
        </w:rPr>
        <w:t>需要可用的真实TEE实例或提供同等能力的实验环境，以及运行程序、采集Quote和独立验证的权限；需要目标测试网RPC、受控测试钱包及测试币、支持真实Blob取回的端点；需要官方基线实现的资源和明确版本。现有证据包不包含这些条件已经具备的证明。</w:t>
      </w:r>
    </w:p>
    <w:p w14:paraId="017E6ED7">
      <w:r>
        <w:rPr>
          <w:rFonts w:hint="eastAsia"/>
        </w:rPr>
        <w:t>云实例购买、付费服务、部署和广播交易均应在实施阶段取得明确授权。凭据通过安全环境变量或本地密钥机制提供，不进入论文、日志或公开仓库。开工前记录资源负责人、预算上限、访问范围、超限停止条件及数据公开范围。</w:t>
      </w:r>
    </w:p>
    <w:p w14:paraId="1717C55A">
      <w:r>
        <w:rPr>
          <w:rFonts w:hint="eastAsia"/>
        </w:rPr>
        <w:t>本轮只制定计划：未修改原论文，未修改合约，未购买云资源，未广播交易，未新增实验结果。下一步应先确认计算模型及证明验证信任路线，再推进WP0和WP1；真实资源准备与相关工作核对可并行开展。</w:t>
      </w:r>
    </w:p>
    <w:p w14:paraId="68A9CF1C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15. 本计划依据与引用核对入口</w:t>
      </w:r>
    </w:p>
    <w:p w14:paraId="790D3509">
      <w:r>
        <w:rPr>
          <w:rFonts w:hint="eastAsia"/>
        </w:rPr>
        <w:t>本计划以已核对的用户指定稿件、当前工程和既有审计文件为依据。核心状态文件：revision_runs/20260911T095029Z/external_status.json；引用入口：同run下audit/citations_zh.md。下列为已有来源入口，不代表本轮完成在线重核，也不预先断言具体版本是最新。正式改稿须回到原文核对。</w:t>
      </w:r>
    </w:p>
    <w:p w14:paraId="0828A6E9">
      <w:pPr>
        <w:numPr>
          <w:ilvl w:val="0"/>
          <w:numId w:val="4"/>
        </w:numPr>
      </w:pPr>
      <w:r>
        <w:rPr>
          <w:rFonts w:hint="eastAsia"/>
        </w:rPr>
        <w:t>TeeRollup: Efficient Rollup Design Using Heterogeneous TEE：https://arxiv.org/abs/2409.14647 。核对异构TEE、争议机制、DA假设和实验环境。</w:t>
      </w:r>
    </w:p>
    <w:p w14:paraId="7E7566CA">
      <w:pPr>
        <w:numPr>
          <w:ilvl w:val="0"/>
          <w:numId w:val="4"/>
        </w:numPr>
      </w:pPr>
      <w:r>
        <w:rPr>
          <w:rFonts w:hint="eastAsia"/>
        </w:rPr>
        <w:t>BoLD: Fast and Cheap Dispute Resolution：https://arxiv.org/abs/2404.10491 。核对争议图、参与者假设、成本和终止定义。</w:t>
      </w:r>
    </w:p>
    <w:p w14:paraId="454C190C">
      <w:pPr>
        <w:numPr>
          <w:ilvl w:val="0"/>
          <w:numId w:val="4"/>
        </w:numPr>
      </w:pPr>
      <w:r>
        <w:rPr>
          <w:rFonts w:hint="eastAsia"/>
        </w:rPr>
        <w:t>Optimism Fault Dispute Game specification：https://specs.optimism.io/fault-proof/stage-one/fault-dispute-game.html 。部署参数须另按目标版本与链核对。</w:t>
      </w:r>
    </w:p>
    <w:p w14:paraId="1961E208">
      <w:pPr>
        <w:numPr>
          <w:ilvl w:val="0"/>
          <w:numId w:val="4"/>
        </w:numPr>
      </w:pPr>
      <w:r>
        <w:rPr>
          <w:rFonts w:hint="eastAsia"/>
        </w:rPr>
        <w:t>EIP-4844：https://eips.ethereum.org/EIPS/eip-4844 。用于协议字段、Blob承诺和验证语义；现场API与保留策略另查目标端点。</w:t>
      </w:r>
    </w:p>
    <w:p w14:paraId="677EC679">
      <w:pPr>
        <w:numPr>
          <w:ilvl w:val="0"/>
          <w:numId w:val="4"/>
        </w:numPr>
      </w:pPr>
      <w:r>
        <w:rPr>
          <w:rFonts w:hint="eastAsia"/>
        </w:rPr>
        <w:t>真实TEE环境与验证库：按实际选择的Intel SGX/TDX、DCAP及云提供商官方资料核对，不能以产品介绍代替真实Quote与应用身份验证。</w:t>
      </w:r>
    </w:p>
    <w:p w14:paraId="0EB53BF0">
      <w:r>
        <w:rPr>
          <w:rFonts w:hint="eastAsia"/>
        </w:rPr>
        <w:t>总的执行原则：先让每一个安全与性能主张对应可验证的协议条件，再用工程和实验补齐证据，最后把论文改到与证据严格一致。</w:t>
      </w:r>
    </w:p>
    <w:p w14:paraId="6C6E53D1"/>
    <w:sectPr/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3">
    <w:lvl w:ilvl="0">
      <w:start w:val="1"/>
      <w:numFmt w:val="decimal"/>
      <w:lvlText w:val="%1."/>
      <w:lvlJc w:val="left"/>
      <w:pPr>
        <w:ind w:left="420" w:hanging="420"/>
      </w:pPr>
    </w:lvl>
  </w:abstractNum>
  <w:num w:numId="1">
    <w:abstractNumId w:val="0"/>
  </w:num>
  <w:num w:numId="3">
    <w:abstractNumId w:val="3"/>
  </w:num>
  <w:num w:numId="2">
    <w:abstractNumId w:val="2"/>
  </w:num>
  <w:num w:numId="4">
    <w:abstractNumId w:val="1"/>
  </w:num>
</w:numbering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1" Type="http://schemas.openxmlformats.org/officeDocument/2006/relationships/settings" Target="settings.xml" /><Relationship Id="rId4" Type="http://schemas.openxmlformats.org/officeDocument/2006/relationships/numbering" Target="numbering.xml" /><Relationship Id="rId2" Type="http://schemas.openxmlformats.org/officeDocument/2006/relationships/fontTable" Target="fontTable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dc="http://purl.org/dc/elements/1.1/" xmlns:cp="http://schemas.openxmlformats.org/package/2006/metadata/core-properties">
  <dcterms:created xsi:type="dcterms:W3CDTF">2026-09-12T15:22:44Z</dcterms:created>
  <dcterms:modified xsi:type="dcterms:W3CDTF">2026-09-12T15:22:44Z</dcterms:modified>
</cp:coreProperties>
</file>