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1563"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64A22ABB" w14:textId="77777777" w:rsidR="00580E0B" w:rsidRDefault="00000000">
      <w:pPr>
        <w:spacing w:line="240" w:lineRule="auto"/>
        <w:jc w:val="center"/>
      </w:pPr>
      <w:r>
        <w:rPr>
          <w:rFonts w:ascii="楷体" w:eastAsia="楷体" w:hAnsi="楷体"/>
          <w:sz w:val="24"/>
        </w:rPr>
        <w:t>杨帆</w:t>
      </w:r>
      <w:r>
        <w:rPr>
          <w:rFonts w:eastAsia="Times New Roman"/>
          <w:sz w:val="18"/>
          <w:vertAlign w:val="superscript"/>
        </w:rPr>
        <w:t>1</w:t>
      </w:r>
    </w:p>
    <w:p w14:paraId="3C4E263B" w14:textId="77777777" w:rsidR="00692B03" w:rsidRDefault="00000000">
      <w:pPr>
        <w:spacing w:line="240" w:lineRule="auto"/>
        <w:jc w:val="center"/>
      </w:pPr>
      <w:r>
        <w:rPr>
          <w:rFonts w:ascii="楷体" w:eastAsia="楷体" w:hAnsi="楷体"/>
          <w:sz w:val="21"/>
        </w:rPr>
        <w:t>1. 华东师范大学 数据科学与工程学院，上海 200062</w:t>
      </w:r>
    </w:p>
    <w:p w14:paraId="1D1D82F2"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10354BC5"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67A86D7A"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437CC1E7"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242799EE" w14:textId="77777777" w:rsidR="00580E0B" w:rsidRDefault="00000000">
      <w:pPr>
        <w:spacing w:line="240" w:lineRule="auto"/>
        <w:jc w:val="center"/>
      </w:pPr>
      <w:r>
        <w:rPr>
          <w:sz w:val="24"/>
        </w:rPr>
        <w:t>YANG Fan</w:t>
      </w:r>
      <w:r>
        <w:rPr>
          <w:sz w:val="18"/>
          <w:vertAlign w:val="superscript"/>
        </w:rPr>
        <w:t>1</w:t>
      </w:r>
    </w:p>
    <w:p w14:paraId="1E48FF3A" w14:textId="77777777" w:rsidR="00692B03" w:rsidRDefault="00000000">
      <w:pPr>
        <w:spacing w:line="240" w:lineRule="auto"/>
        <w:jc w:val="center"/>
      </w:pPr>
      <w:r>
        <w:rPr>
          <w:sz w:val="21"/>
        </w:rPr>
        <w:t>1. School of Data Science and Engineering, East China Normal University, Shanghai 200062, China</w:t>
      </w:r>
    </w:p>
    <w:p w14:paraId="71741DA6"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EA25162"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418DB9F"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8AE0D05"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583663BD"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w:t>
      </w:r>
      <w:r>
        <w:t>机制和证据入口缺失，系统会在最需要仲裁时失去协议连续性。</w:t>
      </w:r>
    </w:p>
    <w:p w14:paraId="399D2B38"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D8FC9DA"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703F871C" w14:textId="7FAFEAAC" w:rsidR="00580E0B" w:rsidRDefault="00242694" w:rsidP="00242694">
      <w:pPr>
        <w:spacing w:before="80" w:after="40" w:line="240" w:lineRule="auto"/>
        <w:ind w:firstLineChars="200" w:firstLine="470"/>
        <w:jc w:val="left"/>
        <w:rPr>
          <w:rFonts w:hint="eastAsia"/>
        </w:rPr>
      </w:pPr>
      <w:r>
        <w:rPr>
          <w:rFonts w:eastAsia="黑体" w:hint="eastAsia"/>
          <w:b/>
          <w:bCs/>
          <w:sz w:val="23"/>
          <w:szCs w:val="23"/>
        </w:rPr>
        <w:t>本文的贡献如下</w:t>
      </w:r>
    </w:p>
    <w:p w14:paraId="3D9D7148" w14:textId="39331E3B"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w:t>
      </w:r>
      <w:r w:rsidRPr="00CC3364">
        <w:rPr>
          <w:rFonts w:hint="eastAsia"/>
          <w:sz w:val="20"/>
        </w:rPr>
        <w:lastRenderedPageBreak/>
        <w:t>争议事实的前提下，将停滞的挑战会话切换至可重放、可仲裁的正常链路，从协议层面保障仲裁连续性。。</w:t>
      </w:r>
    </w:p>
    <w:p w14:paraId="5C0F9DBD"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08637A31"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942320C" w14:textId="5FC48F46" w:rsidR="00580E0B" w:rsidRDefault="00000000" w:rsidP="00242694">
      <w:pPr>
        <w:spacing w:before="120" w:after="60" w:line="240" w:lineRule="auto"/>
        <w:ind w:firstLine="0"/>
        <w:jc w:val="left"/>
        <w:rPr>
          <w:rFonts w:hint="eastAsia"/>
        </w:rPr>
      </w:pPr>
      <w:r>
        <w:rPr>
          <w:rFonts w:eastAsia="黑体"/>
          <w:b/>
          <w:bCs/>
          <w:sz w:val="23"/>
          <w:szCs w:val="23"/>
        </w:rPr>
        <w:t xml:space="preserve">2  </w:t>
      </w:r>
      <w:r>
        <w:rPr>
          <w:rFonts w:eastAsia="黑体"/>
          <w:b/>
          <w:bCs/>
          <w:sz w:val="23"/>
          <w:szCs w:val="23"/>
        </w:rPr>
        <w:t>相关工作</w:t>
      </w:r>
    </w:p>
    <w:p w14:paraId="7B86EA45"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01D65946"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172B7DD1"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134062D8" w14:textId="39F8E6B7" w:rsidR="00580E0B" w:rsidRDefault="00000000" w:rsidP="00242694">
      <w:pPr>
        <w:ind w:firstLine="408"/>
        <w:rPr>
          <w:rFonts w:hint="eastAsia"/>
        </w:rPr>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281CBB88" w14:textId="77777777" w:rsidR="00580E0B" w:rsidRDefault="00000000">
      <w:pPr>
        <w:ind w:firstLine="408"/>
      </w:pPr>
      <w:r>
        <w:t xml:space="preserve">Rollup </w:t>
      </w:r>
      <w:r>
        <w:t>的基本思想是将大量执行过程移至链下完成，并将状态承诺、证明或争议入口提交到链上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715319AF" w14:textId="77777777" w:rsidR="00580E0B" w:rsidRDefault="00000000">
      <w:pPr>
        <w:ind w:firstLine="408"/>
      </w:pPr>
      <w:r>
        <w:t>乐观挑战是</w:t>
      </w:r>
      <w:r>
        <w:t xml:space="preserve"> Rollup </w:t>
      </w:r>
      <w:r>
        <w:t>系统处理异常的重要机制。典型流程包括提交状态承诺、开启挑战、交互式缩</w:t>
      </w:r>
      <w:r>
        <w:t>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4388D194" w14:textId="4D748D6D" w:rsidR="00580E0B" w:rsidRDefault="00000000" w:rsidP="00242694">
      <w:pPr>
        <w:ind w:firstLine="408"/>
        <w:rPr>
          <w:rFonts w:hint="eastAsia"/>
        </w:rPr>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72DCE9E3"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2005A27A"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336E349"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3BBA2D81" w14:textId="5716D1F1" w:rsidR="00580E0B" w:rsidRDefault="00000000">
      <w:pPr>
        <w:ind w:firstLine="408"/>
      </w:pPr>
      <w:r>
        <w:rPr>
          <w:sz w:val="20"/>
        </w:rPr>
        <w:t>系统包含三个角色</w:t>
      </w:r>
      <w:r w:rsidR="00242694">
        <w:rPr>
          <w:rFonts w:hint="eastAsia"/>
          <w:sz w:val="20"/>
        </w:rPr>
        <w:t>，</w:t>
      </w:r>
      <w:r w:rsidR="00242694">
        <w:rPr>
          <w:rFonts w:hint="eastAsia"/>
          <w:sz w:val="20"/>
        </w:rPr>
        <w:t>即执行层，</w:t>
      </w:r>
      <w:r w:rsidR="00242694">
        <w:rPr>
          <w:rFonts w:hint="eastAsia"/>
          <w:sz w:val="20"/>
        </w:rPr>
        <w:t>DA</w:t>
      </w:r>
      <w:r w:rsidR="00242694">
        <w:rPr>
          <w:rFonts w:hint="eastAsia"/>
          <w:sz w:val="20"/>
        </w:rPr>
        <w:t>层和验证层</w:t>
      </w:r>
      <w:r>
        <w:rPr>
          <w:sz w:val="20"/>
        </w:rPr>
        <w:t>：执行层负责产生正常路径下的响应与远程证明；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70B0BE05" w14:textId="77777777">
        <w:trPr>
          <w:jc w:val="center"/>
        </w:trPr>
        <w:tc>
          <w:tcPr>
            <w:tcW w:w="4464" w:type="dxa"/>
            <w:tcBorders>
              <w:bottom w:val="single" w:sz="6" w:space="0" w:color="000000"/>
            </w:tcBorders>
            <w:vAlign w:val="center"/>
          </w:tcPr>
          <w:p w14:paraId="70707A5D" w14:textId="77777777" w:rsidR="00580E0B" w:rsidRDefault="00257EB1">
            <w:pPr>
              <w:keepNext/>
              <w:spacing w:line="180" w:lineRule="auto"/>
              <w:ind w:firstLine="0"/>
              <w:jc w:val="center"/>
            </w:pPr>
            <w:r>
              <w:rPr>
                <w:noProof/>
                <w:sz w:val="15"/>
                <w:szCs w:val="15"/>
              </w:rPr>
              <w:lastRenderedPageBreak/>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26132D16"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48B55CAA" w14:textId="77777777" w:rsidR="00580E0B" w:rsidRDefault="00000000">
            <w:pPr>
              <w:spacing w:line="180" w:lineRule="auto"/>
              <w:ind w:firstLine="0"/>
              <w:jc w:val="center"/>
            </w:pPr>
            <w:r>
              <w:rPr>
                <w:sz w:val="15"/>
                <w:szCs w:val="15"/>
              </w:rPr>
              <w:t>Fig.1  Prototype architecture of Hybrid TEE-Rollup</w:t>
            </w:r>
          </w:p>
        </w:tc>
      </w:tr>
    </w:tbl>
    <w:p w14:paraId="4776C4F8"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326F4160"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12BCD33"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386C08C0"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239884E5"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2D2F022F"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7F73995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w:t>
      </w:r>
      <w:r>
        <w:rPr>
          <w:sz w:val="20"/>
        </w:rPr>
        <w:t>失，则异常应被归类为数据可用性故障，而不应被误写为已完成重放的执行错误。</w:t>
      </w:r>
    </w:p>
    <w:p w14:paraId="10CF9241"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062A78B2"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2664F72B"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0A6AF06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43969490"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02CE21AC"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38EE704B"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2E56B88E"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4FF2D8C1" w14:textId="77777777" w:rsidR="00580E0B" w:rsidRDefault="00000000">
      <w:pPr>
        <w:ind w:firstLine="0"/>
        <w:jc w:val="left"/>
      </w:pPr>
      <w:r>
        <w:rPr>
          <w:rFonts w:ascii="黑体" w:eastAsia="黑体" w:hAnsi="黑体"/>
          <w:b/>
          <w:sz w:val="20"/>
        </w:rPr>
        <w:t>定义 1（挑战会话）</w:t>
      </w:r>
    </w:p>
    <w:p w14:paraId="327254A8" w14:textId="77777777" w:rsidR="00580E0B" w:rsidRDefault="00000000">
      <w:pPr>
        <w:ind w:firstLine="408"/>
      </w:pPr>
      <w:r>
        <w:rPr>
          <w:sz w:val="20"/>
        </w:rPr>
        <w:t>挑战会话定义为：</w:t>
      </w:r>
      <w:r>
        <w:rPr>
          <w:sz w:val="20"/>
        </w:rPr>
        <w:t>cs = (id, s, F, T)</w:t>
      </w:r>
      <w:r>
        <w:rPr>
          <w:sz w:val="20"/>
        </w:rPr>
        <w:t>。</w:t>
      </w:r>
    </w:p>
    <w:p w14:paraId="67268420"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4BA7AA53" w14:textId="77777777" w:rsidR="00580E0B" w:rsidRDefault="00000000">
      <w:pPr>
        <w:ind w:firstLine="0"/>
        <w:jc w:val="left"/>
      </w:pPr>
      <w:r>
        <w:rPr>
          <w:rFonts w:ascii="黑体" w:eastAsia="黑体" w:hAnsi="黑体"/>
          <w:b/>
          <w:sz w:val="20"/>
        </w:rPr>
        <w:t>定义 2（挑战状态机）</w:t>
      </w:r>
    </w:p>
    <w:p w14:paraId="7A3DFECD" w14:textId="77777777" w:rsidR="00580E0B" w:rsidRDefault="00000000">
      <w:pPr>
        <w:ind w:firstLine="408"/>
      </w:pPr>
      <w:r>
        <w:rPr>
          <w:sz w:val="20"/>
        </w:rPr>
        <w:t>挑战状态机定义为：</w:t>
      </w:r>
      <w:r>
        <w:rPr>
          <w:sz w:val="20"/>
        </w:rPr>
        <w:t>M = (S, E, δ)</w:t>
      </w:r>
      <w:r>
        <w:rPr>
          <w:sz w:val="20"/>
        </w:rPr>
        <w:t>。</w:t>
      </w:r>
    </w:p>
    <w:p w14:paraId="3764F7B5"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377FB0B3" w14:textId="77777777" w:rsidR="00580E0B" w:rsidRDefault="00000000">
      <w:pPr>
        <w:ind w:firstLine="0"/>
        <w:jc w:val="left"/>
      </w:pPr>
      <w:r>
        <w:rPr>
          <w:rFonts w:ascii="黑体" w:eastAsia="黑体" w:hAnsi="黑体"/>
          <w:b/>
          <w:sz w:val="20"/>
        </w:rPr>
        <w:t>定义 3（恢复函数）</w:t>
      </w:r>
    </w:p>
    <w:p w14:paraId="38AA839E" w14:textId="77777777" w:rsidR="00580E0B" w:rsidRDefault="00000000">
      <w:pPr>
        <w:ind w:firstLine="408"/>
      </w:pPr>
      <w:r>
        <w:rPr>
          <w:sz w:val="20"/>
        </w:rPr>
        <w:t>恢复函数定义为：</w:t>
      </w:r>
      <w:r>
        <w:rPr>
          <w:sz w:val="20"/>
        </w:rPr>
        <w:t>Recover(cs) = cs'</w:t>
      </w:r>
      <w:r>
        <w:rPr>
          <w:sz w:val="20"/>
        </w:rPr>
        <w:t>。</w:t>
      </w:r>
    </w:p>
    <w:p w14:paraId="7E8A3806" w14:textId="70622CF5" w:rsidR="00580E0B" w:rsidRDefault="00000000" w:rsidP="00242694">
      <w:pPr>
        <w:ind w:firstLine="408"/>
        <w:rPr>
          <w:rFonts w:hint="eastAsia"/>
        </w:rPr>
      </w:pPr>
      <w:r>
        <w:rPr>
          <w:sz w:val="20"/>
        </w:rPr>
        <w:lastRenderedPageBreak/>
        <w:t>恢复仅改变活性相关状态，不改变挑战事实，即满足：</w:t>
      </w:r>
      <w:r>
        <w:rPr>
          <w:sz w:val="20"/>
        </w:rPr>
        <w:t>F(cs) = F(Recover(cs))</w:t>
      </w:r>
      <w:r>
        <w:rPr>
          <w:sz w:val="20"/>
        </w:rPr>
        <w:t>。</w:t>
      </w:r>
    </w:p>
    <w:p w14:paraId="1794279C"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29C03A34"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E85AF03" w14:textId="77777777"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1A32D31A" w14:textId="77777777">
        <w:trPr>
          <w:jc w:val="center"/>
        </w:trPr>
        <w:tc>
          <w:tcPr>
            <w:tcW w:w="4464" w:type="dxa"/>
            <w:tcBorders>
              <w:bottom w:val="single" w:sz="6" w:space="0" w:color="000000"/>
            </w:tcBorders>
            <w:vAlign w:val="center"/>
          </w:tcPr>
          <w:p w14:paraId="7997E2EC"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52E979F5"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61F8A084" w14:textId="77777777" w:rsidR="00580E0B" w:rsidRDefault="00000000">
            <w:pPr>
              <w:spacing w:line="180" w:lineRule="auto"/>
              <w:ind w:firstLine="0"/>
              <w:jc w:val="center"/>
            </w:pPr>
            <w:r>
              <w:rPr>
                <w:sz w:val="15"/>
                <w:szCs w:val="15"/>
              </w:rPr>
              <w:t>Fig.2  Workflow of the recoverable challenge protocol</w:t>
            </w:r>
          </w:p>
        </w:tc>
      </w:tr>
    </w:tbl>
    <w:p w14:paraId="2AD95C8C"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6FC02100"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38BEFB68"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1BF88BF"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BEDB132"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68B3B2A3"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50D91192"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283FFA2"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0CF2AB6B"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54A6D8E0"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w:t>
      </w:r>
      <w:r>
        <w:rPr>
          <w:sz w:val="20"/>
        </w:rPr>
        <w:lastRenderedPageBreak/>
        <w:t>安全性与活性的分离、仲裁连续性和恢复操作正确性四项性质，并给出协议不变量表格，以明确恢复机制的协议语义边界。</w:t>
      </w:r>
    </w:p>
    <w:p w14:paraId="1FDADB46" w14:textId="5597D93F" w:rsidR="00580E0B" w:rsidRDefault="00000000" w:rsidP="00242694">
      <w:pPr>
        <w:spacing w:before="60" w:after="30" w:line="240" w:lineRule="auto"/>
        <w:ind w:firstLine="408"/>
        <w:jc w:val="left"/>
      </w:pPr>
      <w:r>
        <w:rPr>
          <w:rFonts w:eastAsia="黑体"/>
          <w:b/>
          <w:bCs/>
          <w:sz w:val="21"/>
          <w:szCs w:val="21"/>
        </w:rPr>
        <w:t>挑战事实不变性</w:t>
      </w:r>
    </w:p>
    <w:p w14:paraId="2A1AD45D"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6251B5A5"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3B26E2E"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1F39C27D"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05E6FEEB"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09CE381E" w14:textId="77777777" w:rsidR="00580E0B" w:rsidRDefault="00000000">
      <w:pPr>
        <w:ind w:firstLine="408"/>
      </w:pPr>
      <w:r>
        <w:rPr>
          <w:sz w:val="20"/>
        </w:rPr>
        <w:t xml:space="preserve">• </w:t>
      </w:r>
      <w:r>
        <w:rPr>
          <w:sz w:val="20"/>
        </w:rPr>
        <w:t>重放证据：二分缩小后定位到的目标步骤与对应的预期哈希和声明哈希；</w:t>
      </w:r>
    </w:p>
    <w:p w14:paraId="474B99F6"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3A5E3BA6"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4C231B82"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79E319A6" w14:textId="387ADA1A" w:rsidR="00580E0B" w:rsidRDefault="00000000" w:rsidP="00242694">
      <w:pPr>
        <w:spacing w:before="60" w:after="30" w:line="240" w:lineRule="auto"/>
        <w:ind w:firstLineChars="200" w:firstLine="430"/>
        <w:jc w:val="left"/>
      </w:pPr>
      <w:r>
        <w:rPr>
          <w:rFonts w:eastAsia="黑体"/>
          <w:b/>
          <w:bCs/>
          <w:sz w:val="21"/>
          <w:szCs w:val="21"/>
        </w:rPr>
        <w:t>安全性与活性分离</w:t>
      </w:r>
    </w:p>
    <w:p w14:paraId="185BE3D4"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一个原本错误的执行结果不会因恢复而变为正确。</w:t>
      </w:r>
    </w:p>
    <w:p w14:paraId="183FEC7F"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w:t>
      </w:r>
      <w:r>
        <w:rPr>
          <w:sz w:val="20"/>
        </w:rPr>
        <w:t xml:space="preserve">Merkle </w:t>
      </w:r>
      <w:r>
        <w:rPr>
          <w:sz w:val="20"/>
        </w:rPr>
        <w:t>根和</w:t>
      </w:r>
      <w:r>
        <w:rPr>
          <w:sz w:val="20"/>
        </w:rPr>
        <w:t xml:space="preserve"> DA </w:t>
      </w:r>
      <w:r>
        <w:rPr>
          <w:sz w:val="20"/>
        </w:rPr>
        <w:t>指针在提交时已锁定。</w:t>
      </w:r>
    </w:p>
    <w:p w14:paraId="67608B9E"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DD9112C" w14:textId="13AE2082" w:rsidR="00580E0B" w:rsidRDefault="00000000" w:rsidP="00242694">
      <w:pPr>
        <w:spacing w:before="60" w:after="30" w:line="240" w:lineRule="auto"/>
        <w:ind w:firstLineChars="200" w:firstLine="430"/>
        <w:jc w:val="left"/>
      </w:pPr>
      <w:r>
        <w:rPr>
          <w:rFonts w:eastAsia="黑体"/>
          <w:b/>
          <w:bCs/>
          <w:sz w:val="21"/>
          <w:szCs w:val="21"/>
        </w:rPr>
        <w:t>仲裁连续性</w:t>
      </w:r>
    </w:p>
    <w:p w14:paraId="0B74D0F4" w14:textId="6FDF77F0" w:rsidR="00580E0B" w:rsidRDefault="00000000">
      <w:pPr>
        <w:ind w:firstLine="408"/>
      </w:pPr>
      <w:r>
        <w:rPr>
          <w:sz w:val="20"/>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1B80DFCF"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3A16C065"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5DFC560"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44A3AFD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569CCAC1"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w:t>
      </w:r>
      <w:r>
        <w:rPr>
          <w:sz w:val="20"/>
        </w:rPr>
        <w:lastRenderedPageBreak/>
        <w:t>于链上字节压缩。</w:t>
      </w:r>
    </w:p>
    <w:p w14:paraId="581B222F"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3FB3746"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778435DE"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61383C1"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55B25190"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34EFE1F9"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71BCCD12"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73140D8B"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w:t>
      </w:r>
      <w:r>
        <w:rPr>
          <w:sz w:val="20"/>
        </w:rPr>
        <w:t>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63587DD0"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54DF7931" w14:textId="77777777" w:rsidR="00580E0B" w:rsidRDefault="00000000">
      <w:pPr>
        <w:ind w:firstLine="408"/>
      </w:pPr>
      <w:r>
        <w:rPr>
          <w:sz w:val="20"/>
        </w:rPr>
        <w:t xml:space="preserve">C_amortized = C_total / batch_size </w:t>
      </w:r>
      <w:r>
        <w:rPr>
          <w:sz w:val="20"/>
        </w:rPr>
        <w:t>（</w:t>
      </w:r>
      <w:r>
        <w:rPr>
          <w:sz w:val="20"/>
        </w:rPr>
        <w:t>2</w:t>
      </w:r>
      <w:r>
        <w:rPr>
          <w:sz w:val="20"/>
        </w:rPr>
        <w:t>）</w:t>
      </w:r>
    </w:p>
    <w:p w14:paraId="1C392478"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5738D700" w14:textId="77777777"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A9CF8D0"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330206ED"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2C93DF5" w14:textId="77777777">
        <w:trPr>
          <w:jc w:val="center"/>
        </w:trPr>
        <w:tc>
          <w:tcPr>
            <w:tcW w:w="4464" w:type="dxa"/>
            <w:tcBorders>
              <w:bottom w:val="single" w:sz="6" w:space="0" w:color="000000"/>
            </w:tcBorders>
            <w:vAlign w:val="center"/>
          </w:tcPr>
          <w:p w14:paraId="6FD070E3"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2A87968C"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2EA749DC" w14:textId="77777777" w:rsidR="00580E0B" w:rsidRDefault="00000000">
            <w:pPr>
              <w:spacing w:line="180" w:lineRule="auto"/>
              <w:ind w:firstLine="0"/>
              <w:jc w:val="center"/>
            </w:pPr>
            <w:r>
              <w:rPr>
                <w:sz w:val="15"/>
                <w:szCs w:val="15"/>
              </w:rPr>
              <w:t>Fig.3  Byte-size comparison between full payloads and compact commits</w:t>
            </w:r>
          </w:p>
        </w:tc>
      </w:tr>
    </w:tbl>
    <w:p w14:paraId="5D5AD351" w14:textId="77777777"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0069B92D"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72F1924A"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w:t>
      </w:r>
      <w:r>
        <w:rPr>
          <w:sz w:val="20"/>
        </w:rPr>
        <w:lastRenderedPageBreak/>
        <w:t xml:space="preserve">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A454DDC" w14:textId="77777777">
        <w:trPr>
          <w:jc w:val="center"/>
        </w:trPr>
        <w:tc>
          <w:tcPr>
            <w:tcW w:w="4464" w:type="dxa"/>
            <w:tcBorders>
              <w:bottom w:val="single" w:sz="6" w:space="0" w:color="000000"/>
            </w:tcBorders>
            <w:vAlign w:val="center"/>
          </w:tcPr>
          <w:p w14:paraId="388621C3"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0CCA07E4"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3D9D6555" w14:textId="77777777" w:rsidR="00580E0B" w:rsidRDefault="00000000">
            <w:pPr>
              <w:spacing w:line="180" w:lineRule="auto"/>
              <w:ind w:firstLine="0"/>
              <w:jc w:val="center"/>
            </w:pPr>
            <w:r>
              <w:rPr>
                <w:sz w:val="15"/>
                <w:szCs w:val="15"/>
              </w:rPr>
              <w:t>Fig.4  Amortized gas trends under different DA configurations</w:t>
            </w:r>
          </w:p>
        </w:tc>
      </w:tr>
    </w:tbl>
    <w:p w14:paraId="2FC8E4EA" w14:textId="77777777"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49029F60"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04A912D3"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77FBE8AC"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161A15E2" w14:textId="77777777" w:rsidR="00580E0B" w:rsidRDefault="00000000">
      <w:pPr>
        <w:ind w:firstLine="408"/>
      </w:pPr>
      <w:r>
        <w:rPr>
          <w:sz w:val="20"/>
        </w:rPr>
        <w:t>该比例仅表示本地</w:t>
      </w:r>
      <w:r>
        <w:rPr>
          <w:sz w:val="20"/>
        </w:rPr>
        <w:t xml:space="preserve"> EVM </w:t>
      </w:r>
      <w:r>
        <w:rPr>
          <w:sz w:val="20"/>
        </w:rPr>
        <w:t>中两条合约路径的相对开销。</w:t>
      </w:r>
    </w:p>
    <w:p w14:paraId="01C63B46" w14:textId="77777777"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2CDC9A70"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261D8266"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w:t>
      </w:r>
      <w:r>
        <w:rPr>
          <w:sz w:val="20"/>
        </w:rPr>
        <w:t>远程证明无效、数据不可用和数据可用性证明无效在当前原型中体现为检测和拒绝能力，尚未形成完整的挑战到罚没路径。超时不可恢复场景体现为检测但无法完成仲裁；超时可恢复场景则形成完整闭环。</w:t>
      </w:r>
    </w:p>
    <w:p w14:paraId="5520470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25134A0"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22C3FD82" w14:textId="77777777">
        <w:trPr>
          <w:tblHeader/>
          <w:jc w:val="center"/>
        </w:trPr>
        <w:tc>
          <w:tcPr>
            <w:tcW w:w="892" w:type="dxa"/>
            <w:tcBorders>
              <w:bottom w:val="single" w:sz="6" w:space="0" w:color="000000"/>
            </w:tcBorders>
            <w:vAlign w:val="center"/>
          </w:tcPr>
          <w:p w14:paraId="105CC59B"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521578DD"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1CCAA0E9"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248BD054" w14:textId="77777777" w:rsidR="00580E0B" w:rsidRDefault="00000000">
            <w:pPr>
              <w:spacing w:line="180" w:lineRule="auto"/>
              <w:ind w:firstLine="0"/>
              <w:jc w:val="center"/>
            </w:pPr>
            <w:r>
              <w:rPr>
                <w:b/>
                <w:sz w:val="15"/>
                <w:szCs w:val="15"/>
              </w:rPr>
              <w:t>证据边界</w:t>
            </w:r>
          </w:p>
        </w:tc>
      </w:tr>
      <w:tr w:rsidR="00580E0B" w14:paraId="16BF45D0" w14:textId="77777777">
        <w:trPr>
          <w:jc w:val="center"/>
        </w:trPr>
        <w:tc>
          <w:tcPr>
            <w:tcW w:w="892" w:type="dxa"/>
            <w:vAlign w:val="center"/>
          </w:tcPr>
          <w:p w14:paraId="53E139A5" w14:textId="77777777" w:rsidR="00580E0B" w:rsidRDefault="00000000">
            <w:pPr>
              <w:spacing w:line="180" w:lineRule="auto"/>
              <w:ind w:firstLine="0"/>
              <w:jc w:val="center"/>
            </w:pPr>
            <w:r>
              <w:rPr>
                <w:sz w:val="15"/>
                <w:szCs w:val="15"/>
              </w:rPr>
              <w:t>正常路径</w:t>
            </w:r>
          </w:p>
        </w:tc>
        <w:tc>
          <w:tcPr>
            <w:tcW w:w="1116" w:type="dxa"/>
            <w:vAlign w:val="center"/>
          </w:tcPr>
          <w:p w14:paraId="026D4B7B" w14:textId="77777777" w:rsidR="00580E0B" w:rsidRDefault="00000000">
            <w:pPr>
              <w:spacing w:line="180" w:lineRule="auto"/>
              <w:ind w:firstLine="0"/>
              <w:jc w:val="center"/>
            </w:pPr>
            <w:r>
              <w:rPr>
                <w:sz w:val="15"/>
                <w:szCs w:val="15"/>
              </w:rPr>
              <w:t>正常路径</w:t>
            </w:r>
          </w:p>
        </w:tc>
        <w:tc>
          <w:tcPr>
            <w:tcW w:w="1116" w:type="dxa"/>
            <w:vAlign w:val="center"/>
          </w:tcPr>
          <w:p w14:paraId="35F56DAC" w14:textId="77777777" w:rsidR="00580E0B" w:rsidRDefault="00000000">
            <w:pPr>
              <w:spacing w:line="180" w:lineRule="auto"/>
              <w:ind w:firstLine="0"/>
              <w:jc w:val="center"/>
            </w:pPr>
            <w:r>
              <w:rPr>
                <w:sz w:val="15"/>
                <w:szCs w:val="15"/>
              </w:rPr>
              <w:t>不触发检测或罚没</w:t>
            </w:r>
          </w:p>
        </w:tc>
        <w:tc>
          <w:tcPr>
            <w:tcW w:w="1340" w:type="dxa"/>
            <w:vAlign w:val="center"/>
          </w:tcPr>
          <w:p w14:paraId="237D3DF9" w14:textId="77777777" w:rsidR="00580E0B" w:rsidRDefault="00000000">
            <w:pPr>
              <w:spacing w:line="180" w:lineRule="auto"/>
              <w:ind w:firstLine="0"/>
              <w:jc w:val="center"/>
            </w:pPr>
            <w:r>
              <w:rPr>
                <w:sz w:val="15"/>
                <w:szCs w:val="15"/>
              </w:rPr>
              <w:t>说明正常路径不误报</w:t>
            </w:r>
          </w:p>
        </w:tc>
      </w:tr>
      <w:tr w:rsidR="00580E0B" w14:paraId="6F68D734" w14:textId="77777777">
        <w:trPr>
          <w:jc w:val="center"/>
        </w:trPr>
        <w:tc>
          <w:tcPr>
            <w:tcW w:w="892" w:type="dxa"/>
            <w:vAlign w:val="center"/>
          </w:tcPr>
          <w:p w14:paraId="42E5F38F" w14:textId="77777777" w:rsidR="00580E0B" w:rsidRDefault="00000000">
            <w:pPr>
              <w:spacing w:line="180" w:lineRule="auto"/>
              <w:ind w:firstLine="0"/>
              <w:jc w:val="center"/>
            </w:pPr>
            <w:r>
              <w:rPr>
                <w:sz w:val="15"/>
                <w:szCs w:val="15"/>
              </w:rPr>
              <w:t>可检测但未统一惩罚</w:t>
            </w:r>
          </w:p>
        </w:tc>
        <w:tc>
          <w:tcPr>
            <w:tcW w:w="1116" w:type="dxa"/>
            <w:vAlign w:val="center"/>
          </w:tcPr>
          <w:p w14:paraId="0ABD9B3B"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26F8D797"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3737554" w14:textId="77777777" w:rsidR="00580E0B" w:rsidRDefault="00000000">
            <w:pPr>
              <w:spacing w:line="180" w:lineRule="auto"/>
              <w:ind w:firstLine="0"/>
              <w:jc w:val="center"/>
            </w:pPr>
            <w:r>
              <w:rPr>
                <w:sz w:val="15"/>
                <w:szCs w:val="15"/>
              </w:rPr>
              <w:t>说明可检测或拒绝，不说明已统一惩罚</w:t>
            </w:r>
          </w:p>
        </w:tc>
      </w:tr>
      <w:tr w:rsidR="00580E0B" w14:paraId="097F541C" w14:textId="77777777">
        <w:trPr>
          <w:jc w:val="center"/>
        </w:trPr>
        <w:tc>
          <w:tcPr>
            <w:tcW w:w="892" w:type="dxa"/>
            <w:vAlign w:val="center"/>
          </w:tcPr>
          <w:p w14:paraId="2414CEDE"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4D50E08E"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2C3937C"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3FDC51B" w14:textId="77777777" w:rsidR="00580E0B" w:rsidRDefault="00000000">
            <w:pPr>
              <w:spacing w:line="180" w:lineRule="auto"/>
              <w:ind w:firstLine="0"/>
              <w:jc w:val="center"/>
            </w:pPr>
            <w:r>
              <w:rPr>
                <w:sz w:val="15"/>
                <w:szCs w:val="15"/>
              </w:rPr>
              <w:t>说明典型执行异常可进入闭环</w:t>
            </w:r>
          </w:p>
        </w:tc>
      </w:tr>
      <w:tr w:rsidR="00580E0B" w14:paraId="2E2C38D1" w14:textId="77777777">
        <w:trPr>
          <w:jc w:val="center"/>
        </w:trPr>
        <w:tc>
          <w:tcPr>
            <w:tcW w:w="892" w:type="dxa"/>
            <w:vAlign w:val="center"/>
          </w:tcPr>
          <w:p w14:paraId="74CA6B98" w14:textId="77777777" w:rsidR="00580E0B" w:rsidRDefault="00000000">
            <w:pPr>
              <w:spacing w:line="180" w:lineRule="auto"/>
              <w:ind w:firstLine="0"/>
              <w:jc w:val="center"/>
            </w:pPr>
            <w:r>
              <w:rPr>
                <w:sz w:val="15"/>
                <w:szCs w:val="15"/>
              </w:rPr>
              <w:t>超时活性对比</w:t>
            </w:r>
          </w:p>
        </w:tc>
        <w:tc>
          <w:tcPr>
            <w:tcW w:w="1116" w:type="dxa"/>
            <w:vAlign w:val="center"/>
          </w:tcPr>
          <w:p w14:paraId="148E939E"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3CC1CF5E"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723D211D" w14:textId="77777777" w:rsidR="00580E0B" w:rsidRDefault="00000000">
            <w:pPr>
              <w:spacing w:line="180" w:lineRule="auto"/>
              <w:ind w:firstLine="0"/>
              <w:jc w:val="center"/>
            </w:pPr>
            <w:r>
              <w:rPr>
                <w:sz w:val="15"/>
                <w:szCs w:val="15"/>
              </w:rPr>
              <w:t>说明恢复改善仲裁活性</w:t>
            </w:r>
          </w:p>
        </w:tc>
      </w:tr>
    </w:tbl>
    <w:p w14:paraId="718C7753" w14:textId="77777777" w:rsidR="00580E0B" w:rsidRDefault="00580E0B">
      <w:pPr>
        <w:spacing w:after="60" w:line="250" w:lineRule="exact"/>
      </w:pPr>
    </w:p>
    <w:p w14:paraId="34CA9D58" w14:textId="77777777"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5C030BEA"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7BECECC4"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4B441676"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28CA5074" w14:textId="77777777">
        <w:trPr>
          <w:tblHeader/>
          <w:jc w:val="center"/>
        </w:trPr>
        <w:tc>
          <w:tcPr>
            <w:tcW w:w="1116" w:type="dxa"/>
            <w:tcBorders>
              <w:bottom w:val="single" w:sz="6" w:space="0" w:color="000000"/>
            </w:tcBorders>
            <w:vAlign w:val="center"/>
          </w:tcPr>
          <w:p w14:paraId="0E1E7F11"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42FD6C9E"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0F3CC125" w14:textId="77777777" w:rsidR="0091511F" w:rsidRDefault="00000000">
            <w:pPr>
              <w:spacing w:line="180" w:lineRule="auto"/>
            </w:pPr>
            <w:r>
              <w:rPr>
                <w:sz w:val="15"/>
                <w:szCs w:val="15"/>
              </w:rPr>
              <w:t>含义</w:t>
            </w:r>
          </w:p>
        </w:tc>
      </w:tr>
      <w:tr w:rsidR="00580E0B" w14:paraId="5D442F18" w14:textId="77777777">
        <w:trPr>
          <w:jc w:val="center"/>
        </w:trPr>
        <w:tc>
          <w:tcPr>
            <w:tcW w:w="1116" w:type="dxa"/>
            <w:vAlign w:val="center"/>
          </w:tcPr>
          <w:p w14:paraId="747D4BD4" w14:textId="77777777" w:rsidR="00580E0B" w:rsidRDefault="00000000">
            <w:pPr>
              <w:spacing w:line="180" w:lineRule="auto"/>
              <w:ind w:firstLine="0"/>
              <w:jc w:val="center"/>
            </w:pPr>
            <w:r>
              <w:rPr>
                <w:sz w:val="15"/>
                <w:szCs w:val="15"/>
              </w:rPr>
              <w:t>registerDA</w:t>
            </w:r>
          </w:p>
        </w:tc>
        <w:tc>
          <w:tcPr>
            <w:tcW w:w="1116" w:type="dxa"/>
            <w:vAlign w:val="center"/>
          </w:tcPr>
          <w:p w14:paraId="05D2EE1E" w14:textId="77777777" w:rsidR="0091511F" w:rsidRDefault="00000000">
            <w:pPr>
              <w:spacing w:line="180" w:lineRule="auto"/>
            </w:pPr>
            <w:r>
              <w:rPr>
                <w:sz w:val="15"/>
                <w:szCs w:val="15"/>
              </w:rPr>
              <w:t>113526</w:t>
            </w:r>
          </w:p>
        </w:tc>
        <w:tc>
          <w:tcPr>
            <w:tcW w:w="2232" w:type="dxa"/>
            <w:vAlign w:val="center"/>
          </w:tcPr>
          <w:p w14:paraId="0805B02C"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D0A8427" w14:textId="77777777">
        <w:trPr>
          <w:jc w:val="center"/>
        </w:trPr>
        <w:tc>
          <w:tcPr>
            <w:tcW w:w="1116" w:type="dxa"/>
            <w:vAlign w:val="center"/>
          </w:tcPr>
          <w:p w14:paraId="1BCFA4E1" w14:textId="77777777" w:rsidR="00580E0B" w:rsidRDefault="00000000">
            <w:pPr>
              <w:spacing w:line="180" w:lineRule="auto"/>
              <w:ind w:firstLine="0"/>
              <w:jc w:val="center"/>
            </w:pPr>
            <w:r>
              <w:rPr>
                <w:sz w:val="15"/>
                <w:szCs w:val="15"/>
              </w:rPr>
              <w:t>submitRollup</w:t>
            </w:r>
          </w:p>
        </w:tc>
        <w:tc>
          <w:tcPr>
            <w:tcW w:w="1116" w:type="dxa"/>
            <w:vAlign w:val="center"/>
          </w:tcPr>
          <w:p w14:paraId="07F51A91" w14:textId="77777777" w:rsidR="0091511F" w:rsidRDefault="00000000">
            <w:pPr>
              <w:spacing w:line="180" w:lineRule="auto"/>
            </w:pPr>
            <w:r>
              <w:rPr>
                <w:sz w:val="15"/>
                <w:szCs w:val="15"/>
              </w:rPr>
              <w:t>299033.67</w:t>
            </w:r>
          </w:p>
        </w:tc>
        <w:tc>
          <w:tcPr>
            <w:tcW w:w="2232" w:type="dxa"/>
            <w:vAlign w:val="center"/>
          </w:tcPr>
          <w:p w14:paraId="6108E372" w14:textId="77777777" w:rsidR="00580E0B" w:rsidRDefault="00000000">
            <w:pPr>
              <w:spacing w:line="180" w:lineRule="auto"/>
              <w:ind w:firstLine="0"/>
              <w:jc w:val="center"/>
            </w:pPr>
            <w:r>
              <w:rPr>
                <w:sz w:val="15"/>
                <w:szCs w:val="15"/>
              </w:rPr>
              <w:t>紧凑提交提交路径</w:t>
            </w:r>
          </w:p>
        </w:tc>
      </w:tr>
      <w:tr w:rsidR="00580E0B" w14:paraId="6A459CFE" w14:textId="77777777">
        <w:trPr>
          <w:jc w:val="center"/>
        </w:trPr>
        <w:tc>
          <w:tcPr>
            <w:tcW w:w="1116" w:type="dxa"/>
            <w:vAlign w:val="center"/>
          </w:tcPr>
          <w:p w14:paraId="077C89B0" w14:textId="77777777" w:rsidR="00580E0B" w:rsidRDefault="00000000">
            <w:pPr>
              <w:spacing w:line="180" w:lineRule="auto"/>
              <w:ind w:firstLine="0"/>
              <w:jc w:val="center"/>
            </w:pPr>
            <w:r>
              <w:rPr>
                <w:sz w:val="15"/>
                <w:szCs w:val="15"/>
              </w:rPr>
              <w:t>challengeOpen</w:t>
            </w:r>
          </w:p>
        </w:tc>
        <w:tc>
          <w:tcPr>
            <w:tcW w:w="1116" w:type="dxa"/>
            <w:vAlign w:val="center"/>
          </w:tcPr>
          <w:p w14:paraId="4FBADD48" w14:textId="77777777" w:rsidR="0091511F" w:rsidRDefault="00000000">
            <w:pPr>
              <w:spacing w:line="180" w:lineRule="auto"/>
            </w:pPr>
            <w:r>
              <w:rPr>
                <w:sz w:val="15"/>
                <w:szCs w:val="15"/>
              </w:rPr>
              <w:t>283769</w:t>
            </w:r>
          </w:p>
        </w:tc>
        <w:tc>
          <w:tcPr>
            <w:tcW w:w="2232" w:type="dxa"/>
            <w:vAlign w:val="center"/>
          </w:tcPr>
          <w:p w14:paraId="4EC803C6" w14:textId="77777777" w:rsidR="00580E0B" w:rsidRDefault="00000000">
            <w:pPr>
              <w:spacing w:line="180" w:lineRule="auto"/>
              <w:ind w:firstLine="0"/>
              <w:jc w:val="center"/>
            </w:pPr>
            <w:r>
              <w:rPr>
                <w:sz w:val="15"/>
                <w:szCs w:val="15"/>
              </w:rPr>
              <w:t>打开争议并加载证据</w:t>
            </w:r>
          </w:p>
        </w:tc>
      </w:tr>
      <w:tr w:rsidR="00580E0B" w14:paraId="6C3F14A2" w14:textId="77777777">
        <w:trPr>
          <w:jc w:val="center"/>
        </w:trPr>
        <w:tc>
          <w:tcPr>
            <w:tcW w:w="1116" w:type="dxa"/>
            <w:vAlign w:val="center"/>
          </w:tcPr>
          <w:p w14:paraId="0BA4A2DB" w14:textId="77777777" w:rsidR="00580E0B" w:rsidRDefault="00000000">
            <w:pPr>
              <w:spacing w:line="180" w:lineRule="auto"/>
              <w:ind w:firstLine="0"/>
              <w:jc w:val="center"/>
            </w:pPr>
            <w:r>
              <w:rPr>
                <w:sz w:val="15"/>
                <w:szCs w:val="15"/>
              </w:rPr>
              <w:t>challengeRespond</w:t>
            </w:r>
          </w:p>
        </w:tc>
        <w:tc>
          <w:tcPr>
            <w:tcW w:w="1116" w:type="dxa"/>
            <w:vAlign w:val="center"/>
          </w:tcPr>
          <w:p w14:paraId="46085239" w14:textId="77777777" w:rsidR="0091511F" w:rsidRDefault="00000000">
            <w:pPr>
              <w:spacing w:line="180" w:lineRule="auto"/>
            </w:pPr>
            <w:r>
              <w:rPr>
                <w:sz w:val="15"/>
                <w:szCs w:val="15"/>
              </w:rPr>
              <w:t>65886</w:t>
            </w:r>
          </w:p>
        </w:tc>
        <w:tc>
          <w:tcPr>
            <w:tcW w:w="2232" w:type="dxa"/>
            <w:vAlign w:val="center"/>
          </w:tcPr>
          <w:p w14:paraId="4847240E" w14:textId="77777777" w:rsidR="00580E0B" w:rsidRDefault="00000000">
            <w:pPr>
              <w:spacing w:line="180" w:lineRule="auto"/>
              <w:ind w:firstLine="0"/>
              <w:jc w:val="center"/>
            </w:pPr>
            <w:r>
              <w:rPr>
                <w:sz w:val="15"/>
                <w:szCs w:val="15"/>
              </w:rPr>
              <w:t>被挑战方响应</w:t>
            </w:r>
          </w:p>
        </w:tc>
      </w:tr>
      <w:tr w:rsidR="00580E0B" w14:paraId="12F2AF9B" w14:textId="77777777">
        <w:trPr>
          <w:jc w:val="center"/>
        </w:trPr>
        <w:tc>
          <w:tcPr>
            <w:tcW w:w="1116" w:type="dxa"/>
            <w:vAlign w:val="center"/>
          </w:tcPr>
          <w:p w14:paraId="4B078C1A" w14:textId="77777777" w:rsidR="00580E0B" w:rsidRDefault="00000000">
            <w:pPr>
              <w:spacing w:line="180" w:lineRule="auto"/>
              <w:ind w:firstLine="0"/>
              <w:jc w:val="center"/>
            </w:pPr>
            <w:r>
              <w:rPr>
                <w:sz w:val="15"/>
                <w:szCs w:val="15"/>
              </w:rPr>
              <w:t>challengeStep</w:t>
            </w:r>
          </w:p>
        </w:tc>
        <w:tc>
          <w:tcPr>
            <w:tcW w:w="1116" w:type="dxa"/>
            <w:vAlign w:val="center"/>
          </w:tcPr>
          <w:p w14:paraId="7B96A805" w14:textId="77777777" w:rsidR="0091511F" w:rsidRDefault="00000000">
            <w:pPr>
              <w:spacing w:line="180" w:lineRule="auto"/>
            </w:pPr>
            <w:r>
              <w:rPr>
                <w:sz w:val="15"/>
                <w:szCs w:val="15"/>
              </w:rPr>
              <w:t>93807</w:t>
            </w:r>
          </w:p>
        </w:tc>
        <w:tc>
          <w:tcPr>
            <w:tcW w:w="2232" w:type="dxa"/>
            <w:vAlign w:val="center"/>
          </w:tcPr>
          <w:p w14:paraId="5DB8BB34" w14:textId="77777777" w:rsidR="00580E0B" w:rsidRDefault="00000000">
            <w:pPr>
              <w:spacing w:line="180" w:lineRule="auto"/>
              <w:ind w:firstLine="0"/>
              <w:jc w:val="center"/>
            </w:pPr>
            <w:r>
              <w:rPr>
                <w:sz w:val="15"/>
                <w:szCs w:val="15"/>
              </w:rPr>
              <w:t>二分定位的单轮推进</w:t>
            </w:r>
          </w:p>
        </w:tc>
      </w:tr>
      <w:tr w:rsidR="00580E0B" w14:paraId="306833B6" w14:textId="77777777">
        <w:trPr>
          <w:jc w:val="center"/>
        </w:trPr>
        <w:tc>
          <w:tcPr>
            <w:tcW w:w="1116" w:type="dxa"/>
            <w:vAlign w:val="center"/>
          </w:tcPr>
          <w:p w14:paraId="03478E80" w14:textId="77777777" w:rsidR="00580E0B" w:rsidRDefault="00000000">
            <w:pPr>
              <w:spacing w:line="180" w:lineRule="auto"/>
              <w:ind w:firstLine="0"/>
              <w:jc w:val="center"/>
            </w:pPr>
            <w:r>
              <w:rPr>
                <w:sz w:val="15"/>
                <w:szCs w:val="15"/>
              </w:rPr>
              <w:t>challengeRecover</w:t>
            </w:r>
          </w:p>
        </w:tc>
        <w:tc>
          <w:tcPr>
            <w:tcW w:w="1116" w:type="dxa"/>
            <w:vAlign w:val="center"/>
          </w:tcPr>
          <w:p w14:paraId="6B327906" w14:textId="77777777" w:rsidR="0091511F" w:rsidRDefault="00000000">
            <w:pPr>
              <w:spacing w:line="180" w:lineRule="auto"/>
            </w:pPr>
            <w:r>
              <w:rPr>
                <w:sz w:val="15"/>
                <w:szCs w:val="15"/>
              </w:rPr>
              <w:t>156891</w:t>
            </w:r>
          </w:p>
        </w:tc>
        <w:tc>
          <w:tcPr>
            <w:tcW w:w="2232" w:type="dxa"/>
            <w:vAlign w:val="center"/>
          </w:tcPr>
          <w:p w14:paraId="0A59C1B0" w14:textId="77777777" w:rsidR="00580E0B" w:rsidRDefault="00000000">
            <w:pPr>
              <w:spacing w:line="180" w:lineRule="auto"/>
              <w:ind w:firstLine="0"/>
              <w:jc w:val="center"/>
            </w:pPr>
            <w:r>
              <w:rPr>
                <w:sz w:val="15"/>
                <w:szCs w:val="15"/>
              </w:rPr>
              <w:t>恢复超时会话</w:t>
            </w:r>
          </w:p>
        </w:tc>
      </w:tr>
      <w:tr w:rsidR="00580E0B" w14:paraId="66C37F78" w14:textId="77777777">
        <w:trPr>
          <w:jc w:val="center"/>
        </w:trPr>
        <w:tc>
          <w:tcPr>
            <w:tcW w:w="1116" w:type="dxa"/>
            <w:vAlign w:val="center"/>
          </w:tcPr>
          <w:p w14:paraId="28949E7E" w14:textId="77777777" w:rsidR="00580E0B" w:rsidRDefault="00000000">
            <w:pPr>
              <w:spacing w:line="180" w:lineRule="auto"/>
              <w:ind w:firstLine="0"/>
              <w:jc w:val="center"/>
            </w:pPr>
            <w:r>
              <w:rPr>
                <w:sz w:val="15"/>
                <w:szCs w:val="15"/>
              </w:rPr>
              <w:t>challengeReplay</w:t>
            </w:r>
          </w:p>
        </w:tc>
        <w:tc>
          <w:tcPr>
            <w:tcW w:w="1116" w:type="dxa"/>
            <w:vAlign w:val="center"/>
          </w:tcPr>
          <w:p w14:paraId="6891054A" w14:textId="77777777" w:rsidR="0091511F" w:rsidRDefault="00000000">
            <w:pPr>
              <w:spacing w:line="180" w:lineRule="auto"/>
            </w:pPr>
            <w:r>
              <w:rPr>
                <w:sz w:val="15"/>
                <w:szCs w:val="15"/>
              </w:rPr>
              <w:t>135632</w:t>
            </w:r>
          </w:p>
        </w:tc>
        <w:tc>
          <w:tcPr>
            <w:tcW w:w="2232" w:type="dxa"/>
            <w:vAlign w:val="center"/>
          </w:tcPr>
          <w:p w14:paraId="1E84C698" w14:textId="77777777" w:rsidR="00580E0B" w:rsidRDefault="00000000">
            <w:pPr>
              <w:spacing w:line="180" w:lineRule="auto"/>
              <w:ind w:firstLine="0"/>
              <w:jc w:val="center"/>
            </w:pPr>
            <w:r>
              <w:rPr>
                <w:sz w:val="15"/>
                <w:szCs w:val="15"/>
              </w:rPr>
              <w:t>单步重放仲裁</w:t>
            </w:r>
          </w:p>
        </w:tc>
      </w:tr>
      <w:tr w:rsidR="00580E0B" w14:paraId="233F0611" w14:textId="77777777">
        <w:trPr>
          <w:jc w:val="center"/>
        </w:trPr>
        <w:tc>
          <w:tcPr>
            <w:tcW w:w="1116" w:type="dxa"/>
            <w:vAlign w:val="center"/>
          </w:tcPr>
          <w:p w14:paraId="74FE1F05" w14:textId="77777777" w:rsidR="00580E0B" w:rsidRDefault="00000000">
            <w:pPr>
              <w:spacing w:line="180" w:lineRule="auto"/>
              <w:ind w:firstLine="0"/>
              <w:jc w:val="center"/>
            </w:pPr>
            <w:r>
              <w:rPr>
                <w:sz w:val="15"/>
                <w:szCs w:val="15"/>
              </w:rPr>
              <w:t>challengeResolve</w:t>
            </w:r>
          </w:p>
        </w:tc>
        <w:tc>
          <w:tcPr>
            <w:tcW w:w="1116" w:type="dxa"/>
            <w:vAlign w:val="center"/>
          </w:tcPr>
          <w:p w14:paraId="53F8E964" w14:textId="77777777" w:rsidR="0091511F" w:rsidRDefault="00000000">
            <w:pPr>
              <w:spacing w:line="180" w:lineRule="auto"/>
            </w:pPr>
            <w:r>
              <w:rPr>
                <w:sz w:val="15"/>
                <w:szCs w:val="15"/>
              </w:rPr>
              <w:t>113402</w:t>
            </w:r>
          </w:p>
        </w:tc>
        <w:tc>
          <w:tcPr>
            <w:tcW w:w="2232" w:type="dxa"/>
            <w:vAlign w:val="center"/>
          </w:tcPr>
          <w:p w14:paraId="0F1E94CC" w14:textId="77777777" w:rsidR="00580E0B" w:rsidRDefault="00000000">
            <w:pPr>
              <w:spacing w:line="180" w:lineRule="auto"/>
              <w:ind w:firstLine="0"/>
              <w:jc w:val="center"/>
            </w:pPr>
            <w:r>
              <w:rPr>
                <w:sz w:val="15"/>
                <w:szCs w:val="15"/>
              </w:rPr>
              <w:t>结算争议结果</w:t>
            </w:r>
          </w:p>
        </w:tc>
      </w:tr>
      <w:tr w:rsidR="00580E0B" w14:paraId="19DEF1D2" w14:textId="77777777">
        <w:trPr>
          <w:jc w:val="center"/>
        </w:trPr>
        <w:tc>
          <w:tcPr>
            <w:tcW w:w="1116" w:type="dxa"/>
            <w:vAlign w:val="center"/>
          </w:tcPr>
          <w:p w14:paraId="43D8773E" w14:textId="77777777" w:rsidR="00580E0B" w:rsidRDefault="00000000">
            <w:pPr>
              <w:spacing w:line="180" w:lineRule="auto"/>
              <w:ind w:firstLine="0"/>
              <w:jc w:val="center"/>
            </w:pPr>
            <w:r>
              <w:rPr>
                <w:sz w:val="15"/>
                <w:szCs w:val="15"/>
              </w:rPr>
              <w:t>challengeFinalize</w:t>
            </w:r>
          </w:p>
        </w:tc>
        <w:tc>
          <w:tcPr>
            <w:tcW w:w="1116" w:type="dxa"/>
            <w:vAlign w:val="center"/>
          </w:tcPr>
          <w:p w14:paraId="626360C9" w14:textId="77777777" w:rsidR="0091511F" w:rsidRDefault="00000000">
            <w:pPr>
              <w:spacing w:line="180" w:lineRule="auto"/>
            </w:pPr>
            <w:r>
              <w:rPr>
                <w:sz w:val="15"/>
                <w:szCs w:val="15"/>
              </w:rPr>
              <w:t>33477</w:t>
            </w:r>
          </w:p>
        </w:tc>
        <w:tc>
          <w:tcPr>
            <w:tcW w:w="2232" w:type="dxa"/>
            <w:vAlign w:val="center"/>
          </w:tcPr>
          <w:p w14:paraId="1984E201" w14:textId="77777777" w:rsidR="00580E0B" w:rsidRDefault="00000000">
            <w:pPr>
              <w:spacing w:line="180" w:lineRule="auto"/>
              <w:ind w:firstLine="0"/>
              <w:jc w:val="center"/>
            </w:pPr>
            <w:r>
              <w:rPr>
                <w:sz w:val="15"/>
                <w:szCs w:val="15"/>
              </w:rPr>
              <w:t>挑战期后最终确认</w:t>
            </w:r>
          </w:p>
        </w:tc>
      </w:tr>
    </w:tbl>
    <w:p w14:paraId="18EFB446" w14:textId="77777777" w:rsidR="00580E0B" w:rsidRDefault="00580E0B" w:rsidP="002527EC">
      <w:pPr>
        <w:spacing w:after="60" w:line="250" w:lineRule="exact"/>
        <w:ind w:firstLine="0"/>
      </w:pPr>
    </w:p>
    <w:p w14:paraId="3EE390A3"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w:t>
      </w:r>
      <w:r>
        <w:rPr>
          <w:sz w:val="20"/>
        </w:rPr>
        <w:lastRenderedPageBreak/>
        <w:t>网格、挑战网格、故障场景、汇总文件）由同一实验脚本生成。</w:t>
      </w:r>
    </w:p>
    <w:p w14:paraId="3B308153" w14:textId="77777777"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EDE2B43" w14:textId="77777777"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3C2E8893" w14:textId="77777777"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603A4412"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36524A1F"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0DF24A1A"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23117BD3" w14:textId="77777777" w:rsidR="00580E0B" w:rsidRDefault="00000000">
      <w:pPr>
        <w:ind w:firstLine="0"/>
        <w:jc w:val="left"/>
      </w:pPr>
      <w:r>
        <w:rPr>
          <w:rFonts w:eastAsia="黑体"/>
          <w:b/>
          <w:sz w:val="23"/>
        </w:rPr>
        <w:t>参考文献：</w:t>
      </w:r>
    </w:p>
    <w:p w14:paraId="70C7FFDA" w14:textId="77777777" w:rsidR="00580E0B" w:rsidRDefault="00000000">
      <w:pPr>
        <w:spacing w:line="288" w:lineRule="auto"/>
        <w:ind w:left="368" w:hanging="368"/>
        <w:jc w:val="left"/>
      </w:pPr>
      <w:r>
        <w:rPr>
          <w:rFonts w:eastAsia="宋体"/>
          <w:sz w:val="18"/>
        </w:rPr>
        <w:t>[1] WEN X, FENG Q, LYU H, et al. TEEROLLUP: efficient Rollup design using heterogeneous TEE[EB/OL]. arXiv:2409.14647, 2024 [2026-06-15].</w:t>
      </w:r>
    </w:p>
    <w:p w14:paraId="43AF42DC" w14:textId="77777777" w:rsidR="00580E0B" w:rsidRDefault="00000000">
      <w:pPr>
        <w:spacing w:line="288" w:lineRule="auto"/>
        <w:ind w:left="368" w:hanging="368"/>
        <w:jc w:val="left"/>
      </w:pPr>
      <w:r>
        <w:rPr>
          <w:rFonts w:eastAsia="宋体"/>
          <w:sz w:val="18"/>
        </w:rPr>
        <w:t>[2] BUTERIN V. An incomplete guide to Rollups[EB/OL]. 2021 [2026-06-15].</w:t>
      </w:r>
    </w:p>
    <w:p w14:paraId="35A4C4B8" w14:textId="77777777" w:rsidR="00580E0B" w:rsidRDefault="00000000">
      <w:pPr>
        <w:spacing w:line="288" w:lineRule="auto"/>
        <w:ind w:left="368" w:hanging="368"/>
        <w:jc w:val="left"/>
      </w:pPr>
      <w:r>
        <w:rPr>
          <w:rFonts w:eastAsia="宋体"/>
          <w:sz w:val="18"/>
        </w:rPr>
        <w:t>[3] ETHEREUM FOUNDATION. Optimistic Rollups[EB/OL]. 2024 [2026-06-15].</w:t>
      </w:r>
    </w:p>
    <w:p w14:paraId="0D1B95AC" w14:textId="77777777" w:rsidR="00580E0B" w:rsidRDefault="00000000">
      <w:pPr>
        <w:spacing w:line="288" w:lineRule="auto"/>
        <w:ind w:left="368" w:hanging="368"/>
        <w:jc w:val="left"/>
      </w:pPr>
      <w:r>
        <w:rPr>
          <w:rFonts w:eastAsia="宋体"/>
          <w:sz w:val="18"/>
        </w:rPr>
        <w:t xml:space="preserve">[4] ARBITRUM FOUNDATION. Arbitrum Nitro technical </w:t>
      </w:r>
      <w:r>
        <w:rPr>
          <w:rFonts w:eastAsia="宋体"/>
          <w:sz w:val="18"/>
        </w:rPr>
        <w:t>documentation[EB/OL]. 2024 [2026-06-15].</w:t>
      </w:r>
    </w:p>
    <w:p w14:paraId="76499E41" w14:textId="77777777" w:rsidR="00580E0B" w:rsidRDefault="00000000">
      <w:pPr>
        <w:spacing w:line="288" w:lineRule="auto"/>
        <w:ind w:left="368" w:hanging="368"/>
        <w:jc w:val="left"/>
      </w:pPr>
      <w:r>
        <w:rPr>
          <w:rFonts w:eastAsia="宋体"/>
          <w:sz w:val="18"/>
        </w:rPr>
        <w:t>[5] OP LABS. Optimism documentation: fault proofs and dispute games[EB/OL]. 2024 [2026-06-15].</w:t>
      </w:r>
    </w:p>
    <w:p w14:paraId="01491B5A" w14:textId="77777777" w:rsidR="00580E0B" w:rsidRDefault="00000000">
      <w:pPr>
        <w:spacing w:line="288" w:lineRule="auto"/>
        <w:ind w:left="368" w:hanging="368"/>
        <w:jc w:val="left"/>
      </w:pPr>
      <w:r>
        <w:rPr>
          <w:rFonts w:eastAsia="宋体"/>
          <w:sz w:val="18"/>
        </w:rPr>
        <w:t>[6] PICCO G, FORTUGNO A. Dynamic fraud proof[EB/OL]. arXiv:2502.10321, 2025 [2026-06-15].</w:t>
      </w:r>
    </w:p>
    <w:p w14:paraId="6CAB095C" w14:textId="77777777" w:rsidR="00580E0B" w:rsidRDefault="00000000">
      <w:pPr>
        <w:spacing w:line="288" w:lineRule="auto"/>
        <w:ind w:left="368" w:hanging="368"/>
        <w:jc w:val="left"/>
      </w:pPr>
      <w:r>
        <w:rPr>
          <w:rFonts w:eastAsia="宋体"/>
          <w:sz w:val="18"/>
        </w:rPr>
        <w:t>[7] AL-BASSAM M. LazyLedger: a distributed data availability ledger with client-side smart contracts[EB/OL]. arXiv:1905.09274, 2019 [2026-06-15].</w:t>
      </w:r>
    </w:p>
    <w:p w14:paraId="7892FB11" w14:textId="77777777" w:rsidR="00580E0B" w:rsidRDefault="00000000">
      <w:pPr>
        <w:spacing w:line="288" w:lineRule="auto"/>
        <w:ind w:left="368" w:hanging="368"/>
        <w:jc w:val="left"/>
      </w:pPr>
      <w:r>
        <w:rPr>
          <w:rFonts w:eastAsia="宋体"/>
          <w:sz w:val="18"/>
        </w:rPr>
        <w:t>[8] TAS E N, TSE D, YANG L, et al. Light clients for lazy blockchains[EB/OL]. arXiv:2203.15968, 2022 [2026-06-15].</w:t>
      </w:r>
    </w:p>
    <w:p w14:paraId="39B6AF17" w14:textId="77777777" w:rsidR="00580E0B" w:rsidRDefault="00000000">
      <w:pPr>
        <w:spacing w:line="288" w:lineRule="auto"/>
        <w:ind w:left="368" w:hanging="368"/>
        <w:jc w:val="left"/>
      </w:pPr>
      <w:r>
        <w:rPr>
          <w:rFonts w:eastAsia="宋体"/>
          <w:sz w:val="18"/>
        </w:rPr>
        <w:t>[9] EIGENLABS. EigenDA documentation[EB/OL]. 2024 [2026-06-15].</w:t>
      </w:r>
    </w:p>
    <w:p w14:paraId="3067DF32" w14:textId="77777777" w:rsidR="00580E0B" w:rsidRDefault="00000000">
      <w:pPr>
        <w:spacing w:line="288" w:lineRule="auto"/>
        <w:ind w:left="368" w:hanging="368"/>
        <w:jc w:val="left"/>
      </w:pPr>
      <w:r>
        <w:rPr>
          <w:rFonts w:eastAsia="宋体"/>
          <w:sz w:val="18"/>
        </w:rPr>
        <w:t>[10] CELESTIA. Celestia: modular blockchain network[EB/OL]. 2024 [2026-06-15].</w:t>
      </w:r>
    </w:p>
    <w:p w14:paraId="1BEA52D7" w14:textId="77777777" w:rsidR="00580E0B" w:rsidRDefault="00000000">
      <w:pPr>
        <w:spacing w:line="288" w:lineRule="auto"/>
        <w:ind w:left="368" w:hanging="368"/>
        <w:jc w:val="left"/>
      </w:pPr>
      <w:r>
        <w:rPr>
          <w:rFonts w:eastAsia="宋体"/>
          <w:sz w:val="18"/>
        </w:rPr>
        <w:t>[11] INTEL CORPORATION. Intel Software Guard Extensions developer guide[EB/OL]. 2024 [2026-06-15].</w:t>
      </w:r>
    </w:p>
    <w:p w14:paraId="0778B523" w14:textId="77777777" w:rsidR="00580E0B" w:rsidRDefault="00000000">
      <w:pPr>
        <w:spacing w:line="288" w:lineRule="auto"/>
        <w:ind w:left="368" w:hanging="368"/>
        <w:jc w:val="left"/>
      </w:pPr>
      <w:r>
        <w:rPr>
          <w:rFonts w:eastAsia="宋体"/>
          <w:sz w:val="18"/>
        </w:rPr>
        <w:t>[12] ETHEREUM FOUNDATION. EIP-4844: shard blob transactions[EB/OL]. 2024 [2026-06-15].</w:t>
      </w:r>
    </w:p>
    <w:p w14:paraId="3CC9A794" w14:textId="77777777" w:rsidR="00692B03" w:rsidRDefault="00000000">
      <w:pPr>
        <w:spacing w:line="240" w:lineRule="auto"/>
        <w:ind w:firstLine="0"/>
        <w:jc w:val="left"/>
      </w:pPr>
      <w:r>
        <w:rPr>
          <w:rFonts w:eastAsia="宋体"/>
          <w:sz w:val="18"/>
        </w:rPr>
        <w:t>联系人：杨帆</w:t>
      </w:r>
    </w:p>
    <w:p w14:paraId="1F2EA485" w14:textId="77777777" w:rsidR="00692B03" w:rsidRDefault="00000000">
      <w:pPr>
        <w:spacing w:line="240" w:lineRule="auto"/>
        <w:ind w:firstLine="0"/>
        <w:jc w:val="left"/>
      </w:pPr>
      <w:r>
        <w:rPr>
          <w:rFonts w:eastAsia="宋体"/>
          <w:sz w:val="18"/>
        </w:rPr>
        <w:t>通信地址：上海市普陀区中山北路</w:t>
      </w:r>
      <w:r>
        <w:rPr>
          <w:rFonts w:eastAsia="宋体"/>
          <w:sz w:val="18"/>
        </w:rPr>
        <w:t>3663</w:t>
      </w:r>
      <w:r>
        <w:rPr>
          <w:rFonts w:eastAsia="宋体"/>
          <w:sz w:val="18"/>
        </w:rPr>
        <w:t>号华东师范大学数据科学与工程学院，</w:t>
      </w:r>
      <w:r>
        <w:rPr>
          <w:rFonts w:eastAsia="宋体"/>
          <w:sz w:val="18"/>
        </w:rPr>
        <w:t>200062</w:t>
      </w:r>
    </w:p>
    <w:p w14:paraId="5B6A4E4B" w14:textId="77777777" w:rsidR="00692B03" w:rsidRDefault="00000000">
      <w:pPr>
        <w:spacing w:line="240" w:lineRule="auto"/>
        <w:ind w:firstLine="0"/>
        <w:jc w:val="left"/>
      </w:pPr>
      <w:r>
        <w:rPr>
          <w:rFonts w:eastAsia="宋体"/>
          <w:sz w:val="18"/>
        </w:rPr>
        <w:t>电子信箱：</w:t>
      </w:r>
      <w:r>
        <w:rPr>
          <w:rFonts w:eastAsia="宋体"/>
          <w:sz w:val="18"/>
        </w:rPr>
        <w:t>2991777340@qq.com</w:t>
      </w:r>
    </w:p>
    <w:p w14:paraId="184A7422" w14:textId="77777777" w:rsidR="00692B03" w:rsidRDefault="00000000">
      <w:pPr>
        <w:spacing w:line="240" w:lineRule="auto"/>
        <w:ind w:firstLine="0"/>
        <w:jc w:val="left"/>
      </w:pPr>
      <w:r>
        <w:rPr>
          <w:rFonts w:eastAsia="宋体"/>
          <w:sz w:val="18"/>
        </w:rPr>
        <w:t>电话：</w:t>
      </w:r>
      <w:r>
        <w:rPr>
          <w:rFonts w:eastAsia="宋体"/>
          <w:sz w:val="18"/>
        </w:rPr>
        <w:t>13319693336</w:t>
      </w:r>
    </w:p>
    <w:sectPr w:rsidR="00692B03">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6524" w14:textId="77777777" w:rsidR="000E5B2F" w:rsidRDefault="000E5B2F">
      <w:pPr>
        <w:spacing w:line="240" w:lineRule="auto"/>
      </w:pPr>
      <w:r>
        <w:separator/>
      </w:r>
    </w:p>
  </w:endnote>
  <w:endnote w:type="continuationSeparator" w:id="0">
    <w:p w14:paraId="77F4C633" w14:textId="77777777" w:rsidR="000E5B2F" w:rsidRDefault="000E5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华文宋体"/>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9F82"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A072"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154E" w14:textId="77777777" w:rsidR="000E5B2F" w:rsidRDefault="000E5B2F">
      <w:r>
        <w:separator/>
      </w:r>
    </w:p>
  </w:footnote>
  <w:footnote w:type="continuationSeparator" w:id="0">
    <w:p w14:paraId="0DE96A2A" w14:textId="77777777" w:rsidR="000E5B2F" w:rsidRDefault="000E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9020"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47CF"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E5B2F"/>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42694"/>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03"/>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E4651"/>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88D23F"/>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0</TotalTime>
  <Pages>8</Pages>
  <Words>2183</Words>
  <Characters>12446</Characters>
  <Application>Microsoft Office Word</Application>
  <DocSecurity>0</DocSecurity>
  <Lines>103</Lines>
  <Paragraphs>29</Paragraphs>
  <ScaleCrop>false</ScaleCrop>
  <Company>scp</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2</cp:revision>
  <cp:lastPrinted>2024-12-03T06:07:00Z</cp:lastPrinted>
  <dcterms:created xsi:type="dcterms:W3CDTF">2026-06-15T12:38:00Z</dcterms:created>
  <dcterms:modified xsi:type="dcterms:W3CDTF">2026-06-15T12:38:00Z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