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pStyle w:val="89"/>
      </w:pPr>
      <m:oMath>
        <m:r>
          <m:t>C</m:t>
        </m:r>
        <m:r>
          <m:t> = </m:t>
        </m:r>
        <m:r>
          <m:t>C</m:t>
        </m:r>
        <m:r>
          <m:t> + </m:t>
        </m:r>
        <m:r>
          <m:t>C</m:t>
        </m:r>
      </m:oMath>
    </w:p>
    <w:p>
      <w:pPr>
        <w:jc w:val="center"/>
      </w:pPr>
      <w:r>
        <w:drawing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nline distT="0" distB="0" distL="0" distR="0" wp14:anchorId="6AA83E90" wp14:editId="64F1A348">
            <wp:extent cx="5400000" cy="2340809"/>
            <wp:effectExtent l="0" t="0" r="635" b="6985"/>
            <wp:docPr id="1030" name="smoke_fig3_svg"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extLst>
                        <a:ext uri="{96DAC541-7B7A-43D3-8B79-37D633B846F1}">
                          <ns0:svgBlip xmlns:ns0="http://schemas.microsoft.com/office/drawing/2016/SVG/main" r:embed="rId29"/>
                        </a:ext>
                      </a:extLst>
                    </a:blip>
                    <a:stretch>
                      <a:fillRect/>
                    </a:stretch>
                  </pic:blipFill>
                  <pic:spPr>
                    <a:xfrm>
                      <a:off x="0" y="0"/>
                      <a:ext cx="5400000" cy="2340809"/>
                    </a:xfrm>
                    <a:prstGeom prst="rect">
                      <a:avLst/>
                    </a:prstGeom>
                  </pic:spPr>
                </pic:pic>
              </a:graphicData>
            </a:graphic>
          </wp:inline>
        </w:drawing>
      </w:r>
    </w:p>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4" w:num="2"/>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07EC387C">
    <w:pPr>
      <w:pStyle w:val="66"/>
      <w:tabs>
        <w:tab w:val="left" w:pos="0"/>
      </w:tabs>
      <w:spacing w:line="276" w:lineRule="auto"/>
      <w:rPr>
        <w:rFonts w:hint="eastAsia"/>
        <w:sz w:val="18"/>
        <w:szCs w:val="18"/>
      </w:rPr>
    </w:pPr>
    <w:r>
      <w:rPr>
        <w:rFonts w:hint="eastAsia" w:ascii="黑体" w:eastAsia="黑体"/>
        <w:sz w:val="18"/>
        <w:szCs w:val="18"/>
      </w:rPr>
      <w:t>收稿日期</w:t>
    </w:r>
    <w:r>
      <w:rPr>
        <w:rFonts w:hint="eastAsia" w:eastAsia="黑体"/>
        <w:sz w:val="18"/>
        <w:szCs w:val="18"/>
      </w:rPr>
      <w:t xml:space="preserve">: </w:t>
    </w:r>
    <w:r>
      <w:rPr>
        <w:rFonts w:hint="eastAsia"/>
        <w:sz w:val="18"/>
        <w:szCs w:val="18"/>
      </w:rPr>
      <w:t>20yy-mm-dd;</w:t>
    </w:r>
    <w:r>
      <w:rPr>
        <w:rFonts w:hint="eastAsia"/>
        <w:sz w:val="18"/>
        <w:szCs w:val="18"/>
      </w:rPr>
      <w:tab/>
    </w:r>
    <w:r>
      <w:rPr>
        <w:rFonts w:hint="eastAsia" w:ascii="黑体" w:eastAsia="黑体"/>
        <w:sz w:val="18"/>
        <w:szCs w:val="18"/>
      </w:rPr>
      <w:t>修回日期:</w:t>
    </w:r>
    <w:r>
      <w:rPr>
        <w:rFonts w:hint="eastAsia"/>
        <w:sz w:val="18"/>
        <w:szCs w:val="18"/>
      </w:rPr>
      <w:t>20yy-mm-dd;</w:t>
    </w:r>
    <w:r>
      <w:rPr>
        <w:rFonts w:hint="eastAsia"/>
        <w:sz w:val="18"/>
        <w:szCs w:val="18"/>
      </w:rPr>
      <w:tab/>
    </w:r>
    <w:r>
      <w:rPr>
        <w:rFonts w:hint="eastAsia" w:ascii="黑体" w:eastAsia="黑体"/>
        <w:sz w:val="18"/>
        <w:szCs w:val="18"/>
      </w:rPr>
      <w:t>录用日期</w:t>
    </w:r>
    <w:r>
      <w:rPr>
        <w:sz w:val="18"/>
        <w:szCs w:val="18"/>
      </w:rPr>
      <w:t>:</w:t>
    </w:r>
    <w:r>
      <w:rPr>
        <w:rFonts w:hint="eastAsia"/>
        <w:sz w:val="18"/>
        <w:szCs w:val="18"/>
      </w:rPr>
      <w:t xml:space="preserve"> yyyy-mm-dd。</w:t>
    </w:r>
  </w:p>
  <w:p w14:paraId="596EB40E">
    <w:pPr>
      <w:pStyle w:val="66"/>
      <w:tabs>
        <w:tab w:val="left" w:pos="0"/>
      </w:tabs>
      <w:spacing w:line="276" w:lineRule="auto"/>
      <w:rPr>
        <w:rFonts w:hint="eastAsia" w:ascii="黑体" w:eastAsia="黑体"/>
        <w:b/>
        <w:sz w:val="18"/>
        <w:szCs w:val="18"/>
      </w:rPr>
    </w:pPr>
    <w:r>
      <w:rPr>
        <w:rFonts w:hint="eastAsia" w:ascii="黑体" w:eastAsia="黑体"/>
        <w:sz w:val="18"/>
        <w:szCs w:val="18"/>
      </w:rPr>
      <w:t>基金项目:</w:t>
    </w:r>
  </w:p>
  <w:p w14:paraId="50F43962">
    <w:pPr>
      <w:pStyle w:val="68"/>
      <w:rPr>
        <w:rFonts w:hint="eastAsia"/>
      </w:rPr>
    </w:pPr>
    <w:r>
      <w:rPr>
        <w:rFonts w:ascii="黑体" w:eastAsia="黑体"/>
        <w:szCs w:val="18"/>
      </w:rPr>
      <w:fldChar w:fldCharType="begin"/>
    </w:r>
    <w:r>
      <w:rPr>
        <w:rFonts w:ascii="黑体" w:eastAsia="黑体"/>
        <w:szCs w:val="18"/>
      </w:rPr>
      <w:instrText xml:space="preserve"> HYPERLINK  \l "</w:instrText>
    </w:r>
    <w:r>
      <w:rPr>
        <w:rFonts w:hint="eastAsia" w:ascii="黑体" w:eastAsia="黑体"/>
        <w:szCs w:val="18"/>
      </w:rPr>
      <w:instrText xml:space="preserve">作者简介要素说明：</w:instrText>
    </w:r>
    <w:r>
      <w:rPr>
        <w:rFonts w:ascii="黑体" w:eastAsia="黑体"/>
        <w:szCs w:val="18"/>
      </w:rPr>
      <w:instrText xml:space="preserve">" </w:instrText>
    </w:r>
    <w:r>
      <w:rPr>
        <w:rFonts w:ascii="黑体" w:eastAsia="黑体"/>
        <w:szCs w:val="18"/>
      </w:rPr>
      <w:fldChar w:fldCharType="separate"/>
    </w:r>
    <w:r>
      <w:rPr>
        <w:rStyle w:val="26"/>
        <w:rFonts w:hint="eastAsia" w:ascii="黑体" w:eastAsia="黑体"/>
        <w:color w:val="auto"/>
        <w:szCs w:val="18"/>
      </w:rPr>
      <w:t>作者简介</w:t>
    </w:r>
    <w:r>
      <w:rPr>
        <w:rStyle w:val="26"/>
        <w:rFonts w:hint="eastAsia"/>
        <w:color w:val="auto"/>
        <w:szCs w:val="18"/>
      </w:rPr>
      <w:t>:</w:t>
    </w:r>
    <w:r>
      <w:rPr>
        <w:rFonts w:ascii="黑体" w:eastAsia="黑体"/>
        <w:szCs w:val="18"/>
      </w:rPr>
      <w:fldChar w:fldCharType="end"/>
    </w:r>
    <w:r>
      <w:rPr>
        <w:rFonts w:hint="eastAsia"/>
      </w:rPr>
      <w:t xml:space="preserve"> 第1作者(出生年—)，性别，籍贯，职称，学历，是否CCF会员，主要研究方向：*****、*****；第2作者(出生年—)，性别，籍贯，职称，学历，是否CCF会员，主要研究方向：******、******；……。所有作者按署名顺序依次列出。</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brkBin m:val="before"/>
    <m:brkBinSub m:val="--"/>
    <m:smallFrac m:val="0"/>
    <m:dispDef/>
    <m:lMargin m:val="0"/>
    <m:rMargin m:val="0"/>
    <m:defJc m:val="centerGroup"/>
    <m:wrapIndent m:val="1440"/>
    <m:intLim m:val="subSup"/>
    <m:naryLim m:val="undOvr"/>
    <m:mathFont m:val="Times New Roman"/>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ongti SC"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Songti SC"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Songti SC"/>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Songti SC"/>
      <w:kern w:val="2"/>
      <w:sz w:val="18"/>
      <w:szCs w:val="18"/>
      <w:lang w:val="en-US" w:eastAsia="Songti SC"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Songti SC"/>
      <w:kern w:val="2"/>
      <w:sz w:val="18"/>
      <w:szCs w:val="18"/>
      <w:lang w:val="en-US" w:eastAsia="Songti SC"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STHeiti"/>
      <w:b/>
      <w:bCs/>
      <w:kern w:val="28"/>
      <w:sz w:val="36"/>
      <w:szCs w:val="32"/>
      <w:lang w:val="en-US" w:eastAsia="Songti SC"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Songti SC"/>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Songti SC"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Songti SC"/>
      <w:kern w:val="2"/>
      <w:sz w:val="18"/>
      <w:szCs w:val="18"/>
      <w:lang w:val="en-US" w:eastAsia="Songti SC" w:bidi="ar-SA"/>
    </w:rPr>
  </w:style>
  <w:style w:type="character" w:customStyle="1" w:styleId="40">
    <w:name w:val="页脚 Char"/>
    <w:link w:val="14"/>
    <w:uiPriority w:val="0"/>
    <w:rPr>
      <w:rFonts w:ascii="Calibri" w:hAnsi="Calibri" w:eastAsia="Songti SC"/>
      <w:kern w:val="2"/>
      <w:sz w:val="18"/>
      <w:szCs w:val="18"/>
      <w:lang w:val="en-US" w:eastAsia="Songti SC"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Songti SC"/>
      <w:kern w:val="2"/>
      <w:sz w:val="15"/>
      <w:szCs w:val="15"/>
      <w:lang w:val="en-US" w:eastAsia="Songti SC"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Songti SC"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Songti SC"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Songti SC"/>
      <w:bCs/>
      <w:sz w:val="18"/>
      <w:szCs w:val="28"/>
      <w:lang w:val="en-US" w:eastAsia="Songti SC"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STHeiti"/>
      <w:bCs/>
      <w:sz w:val="18"/>
      <w:szCs w:val="18"/>
      <w:lang w:val="en-US" w:eastAsia="Songti SC" w:bidi="ar-SA"/>
    </w:rPr>
  </w:style>
  <w:style w:type="character" w:customStyle="1" w:styleId="51">
    <w:name w:val="二级标题 Char"/>
    <w:link w:val="50"/>
    <w:uiPriority w:val="0"/>
    <w:rPr>
      <w:rFonts w:ascii="Times New Roman" w:hAnsi="Times New Roman" w:eastAsia="STHeiti"/>
      <w:bCs/>
      <w:sz w:val="18"/>
      <w:szCs w:val="18"/>
    </w:rPr>
  </w:style>
  <w:style w:type="character" w:customStyle="1" w:styleId="52">
    <w:name w:val="三级标题 Char"/>
    <w:link w:val="49"/>
    <w:uiPriority w:val="0"/>
    <w:rPr>
      <w:rFonts w:eastAsia="Songti SC"/>
      <w:bCs/>
      <w:sz w:val="18"/>
      <w:szCs w:val="28"/>
    </w:rPr>
  </w:style>
  <w:style w:type="character" w:customStyle="1" w:styleId="53">
    <w:name w:val="标题 Char"/>
    <w:aliases w:val="文题 Char"/>
    <w:uiPriority w:val="10"/>
    <w:rPr>
      <w:rFonts w:ascii="Times New Roman" w:hAnsi="Times New Roman" w:eastAsia="STHeiti"/>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Songti SC"/>
      <w:sz w:val="24"/>
      <w:szCs w:val="24"/>
      <w:lang w:val="en-US" w:eastAsia="Songti SC" w:bidi="ar-SA"/>
    </w:rPr>
  </w:style>
  <w:style w:type="character" w:customStyle="1" w:styleId="57">
    <w:name w:val="作者名 Char"/>
    <w:link w:val="56"/>
    <w:uiPriority w:val="0"/>
    <w:rPr>
      <w:rFonts w:ascii="Times New Roman" w:hAnsi="Times New Roman" w:eastAsia="Songti SC"/>
      <w:sz w:val="24"/>
      <w:szCs w:val="24"/>
    </w:rPr>
  </w:style>
  <w:style w:type="paragraph" w:customStyle="1" w:styleId="58">
    <w:name w:val="摘要关键词"/>
    <w:next w:val="37"/>
    <w:link w:val="59"/>
    <w:qFormat/>
    <w:locked/>
    <w:uiPriority w:val="0"/>
    <w:pPr>
      <w:spacing w:line="312" w:lineRule="auto"/>
    </w:pPr>
    <w:rPr>
      <w:rFonts w:ascii="Times New Roman" w:hAnsi="Times New Roman" w:eastAsia="Songti SC" w:cs="华文仿宋"/>
      <w:bCs/>
      <w:sz w:val="18"/>
      <w:szCs w:val="21"/>
      <w:lang w:val="en-US" w:eastAsia="Songti SC" w:bidi="ar-SA"/>
    </w:rPr>
  </w:style>
  <w:style w:type="character" w:customStyle="1" w:styleId="59">
    <w:name w:val="摘要关键词 Char"/>
    <w:link w:val="58"/>
    <w:uiPriority w:val="0"/>
    <w:rPr>
      <w:rFonts w:ascii="Times New Roman" w:hAnsi="Times New Roman" w:eastAsia="Songti SC"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Songti SC" w:cs="华文仿宋"/>
      <w:bCs/>
      <w:sz w:val="18"/>
      <w:szCs w:val="21"/>
      <w:lang w:val="en-US" w:eastAsia="Songti SC" w:bidi="ar-SA"/>
    </w:rPr>
  </w:style>
  <w:style w:type="character" w:customStyle="1" w:styleId="61">
    <w:name w:val="固定 Char"/>
    <w:link w:val="60"/>
    <w:uiPriority w:val="0"/>
    <w:rPr>
      <w:rFonts w:ascii="Times New Roman" w:hAnsi="Times New Roman" w:eastAsia="Songti SC"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Songti SC"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Songti SC"/>
      <w:sz w:val="18"/>
      <w:szCs w:val="15"/>
      <w:lang w:val="en-US" w:eastAsia="Songti SC" w:bidi="ar-SA"/>
    </w:rPr>
  </w:style>
  <w:style w:type="character" w:customStyle="1" w:styleId="69">
    <w:name w:val="作者简介 Char"/>
    <w:link w:val="68"/>
    <w:uiPriority w:val="0"/>
    <w:rPr>
      <w:rFonts w:ascii="Times New Roman" w:hAnsi="Times New Roman" w:eastAsia="Songti SC"/>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Songti SC" w:cs="华文仿宋"/>
      <w:bCs/>
      <w:sz w:val="18"/>
      <w:szCs w:val="21"/>
      <w:lang w:val="en-US" w:eastAsia="Songti SC" w:bidi="ar-SA"/>
    </w:rPr>
  </w:style>
  <w:style w:type="character" w:customStyle="1" w:styleId="73">
    <w:name w:val="固定1 Char"/>
    <w:link w:val="71"/>
    <w:uiPriority w:val="0"/>
    <w:rPr>
      <w:rFonts w:ascii="Times New Roman" w:hAnsi="Times New Roman" w:eastAsia="Songti SC"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STHeiti"/>
      <w:b/>
      <w:sz w:val="18"/>
      <w:szCs w:val="24"/>
      <w:lang w:val="en-US" w:eastAsia="Songti SC" w:bidi="ar-SA"/>
    </w:rPr>
  </w:style>
  <w:style w:type="character" w:customStyle="1" w:styleId="75">
    <w:name w:val="固定2 Char"/>
    <w:link w:val="72"/>
    <w:uiPriority w:val="0"/>
    <w:rPr>
      <w:rFonts w:ascii="Times New Roman" w:hAnsi="Times New Roman" w:eastAsia="Songti SC"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77">
    <w:name w:val="固定3 Char"/>
    <w:link w:val="74"/>
    <w:uiPriority w:val="0"/>
    <w:rPr>
      <w:rFonts w:ascii="Times New Roman" w:hAnsi="Times New Roman" w:eastAsia="STHeiti"/>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79">
    <w:name w:val="固定4 Char"/>
    <w:link w:val="76"/>
    <w:uiPriority w:val="0"/>
    <w:rPr>
      <w:rFonts w:ascii="Times New Roman" w:hAnsi="Times New Roman" w:eastAsia="STHeiti"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STHeiti" w:cs="华文仿宋"/>
      <w:b/>
      <w:bCs/>
      <w:sz w:val="18"/>
      <w:szCs w:val="21"/>
      <w:lang w:val="en-US" w:eastAsia="Songti SC" w:bidi="ar-SA"/>
    </w:rPr>
  </w:style>
  <w:style w:type="character" w:customStyle="1" w:styleId="81">
    <w:name w:val="固定5 Char"/>
    <w:link w:val="78"/>
    <w:uiPriority w:val="0"/>
    <w:rPr>
      <w:rFonts w:ascii="Times New Roman" w:hAnsi="Times New Roman" w:eastAsia="STHeiti" w:cs="华文仿宋"/>
      <w:b/>
      <w:bCs/>
      <w:sz w:val="18"/>
      <w:szCs w:val="21"/>
    </w:rPr>
  </w:style>
  <w:style w:type="character" w:customStyle="1" w:styleId="82">
    <w:name w:val="固定6 Char"/>
    <w:link w:val="80"/>
    <w:uiPriority w:val="0"/>
    <w:rPr>
      <w:rFonts w:ascii="Times New Roman" w:hAnsi="Times New Roman" w:eastAsia="STHeiti"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Songti SC" w:bidi="ar-SA"/>
    </w:rPr>
  </w:style>
  <w:style w:type="paragraph" w:customStyle="1" w:styleId="84">
    <w:name w:val="图表名称"/>
    <w:basedOn w:val="1"/>
    <w:link w:val="86"/>
    <w:qFormat/>
    <w:uiPriority w:val="0"/>
    <w:pPr>
      <w:jc w:val="center"/>
    </w:pPr>
    <w:rPr>
      <w:rFonts w:ascii="Times New Roman" w:eastAsia="STHeiti"/>
      <w:color w:val="0000FF"/>
    </w:rPr>
  </w:style>
  <w:style w:type="paragraph" w:customStyle="1" w:styleId="85">
    <w:name w:val="定义定理"/>
    <w:qFormat/>
    <w:uiPriority w:val="0"/>
    <w:pPr>
      <w:spacing w:line="312" w:lineRule="auto"/>
      <w:ind w:firstLine="200" w:firstLineChars="200"/>
    </w:pPr>
    <w:rPr>
      <w:rFonts w:ascii="Times New Roman" w:hAnsi="Times New Roman" w:eastAsia="STHeiti"/>
      <w:bCs/>
      <w:sz w:val="18"/>
      <w:szCs w:val="24"/>
      <w:lang w:val="en-US" w:eastAsia="Songti SC" w:bidi="ar-SA"/>
    </w:rPr>
  </w:style>
  <w:style w:type="character" w:customStyle="1" w:styleId="86">
    <w:name w:val="图表名称 Char"/>
    <w:link w:val="84"/>
    <w:uiPriority w:val="0"/>
    <w:rPr>
      <w:rFonts w:ascii="Times New Roman" w:hAnsi="Times New Roman" w:eastAsia="STHeiti"/>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Songti SC"/>
      <w:sz w:val="18"/>
      <w:szCs w:val="24"/>
      <w:lang w:val="en-US" w:eastAsia="Songti SC"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Songti SC" w:bidi="ar-SA"/>
    </w:rPr>
  </w:style>
  <w:style w:type="paragraph" w:customStyle="1" w:styleId="89">
    <w:name w:val="MTDisplayEquation"/>
    <w:basedOn w:val="1"/>
    <w:link w:val="91"/>
    <w:uiPriority w:val="0"/>
    <w:pPr>
      <w:numPr>
        <w:ilvl w:val="0"/>
        <w:numId w:val="4"/>
      </w:numPr>
      <w:tabs>
        <w:tab w:val="clear" w:pos="420"/>
      </w:tabs>
      <w:ind w:firstLine="360"/>
    </w:pPr>
    <w:rPr>
      <w:rFonts w:ascii="Times New Roman" w:hAnsi="Times New Roman"/>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Times New Roman" w:hAnsi="Times New Roman"/>
      <w:sz w:val="18"/>
      <w:szCs w:val="24"/>
    </w:rPr>
  </w:style>
  <w:style w:type="paragraph" w:customStyle="1" w:styleId="92">
    <w:name w:val=" Char Char Char Char"/>
    <w:basedOn w:val="1"/>
    <w:uiPriority w:val="0"/>
    <w:pPr>
      <w:widowControl w:val="0"/>
      <w:spacing w:line="300" w:lineRule="auto"/>
      <w:ind w:firstLine="0" w:firstLineChars="0"/>
    </w:pPr>
    <w:rPr>
      <w:rFonts w:ascii="Times New Roman" w:eastAsia="Songti SC" w:cs="Times New Roman"/>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Songti SC"/>
        <w:sz w:val="18"/>
      </w:rPr>
      <w:tblPr>
        <w:tblStyle w:val="18"/>
      </w:tblPr>
      <w:tcPr>
        <w:shd w:val="clear" w:color="auto" w:fill="FFFFFF"/>
      </w:tcPr>
    </w:tblStylePr>
    <w:tblStylePr w:type="band2Horz">
      <w:rPr>
        <w:rFonts w:ascii="Times New Roman" w:hAnsi="Times New Roman" w:eastAsia="Songti SC"/>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STHeiti"/>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9" Type="http://schemas.openxmlformats.org/officeDocument/2006/relationships/image" Target="media/image1.svg"/><Relationship Id="rId30"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杨帆</dc:creator>
  <cp:lastModifiedBy>杨帆</cp:lastModifiedBy>
  <cp:lastPrinted>2026-04-21T13:08:00Z</cp:lastPrinted>
  <dcterms:modified xsi:type="dcterms:W3CDTF">2026-09-15T16:16:53Z</dcterms:modified>
  <dc:title>面向高频 DApp 的 Hybrid TEE-Rollup 可恢复挑战协议与轻量 DA 成本评估</dc:title>
  <cp:revision>848</cp:revision>
</cp:coreProperties>
</file>