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i w:val="0"/>
        </w:rPr>
        <w:t>doi:10.11772/j.issn.1001-9081.yyyymmnnnn</w:t>
      </w:r>
    </w:p>
    <w:p>
      <w:pPr>
        <w:pStyle w:val="文题"/>
      </w:pPr>
      <w:r>
        <w:rPr>
          <w:i w:val="0"/>
        </w:rPr>
        <w:t>面向高频 DApp 的 Hybrid TEE-Rollup 可恢复挑战协议与轻量 DA 成本评估</w:t>
      </w:r>
    </w:p>
    <w:p>
      <w:pPr>
        <w:pStyle w:val="作者名"/>
      </w:pPr>
      <w:r>
        <w:rPr>
          <w:i w:val="0"/>
        </w:rPr>
        <w:t>杨帆*</w:t>
      </w:r>
    </w:p>
    <w:p>
      <w:pPr>
        <w:pStyle w:val="单位"/>
      </w:pPr>
      <w:r>
        <w:rPr>
          <w:i w:val="0"/>
        </w:rPr>
        <w:t>（华东师范大学 数据科学与工程学院，上海 200062）</w:t>
      </w:r>
    </w:p>
    <w:p>
      <w:pPr>
        <w:pStyle w:val="单位"/>
        <w:spacing w:after="120"/>
      </w:pPr>
      <w:r>
        <w:rPr>
          <w:i w:val="0"/>
        </w:rPr>
        <w:t>(*通信作者电子邮箱 2991777340@qq.com)</w:t>
      </w:r>
    </w:p>
    <w:p>
      <w:pPr>
        <w:pStyle w:val="摘要关键词"/>
      </w:pPr>
      <w:r>
        <w:rPr>
          <w:i w:val="0"/>
        </w:rP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pPr>
        <w:pStyle w:val="摘要关键词"/>
      </w:pPr>
      <w:r>
        <w:rPr>
          <w:i w:val="0"/>
        </w:rPr>
        <w:t>关键词：交互式挑战；数据可用性；高频 DApp；成本摊销；故障恢复</w:t>
      </w:r>
    </w:p>
    <w:p>
      <w:pPr>
        <w:pStyle w:val="摘要关键词"/>
        <w:spacing w:after="160"/>
      </w:pPr>
      <w:r>
        <w:rPr>
          <w:i w:val="0"/>
        </w:rPr>
        <w:t>中图分类号 TP311　　文献标志码: A</w:t>
      </w:r>
    </w:p>
    <w:p>
      <w:pPr>
        <w:pStyle w:val="文题"/>
      </w:pPr>
      <w:r>
        <w:rPr>
          <w:i w:val="0"/>
        </w:rPr>
        <w:t>Recoverable Challenge Protocol and Lightweight DA Cost Evaluation for Hybrid TEE-Rollup in High-Frequency DApps</w:t>
      </w:r>
    </w:p>
    <w:p>
      <w:pPr>
        <w:pStyle w:val="作者名"/>
      </w:pPr>
      <w:r>
        <w:rPr>
          <w:i w:val="0"/>
        </w:rPr>
        <w:t>YANG Fan</w:t>
      </w:r>
    </w:p>
    <w:p>
      <w:pPr>
        <w:pStyle w:val="单位"/>
      </w:pPr>
      <w:r>
        <w:rPr>
          <w:i w:val="0"/>
        </w:rPr>
        <w:t>(School of Data Science and Engineering, East China Normal University, Shanghai 200062, China)</w:t>
      </w:r>
    </w:p>
    <w:p>
      <w:pPr>
        <w:pStyle w:val="摘要关键词"/>
      </w:pPr>
      <w:r>
        <w:rPr>
          <w:i w:val="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pPr>
        <w:pStyle w:val="摘要关键词"/>
        <w:spacing w:after="160"/>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titlePg/>
          <w:docGrid w:type="lines" w:linePitch="400"/>
        </w:sectPr>
      </w:pPr>
      <w:r>
        <w:rPr>
          <w:i w:val="0"/>
        </w:rPr>
        <w:t>Key words: interactive challenge; data availability; high-frequency decentralized application (DApp); cost amortization; fault recovery</w:t>
      </w:r>
    </w:p>
    <w:p>
      <w:pPr>
        <w:pStyle w:val="一级标题"/>
      </w:pPr>
      <w:r>
        <w:rPr>
          <w:i w:val="0"/>
        </w:rPr>
        <w:t xml:space="preserve">引言</w:t>
      </w:r>
    </w:p>
    <w:p>
      <w:pPr>
        <w:pStyle w:val="正文"/>
      </w:pPr>
      <w:r>
        <w:rPr>
          <w:i w:val="0"/>
        </w:rP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pStyle w:val="正文"/>
      </w:pPr>
      <w:r>
        <w:rPr>
          <w:i w:val="0"/>
        </w:rP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快速路径与链上异常路径结合[1]，其风险也集中在异常路径：一旦恢复机制和证据入口缺失，系统会在最需要仲裁时失去协议连续性。</w:t>
      </w:r>
    </w:p>
    <w:p>
      <w:pPr>
        <w:pStyle w:val="正文"/>
      </w:pPr>
      <w:r>
        <w:rPr>
          <w:i w:val="0"/>
        </w:rP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pStyle w:val="正文"/>
      </w:pPr>
      <w:r>
        <w:rPr>
          <w:i w:val="0"/>
        </w:rPr>
        <w:t>实验部分采用合成负载、模拟 TEE、可验证 DA 注册表、本地 EVM gas 实测与 Sepolia 可部署性证据。</w:t>
      </w:r>
    </w:p>
    <w:p>
      <w:pPr>
        <w:pStyle w:val="正文"/>
      </w:pPr>
      <w:r>
        <w:rPr>
          <w:i w:val="0"/>
        </w:rPr>
        <w:t>本文的贡献如下</w:t>
      </w:r>
    </w:p>
    <w:p>
      <w:pPr>
        <w:pStyle w:val="正文"/>
      </w:pPr>
      <w:r>
        <w:rPr>
          <w:i w:val="0"/>
        </w:rPr>
        <w:t xml:space="preserve">（1）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pPr>
        <w:pStyle w:val="正文"/>
      </w:pPr>
      <w:r>
        <w:rPr>
          <w:i w:val="0"/>
        </w:rPr>
        <w:t>（2）设计证据绑定型紧凑提交机制。该结构将状态根、输出哈希、证明哈希、DA 指针与 DA 根进行密码学绑定，使链上精简凭证具备重放前置能力、证据可追溯能力与可验证属性。</w:t>
      </w:r>
    </w:p>
    <w:p>
      <w:pPr>
        <w:pStyle w:val="正文"/>
      </w:pPr>
      <w:r>
        <w:rPr>
          <w:i w:val="0"/>
        </w:rPr>
        <w:t xml:space="preserve">（3）构建 DA 感知成本摊销模型。该模型量化分析负载规模伸缩、批处理策略、DA 部署路径三类因素对系统成本的影响，为不同业务负载下的 DA 方案选型与成本管控提供理论依据。</w:t>
      </w:r>
    </w:p>
    <w:p>
      <w:pPr>
        <w:pStyle w:val="一级标题"/>
      </w:pPr>
      <w:r>
        <w:rPr>
          <w:i w:val="0"/>
        </w:rPr>
        <w:t xml:space="preserve">相关工作</w:t>
      </w:r>
    </w:p>
    <w:p>
      <w:pPr>
        <w:pStyle w:val="正文"/>
      </w:pPr>
      <w:r>
        <w:rPr>
          <w:i w:val="0"/>
        </w:rPr>
        <w:t xml:space="preserve">TEEROLLUP[1] 提出了利用异构 TEE 降低 Rollup 验证成本的系统设计。本文受其思路启发，但聚焦异常场景下的挑战恢复和紧凑提交的证据绑定。</w:t>
      </w:r>
    </w:p>
    <w:p>
      <w:pPr>
        <w:pStyle w:val="正文"/>
      </w:pPr>
      <w:r>
        <w:rPr>
          <w:i w:val="0"/>
        </w:rPr>
        <w:t xml:space="preserve">opML[2]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w:t>
      </w:r>
    </w:p>
    <w:p>
      <w:pPr>
        <w:pStyle w:val="正文"/>
      </w:pPr>
      <w:r>
        <w:rPr>
          <w:i w:val="0"/>
        </w:rPr>
        <w:t xml:space="preserve">Dynamic Fraud Proof[3] 关注无争议场景下的最终性压缩，并在发现争议时动态延迟结算。该方向强调挑战窗口和验证者参与机制的动态调整；本文聚焦更窄的超时后挑战会话恢复问题。</w:t>
      </w:r>
    </w:p>
    <w:p>
      <w:pPr>
        <w:pStyle w:val="正文"/>
      </w:pPr>
      <w:r>
        <w:rPr>
          <w:i w:val="0"/>
        </w:rPr>
        <w:t xml:space="preserve">LazyLedger[4]、模块化 DA 以及轻客户端相关工作强调数据可用性与执行验证解耦。本文使用可验证 DA 注册表和配置化建模分析紧凑提交加数据可用性验证的成本趋势。</w:t>
      </w:r>
    </w:p>
    <w:p>
      <w:pPr>
        <w:pStyle w:val="正文"/>
      </w:pPr>
      <w:r>
        <w:rPr>
          <w:i w:val="0"/>
        </w:rPr>
        <w:t xml:space="preserve">Rollup 的基本思想是将大量执行过程移至链下完成，并将状态承诺、证明或争议入口提交到链上[5]。ZK-Rollup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默认链下执行结果正确，仅在挑战期内出现有效争议时进行仲裁；其链上负担较轻，但争议窗口和交互过程会引入状态不确定性[6]。</w:t>
      </w:r>
    </w:p>
    <w:p>
      <w:pPr>
        <w:pStyle w:val="正文"/>
      </w:pPr>
      <w:r>
        <w:rPr>
          <w:i w:val="0"/>
        </w:rPr>
        <w:t xml:space="preserve">乐观挑战是 Rollup 系统处理异常的重要机制。典型流程包括提交状态承诺、开启挑战、交互式缩小争议范围，并在必要时执行单步重放或链上仲裁[7][8]。对于长执行轨迹，二分定位能够将争议定位复杂度从线性扫描降低到对数轮次；挑战过程本身也可能遭遇超时、应答缺失或证据不可用，因此活性和恢复性需要进入协议设计[3]。</w:t>
      </w:r>
    </w:p>
    <w:p>
      <w:pPr>
        <w:pStyle w:val="正文"/>
      </w:pPr>
      <w:r>
        <w:rPr>
          <w:i w:val="0"/>
        </w:rPr>
        <w:t xml:space="preserve">数据可用性关注链下或链外数据能否被验证者获取。模块化区块链和惰性账本等路线将数据可用性从执行验证中解耦，使共识层主要负责数据排序和可用性保证，执行与验证由独立的 Rollup 或客户端完成[4][9][10][11]。当执行者将完整负载放在数据可用性层而非链上时，链上提交必须与数据可用性条目形成可验证绑定。</w:t>
      </w:r>
    </w:p>
    <w:p>
      <w:pPr>
        <w:pStyle w:val="正文"/>
      </w:pPr>
      <w:r>
        <w:rPr>
          <w:i w:val="0"/>
        </w:rP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pPr>
        <w:pStyle w:val="正文"/>
      </w:pPr>
      <w:r>
        <w:rPr>
          <w:i w:val="0"/>
        </w:rP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pPr>
        <w:pStyle w:val="一级标题"/>
      </w:pPr>
      <w:r>
        <w:rPr>
          <w:i w:val="0"/>
        </w:rPr>
        <w:t xml:space="preserve">系统概览</w:t>
      </w:r>
    </w:p>
    <w:p>
      <w:pPr>
        <w:pStyle w:val="正文"/>
      </w:pPr>
      <w:r>
        <w:rPr>
          <w:i w:val="0"/>
        </w:rPr>
        <w:t>系统包含三个角色，即执行层，DA层和验证层：执行层负责产生正常路径下的响应与远程证明；DA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pPr>
        <w:pStyle w:val="正文"/>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2" w:space="448" w:equalWidth="1"/>
          <w:docGrid w:type="lines" w:linePitch="400"/>
        </w:sectPr>
      </w:pPr>
      <w:r>
        <w:rPr>
          <w:i w:val="0"/>
        </w:rP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keepNext/>
        <w:spacing w:before="120" w:after="40"/>
        <w:jc w:val="center"/>
      </w:pPr>
      <w:r>
        <w:drawing>
          <wp:inline xmlns:a="http://schemas.openxmlformats.org/drawingml/2006/main" xmlns:pic="http://schemas.openxmlformats.org/drawingml/2006/picture">
            <wp:extent cx="5400000" cy="422068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5400000" cy="4220689"/>
                    </a:xfrm>
                    <a:prstGeom prst="rect"/>
                  </pic:spPr>
                </pic:pic>
              </a:graphicData>
            </a:graphic>
          </wp:inline>
        </w:drawing>
      </w:r>
    </w:p>
    <w:p>
      <w:pPr>
        <w:pStyle w:val="图表名称"/>
      </w:pPr>
      <w:r>
        <w:rPr>
          <w:i w:val="0"/>
        </w:rPr>
        <w:t>图 1  Hybrid TEE-Rollup 原型系统架构</w:t>
      </w:r>
    </w:p>
    <w:p>
      <w:pPr>
        <w:pStyle w:val="图表名称"/>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rPr>
          <w:i w:val="0"/>
        </w:rPr>
        <w:t>Fig. 1  Prototype architecture of Hybrid TEE-Rollup</w:t>
      </w:r>
    </w:p>
    <w:p>
      <w:pPr>
        <w:pStyle w:val="二级标题"/>
      </w:pPr>
      <w:r>
        <w:rPr>
          <w:i w:val="0"/>
        </w:rPr>
        <w:t xml:space="preserve">执行层与正常路径</w:t>
      </w:r>
    </w:p>
    <w:p>
      <w:pPr>
        <w:pStyle w:val="正文"/>
      </w:pPr>
      <w:r>
        <w:rPr>
          <w:i w:val="0"/>
        </w:rPr>
        <w:t xml:space="preserve">执行层负责处理高频 DApp 请求。当前原型采用确定性模拟模型或可选模型后端生成响应，并使用模拟可信执行环境远程证明对输入哈希、输出哈希、nonce 和执行环境标识进行绑定[12]。远程证明的作用是为链下执行结果提供最小可信摘要，使后续验证层能够检查提交结果是否与声明的执行过程一致。</w:t>
      </w:r>
    </w:p>
    <w:p>
      <w:pPr>
        <w:pStyle w:val="正文"/>
      </w:pPr>
      <w:r>
        <w:rPr>
          <w:i w:val="0"/>
        </w:rPr>
        <w:t>在本文原型中，模拟可信执行环境用于建立“链下执行摘要—链上提交—异常挑战”的接口关系。</w:t>
      </w:r>
    </w:p>
    <w:p>
      <w:pPr>
        <w:pStyle w:val="二级标题"/>
      </w:pPr>
      <w:r>
        <w:rPr>
          <w:i w:val="0"/>
        </w:rPr>
        <w:t xml:space="preserve">数据可用性接口</w:t>
      </w:r>
    </w:p>
    <w:p>
      <w:pPr>
        <w:pStyle w:val="正文"/>
      </w:pPr>
      <w:r>
        <w:rPr>
          <w:i w:val="0"/>
        </w:rP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pPr>
        <w:pStyle w:val="正文"/>
      </w:pPr>
      <w:r>
        <w:rPr>
          <w:i w:val="0"/>
        </w:rP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pPr>
        <w:pStyle w:val="二级标题"/>
      </w:pPr>
      <w:r>
        <w:rPr>
          <w:i w:val="0"/>
        </w:rPr>
        <w:t xml:space="preserve">验证层与恢复触发</w:t>
      </w:r>
    </w:p>
    <w:p>
      <w:pPr>
        <w:pStyle w:val="正文"/>
      </w:pPr>
      <w:r>
        <w:rPr>
          <w:i w:val="0"/>
        </w:rPr>
        <w:t xml:space="preserve">验证层负责处理异常路径。当前原型实现挑战打开、响应、步骤、恢复、重放和结算等状态推进；争议出现后，验证层通过证据加载、二分定位、单步重放和仲裁结算，将异常状态推进为可解释的协议结果[7][8]。</w:t>
      </w:r>
    </w:p>
    <w:p>
      <w:pPr>
        <w:pStyle w:val="正文"/>
      </w:pPr>
      <w:r>
        <w:rPr>
          <w:i w:val="0"/>
        </w:rP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pStyle w:val="正文"/>
      </w:pPr>
      <w:r>
        <w:rPr>
          <w:i w:val="0"/>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一级标题"/>
      </w:pPr>
      <w:r>
        <w:rPr>
          <w:i w:val="0"/>
        </w:rPr>
        <w:t xml:space="preserve">核心机制与成本评估</w:t>
      </w:r>
    </w:p>
    <w:p>
      <w:pPr>
        <w:pStyle w:val="二级标题"/>
      </w:pPr>
      <w:r>
        <w:rPr>
          <w:i w:val="0"/>
        </w:rPr>
        <w:t xml:space="preserve">可恢复挑战协议</w:t>
      </w:r>
    </w:p>
    <w:p>
      <w:pPr>
        <w:pStyle w:val="三级标题"/>
      </w:pPr>
      <w:r>
        <w:rPr>
          <w:i w:val="0"/>
        </w:rPr>
        <w:t xml:space="preserve">协议模型与形式化定义</w:t>
      </w:r>
    </w:p>
    <w:p>
      <w:pPr>
        <w:pStyle w:val="正文"/>
      </w:pPr>
      <w:r>
        <w:rPr>
          <w:i w:val="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正文"/>
      </w:pPr>
      <w:r>
        <w:rPr>
          <w:i w:val="0"/>
          <w:b/>
        </w:rPr>
        <w:t>定义 1（挑战会话）</w:t>
      </w:r>
    </w:p>
    <w:p>
      <w:pPr>
        <w:pStyle w:val="正文"/>
      </w:pPr>
      <w:r>
        <w:rPr>
          <w:i w:val="0"/>
        </w:rPr>
        <w:t>挑战会话定义为：</w:t>
      </w:r>
      <m:oMath>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id</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oMath>
      <w:r>
        <w:rPr>
          <w:i w:val="0"/>
        </w:rPr>
        <w:t>。</w:t>
      </w:r>
    </w:p>
    <w:p>
      <w:pPr>
        <w:pStyle w:val="正文"/>
      </w:pPr>
      <w:r>
        <w:rPr>
          <w:i w:val="0"/>
        </w:rPr>
        <w:t>其中，id 表示会话标识；s 表示当前状态；F 表示挑战事实（挑战事实集合）；T 表示超时参数。</w:t>
      </w:r>
    </w:p>
    <w:p>
      <w:pPr>
        <w:pStyle w:val="正文"/>
      </w:pPr>
      <w:r>
        <w:rPr>
          <w:i w:val="0"/>
          <w:b/>
        </w:rPr>
        <w:t>定义 2（挑战状态机）</w:t>
      </w:r>
    </w:p>
    <w:p>
      <w:pPr>
        <w:pStyle w:val="正文"/>
      </w:pPr>
      <w:r>
        <w:rPr>
          <w:i w:val="0"/>
        </w:rPr>
        <w:t>挑战状态机定义为：</w:t>
      </w:r>
      <m:o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m:t>
        </m:r>
      </m:oMath>
      <w:r>
        <w:rPr>
          <w:i w:val="0"/>
        </w:rPr>
        <w:t>。</w:t>
      </w:r>
    </w:p>
    <w:p>
      <w:pPr>
        <w:pStyle w:val="正文"/>
      </w:pPr>
      <w:r>
        <w:rPr>
          <w:i w:val="0"/>
        </w:rPr>
        <w:t>其中，S 为状态集合；E 为事件集合；δ: S × E → S 为状态转移函数。</w:t>
      </w:r>
    </w:p>
    <w:p>
      <w:pPr>
        <w:pStyle w:val="正文"/>
      </w:pPr>
      <w:r>
        <w:rPr>
          <w:i w:val="0"/>
          <w:b/>
        </w:rPr>
        <w:t>定义 3（恢复函数）</w:t>
      </w:r>
    </w:p>
    <w:p>
      <w:pPr>
        <w:pStyle w:val="正文"/>
      </w:pPr>
      <w:r>
        <w:rPr>
          <w:i w:val="0"/>
        </w:rPr>
        <w:t>恢复函数定义为：</w:t>
      </w:r>
      <m:oMath>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sSub>
          <m:e>
            <m:r>
              <w:rPr>
                <w:rFonts w:ascii="Cambria Math" w:hAnsi="Cambria Math"/>
              </w:rPr>
              <m:t xml:space="preserve">cs</m:t>
            </m:r>
          </m:e>
          <m:sub>
            <m:r>
              <w:rPr>
                <w:rFonts w:ascii="Cambria Math" w:hAnsi="Cambria Math"/>
              </w:rPr>
              <m:t xml:space="preserve">′</m:t>
            </m:r>
          </m:sub>
        </m:sSub>
      </m:oMath>
      <w:r>
        <w:rPr>
          <w:i w:val="0"/>
        </w:rPr>
        <w:t>。</w:t>
      </w:r>
    </w:p>
    <w:p>
      <w:pPr>
        <w:pStyle w:val="正文"/>
      </w:pPr>
      <w:r>
        <w:rPr>
          <w:i w:val="0"/>
        </w:rPr>
        <w:t>恢复仅改变活性相关状态，不改变挑战事实，即满足：</w:t>
      </w:r>
      <m:oMath>
        <m:r>
          <w:rPr>
            <w:rFonts w:ascii="Cambria Math" w:hAnsi="Cambria Math"/>
          </w:rPr>
          <m:t xml:space="preserve">F</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oMath>
      <w:r>
        <w:rPr>
          <w:i w:val="0"/>
        </w:rPr>
        <w:t>。</w:t>
      </w:r>
    </w:p>
    <w:p>
      <w:pPr>
        <w:pStyle w:val="正文"/>
      </w:pPr>
      <w:r>
        <w:rPr>
          <w:i w:val="0"/>
        </w:rP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pPr>
        <w:pStyle w:val="三级标题"/>
      </w:pPr>
      <w:r>
        <w:rPr>
          <w:i w:val="0"/>
        </w:rPr>
        <w:t xml:space="preserve">超时、恢复、重放与仲裁结算</w:t>
      </w:r>
    </w:p>
    <w:p>
      <w:pPr>
        <w:pStyle w:val="正文"/>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2" w:space="448" w:equalWidth="1"/>
          <w:docGrid w:type="lines" w:linePitch="400"/>
        </w:sectPr>
      </w:pPr>
      <w:r>
        <w:rPr>
          <w:i w:val="0"/>
        </w:rPr>
        <w:t xml:space="preserve">可恢复挑战协议的目标，是将挑战从一次性错误检测流程扩展为异常场景下可恢复推进的协议状态机。其基本状态覆盖待处理、已打开、已响应、二分定位、已恢复、待重放、已重放、已结算、罚没和最终确认等阶段。</w:t>
      </w:r>
    </w:p>
    <w:p>
      <w:pPr>
        <w:keepNext/>
        <w:spacing w:before="120" w:after="40"/>
        <w:jc w:val="center"/>
      </w:pPr>
      <w:r>
        <w:drawing>
          <wp:inline xmlns:a="http://schemas.openxmlformats.org/drawingml/2006/main" xmlns:pic="http://schemas.openxmlformats.org/drawingml/2006/picture">
            <wp:extent cx="5400000" cy="3362321"/>
            <wp:docPr id="2" name="Picture 2"/>
            <wp:cNvGraphicFramePr>
              <a:graphicFrameLocks noChangeAspect="1"/>
            </wp:cNvGraphicFramePr>
            <a:graphic>
              <a:graphicData uri="http://schemas.openxmlformats.org/drawingml/2006/picture">
                <pic:pic>
                  <pic:nvPicPr>
                    <pic:cNvPr id="0" name="fig2_challenge_flow.png"/>
                    <pic:cNvPicPr/>
                  </pic:nvPicPr>
                  <pic:blipFill>
                    <a:blip r:embed="rId14"/>
                    <a:stretch>
                      <a:fillRect/>
                    </a:stretch>
                  </pic:blipFill>
                  <pic:spPr>
                    <a:xfrm>
                      <a:off x="0" y="0"/>
                      <a:ext cx="5400000" cy="3362321"/>
                    </a:xfrm>
                    <a:prstGeom prst="rect"/>
                  </pic:spPr>
                </pic:pic>
              </a:graphicData>
            </a:graphic>
          </wp:inline>
        </w:drawing>
      </w:r>
    </w:p>
    <w:p>
      <w:pPr>
        <w:pStyle w:val="图表名称"/>
      </w:pPr>
      <w:r>
        <w:rPr>
          <w:i w:val="0"/>
        </w:rPr>
        <w:t>图 2  可恢复挑战协议流程</w:t>
      </w:r>
    </w:p>
    <w:p>
      <w:pPr>
        <w:pStyle w:val="图表名称"/>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rPr>
          <w:i w:val="0"/>
        </w:rPr>
        <w:t>Fig. 2  Workflow of the recoverable challenge protocol</w:t>
      </w:r>
    </w:p>
    <w:p>
      <w:pPr>
        <w:pStyle w:val="正文"/>
      </w:pPr>
      <w:r>
        <w:rPr>
          <w:i w:val="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pPr>
        <w:pStyle w:val="正文"/>
      </w:pPr>
      <w:r>
        <w:rPr>
          <w:i w:val="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pStyle w:val="正文"/>
      </w:pPr>
      <w:r>
        <w:rPr>
          <w:i w:val="0"/>
        </w:rP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pStyle w:val="正文"/>
      </w:pPr>
      <w:r>
        <w:rPr>
          <w:i w:val="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三级标题"/>
      </w:pPr>
      <w:r>
        <w:rPr>
          <w:i w:val="0"/>
        </w:rPr>
        <w:t xml:space="preserve">正确性边界与协议性质</w:t>
      </w:r>
    </w:p>
    <w:p>
      <w:pPr>
        <w:pStyle w:val="正文"/>
      </w:pPr>
      <w:r>
        <w:rPr>
          <w:i w:val="0"/>
          <w:b/>
        </w:rP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pPr>
        <w:pStyle w:val="正文"/>
      </w:pPr>
      <w:r>
        <w:rPr>
          <w:i w:val="0"/>
          <w:b/>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pPr>
        <w:pStyle w:val="正文"/>
      </w:pPr>
      <w:r>
        <w:rPr>
          <w:i w:val="0"/>
          <w:b/>
        </w:rP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pPr>
        <w:pStyle w:val="三级标题"/>
      </w:pPr>
      <w:r>
        <w:rPr>
          <w:i w:val="0"/>
        </w:rPr>
        <w:t xml:space="preserve">挑战事实不变性与活性分离</w:t>
      </w:r>
    </w:p>
    <w:p>
      <w:pPr>
        <w:pStyle w:val="正文"/>
      </w:pPr>
      <w:r>
        <w:rPr>
          <w:i w:val="0"/>
        </w:rP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pPr>
        <w:pStyle w:val="正文"/>
      </w:pPr>
      <w:r>
        <w:rPr>
          <w:i w:val="0"/>
        </w:rPr>
        <w:t>挑战事实不变性</w:t>
      </w:r>
    </w:p>
    <w:p>
      <w:pPr>
        <w:pStyle w:val="正文"/>
      </w:pPr>
      <w:r>
        <w:rPr>
          <w:i w:val="0"/>
        </w:rPr>
        <w:t>挑战会话在创建时便将一组不可修改的协议事实绑定在会话上下文中，这些事实构成争议的“内容面”，包括：</w:t>
      </w:r>
    </w:p>
    <w:p>
      <w:pPr>
        <w:pStyle w:val="正文"/>
      </w:pPr>
      <w:r>
        <w:rPr>
          <w:i w:val="0"/>
        </w:rPr>
        <w:t>• 状态根（State Root）：约束输入与输出哈希的绑定关系；</w:t>
      </w:r>
    </w:p>
    <w:p>
      <w:pPr>
        <w:pStyle w:val="正文"/>
      </w:pPr>
      <w:r>
        <w:rPr>
          <w:i w:val="0"/>
        </w:rPr>
        <w:t>• 数据可用性根（DA Merkle Root）：约束 DA 层中完整负载的字段级承诺；</w:t>
      </w:r>
    </w:p>
    <w:p>
      <w:pPr>
        <w:pStyle w:val="正文"/>
      </w:pPr>
      <w:r>
        <w:rPr>
          <w:i w:val="0"/>
        </w:rPr>
        <w:t>• 负载哈希（Payload Hash）：标识 DA 层中完整的原始负载；</w:t>
      </w:r>
    </w:p>
    <w:p>
      <w:pPr>
        <w:pStyle w:val="正文"/>
      </w:pPr>
      <w:r>
        <w:rPr>
          <w:i w:val="0"/>
        </w:rPr>
        <w:t>• 执行轨迹（Execution Trace）：挑战方与被挑战方各自提交的执行步骤序列；</w:t>
      </w:r>
    </w:p>
    <w:p>
      <w:pPr>
        <w:pStyle w:val="正文"/>
      </w:pPr>
      <w:r>
        <w:rPr>
          <w:i w:val="0"/>
        </w:rPr>
        <w:t>• 重放证据：二分缩小后定位到的目标步骤与对应的预期哈希和声明哈希；</w:t>
      </w:r>
    </w:p>
    <w:p>
      <w:pPr>
        <w:pStyle w:val="正文"/>
      </w:pPr>
      <w:r>
        <w:rPr>
          <w:i w:val="0"/>
        </w:rPr>
        <w:t>• 不一致证据：验证、响应和 DA 字段检查中观测到的字段级不一致记录。</w:t>
      </w:r>
    </w:p>
    <w:p>
      <w:pPr>
        <w:pStyle w:val="正文"/>
      </w:pPr>
      <w:r>
        <w:rPr>
          <w:i w:val="0"/>
        </w:rPr>
        <w:t>记挑战会话 cs 的挑战事实集合为 Facts(cs)，则恢复操作满足 Facts(cs_before) = Facts(cs_after)，即恢复不向挑战会话注入新的状态根、负载哈希、执行轨迹或重放证据。</w:t>
      </w:r>
    </w:p>
    <w:p>
      <w:pPr>
        <w:pStyle w:val="正文"/>
      </w:pPr>
      <w:r>
        <w:rPr>
          <w:i w:val="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pStyle w:val="正文"/>
      </w:pPr>
      <w:r>
        <w:rPr>
          <w:i w:val="0"/>
        </w:rPr>
        <w:t>安全性与活性分离</w:t>
      </w:r>
    </w:p>
    <w:p>
      <w:pPr>
        <w:pStyle w:val="正文"/>
      </w:pPr>
      <w:r>
        <w:rPr>
          <w:i w:val="0"/>
        </w:rP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pPr>
        <w:pStyle w:val="正文"/>
      </w:pPr>
      <w:r>
        <w:rPr>
          <w:i w:val="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pPr>
        <w:pStyle w:val="正文"/>
      </w:pPr>
      <w:r>
        <w:rPr>
          <w:i w:val="0"/>
        </w:rPr>
        <w:t>综合来看，恢复机制恢复的是协议活性，而非重新定义正确性。正确性的最终裁决由重放阶段完成，恢复只保证该裁决环节能够被执行。</w:t>
      </w:r>
    </w:p>
    <w:p>
      <w:pPr>
        <w:pStyle w:val="正文"/>
      </w:pPr>
      <w:r>
        <w:rPr>
          <w:i w:val="0"/>
        </w:rPr>
        <w:t>仲裁连续性</w:t>
      </w:r>
    </w:p>
    <w:p>
      <w:pPr>
        <w:pStyle w:val="正文"/>
      </w:pPr>
      <w:r>
        <w:rPr>
          <w:i w:val="0"/>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pStyle w:val="正文"/>
      </w:pPr>
      <w:r>
        <w:rPr>
          <w:i w:val="0"/>
        </w:rP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pPr>
        <w:pStyle w:val="正文"/>
      </w:pPr>
      <w:r>
        <w:rPr>
          <w:i w:val="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二级标题"/>
      </w:pPr>
      <w:r>
        <w:rPr>
          <w:i w:val="0"/>
        </w:rPr>
        <w:t xml:space="preserve">携带证据的紧凑提交机制</w:t>
      </w:r>
    </w:p>
    <w:p>
      <w:pPr>
        <w:pStyle w:val="正文"/>
      </w:pPr>
      <w:r>
        <w:rPr>
          <w:i w:val="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pStyle w:val="正文"/>
      </w:pPr>
      <w:r>
        <w:rPr>
          <w:i w:val="0"/>
        </w:rP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pPr>
        <w:pStyle w:val="正文"/>
      </w:pPr>
      <w:r>
        <w:rPr>
          <w:i w:val="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二级标题"/>
      </w:pPr>
      <w:r>
        <w:rPr>
          <w:i w:val="0"/>
        </w:rPr>
        <w:t xml:space="preserve">数据可用性感知成本评估</w:t>
      </w:r>
    </w:p>
    <w:p>
      <w:pPr>
        <w:pStyle w:val="正文"/>
      </w:pPr>
      <w:r>
        <w:rPr>
          <w:i w:val="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pStyle w:val="正文"/>
      </w:pPr>
      <w:r>
        <w:rPr>
          <w:i w:val="0"/>
        </w:rPr>
        <w:t xml:space="preserve">模型比较四类 DA 路径：全链上调用数据、紧凑外部 DA、紧凑类 EIP-4844 方案和紧凑模块化 DA 采样[13]。该比较作为研究原型的成本建模工具，用于刻画不同数据发布路径的结构性差异。</w:t>
      </w:r>
    </w:p>
    <w:p>
      <w:pPr>
        <w:pStyle w:val="正文"/>
      </w:pPr>
      <w:r>
        <w:rPr>
          <w:i w:val="0"/>
        </w:rPr>
        <w:t xml:space="preserve">成本模型表达为式(1)、式(2)。其中，总成本由提交成本、数据可用性成本与争议处置成本构成，批处理后单笔摊销成本为总成本与批处理规模之比。</w:t>
      </w:r>
    </w:p>
    <w:p>
      <w:pPr>
        <w:spacing w:before="80" w:after="80"/>
        <w:tabs>
          <w:tab w:val="center" w:pos="4251"/>
          <w:tab w:val="right" w:pos="8503"/>
        </w:tabs>
        <w:pStyle w:val="公式"/>
      </w:pPr>
      <w:r>
        <w:tab/>
      </w:r>
      <m:oMath>
        <m:sSub>
          <m:e>
            <m:r>
              <w:rPr>
                <w:rFonts w:ascii="Cambria Math" w:hAnsi="Cambria Math"/>
              </w:rPr>
              <m:t xml:space="preserve">C</m:t>
            </m:r>
          </m:e>
          <m:sub>
            <m:r>
              <m:rPr>
                <m:sty m:val="p"/>
              </m:rPr>
              <w:rPr>
                <w:rFonts w:ascii="Cambria Math" w:hAnsi="Cambria Math"/>
              </w:rPr>
              <m:t xml:space="preserve">total</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commit</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DA</m:t>
            </m:r>
          </m:sub>
        </m:sSub>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challenge</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challenge</m:t>
            </m:r>
          </m:sub>
        </m:sSub>
      </m:oMath>
      <w:r>
        <w:tab/>
      </w:r>
      <w:r>
        <w:rPr>
          <w:i w:val="0"/>
        </w:rPr>
        <w:t>(1)</w:t>
      </w:r>
    </w:p>
    <w:p>
      <w:pPr>
        <w:spacing w:before="80" w:after="80"/>
        <w:tabs>
          <w:tab w:val="center" w:pos="4251"/>
          <w:tab w:val="right" w:pos="8503"/>
        </w:tabs>
        <w:pStyle w:val="公式"/>
      </w:pPr>
      <w:r>
        <w:tab/>
      </w:r>
      <m:oMath>
        <m:sSub>
          <m:e>
            <m:r>
              <w:rPr>
                <w:rFonts w:ascii="Cambria Math" w:hAnsi="Cambria Math"/>
              </w:rPr>
              <m:t xml:space="preserve">C</m:t>
            </m:r>
          </m:e>
          <m:sub>
            <m:r>
              <m:rPr>
                <m:sty m:val="p"/>
              </m:rPr>
              <w:rPr>
                <w:rFonts w:ascii="Cambria Math" w:hAnsi="Cambria Math"/>
              </w:rPr>
              <m:t xml:space="preserve">amortized</m:t>
            </m:r>
          </m:sub>
        </m:sSub>
        <m: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total</m:t>
                </m:r>
              </m:sub>
            </m:sSub>
          </m:num>
          <m:den>
            <m:sSub>
              <m:e>
                <m:r>
                  <w:rPr>
                    <w:rFonts w:ascii="Cambria Math" w:hAnsi="Cambria Math"/>
                  </w:rPr>
                  <m:t xml:space="preserve">batch</m:t>
                </m:r>
              </m:e>
              <m:sub>
                <m:r>
                  <m:rPr>
                    <m:sty m:val="p"/>
                  </m:rPr>
                  <w:rPr>
                    <w:rFonts w:ascii="Cambria Math" w:hAnsi="Cambria Math"/>
                  </w:rPr>
                  <m:t xml:space="preserve">size</m:t>
                </m:r>
              </m:sub>
            </m:sSub>
          </m:den>
        </m:f>
      </m:oMath>
      <w:r>
        <w:tab/>
      </w:r>
      <w:r>
        <w:rPr>
          <w:i w:val="0"/>
        </w:rPr>
        <w:t>(2)</w:t>
      </w:r>
    </w:p>
    <w:p>
      <w:pPr>
        <w:pStyle w:val="正文"/>
      </w:pPr>
      <m:oMath>
        <m:sSub>
          <m:e>
            <m:r>
              <w:rPr>
                <w:rFonts w:ascii="Cambria Math" w:hAnsi="Cambria Math"/>
              </w:rPr>
              <m:t xml:space="preserve">C</m:t>
            </m:r>
          </m:e>
          <m:sub>
            <m:r>
              <m:rPr>
                <m:sty m:val="p"/>
              </m:rPr>
              <w:rPr>
                <w:rFonts w:ascii="Cambria Math" w:hAnsi="Cambria Math"/>
              </w:rPr>
              <m:t xml:space="preserve">commit</m:t>
            </m:r>
          </m:sub>
        </m:sSub>
      </m:oMath>
      <w:r>
        <w:rPr>
          <w:i w:val="0"/>
        </w:rPr>
        <w:t xml:space="preserve"> 表示链上紧凑提交或完整负载提交成本，</w:t>
      </w:r>
      <m:oMath>
        <m:sSub>
          <m:e>
            <m:r>
              <w:rPr>
                <w:rFonts w:ascii="Cambria Math" w:hAnsi="Cambria Math"/>
              </w:rPr>
              <m:t xml:space="preserve">C</m:t>
            </m:r>
          </m:e>
          <m:sub>
            <m:r>
              <m:rPr>
                <m:sty m:val="p"/>
              </m:rPr>
              <w:rPr>
                <w:rFonts w:ascii="Cambria Math" w:hAnsi="Cambria Math"/>
              </w:rPr>
              <m:t xml:space="preserve">DA</m:t>
            </m:r>
          </m:sub>
        </m:sSub>
      </m:oMath>
      <w:r>
        <w:rPr>
          <w:i w:val="0"/>
        </w:rPr>
        <w:t xml:space="preserve"> 表示不同 DA 路径下的数据成本，</w:t>
      </w:r>
      <m:oMath>
        <m:sSub>
          <m:e>
            <m:r>
              <w:rPr>
                <w:rFonts w:ascii="Cambria Math" w:hAnsi="Cambria Math"/>
              </w:rPr>
              <m:t xml:space="preserve">C</m:t>
            </m:r>
          </m:e>
          <m:sub>
            <m:r>
              <m:rPr>
                <m:sty m:val="p"/>
              </m:rPr>
              <w:rPr>
                <w:rFonts w:ascii="Cambria Math" w:hAnsi="Cambria Math"/>
              </w:rPr>
              <m:t xml:space="preserve">challenge</m:t>
            </m:r>
          </m:sub>
        </m:sSub>
      </m:oMath>
      <w:r>
        <w:rPr>
          <w:i w:val="0"/>
        </w:rPr>
        <w:t xml:space="preserve"> 表示争议发生时挑战、恢复、重放和结算成本，</w:t>
      </w:r>
      <m:oMath>
        <m:sSub>
          <m:e>
            <m:r>
              <w:rPr>
                <w:rFonts w:ascii="Cambria Math" w:hAnsi="Cambria Math"/>
              </w:rPr>
              <m:t xml:space="preserve">p</m:t>
            </m:r>
          </m:e>
          <m:sub>
            <m:r>
              <m:rPr>
                <m:sty m:val="p"/>
              </m:rPr>
              <w:rPr>
                <w:rFonts w:ascii="Cambria Math" w:hAnsi="Cambria Math"/>
              </w:rPr>
              <m:t xml:space="preserve">challenge</m:t>
            </m:r>
          </m:sub>
        </m:sSub>
      </m:oMath>
      <w:r>
        <w:rPr>
          <w:i w:val="0"/>
        </w:rPr>
        <w:t xml:space="preserve"> 表示争议发生概率。</w:t>
      </w:r>
    </w:p>
    <w:p>
      <w:pPr>
        <w:pStyle w:val="正文"/>
      </w:pPr>
      <w:r>
        <w:rPr>
          <w:i w:val="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一级标题"/>
      </w:pPr>
      <w:r>
        <w:rPr>
          <w:i w:val="0"/>
        </w:rPr>
        <w:t xml:space="preserve">实验评估</w:t>
      </w:r>
    </w:p>
    <w:p>
      <w:pPr>
        <w:pStyle w:val="正文"/>
      </w:pPr>
      <w:r>
        <w:rPr>
          <w:i w:val="0"/>
        </w:rP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w:pPr>
        <w:pStyle w:val="二级标题"/>
      </w:pPr>
      <w:r>
        <w:rPr>
          <w:i w:val="0"/>
        </w:rPr>
        <w:t xml:space="preserve">紧凑提交的规模隔离效果</w:t>
      </w:r>
    </w:p>
    <w:p>
      <w:pPr>
        <w:pStyle w:val="正文"/>
      </w:pPr>
      <w:r>
        <w:rPr>
          <w:i w:val="0"/>
        </w:rP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pPr>
        <w:pStyle w:val="正文"/>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2" w:space="448" w:equalWidth="1"/>
          <w:docGrid w:type="lines" w:linePitch="400"/>
        </w:sectPr>
      </w:pPr>
      <w:r>
        <w:rPr>
          <w:i w:val="0"/>
        </w:rP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p>
      <w:pPr>
        <w:keepNext/>
        <w:spacing w:before="120" w:after="40"/>
        <w:jc w:val="center"/>
      </w:pPr>
      <w:r>
        <w:drawing>
          <wp:inline xmlns:a="http://schemas.openxmlformats.org/drawingml/2006/main" xmlns:pic="http://schemas.openxmlformats.org/drawingml/2006/picture">
            <wp:extent cx="5400000" cy="2338357"/>
            <wp:docPr id="3" name="Picture 3"/>
            <wp:cNvGraphicFramePr>
              <a:graphicFrameLocks noChangeAspect="1"/>
            </wp:cNvGraphicFramePr>
            <a:graphic>
              <a:graphicData uri="http://schemas.openxmlformats.org/drawingml/2006/picture">
                <pic:pic>
                  <pic:nvPicPr>
                    <pic:cNvPr id="0" name="fig3_byte_size.png"/>
                    <pic:cNvPicPr/>
                  </pic:nvPicPr>
                  <pic:blipFill>
                    <a:blip r:embed="rId15"/>
                    <a:stretch>
                      <a:fillRect/>
                    </a:stretch>
                  </pic:blipFill>
                  <pic:spPr>
                    <a:xfrm>
                      <a:off x="0" y="0"/>
                      <a:ext cx="5400000" cy="2338357"/>
                    </a:xfrm>
                    <a:prstGeom prst="rect"/>
                  </pic:spPr>
                </pic:pic>
              </a:graphicData>
            </a:graphic>
          </wp:inline>
        </w:drawing>
      </w:r>
    </w:p>
    <w:p>
      <w:pPr>
        <w:pStyle w:val="图表名称"/>
      </w:pPr>
      <w:r>
        <w:rPr>
          <w:i w:val="0"/>
        </w:rPr>
        <w:t>图 3  完整负载与紧凑提交的字节规模对比</w:t>
      </w:r>
    </w:p>
    <w:p>
      <w:pPr>
        <w:pStyle w:val="图表名称"/>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rPr>
          <w:i w:val="0"/>
        </w:rPr>
        <w:t>Fig. 3  Byte-size comparison between full payloads and compact commits</w:t>
      </w:r>
    </w:p>
    <w:p>
      <w:pPr>
        <w:pStyle w:val="二级标题"/>
      </w:pPr>
      <w:r>
        <w:rPr>
          <w:i w:val="0"/>
        </w:rPr>
        <w:t xml:space="preserve">批大小对摊销成本的影响</w:t>
      </w:r>
    </w:p>
    <w:p>
      <w:pPr>
        <w:pStyle w:val="正文"/>
      </w:pPr>
      <w:r>
        <w:rPr>
          <w:i w:val="0"/>
        </w:rPr>
        <w:t>RQ2 关注提交策略在何种条件下会改变高频合成负载的系统可行性。实验比较全链上调用数据、紧凑外部 DA、紧凑类 EIP-4844 方案和紧凑模块化 DA 采样四类路线。主要指标为摊销 gas 用量和降幅比例。</w:t>
      </w:r>
    </w:p>
    <w:p>
      <w:pPr>
        <w:pStyle w:val="正文"/>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2" w:space="448" w:equalWidth="1"/>
          <w:docGrid w:type="lines" w:linePitch="400"/>
        </w:sectPr>
      </w:pPr>
      <w:r>
        <w:rPr>
          <w:i w:val="0"/>
        </w:rP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p>
      <w:pPr>
        <w:keepNext/>
        <w:spacing w:before="120" w:after="40"/>
        <w:jc w:val="center"/>
      </w:pPr>
      <w:r>
        <w:drawing>
          <wp:inline xmlns:a="http://schemas.openxmlformats.org/drawingml/2006/main" xmlns:pic="http://schemas.openxmlformats.org/drawingml/2006/picture">
            <wp:extent cx="5400000" cy="2534920"/>
            <wp:docPr id="4" name="Picture 4"/>
            <wp:cNvGraphicFramePr>
              <a:graphicFrameLocks noChangeAspect="1"/>
            </wp:cNvGraphicFramePr>
            <a:graphic>
              <a:graphicData uri="http://schemas.openxmlformats.org/drawingml/2006/picture">
                <pic:pic>
                  <pic:nvPicPr>
                    <pic:cNvPr id="0" name="fig4_da_cost.png"/>
                    <pic:cNvPicPr/>
                  </pic:nvPicPr>
                  <pic:blipFill>
                    <a:blip r:embed="rId16"/>
                    <a:stretch>
                      <a:fillRect/>
                    </a:stretch>
                  </pic:blipFill>
                  <pic:spPr>
                    <a:xfrm>
                      <a:off x="0" y="0"/>
                      <a:ext cx="5400000" cy="2534920"/>
                    </a:xfrm>
                    <a:prstGeom prst="rect"/>
                  </pic:spPr>
                </pic:pic>
              </a:graphicData>
            </a:graphic>
          </wp:inline>
        </w:drawing>
      </w:r>
    </w:p>
    <w:p>
      <w:pPr>
        <w:pStyle w:val="图表名称"/>
      </w:pPr>
      <w:r>
        <w:rPr>
          <w:i w:val="0"/>
        </w:rPr>
        <w:t>图 4  不同数据可用性配置下的摊销 gas 用量趋势</w:t>
      </w:r>
    </w:p>
    <w:p>
      <w:pPr>
        <w:pStyle w:val="图表名称"/>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rPr>
          <w:i w:val="0"/>
        </w:rPr>
        <w:t>Fig. 4  Amortized gas trends under different DA configurations</w:t>
      </w:r>
    </w:p>
    <w:p>
      <w:pPr>
        <w:pStyle w:val="二级标题"/>
      </w:pPr>
      <w:r>
        <w:rPr>
          <w:i w:val="0"/>
        </w:rPr>
        <w:t xml:space="preserve">恢复机制对挑战活性的作用</w:t>
      </w:r>
    </w:p>
    <w:p>
      <w:pPr>
        <w:pStyle w:val="正文"/>
      </w:pPr>
      <w:r>
        <w:rPr>
          <w:i w:val="0"/>
        </w:rPr>
        <w:t>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pPr>
        <w:pStyle w:val="正文"/>
      </w:pPr>
      <w:r>
        <w:rPr>
          <w:i w:val="0"/>
        </w:rP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pPr>
        <w:pStyle w:val="正文"/>
      </w:pPr>
      <w:r>
        <w:rPr>
          <w:i w:val="0"/>
        </w:rPr>
        <w:t>利用表 2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pPr>
        <w:pStyle w:val="正文"/>
      </w:pPr>
      <w:r>
        <w:rPr>
          <w:i w:val="0"/>
        </w:rPr>
        <w:t>该比例仅表示本地 EVM 中两条合约路径的相对开销。</w:t>
      </w:r>
    </w:p>
    <w:p>
      <w:pPr>
        <w:pStyle w:val="二级标题"/>
      </w:pPr>
      <w:r>
        <w:rPr>
          <w:i w:val="0"/>
        </w:rPr>
        <w:t xml:space="preserve">故障场景的检测与处置</w:t>
      </w:r>
    </w:p>
    <w:p>
      <w:pPr>
        <w:pStyle w:val="正文"/>
      </w:pPr>
      <w:r>
        <w:rPr>
          <w:i w:val="0"/>
        </w:rPr>
        <w:t>RQ4 采用面向故障分类的安全评估方式。实验注入八类合成场景，区分其在当前原型中能否被检测、能否恢复推进、能否进入重放以及能否触发罚没。指标为检测率、挑战成功率和罚没比例。</w:t>
      </w:r>
    </w:p>
    <w:p>
      <w:pPr>
        <w:pStyle w:val="正文"/>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2" w:space="448" w:equalWidth="1"/>
          <w:docGrid w:type="lines" w:linePitch="400"/>
        </w:sectPr>
      </w:pPr>
      <w:r>
        <w:rPr>
          <w:i w:val="0"/>
        </w:rP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图表名称"/>
        <w:spacing w:before="160"/>
      </w:pPr>
      <w:r>
        <w:rPr>
          <w:i w:val="0"/>
        </w:rPr>
        <w:t>表 1  失败场景分类与当前证据边界</w:t>
      </w:r>
    </w:p>
    <w:p>
      <w:pPr>
        <w:pStyle w:val="图表名称"/>
      </w:pPr>
      <w:r>
        <w:rPr>
          <w:i w:val="0"/>
        </w:rPr>
        <w:t>Table 1  Failure scenarios and evidence boundaries</w:t>
      </w:r>
    </w:p>
    <w:tbl>
      <w:tblPr>
        <w:tblW w:type="auto" w:w="0"/>
        <w:jc w:val="center"/>
        <w:tblLayout w:type="autofit"/>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2126"/>
        <w:gridCol w:w="2126"/>
        <w:gridCol w:w="2126"/>
        <w:gridCol w:w="2126"/>
      </w:tblGrid>
      <w:tr>
        <w:trPr>
          <w:tblHeader/>
        </w:trPr>
        <w:tc>
          <w:tcPr>
            <w:tcW w:type="dxa" w:w="1474"/>
            <w:tcBorders>
              <w:bottom w:val="single" w:sz="6" w:space="0" w:color="000000"/>
            </w:tcBorders>
          </w:tcPr>
          <w:p>
            <w:pPr>
              <w:spacing w:before="20" w:after="20"/>
              <w:jc w:val="center"/>
            </w:pPr>
            <w:r/>
            <w:r>
              <w:rPr>
                <w:i w:val="0"/>
              </w:rPr>
              <w:t>类别</w:t>
            </w:r>
          </w:p>
        </w:tc>
        <w:tc>
          <w:tcPr>
            <w:tcW w:type="dxa" w:w="2494"/>
            <w:tcBorders>
              <w:bottom w:val="single" w:sz="6" w:space="0" w:color="000000"/>
            </w:tcBorders>
          </w:tcPr>
          <w:p>
            <w:pPr>
              <w:spacing w:before="20" w:after="20"/>
              <w:jc w:val="center"/>
            </w:pPr>
            <w:r/>
            <w:r>
              <w:rPr>
                <w:i w:val="0"/>
              </w:rPr>
              <w:t>场景</w:t>
            </w:r>
          </w:p>
        </w:tc>
        <w:tc>
          <w:tcPr>
            <w:tcW w:type="dxa" w:w="2381"/>
            <w:tcBorders>
              <w:bottom w:val="single" w:sz="6" w:space="0" w:color="000000"/>
            </w:tcBorders>
          </w:tcPr>
          <w:p>
            <w:pPr>
              <w:spacing w:before="20" w:after="20"/>
              <w:jc w:val="center"/>
            </w:pPr>
            <w:r/>
            <w:r>
              <w:rPr>
                <w:i w:val="0"/>
              </w:rPr>
              <w:t>当前结果</w:t>
            </w:r>
          </w:p>
        </w:tc>
        <w:tc>
          <w:tcPr>
            <w:tcW w:type="dxa" w:w="2154"/>
            <w:tcBorders>
              <w:bottom w:val="single" w:sz="6" w:space="0" w:color="000000"/>
            </w:tcBorders>
          </w:tcPr>
          <w:p>
            <w:pPr>
              <w:spacing w:before="20" w:after="20"/>
              <w:jc w:val="center"/>
            </w:pPr>
            <w:r/>
            <w:r>
              <w:rPr>
                <w:i w:val="0"/>
              </w:rPr>
              <w:t>证据边界</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正常路径</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正常路径</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不触发检测或罚没</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说明正常路径不误报</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可检测但未统一惩罚</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远程证明无效, 数据不可用, 数据可用性证明无效</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检测率 100%，挑战成功率和罚没比例为 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说明可检测或拒绝，不说明已统一惩罚</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挑战 + 惩罚闭环</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响应篡改, 轨迹长度不匹配</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检测率、挑战成功率和罚没比例均为 100%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说明典型执行异常可进入闭环</w:t>
            </w:r>
          </w:p>
        </w:tc>
      </w:tr>
      <w:tr>
        <w:tc>
          <w:tcPr>
            <w:tcW w:type="dxa" w:w="1474"/>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超时活性对比</w:t>
            </w:r>
          </w:p>
        </w:tc>
        <w:tc>
          <w:tcPr>
            <w:tcW w:type="dxa" w:w="2494"/>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超时不可恢复 vs 超时可恢复</w:t>
            </w:r>
          </w:p>
        </w:tc>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不可恢复路径为 0%，恢复后为 100%</w:t>
            </w:r>
          </w:p>
        </w:tc>
        <w:tc>
          <w:tcPr>
            <w:tcW w:type="dxa" w:w="2154"/>
            <w:tcBorders>
              <w:top w:val="single" w:sz="4" w:space="0" w:color="000000"/>
              <w:left w:val="single" w:sz="4" w:space="0" w:color="000000"/>
              <w:bottom w:val="single" w:sz="12" w:space="0" w:color="000000"/>
              <w:right w:val="single" w:sz="4" w:space="0" w:color="000000"/>
            </w:tcBorders>
          </w:tcPr>
          <w:p>
            <w:pPr>
              <w:spacing w:before="20" w:after="20"/>
              <w:jc w:val="left"/>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r>
              <w:rPr>
                <w:i w:val="0"/>
              </w:rPr>
              <w:t>说明恢复改善仲裁活性</w:t>
            </w:r>
          </w:p>
        </w:tc>
      </w:tr>
    </w:tbl>
    <w:p>
      <w:pPr>
        <w:pStyle w:val="二级标题"/>
      </w:pPr>
      <w:r>
        <w:rPr>
          <w:i w:val="0"/>
        </w:rPr>
        <w:t xml:space="preserve">链上对应物的证据支撑</w:t>
      </w:r>
    </w:p>
    <w:p>
      <w:pPr>
        <w:pStyle w:val="正文"/>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2" w:space="448" w:equalWidth="1"/>
          <w:docGrid w:type="lines" w:linePitch="400"/>
        </w:sectPr>
      </w:pPr>
      <w:r>
        <w:rPr>
          <w:i w:val="0"/>
        </w:rPr>
        <w:t>RQ5 评估链上合约对应物。当前项目已将核心路径映射为 Solidity 合约，并在 Hardhat 本地 EVM 测试链上得到 gas 用量基线，见表 2。同一套合约已部署至 Sepolia 测试网，Chain ID 为 11155111，部署区块为 10825904。这些结果说明原型路径具有合约对应物和公开测试网可部署性，不应被解释为生产可用性。</w:t>
      </w:r>
    </w:p>
    <w:p>
      <w:pPr>
        <w:pStyle w:val="图表名称"/>
        <w:spacing w:before="160"/>
      </w:pPr>
      <w:r>
        <w:rPr>
          <w:i w:val="0"/>
        </w:rPr>
        <w:t>表 2  本地 EVM 关键路径平均 gasUsed</w:t>
      </w:r>
    </w:p>
    <w:p>
      <w:pPr>
        <w:pStyle w:val="图表名称"/>
      </w:pPr>
      <w:r>
        <w:rPr>
          <w:i w:val="0"/>
        </w:rPr>
        <w:t>Table 2  Average gasUsed of local EVM key paths</w:t>
      </w:r>
    </w:p>
    <w:tbl>
      <w:tblPr>
        <w:tblW w:type="auto" w:w="0"/>
        <w:jc w:val="center"/>
        <w:tblLayout w:type="autofit"/>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2835"/>
        <w:gridCol w:w="2835"/>
        <w:gridCol w:w="2835"/>
      </w:tblGrid>
      <w:tr>
        <w:trPr>
          <w:tblHeader/>
        </w:trPr>
        <w:tc>
          <w:tcPr>
            <w:tcW w:type="dxa" w:w="2608"/>
            <w:tcBorders>
              <w:bottom w:val="single" w:sz="6" w:space="0" w:color="000000"/>
            </w:tcBorders>
          </w:tcPr>
          <w:p>
            <w:pPr>
              <w:spacing w:before="20" w:after="20"/>
              <w:jc w:val="center"/>
            </w:pPr>
            <w:r/>
            <w:r>
              <w:rPr>
                <w:i w:val="0"/>
              </w:rPr>
              <w:t>操作</w:t>
            </w:r>
          </w:p>
        </w:tc>
        <w:tc>
          <w:tcPr>
            <w:tcW w:type="dxa" w:w="1928"/>
            <w:tcBorders>
              <w:bottom w:val="single" w:sz="6" w:space="0" w:color="000000"/>
            </w:tcBorders>
          </w:tcPr>
          <w:p>
            <w:pPr>
              <w:spacing w:before="20" w:after="20"/>
              <w:jc w:val="center"/>
            </w:pPr>
            <w:r/>
            <w:r>
              <w:rPr>
                <w:i w:val="0"/>
              </w:rPr>
              <w:t>gasUsed</w:t>
            </w:r>
          </w:p>
        </w:tc>
        <w:tc>
          <w:tcPr>
            <w:tcW w:type="dxa" w:w="3969"/>
            <w:tcBorders>
              <w:bottom w:val="single" w:sz="6" w:space="0" w:color="000000"/>
            </w:tcBorders>
          </w:tcPr>
          <w:p>
            <w:pPr>
              <w:spacing w:before="20" w:after="20"/>
              <w:jc w:val="center"/>
            </w:pPr>
            <w:r/>
            <w:r>
              <w:rPr>
                <w:i w:val="0"/>
              </w:rPr>
              <w:t>含义</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registerDA</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113526.00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MockDARegistry 记录负载哈希与数据可用性根</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submitRollup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299033.67</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紧凑提交提交路径</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challengeOpen</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283769.00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打开争议并加载证据</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challengeRespond</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65886.00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被挑战方响应</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challengeStep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93807.00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二分定位的单轮推进</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challengeRecover</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156891.00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恢复超时会话</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challengeReplay</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135632.00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单步重放仲裁</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challengeResolve</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113402.00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结算争议结果</w:t>
            </w:r>
          </w:p>
        </w:tc>
      </w:tr>
      <w:tr>
        <w:tc>
          <w:tcPr>
            <w:tcW w:type="dxa" w:w="2608"/>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challengeFinalize</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33477.00</w:t>
            </w:r>
          </w:p>
        </w:tc>
        <w:tc>
          <w:tcPr>
            <w:tcW w:type="dxa" w:w="3969"/>
            <w:tcBorders>
              <w:top w:val="single" w:sz="4" w:space="0" w:color="000000"/>
              <w:left w:val="single" w:sz="4" w:space="0" w:color="000000"/>
              <w:bottom w:val="single" w:sz="12" w:space="0" w:color="000000"/>
              <w:right w:val="single" w:sz="4" w:space="0" w:color="000000"/>
            </w:tcBorders>
          </w:tcPr>
          <w:p>
            <w:pPr>
              <w:spacing w:before="20" w:after="20"/>
              <w:jc w:val="left"/>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r>
              <w:rPr>
                <w:i w:val="0"/>
              </w:rPr>
              <w:t>挑战期后最终确认</w:t>
            </w:r>
          </w:p>
        </w:tc>
      </w:tr>
    </w:tbl>
    <w:p>
      <w:pPr>
        <w:pStyle w:val="正文"/>
      </w:pPr>
      <w:r>
        <w:rPr>
          <w:i w:val="0"/>
        </w:rP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pPr>
        <w:pStyle w:val="二级标题"/>
      </w:pPr>
      <w:r>
        <w:rPr>
          <w:i w:val="0"/>
        </w:rPr>
        <w:t xml:space="preserve">实验小结</w:t>
      </w:r>
    </w:p>
    <w:p>
      <w:pPr>
        <w:pStyle w:val="正文"/>
      </w:pPr>
      <w:r>
        <w:rPr>
          <w:i w:val="0"/>
        </w:rPr>
        <w:t>上述 RQ1 至 RQ5 已经包含了部分对比分析。总体来看，可恢复路径使超时场景从检测停滞推进到可重放与结算；紧凑提交将链上提交稳定在约 406 字节；DA 感知成本模型说明批处理和数据可用性路径共同决定摊销成本；故障分类则区分检测、拒绝、重放与罚没等不同协议能力。</w:t>
      </w:r>
    </w:p>
    <w:p>
      <w:pPr>
        <w:pStyle w:val="正文"/>
      </w:pPr>
      <w:r>
        <w:rPr>
          <w:i w:val="0"/>
        </w:rPr>
        <w:t>上述对比表明，本文机制的主要贡献在于组合轻量提交、证据绑定和可恢复仲裁路</w:t>
        <w:tab/>
        <w:t>径，使高频场景下的异常处理能够继续推进。</w:t>
      </w:r>
    </w:p>
    <w:p>
      <w:pPr>
        <w:pStyle w:val="一级标题"/>
      </w:pPr>
      <w:r>
        <w:rPr>
          <w:i w:val="0"/>
        </w:rPr>
        <w:t xml:space="preserve">结语</w:t>
      </w:r>
    </w:p>
    <w:p>
      <w:pPr>
        <w:pStyle w:val="正文"/>
      </w:pPr>
      <w:r>
        <w:rPr>
          <w:i w:val="0"/>
        </w:rPr>
        <w:t>本文面向高频去中心化应用中的低延迟、低链上开销与公开可验证仲裁需求，提出了面向 Hybrid TEE-Rollup 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DA 指针与 DA 根，为异常路径提供最小证据入口；成本模型则用于分析负载规模、批处理摊销与 DA 路径选择之间的关系。</w:t>
      </w:r>
    </w:p>
    <w:p>
      <w:pPr>
        <w:pStyle w:val="正文"/>
      </w:pPr>
      <w:r>
        <w:rPr>
          <w:i w:val="0"/>
        </w:rPr>
        <w:t>基于 Python 原型、本地 EVM gas 测量与 Sepolia 部署记录，实验结果表明，紧凑提交能够隔离链上提交规模与完整负载增长，在给定配置下模块化 DA 采样路径具有明显的摊销成本优势，恢复路径也能改善超时场景下的挑战完成能力。需要说明的是，当前结果基于模拟 TEE、可验证 DA 注册表和配置化成本模型，尚不代表真实主网或生产环境表现。后续工作将进一步接入真实 TEE 与数据可用性网络，并完善并发挑战、恢复频率限制和故障到罚没的统一处理机制。</w:t>
      </w:r>
    </w:p>
    <w:p>
      <w:pPr>
        <w:numPr>
          <w:ilvl w:val="0"/>
          <w:numId w:val="0"/>
        </w:numPr>
        <w:pStyle w:val="一级标题"/>
        <w:spacing w:before="240"/>
      </w:pPr>
      <w:r>
        <w:rPr>
          <w:i w:val="0"/>
        </w:rPr>
        <w:t>参考文献</w:t>
      </w:r>
    </w:p>
    <w:p>
      <w:pPr>
        <w:pStyle w:val="文献列表"/>
        <w:numPr>
          <w:ilvl w:val="0"/>
          <w:numId w:val="20"/>
        </w:numPr>
      </w:pPr>
      <w:r>
        <w:rPr>
          <w:i w:val="0"/>
        </w:rPr>
        <w:t xml:space="preserve">Wen Xiaoqing, Feng Quanbi, Lyu Hanzheng, et al. TeeRollup: efficient Rollup design using heterogeneous TEE[PP/OL]. V3. arXiv (2025-11-30) [2026-09-12]. https://arxiv.org/abs/2409.14647. DOI:10.48550/arXiv.2409.14647.</w:t>
      </w:r>
    </w:p>
    <w:p>
      <w:pPr>
        <w:pStyle w:val="文献列表"/>
        <w:numPr>
          <w:ilvl w:val="0"/>
          <w:numId w:val="20"/>
        </w:numPr>
      </w:pPr>
      <w:r>
        <w:rPr>
          <w:i w:val="0"/>
        </w:rPr>
        <w:t xml:space="preserve">Conway K D, So C, Yu X, et al. opML: optimistic machine learning on blockchain[PP/OL]. V2. arXiv (2024-02-05) [2026-09-12]. https://arxiv.org/abs/2401.17555. DOI:10.48550/arXiv.2401.17555.</w:t>
      </w:r>
    </w:p>
    <w:p>
      <w:pPr>
        <w:pStyle w:val="文献列表"/>
        <w:numPr>
          <w:ilvl w:val="0"/>
          <w:numId w:val="20"/>
        </w:numPr>
      </w:pPr>
      <w:r>
        <w:rPr>
          <w:i w:val="0"/>
        </w:rPr>
        <w:t xml:space="preserve">Picco G, Fortugno A. Dynamic fraud proof[PP/OL]. arXiv (2025-02-14) [2026-09-12]. https://arxiv.org/abs/2502.10321. DOI:10.48550/arXiv.2502.10321.</w:t>
      </w:r>
    </w:p>
    <w:p>
      <w:pPr>
        <w:pStyle w:val="文献列表"/>
        <w:numPr>
          <w:ilvl w:val="0"/>
          <w:numId w:val="20"/>
        </w:numPr>
      </w:pPr>
      <w:r>
        <w:rPr>
          <w:i w:val="0"/>
        </w:rPr>
        <w:t xml:space="preserve">Al-Bassam M. LazyLedger: a distributed data availability ledger with client-side smart contracts[PP/OL]. V4. arXiv (2019-06-08) [2026-09-12]. https://arxiv.org/abs/1905.09274. DOI:10.48550/arXiv.1905.09274.</w:t>
      </w:r>
    </w:p>
    <w:p>
      <w:pPr>
        <w:pStyle w:val="文献列表"/>
        <w:numPr>
          <w:ilvl w:val="0"/>
          <w:numId w:val="20"/>
        </w:numPr>
      </w:pPr>
      <w:r>
        <w:rPr>
          <w:i w:val="0"/>
        </w:rPr>
        <w:t xml:space="preserve">Buterin V. An incomplete guide to Rollups[EB/OL]. (2021-01-05) [2026-09-12]. https://vitalik.eth.limo/general/2021/01/05/rollup.html.</w:t>
      </w:r>
    </w:p>
    <w:p>
      <w:pPr>
        <w:pStyle w:val="文献列表"/>
        <w:numPr>
          <w:ilvl w:val="0"/>
          <w:numId w:val="20"/>
        </w:numPr>
      </w:pPr>
      <w:r>
        <w:rPr>
          <w:i w:val="0"/>
        </w:rPr>
        <w:t xml:space="preserve">ETHEREUM FOUNDATION. Optimistic Rollups[EB/OL]. (2024) [2026-09-12]. https://ethereum.org/en/developers/docs/scaling/optimistic-rollups/.</w:t>
      </w:r>
    </w:p>
    <w:p>
      <w:pPr>
        <w:pStyle w:val="文献列表"/>
        <w:numPr>
          <w:ilvl w:val="0"/>
          <w:numId w:val="20"/>
        </w:numPr>
      </w:pPr>
      <w:r>
        <w:rPr>
          <w:i w:val="0"/>
        </w:rPr>
        <w:t xml:space="preserve">ARBITRUM FOUNDATION. Arbitrum Nitro technical documentation[EB/OL]. (2024) [2026-09-12]. https://docs.arbitrum.io/.</w:t>
      </w:r>
    </w:p>
    <w:p>
      <w:pPr>
        <w:pStyle w:val="文献列表"/>
        <w:numPr>
          <w:ilvl w:val="0"/>
          <w:numId w:val="20"/>
        </w:numPr>
      </w:pPr>
      <w:r>
        <w:rPr>
          <w:i w:val="0"/>
        </w:rPr>
        <w:t xml:space="preserve">OP LABS. Optimism documentation: fault proofs and dispute games[EB/OL]. (2024) [2026-09-12]. https://docs.optimism.io/stack/fault-proofs/.</w:t>
      </w:r>
    </w:p>
    <w:p>
      <w:pPr>
        <w:pStyle w:val="文献列表"/>
        <w:numPr>
          <w:ilvl w:val="0"/>
          <w:numId w:val="20"/>
        </w:numPr>
      </w:pPr>
      <w:r>
        <w:rPr>
          <w:i w:val="0"/>
        </w:rPr>
        <w:t xml:space="preserve">Tas E N, Tse D, Yang L, et al. Light clients for lazy blockchains[PP/OL]. V3. arXiv (2024-05-04) [2026-09-12]. https://arxiv.org/abs/2203.15968. DOI:10.48550/arXiv.2203.15968.</w:t>
      </w:r>
    </w:p>
    <w:p>
      <w:pPr>
        <w:pStyle w:val="文献列表"/>
        <w:numPr>
          <w:ilvl w:val="0"/>
          <w:numId w:val="20"/>
        </w:numPr>
      </w:pPr>
      <w:r>
        <w:rPr>
          <w:i w:val="0"/>
        </w:rPr>
        <w:t xml:space="preserve">EIGENLABS. EigenDA documentation[EB/OL]. (2024) [2026-09-12]. https://docs.eigenda.xyz/.</w:t>
      </w:r>
    </w:p>
    <w:p>
      <w:pPr>
        <w:pStyle w:val="文献列表"/>
        <w:numPr>
          <w:ilvl w:val="0"/>
          <w:numId w:val="20"/>
        </w:numPr>
      </w:pPr>
      <w:r>
        <w:rPr>
          <w:i w:val="0"/>
        </w:rPr>
        <w:t xml:space="preserve">CELESTIA. Celestia: modular blockchain network[EB/OL]. (2024) [2026-09-12]. https://docs.celestia.org/.</w:t>
      </w:r>
    </w:p>
    <w:p>
      <w:pPr>
        <w:pStyle w:val="文献列表"/>
        <w:numPr>
          <w:ilvl w:val="0"/>
          <w:numId w:val="20"/>
        </w:numPr>
      </w:pPr>
      <w:r>
        <w:rPr>
          <w:i w:val="0"/>
        </w:rPr>
        <w:t xml:space="preserve">INTEL CORPORATION. Intel Software Guard Extensions developer guide[EB/OL]. (2024) [2026-09-12]. https://www.intel.com/content/www/us/en/developer/tools/software-guard-extensions.html.</w:t>
      </w:r>
    </w:p>
    <w:p>
      <w:pPr>
        <w:pStyle w:val="文献列表"/>
        <w:numPr>
          <w:ilvl w:val="0"/>
          <w:numId w:val="20"/>
        </w:numPr>
      </w:pPr>
      <w:r>
        <w:rPr>
          <w:i w:val="0"/>
        </w:rPr>
        <w:t xml:space="preserve">ETHEREUM FOUNDATION. EIP-4844: shard blob transactions[EB/OL]. (2024) [2026-09-12]. https://eips.ethereum.org/EIPS/eip-4844.</w:t>
      </w:r>
    </w:p>
    <w:p>
      <w:pPr>
        <w:pStyle w:val="摘要关键词"/>
        <w:spacing w:before="160"/>
      </w:pPr>
      <w:r>
        <w:rPr>
          <w:i w:val="0"/>
        </w:rPr>
        <w:t>基金项目：无</w:t>
      </w:r>
    </w:p>
    <w:p>
      <w:pPr>
        <w:pStyle w:val="摘要关键词"/>
      </w:pPr>
      <w:r>
        <w:rPr>
          <w:i w:val="0"/>
        </w:rPr>
        <w:t>作者简介：杨帆（2003—），男，湖南邵阳人，硕士研究生，主要研究方向：区块链系统与跨链互操作、可信执行环境与隐私计算、Layer 2/Rollup 扩容与安全、去中心化金融与交易公平性。</w:t>
      </w:r>
    </w:p>
    <w:p>
      <w:pPr>
        <w:pStyle w:val="摘要关键词"/>
      </w:pPr>
      <w:r>
        <w:rPr>
          <w:i w:val="0"/>
        </w:rPr>
        <w:t>本文有任何疑问请联系作者：杨帆，手机号是：13319693336，邮箱是 2991777340@qq.com。</w:t>
      </w:r>
    </w:p>
    <w:p>
      <w:pPr>
        <w:pStyle w:val="摘要关键词"/>
      </w:pPr>
      <w:r>
        <w:rPr>
          <w:i w:val="0"/>
        </w:rPr>
        <w:t>YANG Fan, born in 2003, M. S. candidate. His research interests include blockchain systems and cross-chain interoperability, trusted execution environment and privacy computing, Layer 2/Rollup scaling and security, and decentralized finance and trading fairness.</w:t>
      </w:r>
    </w:p>
    <w:p>
      <w:pPr>
        <w:sectPr>
          <w:footerReference w:type="first" r:id="rId10"/>
          <w:footerReference w:type="default" r:id="rId10"/>
          <w:headerReference w:type="first" r:id="rId9"/>
          <w:headerReference w:type="default" r:id="rId9"/>
          <w:type w:val="continuous"/>
          <w:pgSz w:w="11900" w:h="16840" w:orient="portrait"/>
          <w:pgMar w:top="1361" w:right="907" w:bottom="680" w:left="1191" w:header="737" w:footer="737" w:gutter="0"/>
          <w:cols w:num="1"/>
          <w:docGrid w:type="lines" w:linePitch="400"/>
        </w:sectPr>
      </w:pPr>
      <w:r>
        <w:br w:type="page"/>
      </w:r>
    </w:p>
    <w:p>
      <w:pPr>
        <w:numPr>
          <w:ilvl w:val="0"/>
          <w:numId w:val="0"/>
        </w:numPr>
        <w:pStyle w:val="一级标题"/>
      </w:pPr>
      <w:r>
        <w:rPr>
          <w:i w:val="0"/>
        </w:rPr>
        <w:t>附：随稿附件（供编辑部审稿使用，正式排版前删除本节）</w:t>
      </w:r>
    </w:p>
    <w:p>
      <w:pPr>
        <w:numPr>
          <w:ilvl w:val="0"/>
          <w:numId w:val="0"/>
        </w:numPr>
        <w:pStyle w:val="二级标题"/>
      </w:pPr>
      <w:r>
        <w:rPr>
          <w:i w:val="0"/>
        </w:rPr>
        <w:t>1. 作者工作量说明</w:t>
      </w:r>
    </w:p>
    <w:p>
      <w:pPr>
        <w:pStyle w:val="正文"/>
      </w:pPr>
      <w:r>
        <w:rPr>
          <w:i w:val="0"/>
        </w:rPr>
        <w:t>杨帆：独立完成本文全部工作，包括选题与研究问题界定、可恢复挑战协议与紧凑提交机制设计、Python 原型与 Solidity 合约实现、本地 EVM 与 Sepolia 实验、DA 感知成本模型构建与实验分析、论文撰写与修改。</w:t>
      </w:r>
    </w:p>
    <w:p>
      <w:pPr>
        <w:numPr>
          <w:ilvl w:val="0"/>
          <w:numId w:val="0"/>
        </w:numPr>
        <w:pStyle w:val="二级标题"/>
      </w:pPr>
      <w:r>
        <w:rPr>
          <w:i w:val="0"/>
        </w:rPr>
        <w:t>2. 变量符号说明</w:t>
      </w:r>
    </w:p>
    <w:p>
      <w:pPr>
        <w:pStyle w:val="正文"/>
      </w:pPr>
      <w:r>
        <w:rPr>
          <w:i w:val="0"/>
        </w:rPr>
        <w:t>本文无矩阵、矢量变量；其余变量均采用常规斜体，说明如下：</w:t>
      </w:r>
    </w:p>
    <w:tbl>
      <w:tblPr>
        <w:tblW w:type="auto" w:w="0"/>
        <w:jc w:val="center"/>
        <w:tblLayout w:type="autofit"/>
        <w:tblLook w:firstColumn="1" w:firstRow="1" w:lastColumn="0" w:lastRow="0" w:noHBand="0" w:noVBand="1" w:val="04A0"/>
        <w:tblBorders>
          <w:top w:val="single" w:sz="6" w:space="0" w:color="000000"/>
          <w:bottom w:val="single" w:sz="6" w:space="0" w:color="000000"/>
          <w:left w:val="nil"/>
          <w:right w:val="nil"/>
          <w:insideH w:val="nil"/>
          <w:insideV w:val="nil"/>
        </w:tblBorders>
      </w:tblPr>
      <w:tblGrid>
        <w:gridCol w:w="2835"/>
        <w:gridCol w:w="2835"/>
        <w:gridCol w:w="2835"/>
      </w:tblGrid>
      <w:tr>
        <w:trPr>
          <w:tblHeader/>
        </w:trPr>
        <w:tc>
          <w:tcPr>
            <w:tcW w:type="dxa" w:w="2381"/>
            <w:tcBorders>
              <w:bottom w:val="single" w:sz="6" w:space="0" w:color="000000"/>
            </w:tcBorders>
          </w:tcPr>
          <w:p>
            <w:pPr>
              <w:spacing w:before="20" w:after="20"/>
              <w:jc w:val="center"/>
            </w:pPr>
            <w:r/>
            <w:r>
              <w:rPr>
                <w:i w:val="0"/>
              </w:rPr>
              <w:t>变量符号</w:t>
            </w:r>
          </w:p>
        </w:tc>
        <w:tc>
          <w:tcPr>
            <w:tcW w:type="dxa" w:w="4195"/>
            <w:tcBorders>
              <w:bottom w:val="single" w:sz="6" w:space="0" w:color="000000"/>
            </w:tcBorders>
          </w:tcPr>
          <w:p>
            <w:pPr>
              <w:spacing w:before="20" w:after="20"/>
              <w:jc w:val="center"/>
            </w:pPr>
            <w:r/>
            <w:r>
              <w:rPr>
                <w:i w:val="0"/>
              </w:rPr>
              <w:t>含义</w:t>
            </w:r>
          </w:p>
        </w:tc>
        <w:tc>
          <w:tcPr>
            <w:tcW w:type="dxa" w:w="1928"/>
            <w:tcBorders>
              <w:bottom w:val="single" w:sz="6" w:space="0" w:color="000000"/>
            </w:tcBorders>
          </w:tcPr>
          <w:p>
            <w:pPr>
              <w:spacing w:before="20" w:after="20"/>
              <w:jc w:val="center"/>
            </w:pPr>
            <w:r/>
            <w:r>
              <w:rPr>
                <w:i w:val="0"/>
              </w:rPr>
              <w:t>备注</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C_total</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单笔交易总成本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C_commit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链上紧凑提交或完整负载提交成本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C_DA</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不同 DA 路径下的数据成本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争议发生时挑战、恢复、重放与结算成本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C_amortized</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批处理后单笔摊销成本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p_challenge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争议发生概率</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batch_size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批处理规模</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cs = (id, s, F, 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挑战会话：标识、状态、挑战事实集合、超时参数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M = (S, E, δ)</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i w:val="0"/>
              </w:rPr>
              <w:t>挑战状态机：状态集合、事件集合、状态转移函数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i w:val="0"/>
              </w:rPr>
              <w:t>常规斜体</w:t>
            </w:r>
          </w:p>
        </w:tc>
      </w:tr>
      <w:tr>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n</w:t>
            </w:r>
          </w:p>
        </w:tc>
        <w:tc>
          <w:tcPr>
            <w:tcW w:type="dxa" w:w="4195"/>
            <w:tcBorders>
              <w:top w:val="single" w:sz="4" w:space="0" w:color="000000"/>
              <w:left w:val="single" w:sz="4" w:space="0" w:color="000000"/>
              <w:bottom w:val="single" w:sz="12" w:space="0" w:color="000000"/>
              <w:right w:val="single" w:sz="4" w:space="0" w:color="000000"/>
            </w:tcBorders>
          </w:tcPr>
          <w:p>
            <w:pPr>
              <w:spacing w:before="20" w:after="20"/>
              <w:jc w:val="center"/>
            </w:pPr>
            <w:r/>
            <w:r>
              <w:rPr>
                <w:i w:val="0"/>
              </w:rPr>
              <w:t>执行轨迹长度</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left"/>
            </w:pPr>
            <w:r/>
            <w:r>
              <w:rPr>
                <w:i w:val="0"/>
              </w:rPr>
              <w:t>常规斜体</w:t>
            </w:r>
          </w:p>
        </w:tc>
      </w:tr>
    </w:tbl>
    <w:p>
      <w:pPr>
        <w:numPr>
          <w:ilvl w:val="0"/>
          <w:numId w:val="0"/>
        </w:numPr>
        <w:pStyle w:val="二级标题"/>
      </w:pPr>
      <w:r>
        <w:rPr>
          <w:i w:val="0"/>
        </w:rPr>
        <w:t>3. 研究背景与基金项目介绍</w:t>
      </w:r>
    </w:p>
    <w:p>
      <w:pPr>
        <w:pStyle w:val="正文"/>
      </w:pPr>
      <w:r>
        <w:rPr>
          <w:i w:val="0"/>
        </w:rPr>
        <w:t>本文无基金项目支持。研究背景：高频去中心化应用（如链上 AI 推理服务）要求低延迟、低链上开销与公开可验证仲裁并存；现有 Rollup 路线在异常路径上缺乏超时后的恢复与仲裁连续性保障，链上提交也难以在保留证据关联的前提下与完整负载解耦。本文据此提出可恢复挑战协议、携带证据的紧凑提交机制与数据可用性感知成本模型，并以 Python 原型、本地 EVM gas 实测与 Sepolia 部署记录加以验证。</w:t>
      </w:r>
    </w:p>
    <w:sectPr>
      <w:footerReference w:type="first" r:id="rId10"/>
      <w:footerReference w:type="default" r:id="rId10"/>
      <w:headerReference w:type="first" r:id="rId9"/>
      <w:headerReference w:type="default" r:id="rId9"/>
      <w:pgSz w:w="11900" w:h="16840" w:orient="portrait"/>
      <w:pgMar w:top="1361" w:right="907" w:bottom="680" w:left="1191" w:header="737" w:footer="737" w:gutter="0"/>
      <w:cols w:num="1"/>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spacing w:line="240" w:lineRule="exact"/>
      <w:jc w:val="center"/>
    </w:pPr>
    <w:r>
      <w:rPr>
        <w:rFonts w:ascii="Times New Roman" w:hAnsi="Times New Roman" w:eastAsia="宋体"/>
        <w:sz w:val="15"/>
        <w:szCs w:val="15"/>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spacing w:line="240" w:lineRule="exact"/>
      <w:jc w:val="center"/>
    </w:pPr>
    <w:r>
      <w:rPr>
        <w:rFonts w:ascii="Times New Roman" w:hAnsi="Times New Roman" w:eastAsia="宋体"/>
        <w:sz w:val="15"/>
        <w:szCs w:val="15"/>
      </w:rPr>
      <w:t xml:space="preserve">Journal of Computer Applications</w:t>
    </w:r>
  </w:p>
  <w:p>
    <w:pPr>
      <w:spacing w:line="240" w:lineRule="exact"/>
      <w:jc w:val="center"/>
    </w:pPr>
    <w:r>
      <w:rPr>
        <w:rFonts w:ascii="Times New Roman" w:hAnsi="Times New Roman" w:eastAsia="宋体"/>
        <w:sz w:val="15"/>
        <w:szCs w:val="15"/>
      </w:rPr>
      <w:t xml:space="preserve">ISSN 1001-9081</w:t>
    </w:r>
  </w:p>
  <w:p>
    <w:pPr>
      <w:spacing w:line="240" w:lineRule="exact"/>
      <w:jc w:val="center"/>
    </w:pPr>
    <w:r>
      <w:rPr>
        <w:rFonts w:ascii="Times New Roman" w:hAnsi="Times New Roman" w:eastAsia="宋体"/>
        <w:sz w:val="15"/>
        <w:szCs w:val="15"/>
      </w:rPr>
      <w:t xml:space="preserve">计算机应用   CODEN JYIIDU   http://www.joca.cn</w:t>
    </w:r>
  </w:p>
</w:hdr>
</file>

<file path=word/numbering.xml><?xml version="1.0" encoding="utf-8"?>
<w:numbering xmlns:w="http://schemas.openxmlformats.org/wordprocessingml/2006/main">
  <w:abstractNum w:abstractNumId="10">
    <w:multiLevelType w:val="multilevel"/>
    <w:lvl w:ilvl="0">
      <w:start w:val="0"/>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abstractNum>
  <w:num w:numId="10">
    <w:abstractNumId w:val="10"/>
  </w:num>
  <w:abstractNum w:abstractNumId="20">
    <w:multiLevelType w:val="singleLevel"/>
    <w:lvl w:ilvl="0">
      <w:start w:val="1"/>
      <w:numFmt w:val="decimal"/>
      <w:lvlText w:val="[%1]"/>
      <w:lvlJc w:val="left"/>
      <w:pPr>
        <w:ind w:left="360" w:hanging="360"/>
      </w:pPr>
      <w:rPr>
        <w:rFonts w:ascii="Times New Roman" w:hAnsi="Times New Roman" w:eastAsia="宋体"/>
      </w:rPr>
    </w:lvl>
  </w:abstract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18"/>
        <w:szCs w:val="18"/>
      </w:rPr>
    </w:rPrDefault>
    <w:pPrDefault>
      <w:pPr>
        <w:spacing w:line="400" w:lineRule="exact"/>
        <w:widowControl/>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jc w:val="both"/>
      <w:widowControl/>
    </w:pPr>
    <w:rPr>
      <w:rFonts w:ascii="Times New Roman" w:hAnsi="Times New Roman" w:eastAsia="宋体" w:cs="Times New Roman"/>
      <w:sz w:val="18"/>
      <w:szCs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题">
    <w:name w:val="文题"/>
    <w:basedOn w:val="Normal"/>
    <w:qFormat/>
    <w:pPr>
      <w:widowControl/>
      <w:spacing w:line="400" w:lineRule="exact" w:before="240" w:after="240"/>
      <w:jc w:val="center"/>
      <w:outlineLvl w:val="0"/>
    </w:pPr>
    <w:rPr>
      <w:rFonts w:ascii="Times New Roman" w:hAnsi="Times New Roman" w:eastAsia="黑体" w:cs="Times New Roman"/>
      <w:b/>
      <w:bCs/>
      <w:sz w:val="36"/>
      <w:szCs w:val="36"/>
    </w:rPr>
  </w:style>
  <w:style w:type="paragraph" w:customStyle="1" w:styleId="作者名">
    <w:name w:val="作者名"/>
    <w:basedOn w:val="Normal"/>
    <w:qFormat/>
    <w:pPr>
      <w:widowControl/>
      <w:spacing w:line="400" w:lineRule="exact"/>
      <w:jc w:val="center"/>
      <w:outlineLvl w:val="0"/>
    </w:pPr>
    <w:rPr>
      <w:rFonts w:ascii="Times New Roman" w:hAnsi="Times New Roman" w:eastAsia="宋体" w:cs="Times New Roman"/>
      <w:sz w:val="24"/>
      <w:szCs w:val="24"/>
    </w:rPr>
  </w:style>
  <w:style w:type="paragraph" w:customStyle="1" w:styleId="单位">
    <w:name w:val="单位"/>
    <w:basedOn w:val="Normal"/>
    <w:qFormat/>
    <w:pPr>
      <w:widowControl/>
      <w:spacing w:line="460" w:lineRule="exact"/>
      <w:jc w:val="center"/>
      <w:outlineLvl w:val="0"/>
    </w:pPr>
    <w:rPr>
      <w:rFonts w:ascii="Times New Roman" w:hAnsi="Times New Roman" w:eastAsia="宋体" w:cs="Times New Roman"/>
      <w:sz w:val="15"/>
      <w:szCs w:val="15"/>
    </w:rPr>
  </w:style>
  <w:style w:type="paragraph" w:customStyle="1" w:styleId="摘要关键词">
    <w:name w:val="摘要关键词"/>
    <w:basedOn w:val="Normal"/>
    <w:qFormat/>
    <w:pPr>
      <w:widowControl/>
      <w:spacing w:line="400" w:lineRule="exact"/>
      <w:ind w:firstLine="360"/>
      <w:jc w:val="both"/>
      <w:outlineLvl w:val="0"/>
    </w:pPr>
    <w:rPr>
      <w:rFonts w:ascii="Times New Roman" w:hAnsi="Times New Roman" w:eastAsia="宋体" w:cs="Times New Roman"/>
      <w:sz w:val="18"/>
      <w:szCs w:val="18"/>
    </w:rPr>
  </w:style>
  <w:style w:type="paragraph" w:customStyle="1" w:styleId="一级标题">
    <w:name w:val="一级标题"/>
    <w:basedOn w:val="Normal"/>
    <w:qFormat/>
    <w:pPr>
      <w:widowControl/>
      <w:numPr>
        <w:ilvl w:val="0"/>
        <w:numId w:val="10"/>
      </w:numPr>
      <w:spacing w:line="400" w:lineRule="exact" w:before="264" w:after="264"/>
      <w:ind w:right="180"/>
      <w:jc w:val="left"/>
      <w:outlineLvl w:val="0"/>
    </w:pPr>
    <w:rPr>
      <w:rFonts w:ascii="Times New Roman" w:hAnsi="Times New Roman" w:eastAsia="宋体" w:cs="Times New Roman"/>
      <w:sz w:val="24"/>
      <w:szCs w:val="24"/>
    </w:rPr>
  </w:style>
  <w:style w:type="paragraph" w:customStyle="1" w:styleId="二级标题">
    <w:name w:val="二级标题"/>
    <w:basedOn w:val="Normal"/>
    <w:qFormat/>
    <w:pPr>
      <w:widowControl/>
      <w:numPr>
        <w:ilvl w:val="1"/>
        <w:numId w:val="10"/>
      </w:numPr>
      <w:spacing w:line="400" w:lineRule="exact" w:before="192" w:after="192"/>
      <w:jc w:val="left"/>
      <w:outlineLvl w:val="1"/>
    </w:pPr>
    <w:rPr>
      <w:rFonts w:ascii="Times New Roman" w:hAnsi="Times New Roman" w:eastAsia="宋体" w:cs="Times New Roman"/>
      <w:sz w:val="18"/>
      <w:szCs w:val="18"/>
    </w:rPr>
  </w:style>
  <w:style w:type="paragraph" w:customStyle="1" w:styleId="三级标题">
    <w:name w:val="三级标题"/>
    <w:basedOn w:val="Normal"/>
    <w:qFormat/>
    <w:pPr>
      <w:widowControl/>
      <w:numPr>
        <w:ilvl w:val="2"/>
        <w:numId w:val="10"/>
      </w:numPr>
      <w:spacing w:line="400" w:lineRule="exact" w:before="120" w:after="120"/>
      <w:jc w:val="left"/>
      <w:outlineLvl w:val="2"/>
    </w:pPr>
    <w:rPr>
      <w:rFonts w:ascii="Times New Roman" w:hAnsi="Times New Roman" w:eastAsia="宋体" w:cs="Times New Roman"/>
      <w:sz w:val="18"/>
      <w:szCs w:val="18"/>
    </w:rPr>
  </w:style>
  <w:style w:type="paragraph" w:customStyle="1" w:styleId="正文">
    <w:name w:val="正文"/>
    <w:basedOn w:val="Normal"/>
    <w:qFormat/>
    <w:pPr>
      <w:widowControl/>
      <w:spacing w:line="400" w:lineRule="exact"/>
      <w:ind w:firstLine="360"/>
      <w:jc w:val="both"/>
    </w:pPr>
    <w:rPr>
      <w:rFonts w:ascii="Times New Roman" w:hAnsi="Times New Roman" w:eastAsia="宋体" w:cs="Times New Roman"/>
      <w:sz w:val="18"/>
      <w:szCs w:val="18"/>
    </w:rPr>
  </w:style>
  <w:style w:type="paragraph" w:customStyle="1" w:styleId="图表名称">
    <w:name w:val="图表名称"/>
    <w:basedOn w:val="Normal"/>
    <w:qFormat/>
    <w:pPr>
      <w:widowControl/>
      <w:spacing w:line="400" w:lineRule="exact"/>
      <w:jc w:val="center"/>
    </w:pPr>
    <w:rPr>
      <w:rFonts w:ascii="Times New Roman" w:hAnsi="Times New Roman" w:eastAsia="黑体" w:cs="Times New Roman"/>
      <w:sz w:val="18"/>
      <w:szCs w:val="18"/>
    </w:rPr>
  </w:style>
  <w:style w:type="paragraph" w:customStyle="1" w:styleId="文献列表">
    <w:name w:val="文献列表"/>
    <w:basedOn w:val="Normal"/>
    <w:qFormat/>
    <w:pPr>
      <w:widowControl/>
      <w:spacing w:line="400" w:lineRule="exact"/>
      <w:ind w:hanging="360"/>
      <w:jc w:val="both"/>
    </w:pPr>
    <w:rPr>
      <w:rFonts w:ascii="Times New Roman" w:hAnsi="Times New Roman" w:eastAsia="宋体" w:cs="Times New Roman"/>
      <w:sz w:val="18"/>
      <w:szCs w:val="18"/>
    </w:rPr>
  </w:style>
  <w:style w:type="paragraph" w:customStyle="1" w:styleId="正文内容">
    <w:name w:val="正文内容"/>
    <w:basedOn w:val="Normal"/>
    <w:qFormat/>
    <w:pPr>
      <w:widowControl/>
      <w:spacing w:line="400" w:lineRule="exact"/>
      <w:ind w:firstLine="360"/>
      <w:jc w:val="both"/>
    </w:pPr>
    <w:rPr>
      <w:rFonts w:ascii="Times New Roman" w:hAnsi="Times New Roman" w:eastAsia="宋体" w:cs="Times New Roman"/>
      <w:sz w:val="18"/>
      <w:szCs w:val="18"/>
    </w:rPr>
  </w:style>
  <w:style w:type="paragraph" w:customStyle="1" w:styleId="作者简介">
    <w:name w:val="作者简介"/>
    <w:basedOn w:val="Normal"/>
    <w:qFormat/>
    <w:pPr>
      <w:widowControl/>
      <w:spacing w:line="400" w:lineRule="exact"/>
      <w:jc w:val="both"/>
    </w:pPr>
    <w:rPr>
      <w:rFonts w:ascii="Times New Roman" w:hAnsi="Times New Roman" w:eastAsia="宋体" w:cs="Times New Roman"/>
      <w:sz w:val="18"/>
      <w:szCs w:val="18"/>
    </w:rPr>
  </w:style>
  <w:style w:type="paragraph" w:customStyle="1" w:styleId="定义定理">
    <w:name w:val="定义定理"/>
    <w:basedOn w:val="Normal"/>
    <w:qFormat/>
    <w:pPr>
      <w:widowControl/>
      <w:spacing w:line="400" w:lineRule="exact"/>
      <w:ind w:firstLine="360"/>
      <w:jc w:val="both"/>
    </w:pPr>
    <w:rPr>
      <w:rFonts w:ascii="Times New Roman" w:hAnsi="Times New Roman" w:eastAsia="黑体" w:cs="Times New Roman"/>
      <w:b/>
      <w:bCs/>
      <w:sz w:val="18"/>
      <w:szCs w:val="18"/>
    </w:rPr>
  </w:style>
  <w:style w:type="paragraph" w:customStyle="1" w:styleId="结论证明">
    <w:name w:val="结论证明"/>
    <w:basedOn w:val="Normal"/>
    <w:qFormat/>
    <w:pPr>
      <w:widowControl/>
      <w:spacing w:line="400" w:lineRule="exact"/>
      <w:ind w:firstLine="360"/>
      <w:jc w:val="both"/>
    </w:pPr>
    <w:rPr>
      <w:rFonts w:ascii="Times New Roman" w:hAnsi="Times New Roman" w:eastAsia="楷体" w:cs="Times New Roman"/>
      <w:b/>
      <w:bCs/>
      <w:sz w:val="18"/>
      <w:szCs w:val="18"/>
    </w:rPr>
  </w:style>
  <w:style w:type="paragraph" w:customStyle="1" w:styleId="公式">
    <w:name w:val="公式"/>
    <w:basedOn w:val="Normal"/>
    <w:qFormat/>
    <w:pPr>
      <w:widowControl/>
      <w:tabs>
        <w:tab w:val="center" w:pos="2200"/>
        <w:tab w:val="right" w:pos="4420"/>
      </w:tabs>
      <w:spacing w:line="400" w:lineRule="exact" w:before="120" w:after="120"/>
      <w:jc w:val="center"/>
    </w:pPr>
    <w:rPr>
      <w:rFonts w:ascii="Times New Roman" w:hAnsi="Times New Roman" w:eastAsia="宋体" w:cs="Times New Roman"/>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