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color w:val="000000"/>
          <w:sz w:val="36"/>
        </w:rPr>
        <w:t>面向有界计算的 TEE 快速终局：链上远程证明、可降级挑战窗口与重算边界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楷体"/>
          <w:b w:val="0"/>
          <w:i w:val="0"/>
          <w:color w:val="000000"/>
          <w:sz w:val="24"/>
        </w:rPr>
        <w:t>杨帆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cs="Times New Roman" w:eastAsia="楷体"/>
          <w:b w:val="0"/>
          <w:i w:val="0"/>
          <w:color w:val="000000"/>
          <w:sz w:val="20"/>
        </w:rPr>
        <w:t>摘  要：可信执行环境（TEE）证明便宜、快速，但硬件漏洞、可信计算基（TCB）过期和密钥泄露都可能让伪造结果进入终局。本文在最多 128 步的有界哈希链上实现一种可降级结算协议：链上验证 SGX DCAP 远程证明，只有 TCB 状态为最新的实例才能把挑战窗口缩短为 600 s；其余实例、验证失败的 Quote 和没有证明的提交都退回 7 天窗口；任何挑战都由链上重算裁决。真实 Quote 在 Sepolia 上经 Automata 验证器验证，状态为 OUT_OF_DATE_CONFIGURATION_NEEDED，在本地分叉上登记实例用 5057631 gas，并按严格策略落入长窗口。本地故障注入中，仅依赖 TEE 的基线在伪造结果下为 0/30 正确终局；本文方案在挑战者短窗口内在线时为 30/30，挑战者缺席时为 0/30。对照实验同时表明，在可链上重算的规模内，12 s 窗口的直接重算在所有组合中都是 30/30 正确，终局约 14 s，64 步时每个任务只比本文方案多 21496 gas。重算 gas 在 28672 步时为 55629496，32768 步超过 6000 万区块上限。TEE 快速路径的价值因此限于链上无法重算的任务，且要求挑战者在短窗口内响应。</w:t>
      </w:r>
    </w:p>
    <w:p>
      <w:pPr>
        <w:spacing w:before="0" w:after="20" w:line="240" w:lineRule="auto"/>
        <w:ind w:firstLine="0"/>
        <w:jc w:val="left"/>
      </w:pPr>
      <w:r>
        <w:rPr>
          <w:rFonts w:ascii="Times New Roman" w:hAnsi="Times New Roman" w:cs="Times New Roman" w:eastAsia="楷体"/>
          <w:b w:val="0"/>
          <w:i w:val="0"/>
          <w:color w:val="000000"/>
          <w:sz w:val="20"/>
        </w:rPr>
        <w:t>关键词：可信执行环境；远程证明；乐观 Rollup；挑战窗口；链上重算</w:t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cs="Times New Roman" w:eastAsia="楷体"/>
          <w:b w:val="0"/>
          <w:i w:val="0"/>
          <w:color w:val="000000"/>
          <w:sz w:val="20"/>
        </w:rPr>
        <w:t>文献标志码：A    中图分类号：TP311</w:t>
      </w:r>
    </w:p>
    <w:p>
      <w:pPr>
        <w:spacing w:before="40" w:after="40" w:line="24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8"/>
        </w:rPr>
        <w:t>TEE Fast Finality for Bounded Computation: On-chain Attestation, Degradable Challenge Windows and the Recomputation Boundary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YANG Fan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Abstract: TEE proofs are cheap and fast, but hardware flaws, out-of-date trusted computing bases and leaked keys can let forged results reach finality. We implement a degradable settlement protocol for bounded hash chains of at most 128 steps. SGX DCAP quotes are verified on chain; only an instance whose TCB is up to date shortens the challenge window to 600 s, while stale instances, failed quotes and unattested submissions fall back to a 7-day window, and any challenge is settled by on-chain recomputation. Real quotes verified by the Automata verifier on Sepolia report OUT_OF_DATE_CONFIGURATION_NEEDED; registering an instance on a local Sepolia fork costs 5057631 gas and lands in the long window under a strict policy. In local fault injection, a TEE-only baseline reaches 0 of 30 correct outcomes under forged results; our protocol reaches 30 of 30 when a challenger is online within the short window and 0 of 30 when it is absent. A control with direct recomputation and a 12 s window is correct in all 30 of 30 runs of every cell and finalizes in about 14 s, costing only 21496 more gas per 64-step task. Recomputation costs 55629496 gas at 28672 steps and exceeds a 60 million block gas limit at 32768 steps. The TEE fast path therefore pays off only for tasks that cannot be recomputed on chain, and it still needs a challenger within the short window.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Key words: trusted execution environment; remote attestation; optimistic rollup; challenge window; on-chain recomputation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1  引言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Rollup 用链下执行换取吞吐，再用证明或争议把结果带回链上。零知识证明给出密码学保证，但生成慢、成本高；乐观争议成本低，挑战窗口通常以天计。TEE 处在两者之间：远程证明说明结果来自某个被测量的 Enclave，开销接近原生执行。它的弱点也很直接：TCB 过期、侧信道和密钥泄露都会让“被证明”的结果出错。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这一风险已经在生产系统中出现。Taiko 的提交 e940aae 说明，旧的 MainnetVerifier 接受任意两个子证明，包括两个 SGX 证明而没有零知识证明，结果在 2026 年 6 月让伪造证明进入终局；修复后的 ZkRequiredVerifier 要求每个被接受的组合至少包含一个零知识证明[1][2]。这说明 TEE 不应单独决定终局，但用零知识证明兜底代价很高。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本文研究一个更窄的问题：对可以在链上确定性重算的有界任务，能否让 TEE 只用来缩短挑战窗口，而把正确性交给任何人都能触发的链上重算？我们实现了这样的协议，并用真实 SGX Quote、Sepolia 上的链上 DCAP 验证器和本地故障注入去检验它。实验给出的答案带有边界：协议在挑战者及时响应时能拦截伪造结果；但在链上能重算的规模内，直接重算本身更安全也更快，TEE 只节省少量 gas。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1.1  本文贡献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（1）实现一种按 TCB 状态分级的结算协议。实例通过链上验证的 Quote 登记，策略表把 8 种 TCB 状态和验证失败分别映射为拒绝、长窗口或短窗口；验证失败不能配置为短窗口，调试 Enclave 视为验证失败。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（2）在 Sepolia 上用真实 SGX Quote 验证该路径。平台状态 OUT_OF_DATE_CONFIGURATION_NEEDED 按严格策略落入长窗口，篡改的 Quote 被识别为验证失败，拒绝过期状态的策略使登记回滚。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（3）用故障注入和重算成本实验给出 TEE 快速路径的适用边界：它需要挑战者在短窗口内响应，并且只在链上无法重算的规模内优于直接重算。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2  相关工作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TeeRollup 用异构 TEE 的多方签名降低单个 TEE 被攻破的影响，并在 TEE 长时间不可用时提供挑战与退款路径[3]。它仍由 TEE 签名决定状态。Taiko 的多证明系统把 SGX 证明与 RISC0、SP1 零知识证明组合，当前要求至少一个零知识证明[1][2]。本文不使用零知识证明，兜底手段是有界任务的链上重算。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Automata DCAP Attestation 在 EVM 上完整执行 Intel DCAP Quote 验证，并以 RIP-7212 的 P-256 预编译验证签名[4]。本文直接调用其 Sepolia 部署。Optimism Fault Dispute Game 用棋钟、时钟继承和时限延长组织争议[5]；Arbitrum BoLD 给出与参与方数量无关的终止上界[6]。二者都不依赖 TEE，挑战窗口以天计。opML 用二分定位和单步仲裁验证机器学习推理[7]。本文在这些工作的基础上只回答一个问题：TEE 证明能否、以及在什么规模上应当缩短挑战窗口。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3  协议设计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合约 AttestedTaskRollup 沿用有界哈希链：第 i 步为 keccak256(abi.encode(i, x_i))，轨迹根是包含初始状态的有序向量承诺，步数为 1 到 128。协议有三个阶段：实例登记、任务提交与窗口分配、挑战与重算。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3.1  实例登记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Enclave 在内部生成 secp256k1 实例密钥，把实例地址写入 report_data 的前 20 字节，再由 DCAP 生成 Quote[8]。registerInstance 把 Quote 交给验证器，读取 TCB 状态、MRENCLAVE 和 report_data。MRENCLAVE 与部署时固定的值不符、Quote 验证失败、Enclave 为调试模式或实例地址为零时，记为验证失败。合约按策略表决定该实例的动作，并给实例设置有效期。登记只做一次，之后的任务由实例密钥签名，不必每次验证 Quote。</w:t>
      </w:r>
    </w:p>
    <w:p>
      <w:pPr>
        <w:keepNext/>
        <w:spacing w:before="40" w:after="0" w:line="216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15"/>
        </w:rPr>
        <w:t>表 1  实验所用的严格策略</w:t>
      </w:r>
    </w:p>
    <w:p>
      <w:pPr>
        <w:keepNext/>
        <w:spacing w:before="0" w:after="40" w:line="216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15"/>
        </w:rPr>
        <w:t>Table 1  Strict policy used in the experiments</w:t>
      </w:r>
    </w:p>
    <w:tbl>
      <w:tblPr>
        <w:tblW w:type="dxa" w:w="4464"/>
        <w:tblLook w:firstColumn="1" w:firstRow="1" w:lastColumn="0" w:lastRow="0" w:noHBand="0" w:noVBand="1" w:val="04A0"/>
        <w:jc w:val="center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</w:tblPr>
      <w:tblGrid>
        <w:gridCol w:w="1500"/>
        <w:gridCol w:w="900"/>
        <w:gridCol w:w="2064"/>
      </w:tblGrid>
      <w:tr>
        <w:trPr>
          <w:cantSplit/>
        </w:trPr>
        <w:tc>
          <w:tcPr>
            <w:tcW w:type="dxa" w:w="1500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验证结果</w:t>
            </w:r>
          </w:p>
        </w:tc>
        <w:tc>
          <w:tcPr>
            <w:tcW w:type="dxa" w:w="900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动作</w:t>
            </w:r>
          </w:p>
        </w:tc>
        <w:tc>
          <w:tcPr>
            <w:tcW w:type="dxa" w:w="206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TCB 为 OK</w:t>
            </w:r>
          </w:p>
        </w:tc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短窗口 600 s</w:t>
            </w:r>
          </w:p>
        </w:tc>
        <w:tc>
          <w:tcPr>
            <w:tcW w:type="dxa" w:w="2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唯一可获得短窗口的状态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需要软件加固或配置（1–3）</w:t>
            </w:r>
          </w:p>
        </w:tc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长窗口 7 天</w:t>
            </w:r>
          </w:p>
        </w:tc>
        <w:tc>
          <w:tcPr>
            <w:tcW w:type="dxa" w:w="2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可改为拒绝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TCB 过期（4、5，即 0xA003）</w:t>
            </w:r>
          </w:p>
        </w:tc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长窗口 7 天</w:t>
            </w:r>
          </w:p>
        </w:tc>
        <w:tc>
          <w:tcPr>
            <w:tcW w:type="dxa" w:w="2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另一组策略中改为拒绝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撤销或无法识别（6、7）</w:t>
            </w:r>
          </w:p>
        </w:tc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长窗口 7 天</w:t>
            </w:r>
          </w:p>
        </w:tc>
        <w:tc>
          <w:tcPr>
            <w:tcW w:type="dxa" w:w="2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Automata 对撤销直接返回失败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验证失败、MRENCLAVE 不符、调试模式</w:t>
            </w:r>
          </w:p>
        </w:tc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长窗口 7 天</w:t>
            </w:r>
          </w:p>
        </w:tc>
        <w:tc>
          <w:tcPr>
            <w:tcW w:type="dxa" w:w="20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合约禁止配置为短窗口</w:t>
            </w:r>
          </w:p>
        </w:tc>
      </w:tr>
    </w:tbl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3.2  提交、挑战与重算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提交者签名任务并缴纳押金，可以附带实例签名。签名者是未过期、动作为短窗口的实例时，任务获得 600 s 窗口；否则获得 7 天窗口。窗口内任何其他地址可以缴纳同额押金挑战，随后任何人调用 adjudicate，合约重算输出与轨迹根，按结果把两份押金判给提交者或挑战者。无人挑战时，窗口结束后 finalize 直接结算，不做重算。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为对照，合约提供 teeOnly 部署：短窗口实例签名的任务在提交时立即结算。对照组还包括原有的 BoundedTaskRollup，它在 finalize 时总是重算；我们用 7 天和 12 s 两种窗口部署它。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3.3  安全性边界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TEE 不单独决定终局：只有在挑战窗口结束且无人挑战时，未经重算的结果才会结算。因此本文方案的正确性依赖一个假设：至少有一个诚实挑战者在短窗口内发现伪造结果并提交挑战。TCB 过期只让实例失去短窗口，不会让伪造结果更快结算。验证失败、调试 Enclave 与错误 MRENCLAVE 都不能获得短窗口。这些性质由 20 个单元测试检查，包括 14 个协议用例和 6 个验证器解析用例；本文没有给出机器检验的证明。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4  实验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实验分四部分：E1 在 Sepolia 上验证真实 Quote；E2 在本地 Hardhat 上做故障注入矩阵；E3 测量短窗口拦截率与链上重算成本；E4 按环境汇总延迟与费用。本地实验使用 solc 0.8.26 与 Cancun 规则，时间为区块时间，由 evm_increaseTime 推进，不代表墙钟时间。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4.1  E1：链上 DCAP 验证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对 2026-10-17 在阿里云 ecs.g7t.large 上生成的 4 份真实 Quote，向 Sepolia 上 Automata 验证器（v1.1.0，地址 0x27188A​BA3a26CB​b806eF4C​67de9b05​D7d792EC​10）发起 eth_call，不广播交易。4 份 Quote 都通过签名与证书链验证，TCB 状态均为 5，即 OUT_OF_DATE_CONFIGURATION_NEEDED，与本地验证库返回的 0xA003 一致；FMSPC 为 0x00606a000000，estimateGas 在 5121408 到 5121432 之间。把 report_data 中一位翻转后，验证器回滚。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随后在 Sepolia 区块 11935048 的本地分叉上部署适配器 AutomataQuoteVerifier 和本文合约。分叉需要打开 RIP-7212 预编译；未打开时验证器会回滚，适配器只会把它记为验证失败。打开后，直接调用验证器用 5022660 gas，表 2 列出登记结果。现有 Quote 绑定的是任务摘要而不是实例密钥，因此这里登记出的实例地址不能用于签名任务；E1 检验的是验证与策略分支。</w:t>
      </w:r>
    </w:p>
    <w:p>
      <w:pPr>
        <w:keepNext/>
        <w:spacing w:before="40" w:after="0" w:line="216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15"/>
        </w:rPr>
        <w:t>表 2  Sepolia 分叉上的实例登记</w:t>
      </w:r>
    </w:p>
    <w:p>
      <w:pPr>
        <w:keepNext/>
        <w:spacing w:before="0" w:after="40" w:line="216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15"/>
        </w:rPr>
        <w:t>Table 2  Instance registration on a Sepolia fork</w:t>
      </w:r>
    </w:p>
    <w:tbl>
      <w:tblPr>
        <w:tblW w:type="dxa" w:w="4464"/>
        <w:tblLook w:firstColumn="1" w:firstRow="1" w:lastColumn="0" w:lastRow="0" w:noHBand="0" w:noVBand="1" w:val="04A0"/>
        <w:jc w:val="center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</w:tblPr>
      <w:tblGrid>
        <w:gridCol w:w="1600"/>
        <w:gridCol w:w="700"/>
        <w:gridCol w:w="1300"/>
        <w:gridCol w:w="864"/>
      </w:tblGrid>
      <w:tr>
        <w:trPr>
          <w:cantSplit/>
        </w:trPr>
        <w:tc>
          <w:tcPr>
            <w:tcW w:type="dxa" w:w="1600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Quote</w:t>
            </w:r>
          </w:p>
        </w:tc>
        <w:tc>
          <w:tcPr>
            <w:tcW w:type="dxa" w:w="700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策略</w:t>
            </w:r>
          </w:p>
        </w:tc>
        <w:tc>
          <w:tcPr>
            <w:tcW w:type="dxa" w:w="1300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结果</w:t>
            </w:r>
          </w:p>
        </w:tc>
        <w:tc>
          <w:tcPr>
            <w:tcW w:type="dxa" w:w="86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gas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计算 Enclave，4 步</w:t>
            </w:r>
          </w:p>
        </w:tc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严格</w:t>
            </w:r>
          </w:p>
        </w:tc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TCB 5，长窗口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5057631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同上，篡改 1 位</w:t>
            </w:r>
          </w:p>
        </w:tc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严格</w:t>
            </w:r>
          </w:p>
        </w:tc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验证失败，长窗口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2817794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示例 Enclave，MRENCLAVE 不符</w:t>
            </w:r>
          </w:p>
        </w:tc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严格</w:t>
            </w:r>
          </w:p>
        </w:tc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长窗口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5057555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计算 Enclave，4 步</w:t>
            </w:r>
          </w:p>
        </w:tc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拒绝过期</w:t>
            </w:r>
          </w:p>
        </w:tc>
        <w:tc>
          <w:tcPr>
            <w:tcW w:type="dxa" w:w="13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回滚 quote rejected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—</w:t>
            </w:r>
          </w:p>
        </w:tc>
      </w:tr>
    </w:tbl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4.2  E2：故障注入矩阵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E2 在 64 步任务上比较四个系统：仅 TEE、7 天窗口重算、12 s 窗口重算和本文方案。TEE 状态有四种：正常（诚实结果，TCB 正常的实例签名）、伪造（错误结果，TCB 正常的实例签名，模拟被攻破或密钥泄露）、离线（诚实结果，无实例签名）、TCB 过期（错误结果，状态 5 的实例签名）。挑战者有三种：提交后立即在线、在短窗口内离线并于 660 s 后返回、始终离线；挑战者只挑战错误结果。每格 30 批，本地验证器回放登记结果，不计 Quote 验证成本。</w:t>
      </w:r>
    </w:p>
    <w:tbl>
      <w:tblPr>
        <w:tblW w:type="dxa" w:w="4464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64"/>
      </w:tblGrid>
      <w:tr>
        <w:trPr>
          <w:cantSplit/>
        </w:trPr>
        <w:tc>
          <w:tcPr>
            <w:tcW w:type="dxa" w:w="4464"/>
          </w:tcPr>
          <w:p>
            <w:pPr>
              <w:spacing w:before="4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32083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forge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32083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21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图 1  两类伪造结果下的正确终局数，每格分母为 30</w:t>
            </w:r>
          </w:p>
          <w:p>
            <w:pPr>
              <w:spacing w:before="20" w:after="20" w:line="21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Fig.1  Correct outcomes under forged results, 30 runs per cell</w:t>
            </w:r>
          </w:p>
        </w:tc>
      </w:tr>
    </w:tbl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图 1 给出伪造结果下的正确终局数。仅 TEE 的基线在 TCB 正常的伪造实例下 3 种挑战者状态都是 0/30。本文方案在挑战者在线时为 30/30，挑战者在短窗口内离线或始终离线时为 0/30。TCB 过期的实例只能得到长窗口，因此 660 s 后返回的挑战者仍能拦截，本文方案为 30/30；挑战者始终离线时为 0/30。两种重算系统在 finalize 时总会重算，所有 24 格都是 30/30。诚实结果在所有系统中都是 30/30 正确终局。</w:t>
      </w:r>
    </w:p>
    <w:tbl>
      <w:tblPr>
        <w:tblW w:type="dxa" w:w="4464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64"/>
      </w:tblGrid>
      <w:tr>
        <w:trPr>
          <w:cantSplit/>
        </w:trPr>
        <w:tc>
          <w:tcPr>
            <w:tcW w:type="dxa" w:w="4464"/>
          </w:tcPr>
          <w:p>
            <w:pPr>
              <w:spacing w:before="4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23336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tradeof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2333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21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图 2  诚实任务在挑战者离线时的终局时间与单任务 gas，30 批均值</w:t>
            </w:r>
          </w:p>
          <w:p>
            <w:pPr>
              <w:spacing w:before="20" w:after="20" w:line="21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Fig.2  Finality time and gas of honest tasks, mean of 30 runs</w:t>
            </w:r>
          </w:p>
        </w:tc>
      </w:tr>
    </w:tbl>
    <w:p>
      <w:pPr>
        <w:keepNext/>
        <w:spacing w:before="40" w:after="0" w:line="216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15"/>
        </w:rPr>
        <w:t>表 3  诚实任务的终局时间与单任务 gas（64 步，30 批均值）</w:t>
      </w:r>
    </w:p>
    <w:p>
      <w:pPr>
        <w:keepNext/>
        <w:spacing w:before="0" w:after="40" w:line="216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15"/>
        </w:rPr>
        <w:t>Table 3  Finality time and gas of honest 64-step tasks</w:t>
      </w:r>
    </w:p>
    <w:tbl>
      <w:tblPr>
        <w:tblW w:type="dxa" w:w="4464"/>
        <w:tblLook w:firstColumn="1" w:firstRow="1" w:lastColumn="0" w:lastRow="0" w:noHBand="0" w:noVBand="1" w:val="04A0"/>
        <w:jc w:val="center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</w:tblPr>
      <w:tblGrid>
        <w:gridCol w:w="1100"/>
        <w:gridCol w:w="1000"/>
        <w:gridCol w:w="1000"/>
        <w:gridCol w:w="1364"/>
      </w:tblGrid>
      <w:tr>
        <w:trPr>
          <w:cantSplit/>
        </w:trPr>
        <w:tc>
          <w:tcPr>
            <w:tcW w:type="dxa" w:w="1100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系统</w:t>
            </w:r>
          </w:p>
        </w:tc>
        <w:tc>
          <w:tcPr>
            <w:tcW w:type="dxa" w:w="1000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终局时间 / s</w:t>
            </w:r>
          </w:p>
        </w:tc>
        <w:tc>
          <w:tcPr>
            <w:tcW w:type="dxa" w:w="1000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单任务 gas</w:t>
            </w:r>
          </w:p>
        </w:tc>
        <w:tc>
          <w:tcPr>
            <w:tcW w:type="dxa" w:w="136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伪造且挑战者缺席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仅 TEE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258751</w:t>
            </w:r>
          </w:p>
        </w:tc>
        <w:tc>
          <w:tcPr>
            <w:tcW w:type="dxa" w:w="13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0/30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本文方案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602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313081</w:t>
            </w:r>
          </w:p>
        </w:tc>
        <w:tc>
          <w:tcPr>
            <w:tcW w:type="dxa" w:w="13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0/30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12 s 窗口重算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14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334577</w:t>
            </w:r>
          </w:p>
        </w:tc>
        <w:tc>
          <w:tcPr>
            <w:tcW w:type="dxa" w:w="13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30/30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7 天窗口重算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604802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334579</w:t>
            </w:r>
          </w:p>
        </w:tc>
        <w:tc>
          <w:tcPr>
            <w:tcW w:type="dxa" w:w="13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30/30</w:t>
            </w:r>
          </w:p>
        </w:tc>
      </w:tr>
    </w:tbl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表 3 是关键对照。12 s 窗口重算在正确性上不依赖任何挑战者，终局约 14 s，比本文方案的 602 s 更快；代价是每个任务多 21496 gas。按一次实例登记 5057631 gas 计算，本文方案要在同一实例上处理约 235 个 64 步任务，节省的 gas 才能抵消登记成本。单次新部署测得的 128 步数据中，本文方案无挑战结算总计 347327 gas，重算结算为 423239 gas，差 75912 gas，约 67 个任务可抵消登记。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4.3  E3：短窗口与重算成本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E3 第一部分只考察本文方案下的伪造结果。挑战者的反应时间服从指数分布，均值为 30、120、600 或 1800 s，再加一个 12 s 区块间隔，随机数种子固定为 20261017；短窗口取 60、300、600 和 3600 s，每格 30 个伪造任务。这是合成的挑战者模型，不是实测网络延迟。</w:t>
      </w:r>
    </w:p>
    <w:tbl>
      <w:tblPr>
        <w:tblW w:type="dxa" w:w="4464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64"/>
      </w:tblGrid>
      <w:tr>
        <w:trPr>
          <w:cantSplit/>
        </w:trPr>
        <w:tc>
          <w:tcPr>
            <w:tcW w:type="dxa" w:w="4464"/>
          </w:tcPr>
          <w:p>
            <w:pPr>
              <w:spacing w:before="4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26030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catch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2603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21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图 3  不同短窗口与平均反应时间下被罚没的伪造任务数，分母为 30</w:t>
            </w:r>
          </w:p>
          <w:p>
            <w:pPr>
              <w:spacing w:before="20" w:after="20" w:line="21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Fig.3  Forged tasks slashed out of 30 by window and mean reaction time</w:t>
            </w:r>
          </w:p>
        </w:tc>
      </w:tr>
    </w:tbl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图 3 显示，窗口为 600 s 时，平均反应 30 s 和 120 s 的挑战者拦截了 30/30，平均反应 600 s 时为 20/30，1800 s 时为 3/30；窗口为 60 s 时，平均反应 30 s 的挑战者也只拦截 23/30。短窗口越短，协议越依赖挑战者在线且响应迅速。</w:t>
      </w:r>
    </w:p>
    <w:tbl>
      <w:tblPr>
        <w:tblW w:type="dxa" w:w="4464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64"/>
      </w:tblGrid>
      <w:tr>
        <w:trPr>
          <w:cantSplit/>
        </w:trPr>
        <w:tc>
          <w:tcPr>
            <w:tcW w:type="dxa" w:w="4464"/>
          </w:tcPr>
          <w:p>
            <w:pPr>
              <w:spacing w:before="4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1488" cy="253169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_recomput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2531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21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图 4  链上重算 gas 随哈希链步数的变化，每点一次交易</w:t>
            </w:r>
          </w:p>
          <w:p>
            <w:pPr>
              <w:spacing w:before="20" w:after="20" w:line="21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Fig.4  On-chain recomputation gas versus hash-chain length</w:t>
            </w:r>
          </w:p>
        </w:tc>
      </w:tr>
    </w:tbl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第二部分用不设步数上限的测量合约 RecomputeProbe 执行同一条哈希链。重算 gas 在 128 步时为 114690，4096 步时为 3055672，16384 步时为 21969784，28672 步时为 55629496；32768 步在 6000 万本地区块上限下耗尽 gas。由于内存费用随数组长度二次增长，每步成本随步数上升。超过这一规模的任务无法在单笔交易中重算，此时只剩交互式定位或 TEE 证明，短窗口才真正减少等待。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4.4  E4：分环境汇总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表 4 按环境分行列出延迟与费用，不相加成端到端延迟。本轮 SGX 主机在 SSH 握手阶段断开连接，tee/attested_instance 中的实例密钥 Enclave 未能在硬件上构建和运行；其中的哈希链、任务摘要和 secp256k1 签名已在本机编译，并与 ethers 逐字节对照 4 组用例。SGX 一行沿用 2026-10-17 的硬件实测。</w:t>
      </w:r>
    </w:p>
    <w:p>
      <w:pPr>
        <w:keepNext/>
        <w:spacing w:before="40" w:after="0" w:line="216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15"/>
        </w:rPr>
        <w:t>表 4  各环境的延迟与费用</w:t>
      </w:r>
    </w:p>
    <w:p>
      <w:pPr>
        <w:keepNext/>
        <w:spacing w:before="0" w:after="40" w:line="216" w:lineRule="auto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15"/>
        </w:rPr>
        <w:t>Table 4  Latency and cost by environment</w:t>
      </w:r>
    </w:p>
    <w:tbl>
      <w:tblPr>
        <w:tblW w:type="dxa" w:w="4464"/>
        <w:tblLook w:firstColumn="1" w:firstRow="1" w:lastColumn="0" w:lastRow="0" w:noHBand="0" w:noVBand="1" w:val="04A0"/>
        <w:jc w:val="center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</w:tblPr>
      <w:tblGrid>
        <w:gridCol w:w="1200"/>
        <w:gridCol w:w="1700"/>
        <w:gridCol w:w="1564"/>
      </w:tblGrid>
      <w:tr>
        <w:trPr>
          <w:cantSplit/>
        </w:trPr>
        <w:tc>
          <w:tcPr>
            <w:tcW w:type="dxa" w:w="1200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环境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项目</w:t>
            </w:r>
          </w:p>
        </w:tc>
        <w:tc>
          <w:tcPr>
            <w:tcW w:type="dxa" w:w="1564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color w:val="000000"/>
                <w:sz w:val="15"/>
              </w:rPr>
              <w:t>数值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真实 SGX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Enclave 调用 4 / 128 步</w:t>
            </w:r>
          </w:p>
        </w:tc>
        <w:tc>
          <w:tcPr>
            <w:tcW w:type="dxa" w:w="15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0.057 / 0.497 ms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真实 SGX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Quote 生成墙钟</w:t>
            </w:r>
          </w:p>
        </w:tc>
        <w:tc>
          <w:tcPr>
            <w:tcW w:type="dxa" w:w="15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0.99 / 1.30 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Sepolia eth_call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Automata 验证 estimateGas</w:t>
            </w:r>
          </w:p>
        </w:tc>
        <w:tc>
          <w:tcPr>
            <w:tcW w:type="dxa" w:w="15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约 5121420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Sepolia 分叉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实例登记（严格策略）</w:t>
            </w:r>
          </w:p>
        </w:tc>
        <w:tc>
          <w:tcPr>
            <w:tcW w:type="dxa" w:w="15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5057631 gas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本地 Hardhat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本文方案诚实任务</w:t>
            </w:r>
          </w:p>
        </w:tc>
        <w:tc>
          <w:tcPr>
            <w:tcW w:type="dxa" w:w="15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602 s，313081 gas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本地 Hardhat</w:t>
            </w:r>
          </w:p>
        </w:tc>
        <w:tc>
          <w:tcPr>
            <w:tcW w:type="dxa" w:w="170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12 s 窗口重算</w:t>
            </w:r>
          </w:p>
        </w:tc>
        <w:tc>
          <w:tcPr>
            <w:tcW w:type="dxa" w:w="156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28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color w:val="000000"/>
                <w:sz w:val="15"/>
              </w:rPr>
              <w:t>14 s，334577 gas</w:t>
            </w:r>
          </w:p>
        </w:tc>
      </w:tr>
    </w:tbl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5  讨论与局限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实验否定了一个直观但不成立的说法：在可链上重算的有界任务上，TEE 快速路径并不比直接重算更好。直接重算不依赖挑战者、不依赖硬件，终局更快，额外成本只是每任务几万 gas。TEE 的价值出现在两个条件同时成立时：任务规模超过单笔交易可重算的范围，并且有挑战者能在短窗口内响应。按 TCB 状态分级的策略把硬件风险转化为可配置的窗口长度，这一点在真实平台上得到验证：过期的 TCB 确实被识别并降级。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局限如下。合约没有部署到以太坊主网；E1 在 Sepolia 上使用 eth_call 和本地分叉，没有广播交易。实验平台的 TCB 状态为过期，因此没有真实的短窗口样本，短窗口路径由回放验证器演示。实例密钥 Enclave 未在硬件上运行。超过 128 步的任务在本文合约中只测量了重算成本，交互式定位与 TEE 结合的协议尚未实现。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6  结论</w:t>
      </w:r>
    </w:p>
    <w:p>
      <w:pPr>
        <w:spacing w:before="0" w:after="0"/>
        <w:ind w:firstLine="408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0"/>
        </w:rPr>
        <w:t>本文实现了 TEE 证明只缩短挑战窗口、由链上重算兜底的结算协议，并在 Sepolia 上用真实 SGX Quote 验证了按 TCB 状态降级的路径。故障注入表明，仅依赖 TEE 会让伪造结果全部进入终局，本文方案在挑战者及时响应时可以全部拦截。对照实验同时给出适用边界：在可链上重算的规模内，直接重算更安全、更快；TEE 快速路径只在超过重算上限的任务上才有意义。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3"/>
        </w:rPr>
        <w:t>参考文献：</w:t>
      </w:r>
    </w:p>
    <w:p>
      <w:pPr>
        <w:spacing w:before="0" w:after="0" w:line="288" w:lineRule="auto"/>
        <w:ind w:hanging="368" w:left="368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[1] TAIKO LABS. Proving system[EB/OL]. [2026-10-17]. https://docs.taiko.xyz/protocol/proving-system.</w:t>
      </w:r>
    </w:p>
    <w:p>
      <w:pPr>
        <w:spacing w:before="0" w:after="0" w:line="288" w:lineRule="auto"/>
        <w:ind w:hanging="368" w:left="368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[2] TAIKO LABS. refactor(protocol): rename AnyTwoVerifier to ZkRequiredVerifier, commit e940aae[EB/OL]. 2026-07-07 [2026-10-17].</w:t>
      </w:r>
    </w:p>
    <w:p>
      <w:pPr>
        <w:spacing w:before="0" w:after="0" w:line="288" w:lineRule="auto"/>
        <w:ind w:hanging="368" w:left="368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[3] WEN X, FENG Q, LYU H, et al. TEEROLLUP: efficient Rollup design using heterogeneous TEE[EB/OL]. arXiv:2409.14647v3, 2025 [2026-10-17].</w:t>
      </w:r>
    </w:p>
    <w:p>
      <w:pPr>
        <w:spacing w:before="0" w:after="0" w:line="288" w:lineRule="auto"/>
        <w:ind w:hanging="368" w:left="368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[4] AUTOMATA NETWORK. Automata DCAP attestation, v1.1.0 contract addresses[EB/OL]. [2026-10-17].</w:t>
      </w:r>
    </w:p>
    <w:p>
      <w:pPr>
        <w:spacing w:before="0" w:after="0" w:line="288" w:lineRule="auto"/>
        <w:ind w:hanging="368" w:left="368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[5] OP LABS. Fault dispute game, OP Stack specification[EB/OL]. [2026-10-17].</w:t>
      </w:r>
    </w:p>
    <w:p>
      <w:pPr>
        <w:spacing w:before="0" w:after="0" w:line="288" w:lineRule="auto"/>
        <w:ind w:hanging="368" w:left="368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[6] ALVAREZ M, et al. BoLD: fast and cheap dispute resolution[EB/OL]. arXiv:2404.10491v1, 2024 [2026-10-17].</w:t>
      </w:r>
    </w:p>
    <w:p>
      <w:pPr>
        <w:spacing w:before="0" w:after="0" w:line="288" w:lineRule="auto"/>
        <w:ind w:hanging="368" w:left="368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[7] CONWAY K D, SO C, YU X, WONG K. opML: optimistic machine learning on blockchain[EB/OL]. arXiv:2401.17555v2, 2024 [2026-10-17].</w:t>
      </w:r>
    </w:p>
    <w:p>
      <w:pPr>
        <w:spacing w:before="0" w:after="0" w:line="288" w:lineRule="auto"/>
        <w:ind w:hanging="368" w:left="368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18"/>
        </w:rPr>
        <w:t>[8] INTEL CORPORATION. Intel Software Guard Extensions developer guide[EB/OL]. 2024 [2026-10-17].</w:t>
      </w:r>
    </w:p>
    <w:sectPr w:rsidR="00580E0B">
      <w:headerReference w:type="default" r:id="rId14"/>
      <w:footerReference w:type="default" r:id="rId15"/>
      <w:type w:val="continuous"/>
      <w:pgSz w:w="11906" w:h="16838"/>
      <w:pgMar w:top="1814" w:right="794" w:bottom="454" w:left="794" w:header="680" w:footer="454" w:gutter="0"/>
      <w:cols w:num="2" w:space="420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2E0B1" w14:textId="77777777" w:rsidR="00006D0C" w:rsidRDefault="00006D0C">
      <w:pPr>
        <w:spacing w:line="240" w:lineRule="auto"/>
      </w:pPr>
      <w:r>
        <w:separator/>
      </w:r>
    </w:p>
  </w:endnote>
  <w:endnote w:type="continuationSeparator" w:id="0">
    <w:p w14:paraId="1494E11A" w14:textId="77777777" w:rsidR="00006D0C" w:rsidRDefault="00006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书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方正大标宋简体">
    <w:altName w:val="汉仪书宋二KW"/>
    <w:charset w:val="86"/>
    <w:family w:val="script"/>
    <w:pitch w:val="default"/>
    <w:sig w:usb0="00000000" w:usb1="00000000" w:usb2="00000010" w:usb3="00000000" w:csb0="00040001" w:csb1="00000000"/>
  </w:font>
  <w:font w:name="方正楷体简体">
    <w:altName w:val="汉仪楷体简"/>
    <w:charset w:val="86"/>
    <w:family w:val="script"/>
    <w:pitch w:val="default"/>
    <w:sig w:usb0="00000000" w:usb1="00000000" w:usb2="00000010" w:usb3="00000000" w:csb0="00040000" w:csb1="00000000"/>
  </w:font>
  <w:font w:name="FangSong_GB2312">
    <w:altName w:val="仿宋-简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汉仪楷体简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Lucida Sans Unicode">
    <w:altName w:val="苹方-简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LT Std 55">
    <w:altName w:val="苹方-简"/>
    <w:charset w:val="86"/>
    <w:family w:val="swiss"/>
    <w:pitch w:val="default"/>
    <w:sig w:usb0="00000000" w:usb1="00000000" w:usb2="00000010" w:usb3="00000000" w:csb0="00040000" w:csb1="00000000"/>
  </w:font>
  <w:font w:name="·s²Ó©úÅé">
    <w:altName w:val="苹方-简"/>
    <w:charset w:val="88"/>
    <w:family w:val="auto"/>
    <w:pitch w:val="default"/>
    <w:sig w:usb0="00000000" w:usb1="00000000" w:usb2="00000010" w:usb3="00000000" w:csb0="0010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3063F" w14:textId="77777777" w:rsidR="00580E0B" w:rsidRDefault="00000000">
    <w:pPr>
      <w:spacing w:line="200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3E6B98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61551" w14:textId="77777777" w:rsidR="00580E0B" w:rsidRDefault="00000000">
    <w:pPr>
      <w:spacing w:line="200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3E6B9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1918" w14:textId="77777777" w:rsidR="00006D0C" w:rsidRDefault="00006D0C">
      <w:r>
        <w:separator/>
      </w:r>
    </w:p>
  </w:footnote>
  <w:footnote w:type="continuationSeparator" w:id="0">
    <w:p w14:paraId="6A6FC5F7" w14:textId="77777777" w:rsidR="00006D0C" w:rsidRDefault="00006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06FE2" w14:textId="77777777" w:rsidR="00580E0B" w:rsidRDefault="00000000">
    <w:pPr>
      <w:spacing w:line="200" w:lineRule="exact"/>
      <w:ind w:firstLine="0"/>
      <w:jc w:val="center"/>
    </w:pPr>
    <w:r>
      <w:rPr>
        <w:rFonts w:eastAsia="宋体"/>
        <w:sz w:val="18"/>
      </w:rPr>
      <w:t>计算机科学与探索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1E959" w14:textId="77777777" w:rsidR="00580E0B" w:rsidRDefault="00000000">
    <w:pPr>
      <w:spacing w:line="200" w:lineRule="exact"/>
      <w:ind w:firstLine="0"/>
      <w:jc w:val="center"/>
    </w:pPr>
    <w:r>
      <w:rPr>
        <w:rFonts w:eastAsia="宋体"/>
        <w:sz w:val="18"/>
      </w:rPr>
      <w:t>计算机科学与探索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B0F7A"/>
    <w:multiLevelType w:val="multilevel"/>
    <w:tmpl w:val="664B0F7A"/>
    <w:lvl w:ilvl="0">
      <w:start w:val="1"/>
      <w:numFmt w:val="decimal"/>
      <w:pStyle w:val="a"/>
      <w:lvlText w:val="[%1]"/>
      <w:lvlJc w:val="right"/>
      <w:pPr>
        <w:tabs>
          <w:tab w:val="left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77A67DC1"/>
    <w:multiLevelType w:val="multilevel"/>
    <w:tmpl w:val="77A67DC1"/>
    <w:lvl w:ilvl="0">
      <w:start w:val="1"/>
      <w:numFmt w:val="decimal"/>
      <w:lvlText w:val="(%1)"/>
      <w:lvlJc w:val="left"/>
      <w:pPr>
        <w:tabs>
          <w:tab w:val="left" w:pos="420"/>
        </w:tabs>
        <w:ind w:left="420" w:hanging="420"/>
      </w:pPr>
      <w:rPr>
        <w:rFonts w:hint="eastAsia"/>
        <w:b w:val="0"/>
        <w:i w:val="0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304749445">
    <w:abstractNumId w:val="0"/>
  </w:num>
  <w:num w:numId="2" w16cid:durableId="552623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autoHyphenation/>
  <w:hyphenationZone w:val="357"/>
  <w:doNotHyphenateCaps/>
  <w:evenAndOddHeaders/>
  <w:drawingGridHorizontalSpacing w:val="112"/>
  <w:drawingGridVerticalSpacing w:val="299"/>
  <w:displayHorizontalDrawingGridEvery w:val="0"/>
  <w:doNotShadeFormData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1N2EzZmI0M2VhY2ZhMDRmMDZmODU0Y2Q2NDUwMWUifQ=="/>
  </w:docVars>
  <w:rsids>
    <w:rsidRoot w:val="00DD7751"/>
    <w:rsid w:val="00005CFD"/>
    <w:rsid w:val="00006D0C"/>
    <w:rsid w:val="00011807"/>
    <w:rsid w:val="00030EC8"/>
    <w:rsid w:val="00062942"/>
    <w:rsid w:val="00065AF5"/>
    <w:rsid w:val="00077395"/>
    <w:rsid w:val="00092FDB"/>
    <w:rsid w:val="00093840"/>
    <w:rsid w:val="000A7933"/>
    <w:rsid w:val="000B33B2"/>
    <w:rsid w:val="000D0D77"/>
    <w:rsid w:val="000E4AB0"/>
    <w:rsid w:val="000F47BB"/>
    <w:rsid w:val="00102E71"/>
    <w:rsid w:val="00104933"/>
    <w:rsid w:val="00124A00"/>
    <w:rsid w:val="00125ECE"/>
    <w:rsid w:val="00126DFB"/>
    <w:rsid w:val="00127C36"/>
    <w:rsid w:val="001325E7"/>
    <w:rsid w:val="0013393F"/>
    <w:rsid w:val="00140C1F"/>
    <w:rsid w:val="00171B26"/>
    <w:rsid w:val="00175948"/>
    <w:rsid w:val="001823F5"/>
    <w:rsid w:val="00187620"/>
    <w:rsid w:val="001A3230"/>
    <w:rsid w:val="001A6F72"/>
    <w:rsid w:val="001D1514"/>
    <w:rsid w:val="001E2B0D"/>
    <w:rsid w:val="001E7A55"/>
    <w:rsid w:val="002046FE"/>
    <w:rsid w:val="00207568"/>
    <w:rsid w:val="00232BE7"/>
    <w:rsid w:val="002527EC"/>
    <w:rsid w:val="00257EB1"/>
    <w:rsid w:val="00262D7B"/>
    <w:rsid w:val="00274B15"/>
    <w:rsid w:val="00281282"/>
    <w:rsid w:val="00285662"/>
    <w:rsid w:val="002909D7"/>
    <w:rsid w:val="002929B9"/>
    <w:rsid w:val="002A5AAF"/>
    <w:rsid w:val="002A6809"/>
    <w:rsid w:val="002B05AD"/>
    <w:rsid w:val="002F1962"/>
    <w:rsid w:val="00300423"/>
    <w:rsid w:val="00311726"/>
    <w:rsid w:val="00316198"/>
    <w:rsid w:val="00321B34"/>
    <w:rsid w:val="00325FE7"/>
    <w:rsid w:val="0034661D"/>
    <w:rsid w:val="00363096"/>
    <w:rsid w:val="0037513A"/>
    <w:rsid w:val="00391529"/>
    <w:rsid w:val="003A3B03"/>
    <w:rsid w:val="003A7A49"/>
    <w:rsid w:val="003B2B4A"/>
    <w:rsid w:val="003C0413"/>
    <w:rsid w:val="003D283B"/>
    <w:rsid w:val="003E6B98"/>
    <w:rsid w:val="003F4D96"/>
    <w:rsid w:val="00410857"/>
    <w:rsid w:val="00425EF8"/>
    <w:rsid w:val="00427D2F"/>
    <w:rsid w:val="00430C21"/>
    <w:rsid w:val="00443352"/>
    <w:rsid w:val="004517D9"/>
    <w:rsid w:val="004712CA"/>
    <w:rsid w:val="00471CCD"/>
    <w:rsid w:val="004734DC"/>
    <w:rsid w:val="00492674"/>
    <w:rsid w:val="00496EA3"/>
    <w:rsid w:val="004A3F07"/>
    <w:rsid w:val="004A5E16"/>
    <w:rsid w:val="004C1B48"/>
    <w:rsid w:val="004D0745"/>
    <w:rsid w:val="004E3926"/>
    <w:rsid w:val="005020CC"/>
    <w:rsid w:val="00504539"/>
    <w:rsid w:val="00512470"/>
    <w:rsid w:val="00521C56"/>
    <w:rsid w:val="005415C1"/>
    <w:rsid w:val="00541BE8"/>
    <w:rsid w:val="00561FB4"/>
    <w:rsid w:val="005656AE"/>
    <w:rsid w:val="00580E0B"/>
    <w:rsid w:val="00583A90"/>
    <w:rsid w:val="0058691B"/>
    <w:rsid w:val="00593843"/>
    <w:rsid w:val="005A4FC7"/>
    <w:rsid w:val="005A5381"/>
    <w:rsid w:val="005B36C3"/>
    <w:rsid w:val="005D325F"/>
    <w:rsid w:val="005D527B"/>
    <w:rsid w:val="005E0C60"/>
    <w:rsid w:val="005E5E46"/>
    <w:rsid w:val="005F3271"/>
    <w:rsid w:val="0061442D"/>
    <w:rsid w:val="0061493A"/>
    <w:rsid w:val="00627866"/>
    <w:rsid w:val="00630FC2"/>
    <w:rsid w:val="00646934"/>
    <w:rsid w:val="00647BF1"/>
    <w:rsid w:val="0066175C"/>
    <w:rsid w:val="00672075"/>
    <w:rsid w:val="00682CEF"/>
    <w:rsid w:val="00687DD2"/>
    <w:rsid w:val="006910EE"/>
    <w:rsid w:val="00692B1C"/>
    <w:rsid w:val="0069568D"/>
    <w:rsid w:val="0069734B"/>
    <w:rsid w:val="006A2B22"/>
    <w:rsid w:val="006B0F74"/>
    <w:rsid w:val="006B76C8"/>
    <w:rsid w:val="006C0A28"/>
    <w:rsid w:val="006C5969"/>
    <w:rsid w:val="006E5593"/>
    <w:rsid w:val="006E660F"/>
    <w:rsid w:val="006F0041"/>
    <w:rsid w:val="006F0A71"/>
    <w:rsid w:val="006F24B8"/>
    <w:rsid w:val="006F38E5"/>
    <w:rsid w:val="007007E1"/>
    <w:rsid w:val="00706FC3"/>
    <w:rsid w:val="00710883"/>
    <w:rsid w:val="0071098E"/>
    <w:rsid w:val="007165B6"/>
    <w:rsid w:val="00717396"/>
    <w:rsid w:val="00720303"/>
    <w:rsid w:val="007301C6"/>
    <w:rsid w:val="00737C66"/>
    <w:rsid w:val="00742E57"/>
    <w:rsid w:val="0074318C"/>
    <w:rsid w:val="00752567"/>
    <w:rsid w:val="007852FB"/>
    <w:rsid w:val="00795AD4"/>
    <w:rsid w:val="007A57FD"/>
    <w:rsid w:val="007D3B77"/>
    <w:rsid w:val="007F243C"/>
    <w:rsid w:val="007F5FD4"/>
    <w:rsid w:val="00807051"/>
    <w:rsid w:val="00811E54"/>
    <w:rsid w:val="00821102"/>
    <w:rsid w:val="00824B7B"/>
    <w:rsid w:val="00836F37"/>
    <w:rsid w:val="008415B3"/>
    <w:rsid w:val="0084726E"/>
    <w:rsid w:val="00852397"/>
    <w:rsid w:val="00855A85"/>
    <w:rsid w:val="00864984"/>
    <w:rsid w:val="008717C2"/>
    <w:rsid w:val="00880E03"/>
    <w:rsid w:val="008963F2"/>
    <w:rsid w:val="008A101C"/>
    <w:rsid w:val="008A33BB"/>
    <w:rsid w:val="008A618D"/>
    <w:rsid w:val="008A68EE"/>
    <w:rsid w:val="008B5EE6"/>
    <w:rsid w:val="008C48D2"/>
    <w:rsid w:val="008E29E7"/>
    <w:rsid w:val="008E311A"/>
    <w:rsid w:val="008F3E45"/>
    <w:rsid w:val="009075C1"/>
    <w:rsid w:val="009129E6"/>
    <w:rsid w:val="0091511F"/>
    <w:rsid w:val="00927BA4"/>
    <w:rsid w:val="00930393"/>
    <w:rsid w:val="00937398"/>
    <w:rsid w:val="0094671C"/>
    <w:rsid w:val="0095163F"/>
    <w:rsid w:val="00953B6D"/>
    <w:rsid w:val="00954AA2"/>
    <w:rsid w:val="00957851"/>
    <w:rsid w:val="009601A2"/>
    <w:rsid w:val="009603F3"/>
    <w:rsid w:val="00971BF5"/>
    <w:rsid w:val="009C00A6"/>
    <w:rsid w:val="009C219A"/>
    <w:rsid w:val="009C3A4D"/>
    <w:rsid w:val="009D1581"/>
    <w:rsid w:val="009D173E"/>
    <w:rsid w:val="009E12B4"/>
    <w:rsid w:val="009F1E94"/>
    <w:rsid w:val="009F6E9C"/>
    <w:rsid w:val="00A1228C"/>
    <w:rsid w:val="00A179AD"/>
    <w:rsid w:val="00A22196"/>
    <w:rsid w:val="00A32381"/>
    <w:rsid w:val="00A42AEF"/>
    <w:rsid w:val="00A528BC"/>
    <w:rsid w:val="00A5456A"/>
    <w:rsid w:val="00A66A5C"/>
    <w:rsid w:val="00A704A8"/>
    <w:rsid w:val="00A75E44"/>
    <w:rsid w:val="00A81F18"/>
    <w:rsid w:val="00A844BF"/>
    <w:rsid w:val="00A94994"/>
    <w:rsid w:val="00AC548C"/>
    <w:rsid w:val="00AD4912"/>
    <w:rsid w:val="00AD7D5F"/>
    <w:rsid w:val="00AF4A94"/>
    <w:rsid w:val="00AF7E14"/>
    <w:rsid w:val="00B0017D"/>
    <w:rsid w:val="00B02A2B"/>
    <w:rsid w:val="00B30964"/>
    <w:rsid w:val="00B3126B"/>
    <w:rsid w:val="00B35A65"/>
    <w:rsid w:val="00B45793"/>
    <w:rsid w:val="00B46DC9"/>
    <w:rsid w:val="00B47A48"/>
    <w:rsid w:val="00B50E6B"/>
    <w:rsid w:val="00B534DA"/>
    <w:rsid w:val="00B579CE"/>
    <w:rsid w:val="00B61B28"/>
    <w:rsid w:val="00B66F58"/>
    <w:rsid w:val="00B77187"/>
    <w:rsid w:val="00B877FB"/>
    <w:rsid w:val="00BA5026"/>
    <w:rsid w:val="00BB289C"/>
    <w:rsid w:val="00BB53E8"/>
    <w:rsid w:val="00BE1306"/>
    <w:rsid w:val="00BE44E1"/>
    <w:rsid w:val="00C132F9"/>
    <w:rsid w:val="00C31B06"/>
    <w:rsid w:val="00C36DE8"/>
    <w:rsid w:val="00C51506"/>
    <w:rsid w:val="00C53E3B"/>
    <w:rsid w:val="00C55DE3"/>
    <w:rsid w:val="00C57F4C"/>
    <w:rsid w:val="00C72274"/>
    <w:rsid w:val="00C73597"/>
    <w:rsid w:val="00C80585"/>
    <w:rsid w:val="00CA6AF4"/>
    <w:rsid w:val="00CA7590"/>
    <w:rsid w:val="00CB44BA"/>
    <w:rsid w:val="00CB7F98"/>
    <w:rsid w:val="00CC26FE"/>
    <w:rsid w:val="00CC3364"/>
    <w:rsid w:val="00CC7279"/>
    <w:rsid w:val="00CD0EAC"/>
    <w:rsid w:val="00CD3C10"/>
    <w:rsid w:val="00D075AE"/>
    <w:rsid w:val="00D36EB5"/>
    <w:rsid w:val="00D437E0"/>
    <w:rsid w:val="00D64354"/>
    <w:rsid w:val="00D84DFB"/>
    <w:rsid w:val="00DA2D6C"/>
    <w:rsid w:val="00DB19E1"/>
    <w:rsid w:val="00DC3E70"/>
    <w:rsid w:val="00DD2F86"/>
    <w:rsid w:val="00DD7751"/>
    <w:rsid w:val="00DE6BF6"/>
    <w:rsid w:val="00DF2B27"/>
    <w:rsid w:val="00E0715C"/>
    <w:rsid w:val="00E36621"/>
    <w:rsid w:val="00E44206"/>
    <w:rsid w:val="00E4780A"/>
    <w:rsid w:val="00E5183C"/>
    <w:rsid w:val="00E52E8E"/>
    <w:rsid w:val="00E55C67"/>
    <w:rsid w:val="00E704FF"/>
    <w:rsid w:val="00E7519C"/>
    <w:rsid w:val="00E80626"/>
    <w:rsid w:val="00E81A59"/>
    <w:rsid w:val="00E853A2"/>
    <w:rsid w:val="00EA0EC7"/>
    <w:rsid w:val="00EB266D"/>
    <w:rsid w:val="00EC32C7"/>
    <w:rsid w:val="00EC4832"/>
    <w:rsid w:val="00EC7F09"/>
    <w:rsid w:val="00EE3BFC"/>
    <w:rsid w:val="00EF4CA9"/>
    <w:rsid w:val="00F07032"/>
    <w:rsid w:val="00F12ECA"/>
    <w:rsid w:val="00F13829"/>
    <w:rsid w:val="00F2476D"/>
    <w:rsid w:val="00F80FA6"/>
    <w:rsid w:val="00FA0D8D"/>
    <w:rsid w:val="00FB04E1"/>
    <w:rsid w:val="00FB2D25"/>
    <w:rsid w:val="00FC5A98"/>
    <w:rsid w:val="00FD7C86"/>
    <w:rsid w:val="00FE3965"/>
    <w:rsid w:val="00FF01D7"/>
    <w:rsid w:val="155760AC"/>
    <w:rsid w:val="69915C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E2EA7B"/>
  <w15:docId w15:val="{0F4ECAD9-E48D-4D56-B78E-AD7A2959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uiPriority="99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qFormat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napToGrid w:val="0"/>
      <w:spacing w:line="264" w:lineRule="auto"/>
      <w:ind w:firstLine="510"/>
      <w:jc w:val="both"/>
    </w:pPr>
    <w:rPr>
      <w:rFonts w:eastAsia="方正书宋简体"/>
      <w:snapToGrid w:val="0"/>
      <w:spacing w:val="2"/>
      <w:kern w:val="2"/>
      <w:sz w:val="22"/>
      <w:szCs w:val="24"/>
    </w:rPr>
  </w:style>
  <w:style w:type="paragraph" w:styleId="1">
    <w:name w:val="heading 1"/>
    <w:basedOn w:val="a0"/>
    <w:next w:val="a0"/>
    <w:qFormat/>
    <w:pPr>
      <w:keepNext/>
      <w:keepLines/>
      <w:spacing w:before="800" w:after="360" w:line="0" w:lineRule="atLeast"/>
      <w:ind w:firstLine="0"/>
      <w:jc w:val="left"/>
      <w:outlineLvl w:val="0"/>
    </w:pPr>
    <w:rPr>
      <w:rFonts w:eastAsia="方正大标宋简体"/>
      <w:bCs/>
      <w:kern w:val="44"/>
      <w:sz w:val="36"/>
      <w:szCs w:val="44"/>
    </w:rPr>
  </w:style>
  <w:style w:type="paragraph" w:styleId="2">
    <w:name w:val="heading 2"/>
    <w:basedOn w:val="a0"/>
    <w:next w:val="a0"/>
    <w:qFormat/>
    <w:pPr>
      <w:keepNext/>
      <w:keepLines/>
      <w:spacing w:before="160" w:after="100" w:line="0" w:lineRule="atLeast"/>
      <w:ind w:firstLine="0"/>
      <w:jc w:val="left"/>
      <w:outlineLvl w:val="1"/>
    </w:pPr>
    <w:rPr>
      <w:rFonts w:eastAsia="方正楷体简体"/>
      <w:bCs/>
      <w:sz w:val="24"/>
      <w:szCs w:val="32"/>
    </w:rPr>
  </w:style>
  <w:style w:type="paragraph" w:styleId="3">
    <w:name w:val="heading 3"/>
    <w:basedOn w:val="a0"/>
    <w:next w:val="a0"/>
    <w:qFormat/>
    <w:pPr>
      <w:keepNext/>
      <w:keepLines/>
      <w:spacing w:before="120" w:after="120"/>
      <w:ind w:right="680"/>
      <w:jc w:val="left"/>
      <w:outlineLvl w:val="2"/>
    </w:pPr>
    <w:rPr>
      <w:rFonts w:eastAsia="FangSong_GB2312"/>
      <w:bCs/>
      <w:sz w:val="18"/>
      <w:szCs w:val="32"/>
    </w:rPr>
  </w:style>
  <w:style w:type="paragraph" w:styleId="4">
    <w:name w:val="heading 4"/>
    <w:basedOn w:val="a0"/>
    <w:next w:val="a0"/>
    <w:qFormat/>
    <w:pPr>
      <w:keepNext/>
      <w:spacing w:before="440" w:after="440" w:line="0" w:lineRule="atLeast"/>
      <w:ind w:right="680" w:firstLine="0"/>
      <w:outlineLvl w:val="3"/>
    </w:pPr>
    <w:rPr>
      <w:b/>
      <w:bCs/>
      <w:snapToGrid/>
      <w:sz w:val="28"/>
      <w:szCs w:val="20"/>
    </w:rPr>
  </w:style>
  <w:style w:type="paragraph" w:styleId="5">
    <w:name w:val="heading 5"/>
    <w:basedOn w:val="a0"/>
    <w:next w:val="a0"/>
    <w:qFormat/>
    <w:pPr>
      <w:keepNext/>
      <w:spacing w:before="120" w:after="80"/>
      <w:ind w:right="680"/>
      <w:outlineLvl w:val="4"/>
    </w:pPr>
    <w:rPr>
      <w:rFonts w:eastAsia="宋体"/>
      <w:bCs/>
      <w:color w:val="000000"/>
      <w:sz w:val="24"/>
      <w:szCs w:val="21"/>
    </w:rPr>
  </w:style>
  <w:style w:type="paragraph" w:styleId="6">
    <w:name w:val="heading 6"/>
    <w:basedOn w:val="a0"/>
    <w:next w:val="a0"/>
    <w:qFormat/>
    <w:pPr>
      <w:keepNext/>
      <w:spacing w:before="120" w:after="360"/>
      <w:ind w:firstLine="0"/>
      <w:outlineLvl w:val="5"/>
    </w:pPr>
    <w:rPr>
      <w:bCs/>
      <w:sz w:val="20"/>
    </w:rPr>
  </w:style>
  <w:style w:type="paragraph" w:styleId="7">
    <w:name w:val="heading 7"/>
    <w:basedOn w:val="a0"/>
    <w:next w:val="a0"/>
    <w:qFormat/>
    <w:pPr>
      <w:keepNext/>
      <w:spacing w:before="240"/>
      <w:ind w:firstLine="0"/>
      <w:jc w:val="left"/>
      <w:outlineLvl w:val="6"/>
    </w:pPr>
    <w:rPr>
      <w:rFonts w:eastAsia="方正小标宋简体"/>
      <w:bCs/>
      <w:sz w:val="24"/>
    </w:rPr>
  </w:style>
  <w:style w:type="paragraph" w:styleId="8">
    <w:name w:val="heading 8"/>
    <w:basedOn w:val="a0"/>
    <w:next w:val="a0"/>
    <w:qFormat/>
    <w:pPr>
      <w:keepNext/>
      <w:ind w:firstLine="0"/>
      <w:outlineLvl w:val="7"/>
    </w:pPr>
    <w:rPr>
      <w:rFonts w:eastAsia="方正小标宋简体"/>
      <w:bCs/>
      <w:sz w:val="24"/>
    </w:rPr>
  </w:style>
  <w:style w:type="paragraph" w:styleId="9">
    <w:name w:val="heading 9"/>
    <w:basedOn w:val="a0"/>
    <w:next w:val="a0"/>
    <w:qFormat/>
    <w:pPr>
      <w:keepNext/>
      <w:spacing w:before="200" w:after="120"/>
      <w:outlineLvl w:val="8"/>
    </w:pPr>
    <w:rPr>
      <w:rFonts w:eastAsia="方正小标宋简体"/>
      <w:bCs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qFormat/>
    <w:pPr>
      <w:ind w:firstLineChars="200" w:firstLine="420"/>
    </w:pPr>
    <w:rPr>
      <w:snapToGrid/>
      <w:szCs w:val="20"/>
    </w:rPr>
  </w:style>
  <w:style w:type="paragraph" w:styleId="a5">
    <w:name w:val="caption"/>
    <w:basedOn w:val="a0"/>
    <w:next w:val="a0"/>
    <w:qFormat/>
    <w:rPr>
      <w:i/>
      <w:iCs/>
    </w:rPr>
  </w:style>
  <w:style w:type="paragraph" w:styleId="a6">
    <w:name w:val="Document Map"/>
    <w:basedOn w:val="a0"/>
    <w:semiHidden/>
    <w:qFormat/>
    <w:pPr>
      <w:shd w:val="clear" w:color="auto" w:fill="000080"/>
      <w:snapToGrid/>
      <w:spacing w:line="240" w:lineRule="auto"/>
      <w:ind w:firstLine="0"/>
    </w:pPr>
    <w:rPr>
      <w:rFonts w:eastAsia="宋体"/>
      <w:snapToGrid/>
      <w:spacing w:val="0"/>
      <w:sz w:val="21"/>
    </w:rPr>
  </w:style>
  <w:style w:type="paragraph" w:styleId="a7">
    <w:name w:val="annotation text"/>
    <w:basedOn w:val="a0"/>
    <w:semiHidden/>
    <w:qFormat/>
    <w:pPr>
      <w:snapToGrid/>
      <w:spacing w:line="240" w:lineRule="auto"/>
      <w:jc w:val="left"/>
    </w:pPr>
    <w:rPr>
      <w:rFonts w:eastAsia="宋体"/>
      <w:snapToGrid/>
      <w:spacing w:val="0"/>
      <w:sz w:val="21"/>
      <w:szCs w:val="21"/>
    </w:rPr>
  </w:style>
  <w:style w:type="paragraph" w:styleId="30">
    <w:name w:val="Body Text 3"/>
    <w:basedOn w:val="a0"/>
    <w:qFormat/>
    <w:rPr>
      <w:sz w:val="16"/>
      <w:szCs w:val="18"/>
    </w:rPr>
  </w:style>
  <w:style w:type="paragraph" w:styleId="a8">
    <w:name w:val="Body Text"/>
    <w:basedOn w:val="a0"/>
    <w:qFormat/>
    <w:rPr>
      <w:b/>
      <w:bCs/>
      <w:sz w:val="17"/>
    </w:rPr>
  </w:style>
  <w:style w:type="paragraph" w:styleId="a9">
    <w:name w:val="Body Text Indent"/>
    <w:basedOn w:val="a0"/>
    <w:qFormat/>
    <w:pPr>
      <w:ind w:firstLine="420"/>
    </w:pPr>
    <w:rPr>
      <w:szCs w:val="21"/>
    </w:rPr>
  </w:style>
  <w:style w:type="paragraph" w:styleId="aa">
    <w:name w:val="endnote text"/>
    <w:basedOn w:val="a0"/>
    <w:semiHidden/>
    <w:qFormat/>
    <w:pPr>
      <w:widowControl/>
      <w:snapToGrid/>
      <w:spacing w:line="240" w:lineRule="auto"/>
      <w:jc w:val="left"/>
    </w:pPr>
    <w:rPr>
      <w:rFonts w:ascii="Arial" w:eastAsia="宋体" w:hAnsi="Arial"/>
      <w:snapToGrid/>
      <w:spacing w:val="0"/>
      <w:kern w:val="0"/>
      <w:szCs w:val="20"/>
      <w:lang w:val="de-DE" w:eastAsia="de-DE"/>
    </w:rPr>
  </w:style>
  <w:style w:type="paragraph" w:styleId="ab">
    <w:name w:val="Balloon Text"/>
    <w:basedOn w:val="a0"/>
    <w:semiHidden/>
    <w:qFormat/>
    <w:pPr>
      <w:snapToGrid/>
      <w:spacing w:line="240" w:lineRule="auto"/>
    </w:pPr>
    <w:rPr>
      <w:rFonts w:eastAsia="宋体"/>
      <w:snapToGrid/>
      <w:spacing w:val="0"/>
      <w:sz w:val="18"/>
      <w:szCs w:val="18"/>
    </w:rPr>
  </w:style>
  <w:style w:type="paragraph" w:styleId="ac">
    <w:name w:val="footer"/>
    <w:basedOn w:val="a0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d">
    <w:name w:val="header"/>
    <w:basedOn w:val="a0"/>
    <w:link w:val="ae"/>
    <w:qFormat/>
    <w:pPr>
      <w:tabs>
        <w:tab w:val="center" w:pos="4153"/>
        <w:tab w:val="right" w:pos="8306"/>
      </w:tabs>
      <w:jc w:val="center"/>
    </w:pPr>
    <w:rPr>
      <w:snapToGrid/>
      <w:sz w:val="18"/>
      <w:szCs w:val="18"/>
    </w:rPr>
  </w:style>
  <w:style w:type="paragraph" w:styleId="af">
    <w:name w:val="Subtitle"/>
    <w:basedOn w:val="a0"/>
    <w:next w:val="a0"/>
    <w:qFormat/>
    <w:pPr>
      <w:overflowPunct w:val="0"/>
      <w:snapToGrid/>
      <w:spacing w:before="320" w:line="240" w:lineRule="auto"/>
      <w:ind w:firstLine="0"/>
      <w:outlineLvl w:val="0"/>
    </w:pPr>
    <w:rPr>
      <w:rFonts w:eastAsia="黑体"/>
      <w:snapToGrid/>
      <w:spacing w:val="0"/>
      <w:sz w:val="36"/>
      <w:szCs w:val="20"/>
    </w:rPr>
  </w:style>
  <w:style w:type="paragraph" w:styleId="af0">
    <w:name w:val="footnote text"/>
    <w:basedOn w:val="a0"/>
    <w:uiPriority w:val="99"/>
    <w:qFormat/>
    <w:pPr>
      <w:jc w:val="left"/>
    </w:pPr>
    <w:rPr>
      <w:sz w:val="18"/>
      <w:szCs w:val="18"/>
    </w:rPr>
  </w:style>
  <w:style w:type="paragraph" w:styleId="af1">
    <w:name w:val="table of figures"/>
    <w:basedOn w:val="a0"/>
    <w:next w:val="a0"/>
    <w:semiHidden/>
    <w:qFormat/>
  </w:style>
  <w:style w:type="paragraph" w:styleId="20">
    <w:name w:val="Body Text 2"/>
    <w:basedOn w:val="a0"/>
    <w:qFormat/>
    <w:pPr>
      <w:spacing w:after="60"/>
    </w:pPr>
    <w:rPr>
      <w:rFonts w:eastAsia="黑体"/>
      <w:b/>
      <w:bCs/>
      <w:sz w:val="16"/>
    </w:rPr>
  </w:style>
  <w:style w:type="paragraph" w:styleId="af2">
    <w:name w:val="Normal (Web)"/>
    <w:basedOn w:val="a0"/>
    <w:qFormat/>
    <w:pPr>
      <w:widowControl/>
      <w:snapToGrid/>
      <w:spacing w:before="100" w:beforeAutospacing="1" w:after="100" w:afterAutospacing="1" w:line="240" w:lineRule="auto"/>
      <w:jc w:val="left"/>
    </w:pPr>
    <w:rPr>
      <w:rFonts w:ascii="宋体" w:eastAsia="宋体" w:hAnsi="宋体" w:hint="eastAsia"/>
      <w:snapToGrid/>
      <w:spacing w:val="0"/>
      <w:kern w:val="0"/>
      <w:sz w:val="24"/>
    </w:rPr>
  </w:style>
  <w:style w:type="paragraph" w:styleId="af3">
    <w:name w:val="annotation subject"/>
    <w:basedOn w:val="a7"/>
    <w:next w:val="a7"/>
    <w:semiHidden/>
    <w:qFormat/>
    <w:rPr>
      <w:b/>
      <w:bCs/>
    </w:rPr>
  </w:style>
  <w:style w:type="table" w:styleId="af4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Table Simple 1"/>
    <w:basedOn w:val="a2"/>
    <w:qFormat/>
    <w:pPr>
      <w:widowControl w:val="0"/>
      <w:snapToGrid w:val="0"/>
      <w:spacing w:line="264" w:lineRule="auto"/>
      <w:ind w:firstLine="51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character" w:styleId="af5">
    <w:name w:val="Strong"/>
    <w:qFormat/>
    <w:rPr>
      <w:b/>
      <w:bCs/>
    </w:rPr>
  </w:style>
  <w:style w:type="character" w:styleId="af6">
    <w:name w:val="page number"/>
    <w:basedOn w:val="a1"/>
    <w:qFormat/>
  </w:style>
  <w:style w:type="character" w:styleId="af7">
    <w:name w:val="FollowedHyperlink"/>
    <w:rPr>
      <w:color w:val="800080"/>
      <w:u w:val="single"/>
    </w:rPr>
  </w:style>
  <w:style w:type="character" w:styleId="af8">
    <w:name w:val="Emphasis"/>
    <w:qFormat/>
    <w:rPr>
      <w:i/>
      <w:iCs/>
    </w:rPr>
  </w:style>
  <w:style w:type="character" w:styleId="HTML">
    <w:name w:val="HTML Typewriter"/>
    <w:qFormat/>
    <w:rPr>
      <w:rFonts w:ascii="宋体" w:eastAsia="宋体" w:hAnsi="宋体" w:cs="宋体"/>
      <w:sz w:val="24"/>
      <w:szCs w:val="24"/>
    </w:rPr>
  </w:style>
  <w:style w:type="character" w:styleId="af9">
    <w:name w:val="Hyperlink"/>
    <w:rPr>
      <w:color w:val="0000FF"/>
      <w:u w:val="single"/>
    </w:rPr>
  </w:style>
  <w:style w:type="character" w:styleId="afa">
    <w:name w:val="annotation reference"/>
    <w:semiHidden/>
    <w:qFormat/>
    <w:rPr>
      <w:sz w:val="21"/>
      <w:szCs w:val="21"/>
    </w:rPr>
  </w:style>
  <w:style w:type="character" w:styleId="afb">
    <w:name w:val="footnote reference"/>
    <w:semiHidden/>
    <w:qFormat/>
    <w:rPr>
      <w:vertAlign w:val="superscript"/>
    </w:rPr>
  </w:style>
  <w:style w:type="paragraph" w:customStyle="1" w:styleId="11">
    <w:name w:val="样式1"/>
    <w:basedOn w:val="a0"/>
    <w:qFormat/>
    <w:pPr>
      <w:spacing w:after="160" w:line="288" w:lineRule="auto"/>
      <w:ind w:firstLine="0"/>
      <w:jc w:val="left"/>
    </w:pPr>
    <w:rPr>
      <w:rFonts w:eastAsia="方正楷体简体"/>
      <w:sz w:val="21"/>
    </w:rPr>
  </w:style>
  <w:style w:type="paragraph" w:customStyle="1" w:styleId="21">
    <w:name w:val="样式2"/>
    <w:basedOn w:val="a0"/>
    <w:qFormat/>
    <w:pPr>
      <w:spacing w:line="300" w:lineRule="auto"/>
      <w:ind w:firstLine="0"/>
    </w:pPr>
    <w:rPr>
      <w:rFonts w:eastAsia="方正楷体简体"/>
      <w:sz w:val="21"/>
    </w:rPr>
  </w:style>
  <w:style w:type="paragraph" w:customStyle="1" w:styleId="31">
    <w:name w:val="样式3"/>
    <w:basedOn w:val="a0"/>
    <w:pPr>
      <w:spacing w:line="280" w:lineRule="exact"/>
      <w:ind w:left="227" w:hanging="227"/>
    </w:pPr>
    <w:rPr>
      <w:spacing w:val="0"/>
      <w:sz w:val="21"/>
      <w:szCs w:val="18"/>
    </w:rPr>
  </w:style>
  <w:style w:type="paragraph" w:customStyle="1" w:styleId="40">
    <w:name w:val="样式4"/>
    <w:basedOn w:val="a0"/>
    <w:pPr>
      <w:spacing w:before="200" w:after="80" w:line="336" w:lineRule="auto"/>
      <w:ind w:firstLine="0"/>
    </w:pPr>
    <w:rPr>
      <w:spacing w:val="0"/>
      <w:sz w:val="21"/>
      <w:szCs w:val="18"/>
    </w:rPr>
  </w:style>
  <w:style w:type="character" w:customStyle="1" w:styleId="javascript">
    <w:name w:val="javascript"/>
    <w:basedOn w:val="a1"/>
  </w:style>
  <w:style w:type="paragraph" w:customStyle="1" w:styleId="100">
    <w:name w:val="标题10"/>
    <w:basedOn w:val="a0"/>
    <w:pPr>
      <w:spacing w:before="80" w:after="80"/>
    </w:pPr>
    <w:rPr>
      <w:rFonts w:eastAsia="KaiTi_GB2312"/>
      <w:color w:val="000000"/>
      <w:spacing w:val="10"/>
      <w:szCs w:val="21"/>
    </w:rPr>
  </w:style>
  <w:style w:type="paragraph" w:customStyle="1" w:styleId="a">
    <w:name w:val="参考文献"/>
    <w:basedOn w:val="a0"/>
    <w:pPr>
      <w:numPr>
        <w:numId w:val="1"/>
      </w:numPr>
      <w:spacing w:line="295" w:lineRule="auto"/>
    </w:pPr>
    <w:rPr>
      <w:color w:val="000000"/>
      <w:sz w:val="18"/>
      <w:szCs w:val="18"/>
    </w:rPr>
  </w:style>
  <w:style w:type="character" w:customStyle="1" w:styleId="datatitle1">
    <w:name w:val="datatitle1"/>
    <w:qFormat/>
    <w:rPr>
      <w:b/>
      <w:bCs/>
      <w:color w:val="10619F"/>
      <w:sz w:val="18"/>
      <w:szCs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wbr1">
    <w:name w:val="wbr1"/>
    <w:rPr>
      <w:rFonts w:ascii="Lucida Sans Unicode" w:hAnsi="Lucida Sans Unicode" w:cs="Lucida Sans Unicode" w:hint="default"/>
      <w:color w:val="FFFFFF"/>
      <w:spacing w:val="0"/>
      <w:sz w:val="2"/>
      <w:szCs w:val="2"/>
    </w:rPr>
  </w:style>
  <w:style w:type="character" w:customStyle="1" w:styleId="journaltitle3">
    <w:name w:val="journal_title3"/>
    <w:qFormat/>
    <w:rPr>
      <w:i/>
      <w:iCs/>
    </w:rPr>
  </w:style>
  <w:style w:type="paragraph" w:customStyle="1" w:styleId="afc">
    <w:name w:val="毕业论文正文"/>
    <w:basedOn w:val="a0"/>
    <w:pPr>
      <w:snapToGrid/>
      <w:spacing w:line="360" w:lineRule="exact"/>
      <w:ind w:firstLineChars="200" w:firstLine="200"/>
    </w:pPr>
    <w:rPr>
      <w:rFonts w:eastAsia="宋体"/>
      <w:snapToGrid/>
      <w:spacing w:val="0"/>
      <w:sz w:val="21"/>
      <w:szCs w:val="21"/>
    </w:rPr>
  </w:style>
  <w:style w:type="paragraph" w:customStyle="1" w:styleId="afd">
    <w:name w:val="毕业论文图名表头"/>
    <w:basedOn w:val="a0"/>
    <w:pPr>
      <w:snapToGrid/>
      <w:spacing w:beforeLines="50" w:afterLines="50" w:line="240" w:lineRule="exact"/>
      <w:jc w:val="center"/>
    </w:pPr>
    <w:rPr>
      <w:rFonts w:eastAsia="宋体"/>
      <w:b/>
      <w:snapToGrid/>
      <w:spacing w:val="0"/>
      <w:sz w:val="18"/>
      <w:szCs w:val="18"/>
    </w:rPr>
  </w:style>
  <w:style w:type="paragraph" w:customStyle="1" w:styleId="22">
    <w:name w:val="标题2"/>
    <w:basedOn w:val="2"/>
    <w:qFormat/>
    <w:pPr>
      <w:keepLines w:val="0"/>
      <w:snapToGrid/>
      <w:spacing w:beforeLines="100" w:afterLines="100" w:line="240" w:lineRule="auto"/>
      <w:jc w:val="both"/>
    </w:pPr>
    <w:rPr>
      <w:rFonts w:eastAsia="黑体"/>
      <w:bCs w:val="0"/>
      <w:snapToGrid/>
      <w:spacing w:val="0"/>
      <w:sz w:val="28"/>
      <w:szCs w:val="24"/>
    </w:rPr>
  </w:style>
  <w:style w:type="character" w:customStyle="1" w:styleId="Char">
    <w:name w:val="毕业论文正文 Char"/>
    <w:qFormat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ti">
    <w:name w:val="ti"/>
    <w:basedOn w:val="a1"/>
    <w:qFormat/>
  </w:style>
  <w:style w:type="character" w:customStyle="1" w:styleId="afe">
    <w:name w:val="a"/>
    <w:basedOn w:val="a1"/>
    <w:qFormat/>
  </w:style>
  <w:style w:type="character" w:customStyle="1" w:styleId="aff1">
    <w:name w:val="aff1"/>
    <w:rPr>
      <w:rFonts w:ascii="Verdana" w:hAnsi="Verdana" w:hint="default"/>
      <w:color w:val="000000"/>
      <w:sz w:val="15"/>
      <w:szCs w:val="15"/>
    </w:rPr>
  </w:style>
  <w:style w:type="character" w:customStyle="1" w:styleId="itemfirstlastodd">
    <w:name w:val="item first last odd"/>
    <w:basedOn w:val="a1"/>
    <w:qFormat/>
  </w:style>
  <w:style w:type="character" w:customStyle="1" w:styleId="2Char">
    <w:name w:val="标题 2 Char"/>
    <w:rPr>
      <w:rFonts w:ascii="Arial" w:eastAsia="黑体" w:hAnsi="Arial"/>
      <w:b/>
      <w:bCs/>
      <w:kern w:val="2"/>
      <w:sz w:val="32"/>
      <w:szCs w:val="32"/>
    </w:rPr>
  </w:style>
  <w:style w:type="character" w:customStyle="1" w:styleId="Char0">
    <w:name w:val="页眉 Char"/>
    <w:qFormat/>
    <w:rPr>
      <w:kern w:val="2"/>
      <w:sz w:val="18"/>
      <w:szCs w:val="18"/>
    </w:rPr>
  </w:style>
  <w:style w:type="character" w:customStyle="1" w:styleId="Char1">
    <w:name w:val="页脚 Char"/>
    <w:rPr>
      <w:kern w:val="2"/>
      <w:sz w:val="18"/>
      <w:szCs w:val="18"/>
    </w:rPr>
  </w:style>
  <w:style w:type="character" w:customStyle="1" w:styleId="3Char">
    <w:name w:val="标题 3 Char"/>
    <w:rPr>
      <w:rFonts w:ascii="宋体" w:eastAsia="FangSong_GB2312" w:hAnsi="宋体"/>
      <w:b/>
      <w:bCs/>
      <w:sz w:val="21"/>
      <w:szCs w:val="27"/>
    </w:rPr>
  </w:style>
  <w:style w:type="character" w:customStyle="1" w:styleId="Char2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Char3">
    <w:name w:val="正文文本 Char"/>
    <w:rPr>
      <w:rFonts w:ascii="宋体" w:hAnsi="宋体"/>
      <w:kern w:val="2"/>
      <w:sz w:val="21"/>
      <w:szCs w:val="24"/>
    </w:rPr>
  </w:style>
  <w:style w:type="character" w:customStyle="1" w:styleId="HTMLChar">
    <w:name w:val="HTML 预设格式 Char"/>
    <w:qFormat/>
    <w:rPr>
      <w:rFonts w:ascii="宋体" w:hAnsi="宋体"/>
      <w:color w:val="000000"/>
      <w:sz w:val="24"/>
      <w:szCs w:val="24"/>
    </w:rPr>
  </w:style>
  <w:style w:type="character" w:customStyle="1" w:styleId="Char4">
    <w:name w:val="日期 Char"/>
    <w:rPr>
      <w:kern w:val="2"/>
      <w:sz w:val="21"/>
      <w:szCs w:val="24"/>
    </w:rPr>
  </w:style>
  <w:style w:type="character" w:customStyle="1" w:styleId="Char5">
    <w:name w:val="批注框文本 Char"/>
    <w:rPr>
      <w:kern w:val="2"/>
      <w:sz w:val="18"/>
      <w:szCs w:val="18"/>
    </w:rPr>
  </w:style>
  <w:style w:type="character" w:customStyle="1" w:styleId="s1magstyle5magstyle8">
    <w:name w:val="s1 mag_style5  mag_style8"/>
    <w:basedOn w:val="a1"/>
  </w:style>
  <w:style w:type="character" w:customStyle="1" w:styleId="s5magstyle5">
    <w:name w:val="s5 mag_style5"/>
    <w:basedOn w:val="a1"/>
    <w:qFormat/>
  </w:style>
  <w:style w:type="character" w:customStyle="1" w:styleId="doi13">
    <w:name w:val="doi13"/>
    <w:basedOn w:val="a1"/>
  </w:style>
  <w:style w:type="paragraph" w:styleId="aff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ff0">
    <w:name w:val="List Paragraph"/>
    <w:basedOn w:val="a0"/>
    <w:qFormat/>
    <w:pPr>
      <w:snapToGrid/>
      <w:spacing w:line="240" w:lineRule="auto"/>
      <w:ind w:firstLineChars="200" w:firstLine="420"/>
    </w:pPr>
    <w:rPr>
      <w:rFonts w:ascii="Calibri" w:eastAsia="宋体" w:hAnsi="Calibri"/>
      <w:snapToGrid/>
      <w:spacing w:val="0"/>
      <w:sz w:val="21"/>
      <w:szCs w:val="22"/>
    </w:rPr>
  </w:style>
  <w:style w:type="character" w:customStyle="1" w:styleId="1Char">
    <w:name w:val="标题 1 Char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journal8">
    <w:name w:val="journal8"/>
    <w:rPr>
      <w:i/>
      <w:iCs/>
    </w:rPr>
  </w:style>
  <w:style w:type="character" w:customStyle="1" w:styleId="jnumber1">
    <w:name w:val="jnumber1"/>
    <w:rPr>
      <w:b/>
      <w:bCs/>
    </w:rPr>
  </w:style>
  <w:style w:type="character" w:customStyle="1" w:styleId="atl">
    <w:name w:val="atl"/>
    <w:basedOn w:val="a1"/>
  </w:style>
  <w:style w:type="character" w:customStyle="1" w:styleId="jtl">
    <w:name w:val="jtl"/>
    <w:basedOn w:val="a1"/>
  </w:style>
  <w:style w:type="character" w:customStyle="1" w:styleId="vid">
    <w:name w:val="vid"/>
    <w:basedOn w:val="a1"/>
  </w:style>
  <w:style w:type="character" w:customStyle="1" w:styleId="cite-month-year">
    <w:name w:val="cite-month-year"/>
    <w:basedOn w:val="a1"/>
    <w:qFormat/>
  </w:style>
  <w:style w:type="character" w:customStyle="1" w:styleId="atl3">
    <w:name w:val="atl3"/>
    <w:basedOn w:val="a1"/>
  </w:style>
  <w:style w:type="character" w:customStyle="1" w:styleId="jtl1">
    <w:name w:val="jtl1"/>
    <w:rPr>
      <w:i/>
      <w:iCs/>
    </w:rPr>
  </w:style>
  <w:style w:type="character" w:customStyle="1" w:styleId="vid1">
    <w:name w:val="vid1"/>
    <w:qFormat/>
    <w:rPr>
      <w:b/>
      <w:bCs/>
    </w:rPr>
  </w:style>
  <w:style w:type="character" w:customStyle="1" w:styleId="articletext">
    <w:name w:val="articletext"/>
    <w:basedOn w:val="a1"/>
  </w:style>
  <w:style w:type="character" w:customStyle="1" w:styleId="hit">
    <w:name w:val="hit"/>
    <w:basedOn w:val="a1"/>
  </w:style>
  <w:style w:type="paragraph" w:customStyle="1" w:styleId="details3">
    <w:name w:val="details3"/>
    <w:basedOn w:val="a0"/>
    <w:pPr>
      <w:widowControl/>
      <w:snapToGrid/>
      <w:spacing w:line="300" w:lineRule="auto"/>
      <w:jc w:val="left"/>
    </w:pPr>
    <w:rPr>
      <w:rFonts w:ascii="宋体" w:eastAsia="宋体" w:hAnsi="宋体"/>
      <w:snapToGrid/>
      <w:spacing w:val="0"/>
      <w:kern w:val="0"/>
      <w:sz w:val="26"/>
      <w:szCs w:val="26"/>
    </w:rPr>
  </w:style>
  <w:style w:type="character" w:customStyle="1" w:styleId="i1">
    <w:name w:val="i1"/>
    <w:qFormat/>
    <w:rPr>
      <w:i/>
      <w:iCs/>
    </w:rPr>
  </w:style>
  <w:style w:type="character" w:customStyle="1" w:styleId="journalname">
    <w:name w:val="journalname"/>
    <w:rPr>
      <w:i/>
      <w:iCs/>
    </w:rPr>
  </w:style>
  <w:style w:type="character" w:customStyle="1" w:styleId="journalnumber">
    <w:name w:val="journalnumber"/>
    <w:rPr>
      <w:b/>
      <w:bCs/>
    </w:rPr>
  </w:style>
  <w:style w:type="character" w:customStyle="1" w:styleId="atl1">
    <w:name w:val="atl1"/>
    <w:basedOn w:val="a1"/>
    <w:qFormat/>
  </w:style>
  <w:style w:type="character" w:customStyle="1" w:styleId="style21">
    <w:name w:val="style21"/>
    <w:qFormat/>
    <w:rPr>
      <w:rFonts w:ascii="Verdana" w:hAnsi="Verdana" w:hint="default"/>
    </w:rPr>
  </w:style>
  <w:style w:type="character" w:customStyle="1" w:styleId="journalname1">
    <w:name w:val="journalname1"/>
    <w:qFormat/>
    <w:rPr>
      <w:i/>
      <w:iCs/>
    </w:rPr>
  </w:style>
  <w:style w:type="character" w:customStyle="1" w:styleId="cite-pages">
    <w:name w:val="cite-pages"/>
    <w:basedOn w:val="a1"/>
    <w:qFormat/>
  </w:style>
  <w:style w:type="character" w:customStyle="1" w:styleId="Char6">
    <w:name w:val="脚注文本 Char"/>
    <w:uiPriority w:val="99"/>
    <w:qFormat/>
    <w:rPr>
      <w:kern w:val="2"/>
      <w:sz w:val="18"/>
      <w:szCs w:val="18"/>
    </w:rPr>
  </w:style>
  <w:style w:type="character" w:customStyle="1" w:styleId="Char7">
    <w:name w:val="尾注文本 Char"/>
    <w:semiHidden/>
    <w:qFormat/>
    <w:rPr>
      <w:kern w:val="2"/>
      <w:sz w:val="21"/>
      <w:szCs w:val="22"/>
    </w:rPr>
  </w:style>
  <w:style w:type="character" w:customStyle="1" w:styleId="volume">
    <w:name w:val="volume"/>
    <w:basedOn w:val="a1"/>
    <w:qFormat/>
  </w:style>
  <w:style w:type="character" w:customStyle="1" w:styleId="issue">
    <w:name w:val="issue"/>
    <w:basedOn w:val="a1"/>
  </w:style>
  <w:style w:type="character" w:customStyle="1" w:styleId="pages">
    <w:name w:val="pages"/>
    <w:basedOn w:val="a1"/>
  </w:style>
  <w:style w:type="character" w:customStyle="1" w:styleId="style141">
    <w:name w:val="style141"/>
    <w:rPr>
      <w:color w:val="000000"/>
      <w:sz w:val="14"/>
      <w:szCs w:val="14"/>
    </w:rPr>
  </w:style>
  <w:style w:type="character" w:customStyle="1" w:styleId="magstyle5">
    <w:name w:val="mag_style5"/>
    <w:basedOn w:val="a1"/>
  </w:style>
  <w:style w:type="paragraph" w:customStyle="1" w:styleId="Pa54">
    <w:name w:val="Pa54"/>
    <w:basedOn w:val="Default"/>
    <w:next w:val="Default"/>
    <w:pPr>
      <w:spacing w:after="80" w:line="201" w:lineRule="atLeast"/>
    </w:pPr>
    <w:rPr>
      <w:rFonts w:ascii="Univers LT Std 55" w:eastAsia="Univers LT Std 55"/>
      <w:color w:val="auto"/>
    </w:rPr>
  </w:style>
  <w:style w:type="character" w:customStyle="1" w:styleId="A20">
    <w:name w:val="A2"/>
    <w:qFormat/>
    <w:rPr>
      <w:rFonts w:cs="Univers LT Std 55"/>
      <w:color w:val="221E1F"/>
      <w:sz w:val="16"/>
      <w:szCs w:val="16"/>
    </w:rPr>
  </w:style>
  <w:style w:type="character" w:customStyle="1" w:styleId="highlight1">
    <w:name w:val="highlight1"/>
    <w:qFormat/>
    <w:rPr>
      <w:sz w:val="21"/>
      <w:szCs w:val="21"/>
    </w:rPr>
  </w:style>
  <w:style w:type="character" w:customStyle="1" w:styleId="newtitle1">
    <w:name w:val="newtitle1"/>
    <w:rPr>
      <w:b/>
      <w:bCs/>
      <w:color w:val="104264"/>
    </w:rPr>
  </w:style>
  <w:style w:type="paragraph" w:customStyle="1" w:styleId="Web1">
    <w:name w:val="普通(Web)1"/>
    <w:basedOn w:val="a0"/>
    <w:qFormat/>
    <w:pPr>
      <w:widowControl/>
      <w:snapToGrid/>
      <w:spacing w:before="240" w:line="288" w:lineRule="atLeast"/>
      <w:ind w:left="120"/>
      <w:jc w:val="left"/>
    </w:pPr>
    <w:rPr>
      <w:rFonts w:ascii="宋体" w:eastAsia="宋体" w:hAnsi="宋体"/>
      <w:snapToGrid/>
      <w:color w:val="000000"/>
      <w:spacing w:val="0"/>
      <w:kern w:val="0"/>
      <w:szCs w:val="22"/>
    </w:rPr>
  </w:style>
  <w:style w:type="character" w:customStyle="1" w:styleId="ti2">
    <w:name w:val="ti2"/>
    <w:rPr>
      <w:sz w:val="22"/>
      <w:szCs w:val="22"/>
    </w:rPr>
  </w:style>
  <w:style w:type="paragraph" w:customStyle="1" w:styleId="220">
    <w:name w:val="标题 22"/>
    <w:basedOn w:val="a0"/>
    <w:qFormat/>
    <w:pPr>
      <w:widowControl/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0F8FF"/>
      <w:snapToGrid/>
      <w:spacing w:before="240" w:after="240" w:line="240" w:lineRule="auto"/>
      <w:jc w:val="left"/>
      <w:outlineLvl w:val="2"/>
    </w:pPr>
    <w:rPr>
      <w:rFonts w:ascii="Arial" w:eastAsia="宋体" w:hAnsi="Arial" w:cs="Arial"/>
      <w:b/>
      <w:bCs/>
      <w:snapToGrid/>
      <w:color w:val="000000"/>
      <w:spacing w:val="0"/>
      <w:kern w:val="0"/>
      <w:sz w:val="23"/>
      <w:szCs w:val="23"/>
    </w:rPr>
  </w:style>
  <w:style w:type="character" w:customStyle="1" w:styleId="linkbar">
    <w:name w:val="linkbar"/>
    <w:basedOn w:val="a1"/>
  </w:style>
  <w:style w:type="paragraph" w:customStyle="1" w:styleId="affiliation2">
    <w:name w:val="affiliation2"/>
    <w:basedOn w:val="a0"/>
    <w:qFormat/>
    <w:pPr>
      <w:widowControl/>
      <w:snapToGrid/>
      <w:spacing w:before="240" w:after="120" w:line="288" w:lineRule="atLeast"/>
      <w:ind w:left="120"/>
      <w:jc w:val="left"/>
    </w:pPr>
    <w:rPr>
      <w:rFonts w:ascii="宋体" w:eastAsia="宋体" w:hAnsi="宋体"/>
      <w:snapToGrid/>
      <w:color w:val="000000"/>
      <w:spacing w:val="0"/>
      <w:kern w:val="0"/>
      <w:sz w:val="19"/>
      <w:szCs w:val="19"/>
    </w:rPr>
  </w:style>
  <w:style w:type="paragraph" w:customStyle="1" w:styleId="12">
    <w:name w:val="脚注文本1"/>
    <w:basedOn w:val="af0"/>
    <w:qFormat/>
    <w:pPr>
      <w:tabs>
        <w:tab w:val="left" w:pos="465"/>
      </w:tabs>
      <w:overflowPunct w:val="0"/>
      <w:spacing w:line="312" w:lineRule="auto"/>
      <w:ind w:firstLineChars="297" w:firstLine="297"/>
      <w:jc w:val="both"/>
    </w:pPr>
    <w:rPr>
      <w:rFonts w:eastAsia="宋体"/>
      <w:snapToGrid/>
      <w:spacing w:val="0"/>
      <w:sz w:val="15"/>
      <w:szCs w:val="20"/>
    </w:rPr>
  </w:style>
  <w:style w:type="paragraph" w:customStyle="1" w:styleId="aff2">
    <w:name w:val="单位"/>
    <w:qFormat/>
    <w:pPr>
      <w:ind w:left="70" w:hangingChars="70" w:hanging="70"/>
      <w:jc w:val="both"/>
    </w:pPr>
    <w:rPr>
      <w:sz w:val="17"/>
    </w:rPr>
  </w:style>
  <w:style w:type="paragraph" w:customStyle="1" w:styleId="DepartCorrespond">
    <w:name w:val="Depart.Correspond"/>
    <w:basedOn w:val="aff2"/>
    <w:qFormat/>
    <w:pPr>
      <w:ind w:left="66" w:hangingChars="66" w:hanging="66"/>
    </w:pPr>
    <w:rPr>
      <w:iCs/>
      <w:sz w:val="16"/>
    </w:rPr>
  </w:style>
  <w:style w:type="paragraph" w:customStyle="1" w:styleId="13">
    <w:name w:val="日期1"/>
    <w:basedOn w:val="DepartCorrespond"/>
    <w:next w:val="a0"/>
    <w:pPr>
      <w:spacing w:after="240"/>
    </w:pPr>
    <w:rPr>
      <w:sz w:val="18"/>
    </w:rPr>
  </w:style>
  <w:style w:type="paragraph" w:customStyle="1" w:styleId="aff3">
    <w:name w:val="首页页眉"/>
    <w:basedOn w:val="ad"/>
    <w:pPr>
      <w:pBdr>
        <w:bottom w:val="double" w:sz="6" w:space="1" w:color="auto"/>
      </w:pBdr>
      <w:tabs>
        <w:tab w:val="clear" w:pos="4153"/>
        <w:tab w:val="clear" w:pos="8306"/>
      </w:tabs>
      <w:overflowPunct w:val="0"/>
      <w:spacing w:line="240" w:lineRule="auto"/>
      <w:ind w:firstLine="0"/>
      <w:jc w:val="both"/>
    </w:pPr>
    <w:rPr>
      <w:rFonts w:eastAsia="宋体"/>
      <w:spacing w:val="0"/>
      <w:szCs w:val="20"/>
    </w:rPr>
  </w:style>
  <w:style w:type="paragraph" w:customStyle="1" w:styleId="Keywords">
    <w:name w:val="Key words"/>
    <w:basedOn w:val="a0"/>
    <w:next w:val="a0"/>
    <w:pPr>
      <w:tabs>
        <w:tab w:val="left" w:pos="1176"/>
      </w:tabs>
      <w:overflowPunct w:val="0"/>
      <w:adjustRightInd w:val="0"/>
      <w:snapToGrid/>
      <w:spacing w:after="290" w:line="240" w:lineRule="auto"/>
      <w:ind w:left="632" w:hangingChars="632" w:hanging="632"/>
    </w:pPr>
    <w:rPr>
      <w:rFonts w:eastAsia="KaiTi_GB2312"/>
      <w:spacing w:val="0"/>
      <w:sz w:val="18"/>
      <w:szCs w:val="20"/>
    </w:rPr>
  </w:style>
  <w:style w:type="paragraph" w:customStyle="1" w:styleId="aff4">
    <w:name w:val="关键词"/>
    <w:basedOn w:val="a0"/>
    <w:next w:val="aff5"/>
    <w:qFormat/>
    <w:pPr>
      <w:tabs>
        <w:tab w:val="left" w:pos="798"/>
      </w:tabs>
      <w:overflowPunct w:val="0"/>
      <w:adjustRightInd w:val="0"/>
      <w:snapToGrid/>
      <w:spacing w:line="240" w:lineRule="auto"/>
      <w:ind w:left="429" w:hangingChars="429" w:hanging="429"/>
    </w:pPr>
    <w:rPr>
      <w:rFonts w:eastAsia="KaiTi_GB2312"/>
      <w:spacing w:val="0"/>
      <w:sz w:val="18"/>
      <w:szCs w:val="20"/>
    </w:rPr>
  </w:style>
  <w:style w:type="paragraph" w:customStyle="1" w:styleId="aff5">
    <w:name w:val="分类号"/>
    <w:basedOn w:val="13"/>
    <w:next w:val="a8"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14">
    <w:name w:val="标题1"/>
    <w:basedOn w:val="a0"/>
    <w:next w:val="Name"/>
    <w:pPr>
      <w:keepNext/>
      <w:keepLines/>
      <w:overflowPunct w:val="0"/>
      <w:spacing w:before="240" w:after="100" w:line="240" w:lineRule="auto"/>
      <w:ind w:firstLine="0"/>
      <w:outlineLvl w:val="0"/>
    </w:pPr>
    <w:rPr>
      <w:rFonts w:eastAsia="黑体"/>
      <w:b/>
      <w:snapToGrid/>
      <w:spacing w:val="0"/>
      <w:szCs w:val="20"/>
    </w:rPr>
  </w:style>
  <w:style w:type="paragraph" w:customStyle="1" w:styleId="Name">
    <w:name w:val="Name"/>
    <w:basedOn w:val="a0"/>
    <w:next w:val="DepartCorrespond"/>
    <w:qFormat/>
    <w:pPr>
      <w:keepNext/>
      <w:overflowPunct w:val="0"/>
      <w:snapToGrid/>
      <w:spacing w:before="220" w:after="180" w:line="0" w:lineRule="atLeast"/>
      <w:ind w:firstLine="0"/>
      <w:jc w:val="left"/>
    </w:pPr>
    <w:rPr>
      <w:rFonts w:eastAsia="宋体"/>
      <w:snapToGrid/>
      <w:spacing w:val="0"/>
      <w:sz w:val="18"/>
      <w:szCs w:val="20"/>
    </w:rPr>
  </w:style>
  <w:style w:type="paragraph" w:customStyle="1" w:styleId="Reference">
    <w:name w:val="Reference"/>
    <w:basedOn w:val="a0"/>
    <w:next w:val="TextofReference"/>
    <w:pPr>
      <w:overflowPunct w:val="0"/>
      <w:spacing w:before="280" w:line="240" w:lineRule="auto"/>
      <w:ind w:firstLine="0"/>
      <w:jc w:val="left"/>
      <w:outlineLvl w:val="0"/>
    </w:pPr>
    <w:rPr>
      <w:rFonts w:eastAsia="黑体"/>
      <w:b/>
      <w:snapToGrid/>
      <w:spacing w:val="0"/>
      <w:sz w:val="18"/>
      <w:szCs w:val="20"/>
    </w:rPr>
  </w:style>
  <w:style w:type="paragraph" w:customStyle="1" w:styleId="TextofReference">
    <w:name w:val="Text of Reference"/>
    <w:pPr>
      <w:tabs>
        <w:tab w:val="left" w:pos="419"/>
      </w:tabs>
      <w:spacing w:line="260" w:lineRule="exact"/>
      <w:ind w:left="419" w:hanging="79"/>
      <w:jc w:val="both"/>
    </w:pPr>
    <w:rPr>
      <w:sz w:val="15"/>
    </w:rPr>
  </w:style>
  <w:style w:type="character" w:customStyle="1" w:styleId="style541">
    <w:name w:val="style541"/>
    <w:rPr>
      <w:color w:val="000000"/>
    </w:rPr>
  </w:style>
  <w:style w:type="character" w:customStyle="1" w:styleId="mediumb-text">
    <w:name w:val="mediumb-text"/>
    <w:basedOn w:val="a1"/>
  </w:style>
  <w:style w:type="paragraph" w:customStyle="1" w:styleId="15">
    <w:name w:val="列出段落1"/>
    <w:basedOn w:val="a0"/>
    <w:qFormat/>
    <w:pPr>
      <w:snapToGrid/>
      <w:spacing w:line="240" w:lineRule="auto"/>
      <w:ind w:firstLineChars="200" w:firstLine="420"/>
    </w:pPr>
    <w:rPr>
      <w:rFonts w:ascii="Calibri" w:eastAsia="宋体" w:hAnsi="Calibri"/>
      <w:snapToGrid/>
      <w:spacing w:val="0"/>
      <w:sz w:val="21"/>
      <w:szCs w:val="22"/>
    </w:rPr>
  </w:style>
  <w:style w:type="character" w:customStyle="1" w:styleId="CharChar1">
    <w:name w:val="Char Char1"/>
    <w:qFormat/>
    <w:rPr>
      <w:rFonts w:eastAsia="黑体"/>
      <w:kern w:val="2"/>
      <w:sz w:val="36"/>
    </w:rPr>
  </w:style>
  <w:style w:type="character" w:customStyle="1" w:styleId="CharChar2">
    <w:name w:val="Char Char2"/>
    <w:qFormat/>
    <w:rPr>
      <w:kern w:val="2"/>
      <w:sz w:val="18"/>
    </w:rPr>
  </w:style>
  <w:style w:type="character" w:customStyle="1" w:styleId="CharChar3">
    <w:name w:val="Char Char3"/>
    <w:qFormat/>
    <w:rPr>
      <w:rFonts w:eastAsia="·s²Ó©úÅé"/>
      <w:sz w:val="18"/>
    </w:rPr>
  </w:style>
  <w:style w:type="character" w:customStyle="1" w:styleId="CharChar">
    <w:name w:val="Char Char"/>
    <w:qFormat/>
    <w:rPr>
      <w:rFonts w:ascii="Calibri" w:hAnsi="Calibri"/>
      <w:kern w:val="2"/>
      <w:sz w:val="18"/>
      <w:szCs w:val="18"/>
    </w:rPr>
  </w:style>
  <w:style w:type="character" w:customStyle="1" w:styleId="shorttext1">
    <w:name w:val="short_text1"/>
    <w:qFormat/>
    <w:rPr>
      <w:sz w:val="20"/>
      <w:szCs w:val="20"/>
    </w:rPr>
  </w:style>
  <w:style w:type="paragraph" w:customStyle="1" w:styleId="tu">
    <w:name w:val="tu"/>
    <w:basedOn w:val="a0"/>
    <w:qFormat/>
    <w:pPr>
      <w:spacing w:before="200" w:after="120"/>
      <w:ind w:firstLine="0"/>
      <w:jc w:val="center"/>
    </w:pPr>
  </w:style>
  <w:style w:type="paragraph" w:customStyle="1" w:styleId="aff6">
    <w:name w:val="英文作者简介"/>
    <w:basedOn w:val="af1"/>
    <w:pPr>
      <w:spacing w:line="336" w:lineRule="auto"/>
      <w:ind w:firstLine="0"/>
    </w:pPr>
    <w:rPr>
      <w:sz w:val="18"/>
    </w:rPr>
  </w:style>
  <w:style w:type="paragraph" w:customStyle="1" w:styleId="aff7">
    <w:name w:val="中文作者简介"/>
    <w:basedOn w:val="af1"/>
    <w:qFormat/>
    <w:pPr>
      <w:ind w:firstLine="0"/>
    </w:pPr>
    <w:rPr>
      <w:sz w:val="18"/>
    </w:rPr>
  </w:style>
  <w:style w:type="paragraph" w:customStyle="1" w:styleId="tus">
    <w:name w:val="tus"/>
    <w:basedOn w:val="a0"/>
    <w:qFormat/>
    <w:pPr>
      <w:spacing w:after="200"/>
      <w:ind w:firstLine="0"/>
      <w:jc w:val="center"/>
    </w:pPr>
    <w:rPr>
      <w:rFonts w:eastAsia="方正小标宋简体"/>
      <w:bCs/>
      <w:sz w:val="20"/>
    </w:rPr>
  </w:style>
  <w:style w:type="paragraph" w:customStyle="1" w:styleId="90">
    <w:name w:val="标题9"/>
    <w:basedOn w:val="a0"/>
    <w:pPr>
      <w:ind w:firstLine="0"/>
    </w:pPr>
    <w:rPr>
      <w:rFonts w:eastAsia="方正小标宋简体"/>
      <w:bCs/>
    </w:rPr>
  </w:style>
  <w:style w:type="paragraph" w:customStyle="1" w:styleId="DecimalAligned">
    <w:name w:val="Decimal Aligned"/>
    <w:basedOn w:val="a0"/>
    <w:uiPriority w:val="40"/>
    <w:qFormat/>
    <w:pPr>
      <w:widowControl/>
      <w:tabs>
        <w:tab w:val="decimal" w:pos="360"/>
      </w:tabs>
      <w:snapToGrid/>
      <w:spacing w:after="200" w:line="276" w:lineRule="auto"/>
      <w:ind w:firstLine="0"/>
      <w:jc w:val="left"/>
    </w:pPr>
    <w:rPr>
      <w:rFonts w:ascii="Calibri" w:eastAsia="宋体" w:hAnsi="Calibri"/>
      <w:snapToGrid/>
      <w:spacing w:val="0"/>
      <w:kern w:val="0"/>
      <w:szCs w:val="22"/>
    </w:rPr>
  </w:style>
  <w:style w:type="character" w:customStyle="1" w:styleId="Style134">
    <w:name w:val="_Style 134"/>
    <w:uiPriority w:val="19"/>
    <w:qFormat/>
    <w:rPr>
      <w:rFonts w:eastAsia="宋体" w:cs="Times New Roman"/>
      <w:i/>
      <w:iCs/>
      <w:color w:val="808080"/>
      <w:szCs w:val="22"/>
      <w:lang w:eastAsia="zh-CN"/>
    </w:rPr>
  </w:style>
  <w:style w:type="table" w:customStyle="1" w:styleId="-11">
    <w:name w:val="浅色底纹 - 强调文字颜色 11"/>
    <w:basedOn w:val="a2"/>
    <w:uiPriority w:val="60"/>
    <w:qFormat/>
    <w:rPr>
      <w:rFonts w:ascii="Calibri" w:hAnsi="Calibri"/>
      <w:color w:val="365F91"/>
      <w:sz w:val="22"/>
      <w:szCs w:val="22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style11">
    <w:name w:val="style11"/>
    <w:rPr>
      <w:color w:val="FF0000"/>
    </w:rPr>
  </w:style>
  <w:style w:type="character" w:customStyle="1" w:styleId="Style137">
    <w:name w:val="_Style 137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页眉 字符"/>
    <w:link w:val="ad"/>
    <w:qFormat/>
    <w:rPr>
      <w:rFonts w:eastAsia="方正书宋简体"/>
      <w:snapToGrid/>
      <w:spacing w:val="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&#21508;&#31181;&#21333;&#25454;\&#20889;&#20316;&#27169;&#26495;\&#20889;&#20316;&#27169;&#26495;&#65288;&#20013;&#25991;&#65289;-1226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写作模板（中文）-1226.dot</Template>
  <TotalTime>255</TotalTime>
  <Pages>8</Pages>
  <Words>2281</Words>
  <Characters>13003</Characters>
  <Application>Microsoft Office Word</Application>
  <DocSecurity>0</DocSecurity>
  <Lines>108</Lines>
  <Paragraphs>30</Paragraphs>
  <ScaleCrop>false</ScaleCrop>
  <Company>scp</Company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微软用户</dc:creator>
  <cp:lastModifiedBy>帆 杨</cp:lastModifiedBy>
  <cp:revision>45</cp:revision>
  <cp:lastPrinted>2024-12-03T06:07:00Z</cp:lastPrinted>
  <dcterms:created xsi:type="dcterms:W3CDTF">2024-12-03T03:17:00Z</dcterms:created>
  <dcterms:modified xsi:type="dcterms:W3CDTF">2026-06-15T11:44:00Z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TextFE=宋体_x000d_</vt:lpwstr>
  </property>
  <property fmtid="{D5CDD505-2E9C-101B-9397-08002B2CF9AE}" pid="3" name="MTPreferences 1">
    <vt:lpwstr>
_x000d_
[Sizes]_x000d_
Full=11 pt_x000d_
Script=8 pt_x000d_
ScriptScript=6 pt_x000d_
Symbol=150 %_x000d_
SubSymbol=100 %_x000d_
User1=75 %_x000d_
User2=150 %_x000d_
SmallLargeIncr=1 pt_x000d_
_x000d_
[Spacing]_x000d_
LineSpacing=150 %_x000d_
MatrixRowSpacing=150 %_x000d_
MatrixColSpacing=100 %_x000d_
SuperscriptHeight=45 %_x000d_
SubscriptDepth=25 </vt:lpwstr>
  </property>
  <property fmtid="{D5CDD505-2E9C-101B-9397-08002B2CF9AE}" pid="4" name="MTPreferences 2">
    <vt:lpwstr>%_x000d_
SubSupGap=8 %_x000d_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</vt:lpwstr>
  </property>
  <property fmtid="{D5CDD505-2E9C-101B-9397-08002B2CF9AE}" pid="5" name="MTPreferences 3">
    <vt:lpwstr>inGap=8 %_x000d_
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  <property fmtid="{D5CDD505-2E9C-101B-9397-08002B2CF9AE}" pid="8" name="KSOProductBuildVer">
    <vt:lpwstr>2052-12.1.0.24657</vt:lpwstr>
  </property>
  <property fmtid="{D5CDD505-2E9C-101B-9397-08002B2CF9AE}" pid="9" name="ICV">
    <vt:lpwstr>28DEEEA3D73E41E09CF3B3B6F164FFBC_13</vt:lpwstr>
  </property>
  <property fmtid="{D5CDD505-2E9C-101B-9397-08002B2CF9AE}" pid="10" name="KSOTemplateDocerSaveRecord">
    <vt:lpwstr>eyJoZGlkIjoiM2U1N2EzZmI0M2VhY2ZhMDRmMDZmODU0Y2Q2NDUwMWUiLCJ1c2VySWQiOiI5OTkwNTU4ODgifQ==</vt:lpwstr>
  </property>
</Properties>
</file>