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 w:hAnsi="??" w:eastAsia="??"/>
          <w:b/>
          <w:sz w:val="32"/>
        </w:rPr>
        <w:t>Hybrid TEE-Rollup 论文理论创新点说明</w:t>
      </w:r>
    </w:p>
    <w:p>
      <w:pPr>
        <w:spacing w:line="276" w:lineRule="auto" w:after="60"/>
        <w:ind w:firstLine="420"/>
      </w:pPr>
      <w:r>
        <w:rPr>
          <w:rFonts w:ascii="??" w:hAnsi="??" w:eastAsia="??"/>
          <w:b w:val="0"/>
          <w:sz w:val="21"/>
        </w:rPr>
        <w:t>尊敬的老师：</w:t>
      </w:r>
    </w:p>
    <w:p>
      <w:pPr>
        <w:spacing w:line="276" w:lineRule="auto" w:after="60"/>
        <w:ind w:firstLine="420"/>
      </w:pPr>
      <w:r>
        <w:rPr>
          <w:rFonts w:ascii="??" w:hAnsi="??" w:eastAsia="??"/>
          <w:b w:val="0"/>
          <w:sz w:val="21"/>
        </w:rPr>
        <w:t>针对您提出的“论文创新点不应只来自实验结果，而应说明理论上的创新”的意见，我对当前论文工作进行了重新梳理。本文的创新并不主要依赖实验中得到的具体数值，而是体现在问题建模、协议状态机、证据结构、故障分类和成本分析框架等方面。实验部分的作用是验证这些设计在当前研究原型中能够运行和呈现预期趋势，而不是作为理论创新本身。</w:t>
      </w:r>
    </w:p>
    <w:p>
      <w:pPr>
        <w:spacing w:before="120" w:after="60"/>
      </w:pPr>
      <w:r>
        <w:rPr>
          <w:rFonts w:ascii="??" w:hAnsi="??" w:eastAsia="??"/>
          <w:b/>
          <w:color w:val="1F4E79"/>
          <w:sz w:val="25"/>
        </w:rPr>
        <w:t>一、问题建模创新：将 Hybrid TEE-Rollup 抽象为三元约束问题</w:t>
      </w:r>
    </w:p>
    <w:p>
      <w:pPr>
        <w:spacing w:line="276" w:lineRule="auto" w:after="60"/>
        <w:ind w:firstLine="420"/>
      </w:pPr>
      <w:r>
        <w:rPr>
          <w:rFonts w:ascii="??" w:hAnsi="??" w:eastAsia="??"/>
          <w:b w:val="0"/>
          <w:sz w:val="21"/>
        </w:rPr>
        <w:t>现有讨论中，TEE-Rollup 往往容易被概括为“利用 TEE 降低 Rollup 验证成本”。本文进一步将 Hybrid TEE-Rollup 在高频 DApp 场景下面临的问题抽象为三个相互关联的约束：</w:t>
      </w:r>
    </w:p>
    <w:p>
      <w:pPr>
        <w:spacing w:line="264" w:lineRule="auto" w:after="40"/>
        <w:ind w:left="420" w:hanging="170"/>
      </w:pPr>
      <w:r>
        <w:rPr>
          <w:rFonts w:ascii="??" w:hAnsi="??" w:eastAsia="??"/>
          <w:b w:val="0"/>
          <w:sz w:val="20"/>
        </w:rPr>
        <w:t>1. 正常路径下，链上提交规模不应随完整 payload 线性增长；</w:t>
      </w:r>
    </w:p>
    <w:p>
      <w:pPr>
        <w:spacing w:line="264" w:lineRule="auto" w:after="40"/>
        <w:ind w:left="420" w:hanging="170"/>
      </w:pPr>
      <w:r>
        <w:rPr>
          <w:rFonts w:ascii="??" w:hAnsi="??" w:eastAsia="??"/>
          <w:b w:val="0"/>
          <w:sz w:val="20"/>
        </w:rPr>
        <w:t>2. 异常路径下，轻量提交仍必须能够指向可验证证据；</w:t>
      </w:r>
    </w:p>
    <w:p>
      <w:pPr>
        <w:spacing w:line="264" w:lineRule="auto" w:after="40"/>
        <w:ind w:left="420" w:hanging="170"/>
      </w:pPr>
      <w:r>
        <w:rPr>
          <w:rFonts w:ascii="??" w:hAnsi="??" w:eastAsia="??"/>
          <w:b w:val="0"/>
          <w:sz w:val="20"/>
        </w:rPr>
        <w:t>3. 挑战路径下，challenge 不能只完成错误检测，还需要在 timeout 或中断后保持仲裁活性。</w:t>
      </w:r>
    </w:p>
    <w:p>
      <w:pPr>
        <w:spacing w:line="276" w:lineRule="auto" w:after="60"/>
        <w:ind w:firstLine="420"/>
      </w:pPr>
      <w:r>
        <w:rPr>
          <w:rFonts w:ascii="??" w:hAnsi="??" w:eastAsia="??"/>
          <w:b w:val="0"/>
          <w:sz w:val="21"/>
        </w:rPr>
        <w:t>因此，本文不是单纯研究“TEE 是否可信”或“TEE 是否降本”，而是将问题重新表述为 cost efficiency、evidence binding 和 challenge liveness 的组合问题。这一建模使 Hybrid TEE-Rollup 中 TEE、DA 和 challenge 的角色更加清楚：TEE 服务于正常路径的快速执行，DA 服务于异常路径的证据回溯，challenge 服务于争议情况下的公开仲裁。</w:t>
      </w:r>
    </w:p>
    <w:p>
      <w:pPr>
        <w:spacing w:before="120" w:after="60"/>
      </w:pPr>
      <w:r>
        <w:rPr>
          <w:rFonts w:ascii="??" w:hAnsi="??" w:eastAsia="??"/>
          <w:b/>
          <w:color w:val="1F4E79"/>
          <w:sz w:val="25"/>
        </w:rPr>
        <w:t>二、协议机制创新：提出 recoverable challenge 的状态机抽象</w:t>
      </w:r>
    </w:p>
    <w:p>
      <w:pPr>
        <w:spacing w:line="276" w:lineRule="auto" w:after="60"/>
        <w:ind w:firstLine="420"/>
      </w:pPr>
      <w:r>
        <w:rPr>
          <w:rFonts w:ascii="??" w:hAnsi="??" w:eastAsia="??"/>
          <w:b w:val="0"/>
          <w:sz w:val="21"/>
        </w:rPr>
        <w:t>传统交互式挑战机制通常假设争议流程可以持续推进，重点关注错误能否被发现和定位。本文注意到，在 Hybrid TEE-Rollup 场景中，challenge 本身也可能发生故障，例如被挑战方不响应、session timeout、replay evidence 未能及时进入流程等。此时系统可能已经检测到异常，但无法自然推进到最终仲裁。</w:t>
      </w:r>
    </w:p>
    <w:p>
      <w:pPr>
        <w:spacing w:line="276" w:lineRule="auto" w:after="60"/>
        <w:ind w:firstLine="420"/>
      </w:pPr>
      <w:r>
        <w:rPr>
          <w:rFonts w:ascii="??" w:hAnsi="??" w:eastAsia="??"/>
          <w:b w:val="0"/>
          <w:sz w:val="21"/>
        </w:rPr>
        <w:t>为此，本文提出 recoverable challenge 的协议状态机抽象，将 challenge 从一次性错误检测机制扩展为 timeout 后可恢复推进的仲裁流程。其核心思想是：当挑战会话因超时或中断停滞时，watchdog 或 operator 可以通过 recover 操作恢复状态机推进，使争议继续进入 step、replay 和 resolve 阶段。</w:t>
      </w:r>
    </w:p>
    <w:p>
      <w:pPr>
        <w:spacing w:line="276" w:lineRule="auto" w:after="60"/>
        <w:ind w:firstLine="420"/>
      </w:pPr>
      <w:r>
        <w:rPr>
          <w:rFonts w:ascii="??" w:hAnsi="??" w:eastAsia="??"/>
          <w:b w:val="0"/>
          <w:sz w:val="21"/>
        </w:rPr>
        <w:t>这一创新点不是实验结果，而是协议语义上的扩展。recover 并不直接判断谁对谁错，也不直接决定 slashing，而是为挑战流程提供活性恢复路径。</w:t>
      </w:r>
    </w:p>
    <w:p>
      <w:pPr>
        <w:spacing w:before="120" w:after="60"/>
      </w:pPr>
      <w:r>
        <w:rPr>
          <w:rFonts w:ascii="??" w:hAnsi="??" w:eastAsia="??"/>
          <w:b/>
          <w:color w:val="1F4E79"/>
          <w:sz w:val="25"/>
        </w:rPr>
        <w:t>三、性质区分创新：将 correctness 与 liveness 分离讨论</w:t>
      </w:r>
    </w:p>
    <w:p>
      <w:pPr>
        <w:spacing w:line="276" w:lineRule="auto" w:after="60"/>
        <w:ind w:firstLine="420"/>
      </w:pPr>
      <w:r>
        <w:rPr>
          <w:rFonts w:ascii="??" w:hAnsi="??" w:eastAsia="??"/>
          <w:b w:val="0"/>
          <w:sz w:val="21"/>
        </w:rPr>
        <w:t>本文对 recover 操作的理论定位比较克制：recover 不改变争议事实本身，它不替换 expected trace，不覆盖 claimed trace，也不修改 replay mismatch。最终是否 slashing 仍由 evidence、replay 和 resolve 逻辑决定。</w:t>
      </w:r>
    </w:p>
    <w:p>
      <w:pPr>
        <w:spacing w:line="276" w:lineRule="auto" w:after="60"/>
        <w:ind w:firstLine="420"/>
      </w:pPr>
      <w:r>
        <w:rPr>
          <w:rFonts w:ascii="??" w:hAnsi="??" w:eastAsia="??"/>
          <w:b w:val="0"/>
          <w:sz w:val="21"/>
        </w:rPr>
        <w:t>因此，recover 解决的是 liveness 问题，而不是 correctness 问题。换言之，本文将 challenge 的正确性与活性分离：</w:t>
      </w:r>
    </w:p>
    <w:p>
      <w:pPr>
        <w:spacing w:line="264" w:lineRule="auto" w:after="20"/>
        <w:ind w:left="420" w:hanging="170"/>
      </w:pPr>
      <w:r>
        <w:rPr>
          <w:rFonts w:ascii="??" w:hAnsi="??" w:eastAsia="??"/>
          <w:b w:val="0"/>
          <w:sz w:val="20"/>
        </w:rPr>
        <w:t>? correctness 关注争议事实是否被正确验证；</w:t>
      </w:r>
    </w:p>
    <w:p>
      <w:pPr>
        <w:spacing w:line="264" w:lineRule="auto" w:after="20"/>
        <w:ind w:left="420" w:hanging="170"/>
      </w:pPr>
      <w:r>
        <w:rPr>
          <w:rFonts w:ascii="??" w:hAnsi="??" w:eastAsia="??"/>
          <w:b w:val="0"/>
          <w:sz w:val="20"/>
        </w:rPr>
        <w:t>? liveness 关注争议流程在 timeout 后是否还能继续推进到仲裁结果。</w:t>
      </w:r>
    </w:p>
    <w:p>
      <w:pPr>
        <w:spacing w:line="276" w:lineRule="auto" w:after="60"/>
        <w:ind w:firstLine="420"/>
      </w:pPr>
      <w:r>
        <w:rPr>
          <w:rFonts w:ascii="??" w:hAnsi="??" w:eastAsia="??"/>
          <w:b w:val="0"/>
          <w:sz w:val="21"/>
        </w:rPr>
        <w:t>这一划分有助于避免把 recover 误写成新的安全假设。recoverable challenge 可以被理解为一种 liveness-preserving extension，即在不改变争议判断依据的前提下，增强挑战状态机的推进能力。</w:t>
      </w:r>
    </w:p>
    <w:p>
      <w:pPr>
        <w:spacing w:before="120" w:after="60"/>
      </w:pPr>
      <w:r>
        <w:rPr>
          <w:rFonts w:ascii="??" w:hAnsi="??" w:eastAsia="??"/>
          <w:b/>
          <w:color w:val="1F4E79"/>
          <w:sz w:val="25"/>
        </w:rPr>
        <w:t>四、证据结构创新：提出 evidence-carrying compact commit</w:t>
      </w:r>
    </w:p>
    <w:p>
      <w:pPr>
        <w:spacing w:line="276" w:lineRule="auto" w:after="60"/>
        <w:ind w:firstLine="420"/>
      </w:pPr>
      <w:r>
        <w:rPr>
          <w:rFonts w:ascii="??" w:hAnsi="??" w:eastAsia="??"/>
          <w:b w:val="0"/>
          <w:sz w:val="21"/>
        </w:rPr>
        <w:t>本文中的 compact commit 不是简单的“压缩提交”或“哈希摘要”。如果 compact commit 只是孤立的 state root 或 output hash，那么它虽然降低了链上字节数，但在异常情况下不一定能支撑后续挑战。</w:t>
      </w:r>
    </w:p>
    <w:p>
      <w:pPr>
        <w:spacing w:line="276" w:lineRule="auto" w:after="60"/>
        <w:ind w:firstLine="420"/>
      </w:pPr>
      <w:r>
        <w:rPr>
          <w:rFonts w:ascii="??" w:hAnsi="??" w:eastAsia="??"/>
          <w:b w:val="0"/>
          <w:sz w:val="21"/>
        </w:rPr>
        <w:t>因此，本文提出 evidence-carrying compact commit 的抽象。其核心是让轻量链上提交同时绑定：</w:t>
      </w:r>
    </w:p>
    <w:p>
      <w:pPr>
        <w:spacing w:line="264" w:lineRule="auto" w:after="20"/>
        <w:ind w:left="420" w:hanging="170"/>
      </w:pPr>
      <w:r>
        <w:rPr>
          <w:rFonts w:ascii="??" w:hAnsi="??" w:eastAsia="??"/>
          <w:b w:val="0"/>
          <w:sz w:val="20"/>
        </w:rPr>
        <w:t>? state_root；</w:t>
      </w:r>
    </w:p>
    <w:p>
      <w:pPr>
        <w:spacing w:line="264" w:lineRule="auto" w:after="20"/>
        <w:ind w:left="420" w:hanging="170"/>
      </w:pPr>
      <w:r>
        <w:rPr>
          <w:rFonts w:ascii="??" w:hAnsi="??" w:eastAsia="??"/>
          <w:b w:val="0"/>
          <w:sz w:val="20"/>
        </w:rPr>
        <w:t>? output_hash；</w:t>
      </w:r>
    </w:p>
    <w:p>
      <w:pPr>
        <w:spacing w:line="264" w:lineRule="auto" w:after="20"/>
        <w:ind w:left="420" w:hanging="170"/>
      </w:pPr>
      <w:r>
        <w:rPr>
          <w:rFonts w:ascii="??" w:hAnsi="??" w:eastAsia="??"/>
          <w:b w:val="0"/>
          <w:sz w:val="20"/>
        </w:rPr>
        <w:t>? proof_hash；</w:t>
      </w:r>
    </w:p>
    <w:p>
      <w:pPr>
        <w:spacing w:line="264" w:lineRule="auto" w:after="20"/>
        <w:ind w:left="420" w:hanging="170"/>
      </w:pPr>
      <w:r>
        <w:rPr>
          <w:rFonts w:ascii="??" w:hAnsi="??" w:eastAsia="??"/>
          <w:b w:val="0"/>
          <w:sz w:val="20"/>
        </w:rPr>
        <w:t>? da_pointer；</w:t>
      </w:r>
    </w:p>
    <w:p>
      <w:pPr>
        <w:spacing w:line="264" w:lineRule="auto" w:after="20"/>
        <w:ind w:left="420" w:hanging="170"/>
      </w:pPr>
      <w:r>
        <w:rPr>
          <w:rFonts w:ascii="??" w:hAnsi="??" w:eastAsia="??"/>
          <w:b w:val="0"/>
          <w:sz w:val="20"/>
        </w:rPr>
        <w:t>? da_merkle_root。</w:t>
      </w:r>
    </w:p>
    <w:p>
      <w:pPr>
        <w:spacing w:line="276" w:lineRule="auto" w:after="60"/>
        <w:ind w:firstLine="420"/>
      </w:pPr>
      <w:r>
        <w:rPr>
          <w:rFonts w:ascii="??" w:hAnsi="??" w:eastAsia="??"/>
          <w:b w:val="0"/>
          <w:sz w:val="21"/>
        </w:rPr>
        <w:t>这样，compact commit 不仅是成本优化结构，也是后续争议流程的最小证据入口。它通过 DA root、payload hash、Merkle proof 和 attestation hash 将链上摘要与链外 payload 建立可验证联系。该设计强调：轻量提交不能牺牲可追溯性，compact commit 必须能够支持异常路径中的证据恢复与一致性检查。</w:t>
      </w:r>
    </w:p>
    <w:p>
      <w:pPr>
        <w:spacing w:before="120" w:after="60"/>
      </w:pPr>
      <w:r>
        <w:rPr>
          <w:rFonts w:ascii="??" w:hAnsi="??" w:eastAsia="??"/>
          <w:b/>
          <w:color w:val="1F4E79"/>
          <w:sz w:val="25"/>
        </w:rPr>
        <w:t>五、DA 角色创新：将 DA 视为 challenge evidence recovery substrate</w:t>
      </w:r>
    </w:p>
    <w:p>
      <w:pPr>
        <w:spacing w:line="276" w:lineRule="auto" w:after="60"/>
        <w:ind w:firstLine="420"/>
      </w:pPr>
      <w:r>
        <w:rPr>
          <w:rFonts w:ascii="??" w:hAnsi="??" w:eastAsia="??"/>
          <w:b w:val="0"/>
          <w:sz w:val="21"/>
        </w:rPr>
        <w:t>传统 DA 讨论通常强调数据是否可获得。本文进一步强调，在 Hybrid TEE-Rollup 中，DA 层不仅是数据存储或数据发布路径，也是 challenge evidence 的回溯基础。</w:t>
      </w:r>
    </w:p>
    <w:p>
      <w:pPr>
        <w:spacing w:line="276" w:lineRule="auto" w:after="60"/>
        <w:ind w:firstLine="420"/>
      </w:pPr>
      <w:r>
        <w:rPr>
          <w:rFonts w:ascii="??" w:hAnsi="??" w:eastAsia="??"/>
          <w:b w:val="0"/>
          <w:sz w:val="21"/>
        </w:rPr>
        <w:t>也就是说，DA 的协议角色不只是“保存完整 payload”，而是为未来可能发生的 challenge 提供可恢复、可验证的证据来源。DA root、payload hash 和字段级 Merkle proof 共同构成异常仲裁所需的证据基础。</w:t>
      </w:r>
    </w:p>
    <w:p>
      <w:pPr>
        <w:spacing w:line="276" w:lineRule="auto" w:after="60"/>
        <w:ind w:firstLine="420"/>
      </w:pPr>
      <w:r>
        <w:rPr>
          <w:rFonts w:ascii="??" w:hAnsi="??" w:eastAsia="??"/>
          <w:b w:val="0"/>
          <w:sz w:val="21"/>
        </w:rPr>
        <w:t>因此，本文将 DA 的作用概括为 challenge evidence recovery substrate，即支撑挑战证据回溯的数据可用性基础。这一表述比单纯讨论“DA 降低成本”更能体现 Hybrid TEE-Rollup 中 DA 与 challenge 的关系。</w:t>
      </w:r>
    </w:p>
    <w:p>
      <w:pPr>
        <w:spacing w:before="120" w:after="60"/>
      </w:pPr>
      <w:r>
        <w:rPr>
          <w:rFonts w:ascii="??" w:hAnsi="??" w:eastAsia="??"/>
          <w:b/>
          <w:color w:val="1F4E79"/>
          <w:sz w:val="25"/>
        </w:rPr>
        <w:t>六、故障分类创新：区分可检测、可仲裁与可恢复故障</w:t>
      </w:r>
    </w:p>
    <w:p>
      <w:pPr>
        <w:spacing w:line="276" w:lineRule="auto" w:after="60"/>
        <w:ind w:firstLine="420"/>
      </w:pPr>
      <w:r>
        <w:rPr>
          <w:rFonts w:ascii="??" w:hAnsi="??" w:eastAsia="??"/>
          <w:b w:val="0"/>
          <w:sz w:val="21"/>
        </w:rPr>
        <w:t>本文没有笼统地将所有异常都称为“可惩罚错误”，而是提出面向 Hybrid TEE-Rollup 的 fault taxonomy。当前论文将故障分为：</w:t>
      </w:r>
    </w:p>
    <w:p>
      <w:pPr>
        <w:spacing w:line="264" w:lineRule="auto" w:after="40"/>
        <w:ind w:left="420" w:hanging="170"/>
      </w:pPr>
      <w:r>
        <w:rPr>
          <w:rFonts w:ascii="??" w:hAnsi="??" w:eastAsia="??"/>
          <w:b w:val="0"/>
          <w:sz w:val="20"/>
        </w:rPr>
        <w:t>1. normal path；</w:t>
      </w:r>
    </w:p>
    <w:p>
      <w:pPr>
        <w:spacing w:line="264" w:lineRule="auto" w:after="40"/>
        <w:ind w:left="420" w:hanging="170"/>
      </w:pPr>
      <w:r>
        <w:rPr>
          <w:rFonts w:ascii="??" w:hAnsi="??" w:eastAsia="??"/>
          <w:b w:val="0"/>
          <w:sz w:val="20"/>
        </w:rPr>
        <w:t>2. detectable but not unified slashing；</w:t>
      </w:r>
    </w:p>
    <w:p>
      <w:pPr>
        <w:spacing w:line="264" w:lineRule="auto" w:after="40"/>
        <w:ind w:left="420" w:hanging="170"/>
      </w:pPr>
      <w:r>
        <w:rPr>
          <w:rFonts w:ascii="??" w:hAnsi="??" w:eastAsia="??"/>
          <w:b w:val="0"/>
          <w:sz w:val="20"/>
        </w:rPr>
        <w:t>3. challenge + slashing；</w:t>
      </w:r>
    </w:p>
    <w:p>
      <w:pPr>
        <w:spacing w:line="264" w:lineRule="auto" w:after="40"/>
        <w:ind w:left="420" w:hanging="170"/>
      </w:pPr>
      <w:r>
        <w:rPr>
          <w:rFonts w:ascii="??" w:hAnsi="??" w:eastAsia="??"/>
          <w:b w:val="0"/>
          <w:sz w:val="20"/>
        </w:rPr>
        <w:t>4. timeout liveness comparison。</w:t>
      </w:r>
    </w:p>
    <w:p>
      <w:pPr>
        <w:spacing w:line="276" w:lineRule="auto" w:after="60"/>
        <w:ind w:firstLine="420"/>
      </w:pPr>
      <w:r>
        <w:rPr>
          <w:rFonts w:ascii="??" w:hAnsi="??" w:eastAsia="??"/>
          <w:b w:val="0"/>
          <w:sz w:val="21"/>
        </w:rPr>
        <w:t>这一分类的理论意义在于区分 detection、arbitration 和 punishment 三个不同层次。某些异常，例如 attestation_invalid、da_unavailable 和 da_proof_invalid，目前可以被检测或拒绝，但并不等价于已经具备统一 slashing 闭环；而 response_tampered 和 trace_length_mismatch 更适合进入 challenge、replay 和 slashing 流程；timeout 类问题则主要反映 challenge liveness。</w:t>
      </w:r>
    </w:p>
    <w:p>
      <w:pPr>
        <w:spacing w:line="276" w:lineRule="auto" w:after="60"/>
        <w:ind w:firstLine="420"/>
      </w:pPr>
      <w:r>
        <w:rPr>
          <w:rFonts w:ascii="??" w:hAnsi="??" w:eastAsia="??"/>
          <w:b w:val="0"/>
          <w:sz w:val="21"/>
        </w:rPr>
        <w:t>这种故障分类框架能够避免把“检测到异常”直接等同于“完成链上仲裁和经济惩罚”，使论文对系统能力边界的表述更加严谨。</w:t>
      </w:r>
    </w:p>
    <w:p>
      <w:pPr>
        <w:spacing w:before="120" w:after="60"/>
      </w:pPr>
      <w:r>
        <w:rPr>
          <w:rFonts w:ascii="??" w:hAnsi="??" w:eastAsia="??"/>
          <w:b/>
          <w:color w:val="1F4E79"/>
          <w:sz w:val="25"/>
        </w:rPr>
        <w:t>七、成本分析创新：提出 lightweight DA cost model</w:t>
      </w:r>
    </w:p>
    <w:p>
      <w:pPr>
        <w:spacing w:line="276" w:lineRule="auto" w:after="60"/>
        <w:ind w:firstLine="420"/>
      </w:pPr>
      <w:r>
        <w:rPr>
          <w:rFonts w:ascii="??" w:hAnsi="??" w:eastAsia="??"/>
          <w:b w:val="0"/>
          <w:sz w:val="21"/>
        </w:rPr>
        <w:t>本文的成本贡献不是某一个实验数值，而是提出了一个轻量 DA 成本分析模型：</w:t>
      </w:r>
    </w:p>
    <w:p>
      <w:pPr>
        <w:spacing w:after="20"/>
        <w:ind w:left="567" w:firstLine="0"/>
      </w:pPr>
      <w:r>
        <w:rPr>
          <w:rFonts w:ascii="Consolas" w:hAnsi="Consolas" w:eastAsia="Consolas"/>
          <w:b w:val="0"/>
          <w:sz w:val="20"/>
        </w:rPr>
        <w:t>C_total = C_commit + C_DA + p_challenge * C_challenge</w:t>
      </w:r>
    </w:p>
    <w:p>
      <w:pPr>
        <w:spacing w:after="20"/>
        <w:ind w:left="567" w:firstLine="0"/>
      </w:pPr>
      <w:r>
        <w:rPr>
          <w:rFonts w:ascii="Consolas" w:hAnsi="Consolas" w:eastAsia="Consolas"/>
          <w:b w:val="0"/>
          <w:sz w:val="20"/>
        </w:rPr>
        <w:t>C_amortized = C_total / batch_size</w:t>
      </w:r>
    </w:p>
    <w:p>
      <w:pPr>
        <w:spacing w:line="276" w:lineRule="auto" w:after="60"/>
        <w:ind w:firstLine="420"/>
      </w:pPr>
      <w:r>
        <w:rPr>
          <w:rFonts w:ascii="??" w:hAnsi="??" w:eastAsia="??"/>
          <w:b w:val="0"/>
          <w:sz w:val="21"/>
        </w:rPr>
        <w:t>其中，C_commit 表示链上提交成本，C_DA 表示不同 DA route 下的数据成本，C_challenge 表示发生争议时的挑战成本，p_challenge 表示争议发生概率，batch_size 表示批处理规模。</w:t>
      </w:r>
    </w:p>
    <w:p>
      <w:pPr>
        <w:spacing w:line="276" w:lineRule="auto" w:after="60"/>
        <w:ind w:firstLine="420"/>
      </w:pPr>
      <w:r>
        <w:rPr>
          <w:rFonts w:ascii="??" w:hAnsi="??" w:eastAsia="??"/>
          <w:b w:val="0"/>
          <w:sz w:val="21"/>
        </w:rPr>
        <w:t>该模型的理论作用是将 Hybrid TEE-Rollup 的成本结构拆解为正常提交成本、数据可用性成本和概率性挑战成本，并说明 batch amortization 如何影响单笔交互成本。本文不把该模型用于预测真实主网 gas，而是用它解释 compact commit、DA route 和 batch size 之间的结构关系。</w:t>
      </w:r>
    </w:p>
    <w:p>
      <w:pPr>
        <w:spacing w:before="120" w:after="60"/>
      </w:pPr>
      <w:r>
        <w:rPr>
          <w:rFonts w:ascii="??" w:hAnsi="??" w:eastAsia="??"/>
          <w:b/>
          <w:color w:val="1F4E79"/>
          <w:sz w:val="25"/>
        </w:rPr>
        <w:t>八、总体框架创新：形成“TEE 快速路径 + DA 证据路径 + Challenge 恢复路径”的三路径协议框架</w:t>
      </w:r>
    </w:p>
    <w:p>
      <w:pPr>
        <w:spacing w:line="276" w:lineRule="auto" w:after="60"/>
        <w:ind w:firstLine="420"/>
      </w:pPr>
      <w:r>
        <w:rPr>
          <w:rFonts w:ascii="??" w:hAnsi="??" w:eastAsia="??"/>
          <w:b w:val="0"/>
          <w:sz w:val="21"/>
        </w:rPr>
        <w:t>综合来看，本文可以概括为一个三路径协议框架：</w:t>
      </w:r>
    </w:p>
    <w:p>
      <w:pPr>
        <w:spacing w:line="264" w:lineRule="auto" w:after="40"/>
        <w:ind w:left="420" w:hanging="170"/>
      </w:pPr>
      <w:r>
        <w:rPr>
          <w:rFonts w:ascii="??" w:hAnsi="??" w:eastAsia="??"/>
          <w:b w:val="0"/>
          <w:sz w:val="20"/>
        </w:rPr>
        <w:t>1. TEE fast path：正常情况下，通过 TEE-assisted execution 和 compact commit 降低链上交互成本；</w:t>
      </w:r>
    </w:p>
    <w:p>
      <w:pPr>
        <w:spacing w:line="264" w:lineRule="auto" w:after="40"/>
        <w:ind w:left="420" w:hanging="170"/>
      </w:pPr>
      <w:r>
        <w:rPr>
          <w:rFonts w:ascii="??" w:hAnsi="??" w:eastAsia="??"/>
          <w:b w:val="0"/>
          <w:sz w:val="20"/>
        </w:rPr>
        <w:t>2. DA evidence path：异常情况下，通过 DA pointer、DA root、payload hash 和 Merkle proof 找回并验证证据；</w:t>
      </w:r>
    </w:p>
    <w:p>
      <w:pPr>
        <w:spacing w:line="264" w:lineRule="auto" w:after="40"/>
        <w:ind w:left="420" w:hanging="170"/>
      </w:pPr>
      <w:r>
        <w:rPr>
          <w:rFonts w:ascii="??" w:hAnsi="??" w:eastAsia="??"/>
          <w:b w:val="0"/>
          <w:sz w:val="20"/>
        </w:rPr>
        <w:t>3. Recoverable challenge path：争议流程中，通过 recoverable challenge 在 timeout 后恢复仲裁活性。</w:t>
      </w:r>
    </w:p>
    <w:p>
      <w:pPr>
        <w:spacing w:line="276" w:lineRule="auto" w:after="60"/>
        <w:ind w:firstLine="420"/>
      </w:pPr>
      <w:r>
        <w:rPr>
          <w:rFonts w:ascii="??" w:hAnsi="??" w:eastAsia="??"/>
          <w:b w:val="0"/>
          <w:sz w:val="21"/>
        </w:rPr>
        <w:t>这一框架强调 TEE、DA 和 challenge 并不是简单并列的三个模块，而是在协议中分别承担快速执行、证据回溯和异常仲裁三种角色。本文的理论创新正体现在对这三类角色关系的重新组织和形式化表达上。</w:t>
      </w:r>
    </w:p>
    <w:p>
      <w:pPr>
        <w:spacing w:before="120" w:after="60"/>
      </w:pPr>
      <w:r>
        <w:rPr>
          <w:rFonts w:ascii="??" w:hAnsi="??" w:eastAsia="??"/>
          <w:b/>
          <w:color w:val="1F4E79"/>
          <w:sz w:val="25"/>
        </w:rPr>
        <w:t>九、可向论文中凝练的理论创新表述</w:t>
      </w:r>
    </w:p>
    <w:p>
      <w:pPr>
        <w:spacing w:line="276" w:lineRule="auto" w:after="60"/>
        <w:ind w:firstLine="420"/>
      </w:pPr>
      <w:r>
        <w:rPr>
          <w:rFonts w:ascii="??" w:hAnsi="??" w:eastAsia="??"/>
          <w:b w:val="0"/>
          <w:sz w:val="21"/>
        </w:rPr>
        <w:t>如果需要在论文中进一步压缩，可以将理论创新概括为以下四点：</w:t>
      </w:r>
    </w:p>
    <w:p>
      <w:pPr>
        <w:spacing w:line="264" w:lineRule="auto" w:after="40"/>
        <w:ind w:left="420" w:hanging="170"/>
      </w:pPr>
      <w:r>
        <w:rPr>
          <w:rFonts w:ascii="??" w:hAnsi="??" w:eastAsia="??"/>
          <w:b w:val="0"/>
          <w:sz w:val="20"/>
        </w:rPr>
        <w:t>1. 问题建模创新：将 Hybrid TEE-Rollup 的研究问题建模为 cost efficiency、evidence binding 和 challenge liveness 的三元约束，而不是单纯讨论 TEE 降本。</w:t>
      </w:r>
    </w:p>
    <w:p>
      <w:pPr>
        <w:spacing w:line="264" w:lineRule="auto" w:after="40"/>
        <w:ind w:left="420" w:hanging="170"/>
      </w:pPr>
      <w:r>
        <w:rPr>
          <w:rFonts w:ascii="??" w:hAnsi="??" w:eastAsia="??"/>
          <w:b w:val="0"/>
          <w:sz w:val="20"/>
        </w:rPr>
        <w:t>2. 协议机制创新：提出 recoverable challenge 状态机，把交互式挑战从错误检测机制扩展为 timeout 后可恢复推进的仲裁协议，并区分 correctness 与 liveness。</w:t>
      </w:r>
    </w:p>
    <w:p>
      <w:pPr>
        <w:spacing w:line="264" w:lineRule="auto" w:after="40"/>
        <w:ind w:left="420" w:hanging="170"/>
      </w:pPr>
      <w:r>
        <w:rPr>
          <w:rFonts w:ascii="??" w:hAnsi="??" w:eastAsia="??"/>
          <w:b w:val="0"/>
          <w:sz w:val="20"/>
        </w:rPr>
        <w:t>3. 证据结构创新：提出 evidence-carrying compact commit，使轻量链上提交同时绑定 DA root、payload hash、proof hash 和 challenge evidence，成为后续争议的最小证据入口。</w:t>
      </w:r>
    </w:p>
    <w:p>
      <w:pPr>
        <w:spacing w:line="264" w:lineRule="auto" w:after="40"/>
        <w:ind w:left="420" w:hanging="170"/>
      </w:pPr>
      <w:r>
        <w:rPr>
          <w:rFonts w:ascii="??" w:hAnsi="??" w:eastAsia="??"/>
          <w:b w:val="0"/>
          <w:sz w:val="20"/>
        </w:rPr>
        <w:t>4. 分析框架创新：提出 lightweight DA cost model 和 fault taxonomy，将成本拆解为 commit、DA、challenge 三部分，并将故障区分为可检测、可仲裁、可恢复三类。</w:t>
      </w:r>
    </w:p>
    <w:p>
      <w:pPr>
        <w:spacing w:before="120" w:after="60"/>
      </w:pPr>
      <w:r>
        <w:rPr>
          <w:rFonts w:ascii="??" w:hAnsi="??" w:eastAsia="??"/>
          <w:b/>
          <w:color w:val="1F4E79"/>
          <w:sz w:val="25"/>
        </w:rPr>
        <w:t>十、总结</w:t>
      </w:r>
    </w:p>
    <w:p>
      <w:pPr>
        <w:spacing w:line="276" w:lineRule="auto" w:after="60"/>
        <w:ind w:firstLine="420"/>
      </w:pPr>
      <w:r>
        <w:rPr>
          <w:rFonts w:ascii="??" w:hAnsi="??" w:eastAsia="??"/>
          <w:b w:val="0"/>
          <w:sz w:val="21"/>
        </w:rPr>
        <w:t>因此，本文的理论创新不主要来自某个实验结果，而是来自对 Hybrid TEE-Rollup 中关键协议问题的重新抽象：轻量提交如何保持可验证性，challenge 如何在 timeout 后保持活性，DA 如何成为异常仲裁的证据基础，以及不同故障类型如何被区分处理。实验部分的作用是支撑这些理论设计在当前研究原型中的可运行性和趋势表现，而不是替代理论贡献本身。</w:t>
      </w:r>
    </w:p>
    <w:sectPr w:rsidR="00FC693F" w:rsidRPr="0006063C" w:rsidSect="00034616">
      <w:pgSz w:w="12240" w:h="15840"/>
      <w:pgMar w:top="1134"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