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80" w:line="240" w:lineRule="auto"/>
        <w:jc w:val="center"/>
      </w:pPr>
      <w:r>
        <w:rPr>
          <w:rFonts w:ascii="Times New Roman" w:hAnsi="Times New Roman" w:eastAsia="黑体"/>
          <w:b/>
          <w:sz w:val="36"/>
        </w:rPr>
        <w:t>面向高频 DApp 的 Hybrid TEE-Rollup 可恢复挑战协议与轻量 DA 成本评估</w:t>
      </w:r>
    </w:p>
    <w:p>
      <w:pPr>
        <w:spacing w:before="0" w:after="40" w:line="240" w:lineRule="auto"/>
        <w:jc w:val="center"/>
      </w:pPr>
      <w:r>
        <w:rPr>
          <w:rFonts w:ascii="Times New Roman" w:hAnsi="Times New Roman" w:eastAsia="楷体"/>
          <w:b w:val="0"/>
          <w:sz w:val="24"/>
        </w:rPr>
        <w:t>杨帆</w:t>
      </w:r>
    </w:p>
    <w:p>
      <w:pPr>
        <w:spacing w:before="0" w:after="20" w:line="240" w:lineRule="auto"/>
        <w:jc w:val="both"/>
      </w:pPr>
      <w:r>
        <w:rPr>
          <w:rFonts w:ascii="Times New Roman" w:hAnsi="Times New Roman" w:eastAsia="楷体"/>
          <w:sz w:val="20"/>
        </w:rPr>
        <w:t>摘  要：高频去中心化应用（DApp）同时对系统延迟、链上开销以及异常场景下的公开可验证仲裁能力提出严苛要求。针对混合可信执行环境Rollup（Hybrid TEE-Rollup）架构，本文围绕轻量链上承诺、链外数据可用性（Data Availability，DA）负载分发和超时挑战流程三者的协同运行机制展开研究，依次提出可恢复挑战协议、证据绑定型紧凑提交和DA 感知成本摊销模型三项核心设计。其中，可恢复挑战协议能够将因交互超时停滞的挑战会话恢复至重放与结算的正常状态；证据绑定型紧凑提交将状态根、输出哈希、证明哈希、DA 指针与 DA 根进行密码学绑定，构建链上最小可信证据集；DA 感知成本模型用于量化分析负载规模、批处理摊销与 DA 部署路径对整体运行成本的影响规律。本文基于 Python 功能原型、以太坊虚拟机（EVM）本地 gas 测量与 Sepolia 测试网合约部署完成实验验证。结果表明：紧凑提交平均约为 406 字节；在负载 8192、批大小 1000 的配置下，模块化 DA 采样路径的摊销成本估算较全链上调用数据下降 96.33%；在模拟超时场景下，本文恢复机制可将挑战完成成功率从 0% 提升至 100%。本文所有结论均基于模拟 TEE、可验证 DA 注册表与配置化成本模型得出，实验边界清晰可控。</w:t>
      </w:r>
    </w:p>
    <w:p>
      <w:pPr>
        <w:spacing w:before="0" w:after="20" w:line="240" w:lineRule="auto"/>
        <w:jc w:val="both"/>
      </w:pPr>
      <w:r>
        <w:rPr>
          <w:rFonts w:ascii="Times New Roman" w:hAnsi="Times New Roman" w:eastAsia="楷体"/>
          <w:b/>
          <w:sz w:val="20"/>
        </w:rPr>
        <w:t>关键词：</w:t>
      </w:r>
      <w:r>
        <w:rPr>
          <w:rFonts w:ascii="Times New Roman" w:hAnsi="Times New Roman" w:eastAsia="楷体"/>
          <w:b w:val="0"/>
          <w:sz w:val="20"/>
        </w:rPr>
        <w:t>Hybrid TEE-Rollup；交互式挑战；数据可用性；高频 DApp；成本摊销；故障恢复</w:t>
      </w:r>
    </w:p>
    <w:p>
      <w:pPr>
        <w:spacing w:before="0" w:after="20" w:line="240" w:lineRule="auto"/>
        <w:jc w:val="both"/>
      </w:pPr>
      <w:r>
        <w:rPr>
          <w:rFonts w:ascii="Times New Roman" w:hAnsi="Times New Roman" w:eastAsia="楷体"/>
          <w:b w:val="0"/>
          <w:sz w:val="20"/>
        </w:rPr>
        <w:t>中图分类号：TP311    文献标志码：A</w:t>
      </w:r>
    </w:p>
    <w:p>
      <w:pPr>
        <w:spacing w:before="0" w:after="60" w:line="240" w:lineRule="auto"/>
        <w:jc w:val="center"/>
        <w:rPr>
          <w:rFonts w:hint="eastAsia" w:ascii="Times New Roman" w:hAnsi="Times New Roman" w:eastAsia="宋体"/>
          <w:b/>
          <w:sz w:val="28"/>
          <w:lang w:eastAsia="zh-CN"/>
        </w:rPr>
      </w:pPr>
      <w:r>
        <w:rPr>
          <w:rFonts w:ascii="Times New Roman" w:hAnsi="Times New Roman" w:eastAsia="Times New Roman"/>
          <w:b/>
          <w:sz w:val="28"/>
        </w:rPr>
        <w:t>Recoverable Challenge Protocol and Lightweight DA Cost Evaluation for</w:t>
      </w:r>
    </w:p>
    <w:p>
      <w:pPr>
        <w:spacing w:before="0" w:after="60" w:line="240" w:lineRule="auto"/>
        <w:jc w:val="center"/>
      </w:pPr>
      <w:r>
        <w:rPr>
          <w:rFonts w:ascii="Times New Roman" w:hAnsi="Times New Roman" w:eastAsia="Times New Roman"/>
          <w:b/>
          <w:sz w:val="28"/>
        </w:rPr>
        <w:t>Hybrid TEE-Rollup in High-Frequency DApps</w:t>
      </w:r>
    </w:p>
    <w:p>
      <w:pPr>
        <w:spacing w:before="0" w:after="40" w:line="240" w:lineRule="auto"/>
        <w:jc w:val="center"/>
      </w:pPr>
      <w:r>
        <w:rPr>
          <w:rFonts w:ascii="Times New Roman" w:hAnsi="Times New Roman" w:eastAsia="Times New Roman"/>
          <w:b w:val="0"/>
          <w:sz w:val="24"/>
        </w:rPr>
        <w:t>YANG Fan</w:t>
      </w:r>
    </w:p>
    <w:p>
      <w:pPr>
        <w:spacing w:before="0" w:after="20" w:line="240" w:lineRule="auto"/>
        <w:jc w:val="both"/>
      </w:pPr>
      <w:r>
        <w:rPr>
          <w:rFonts w:ascii="Times New Roman" w:hAnsi="Times New Roman" w:eastAsia="Times New Roman"/>
          <w:sz w:val="20"/>
        </w:rPr>
        <w:t>Abstract: High-frequency decentralized applications (DApps) require low latency, low on-chain overhead, and publicly verifiable arbitration under abnormal executions. This paper studies the coordination among lightweight on-chain commitments, off-chain data availability (DA) payload distribution, and timeout challenges in Hybrid TEE-Rollup. It proposes three core designs: a recoverable challenge protocol, an evidence-binding compact commit, and a DA-aware cost model. The recoverable challenge protocol restores timeout sessions to replayable and settleable states without changing disputed facts; the compact commit cryptographically binds the state root, output hash, proof hash, DA pointer, and DA root as the minimal on-chain evidence entry for abnormal paths; and the cost model quantifies the effects of payload size, batching, and DA deployment paths on operating cost. Experiments based on a Python prototype, local Ethereum Virtual Machine (EVM) gas measurements, and Sepolia testnet deployment records show that compact commits average about 406 bytes. Under payload size 8192 and batch size 1000, the modular DA sampling path reduces the estimated amortized cost by 96.33% compared with full on-chain calldata. In simulated timeout scenarios, recovery improves the challenge completion rate from 0% to 100%. The results are bounded by a simulated TEE, a verifiable DA registry, and a configurable cost model, and do not imply hardware TEE security, economic security of production DA networks, or mainnet performance.</w:t>
      </w:r>
    </w:p>
    <w:p>
      <w:pPr>
        <w:spacing w:before="0" w:after="20" w:line="240" w:lineRule="auto"/>
        <w:jc w:val="both"/>
      </w:pPr>
      <w:r>
        <w:rPr>
          <w:rFonts w:ascii="Times New Roman" w:hAnsi="Times New Roman" w:eastAsia="Times New Roman"/>
          <w:b/>
          <w:sz w:val="20"/>
        </w:rPr>
        <w:t xml:space="preserve">Key words: </w:t>
      </w:r>
      <w:r>
        <w:rPr>
          <w:rFonts w:ascii="Times New Roman" w:hAnsi="Times New Roman" w:eastAsia="Times New Roman"/>
          <w:b w:val="0"/>
          <w:sz w:val="20"/>
        </w:rPr>
        <w:t>Hybrid TEE-Rollup; interactive challenge; data availability; high-frequency DApp; cost amortization; fault recovery</w:t>
      </w:r>
    </w:p>
    <w:p>
      <w:pPr>
        <w:spacing w:before="0" w:after="0" w:line="240" w:lineRule="auto"/>
        <w:sectPr>
          <w:headerReference r:id="rId5" w:type="default"/>
          <w:footerReference r:id="rId6" w:type="default"/>
          <w:type w:val="continuous"/>
          <w:pgSz w:w="11418" w:h="15619"/>
          <w:pgMar w:top="1814" w:right="794" w:bottom="454" w:left="794" w:header="680" w:footer="454" w:gutter="0"/>
          <w:cols w:space="425" w:num="1"/>
          <w:docGrid w:type="lines" w:linePitch="290" w:charSpace="0"/>
        </w:sectPr>
      </w:pPr>
    </w:p>
    <w:p>
      <w:pPr>
        <w:spacing w:before="20" w:after="20" w:line="240" w:lineRule="auto"/>
        <w:jc w:val="left"/>
      </w:pPr>
      <w:r>
        <w:rPr>
          <w:rFonts w:ascii="Times New Roman" w:hAnsi="Times New Roman" w:eastAsia="黑体"/>
          <w:b/>
          <w:sz w:val="23"/>
        </w:rPr>
        <w:t>1  引言</w:t>
      </w:r>
    </w:p>
    <w:p>
      <w:pPr>
        <w:spacing w:before="0" w:after="0" w:line="240" w:lineRule="auto"/>
        <w:ind w:firstLine="400"/>
        <w:jc w:val="both"/>
      </w:pPr>
      <w:r>
        <w:rPr>
          <w:rFonts w:ascii="Times New Roman" w:hAnsi="Times New Roman" w:eastAsia="宋体"/>
          <w:sz w:val="20"/>
        </w:rPr>
        <w: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[8-9]。</w:t>
      </w:r>
    </w:p>
    <w:p>
      <w:pPr>
        <w:spacing w:before="0" w:after="0" w:line="240" w:lineRule="auto"/>
        <w:ind w:firstLine="400"/>
        <w:jc w:val="both"/>
      </w:pPr>
      <w:r>
        <w:rPr>
          <w:rFonts w:ascii="Times New Roman" w:hAnsi="Times New Roman" w:eastAsia="宋体"/>
          <w:sz w:val="20"/>
        </w:rPr>
        <w: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快速路径与链上异常路径结合，其风险也集中在异常路径：一旦恢复机制和证据入口缺失，系统会在最需要仲裁时失去协议连续性[1]。</w:t>
      </w:r>
    </w:p>
    <w:p>
      <w:pPr>
        <w:spacing w:before="0" w:after="0" w:line="240" w:lineRule="auto"/>
        <w:ind w:firstLine="400"/>
        <w:jc w:val="both"/>
      </w:pPr>
      <w:r>
        <w:rPr>
          <w:rFonts w:ascii="Times New Roman" w:hAnsi="Times New Roman" w:eastAsia="宋体"/>
          <w:b w:val="0"/>
          <w:sz w:val="20"/>
        </w:rPr>
        <w: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spacing w:before="0" w:after="0" w:line="240" w:lineRule="auto"/>
        <w:ind w:firstLine="510"/>
        <w:jc w:val="both"/>
        <w:rPr>
          <w:rFonts w:ascii="Times New Roman" w:hAnsi="Times New Roman" w:eastAsia="宋体"/>
          <w:b w:val="0"/>
          <w:sz w:val="20"/>
        </w:rPr>
        <w:pPrChange w:id="0" w:author="赵春艳" w:date="2026-06-15T11:02:35Z">
          <w:pPr>
            <w:spacing w:before="0" w:after="0" w:line="260" w:lineRule="exact"/>
            <w:ind w:firstLine="400"/>
            <w:jc w:val="both"/>
          </w:pPr>
        </w:pPrChange>
      </w:pPr>
      <w:bookmarkStart w:id="0" w:name="_GoBack"/>
    </w:p>
    <w:bookmarkEnd w:id="0"/>
    <w:p>
      <w:pPr>
        <w:spacing w:before="0" w:after="0" w:line="240" w:lineRule="auto"/>
        <w:ind w:firstLine="400"/>
        <w:jc w:val="both"/>
        <w:rPr>
          <w:rFonts w:hint="default" w:ascii="Times New Roman" w:hAnsi="Times New Roman" w:eastAsia="宋体"/>
          <w:b w:val="0"/>
          <w:sz w:val="20"/>
          <w:lang w:val="en-US" w:eastAsia="zh-CN"/>
        </w:rPr>
      </w:pPr>
      <w:r>
        <w:rPr>
          <w:rFonts w:hint="eastAsia" w:ascii="Times New Roman" w:hAnsi="Times New Roman" w:eastAsia="宋体"/>
          <w:b w:val="0"/>
          <w:sz w:val="20"/>
          <w:lang w:val="en-US" w:eastAsia="zh-CN"/>
        </w:rPr>
        <w:t>本文主要贡献如下。</w:t>
      </w:r>
    </w:p>
    <w:p>
      <w:pPr>
        <w:spacing w:before="0" w:after="0" w:line="240" w:lineRule="auto"/>
        <w:ind w:firstLine="510"/>
        <w:jc w:val="both"/>
        <w:pPrChange w:id="1" w:author="赵春艳" w:date="2026-06-15T00:36:26Z">
          <w:pPr>
            <w:spacing w:before="120" w:after="60" w:line="280" w:lineRule="exact"/>
            <w:ind w:firstLine="0"/>
            <w:jc w:val="left"/>
          </w:pPr>
        </w:pPrChange>
      </w:pPr>
    </w:p>
    <w:p>
      <w:pPr>
        <w:spacing w:before="0" w:after="0" w:line="240" w:lineRule="auto"/>
        <w:ind w:firstLine="400"/>
        <w:jc w:val="both"/>
        <w:rPr>
          <w:rFonts w:hint="eastAsia" w:eastAsia="宋体"/>
          <w:b w:val="0"/>
          <w:sz w:val="20"/>
          <w:lang w:eastAsia="zh-CN"/>
        </w:rPr>
      </w:pPr>
      <w:r>
        <w:rPr>
          <w:rFonts w:hint="eastAsia" w:ascii="Times New Roman" w:hAnsi="Times New Roman" w:eastAsia="宋体"/>
          <w:b w:val="0"/>
          <w:sz w:val="20"/>
          <w:lang w:eastAsia="zh-CN"/>
        </w:rPr>
        <w:t>（</w:t>
      </w:r>
      <w:r>
        <w:rPr>
          <w:rFonts w:hint="eastAsia" w:ascii="Times New Roman" w:hAnsi="Times New Roman" w:eastAsia="宋体"/>
          <w:b w:val="0"/>
          <w:sz w:val="20"/>
          <w:lang w:val="en-US" w:eastAsia="zh-CN"/>
        </w:rPr>
        <w:t>1</w:t>
      </w:r>
      <w:r>
        <w:rPr>
          <w:rFonts w:hint="eastAsia" w:ascii="Times New Roman" w:hAnsi="Times New Roman" w:eastAsia="宋体"/>
          <w:b w:val="0"/>
          <w:sz w:val="20"/>
          <w:lang w:eastAsia="zh-CN"/>
        </w:rPr>
        <w:t>）</w:t>
      </w:r>
      <w:r>
        <w:rPr>
          <w:rFonts w:hint="eastAsia" w:eastAsia="宋体"/>
          <w:b/>
          <w:bCs/>
          <w:sz w:val="20"/>
          <w:lang w:val="en-US" w:eastAsia="zh-CN"/>
          <w:rPrChange w:id="2" w:author="赵春艳" w:date="2026-06-15T11:04:02Z">
            <w:rPr>
              <w:rFonts w:hint="eastAsia" w:eastAsia="宋体"/>
              <w:b w:val="0"/>
              <w:sz w:val="20"/>
              <w:lang w:val="en-US" w:eastAsia="zh-CN"/>
            </w:rPr>
          </w:rPrChange>
        </w:rPr>
        <w:t>提出可恢复挑战协议</w:t>
      </w:r>
      <w:r>
        <w:rPr>
          <w:rFonts w:hint="eastAsia" w:ascii="Times New Roman" w:hAnsi="Times New Roman" w:eastAsia="宋体"/>
          <w:b w:val="0"/>
          <w:sz w:val="20"/>
          <w:lang w:val="en-US" w:eastAsia="zh-CN"/>
        </w:rPr>
        <w:t>。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pPr>
        <w:spacing w:before="0" w:after="0" w:line="240" w:lineRule="auto"/>
        <w:jc w:val="both"/>
      </w:pPr>
    </w:p>
    <w:p>
      <w:pPr>
        <w:spacing w:before="0" w:after="0" w:line="240" w:lineRule="auto"/>
        <w:ind w:firstLine="400"/>
        <w:jc w:val="both"/>
        <w:rPr>
          <w:rFonts w:hint="eastAsia" w:eastAsia="宋体"/>
          <w:b w:val="0"/>
          <w:sz w:val="20"/>
          <w:lang w:val="en-US" w:eastAsia="zh-CN"/>
        </w:rPr>
      </w:pPr>
      <w:r>
        <w:rPr>
          <w:rFonts w:ascii="Times New Roman" w:hAnsi="Times New Roman" w:eastAsia="宋体"/>
          <w:sz w:val="20"/>
        </w:rPr>
        <w:t>（2）设计证据绑定型紧凑提交。该结构将状态根、输出哈希、证明哈希、DA 指针与 DA 根进行密码学绑定，使链上精简凭证具备重放前置能力、证据可追溯能力与可验证属性。</w:t>
      </w:r>
    </w:p>
    <w:p>
      <w:pPr>
        <w:spacing w:before="0" w:after="0" w:line="240" w:lineRule="auto"/>
        <w:jc w:val="both"/>
      </w:pPr>
    </w:p>
    <w:p>
      <w:pPr>
        <w:spacing w:before="0" w:after="0" w:line="240" w:lineRule="auto"/>
        <w:ind w:firstLine="400"/>
        <w:jc w:val="both"/>
        <w:rPr>
          <w:rFonts w:hint="eastAsia" w:eastAsia="宋体"/>
          <w:b w:val="0"/>
          <w:sz w:val="20"/>
          <w:lang w:eastAsia="zh-CN"/>
        </w:rPr>
      </w:pPr>
      <w:r>
        <w:rPr>
          <w:rFonts w:hint="eastAsia" w:ascii="Times New Roman" w:hAnsi="Times New Roman" w:eastAsia="宋体"/>
          <w:b w:val="0"/>
          <w:sz w:val="20"/>
          <w:lang w:eastAsia="zh-CN"/>
        </w:rPr>
        <w:t>（</w:t>
      </w:r>
      <w:r>
        <w:rPr>
          <w:rFonts w:hint="eastAsia" w:ascii="Times New Roman" w:hAnsi="Times New Roman" w:eastAsia="宋体"/>
          <w:b w:val="0"/>
          <w:sz w:val="20"/>
          <w:lang w:val="en-US" w:eastAsia="zh-CN"/>
        </w:rPr>
        <w:t>3</w:t>
      </w:r>
      <w:r>
        <w:rPr>
          <w:rFonts w:hint="eastAsia" w:ascii="Times New Roman" w:hAnsi="Times New Roman" w:eastAsia="宋体"/>
          <w:b w:val="0"/>
          <w:sz w:val="20"/>
          <w:lang w:eastAsia="zh-CN"/>
        </w:rPr>
        <w:t>）</w:t>
      </w:r>
      <w:r>
        <w:rPr>
          <w:rFonts w:hint="eastAsia" w:eastAsia="宋体"/>
          <w:b/>
          <w:bCs/>
          <w:sz w:val="20"/>
          <w:lang w:val="en-US" w:eastAsia="zh-CN"/>
          <w:rPrChange w:id="3" w:author="赵春艳" w:date="2026-06-15T11:05:17Z">
            <w:rPr>
              <w:rFonts w:hint="eastAsia" w:eastAsia="宋体"/>
              <w:b w:val="0"/>
              <w:sz w:val="20"/>
              <w:lang w:val="en-US" w:eastAsia="zh-CN"/>
            </w:rPr>
          </w:rPrChange>
        </w:rPr>
        <w:t>构建DA 感知成本摊销模型</w:t>
      </w:r>
      <w:r>
        <w:rPr>
          <w:rFonts w:hint="eastAsia" w:ascii="Times New Roman" w:hAnsi="Times New Roman" w:eastAsia="宋体"/>
          <w:b w:val="0"/>
          <w:sz w:val="20"/>
          <w:lang w:val="en-US" w:eastAsia="zh-CN"/>
        </w:rPr>
        <w:t>。该模型量化分析负载规模伸缩、批处理策略、DA 部署路径三类因素对系统成本的影响，为不同业务负载下的 DA 方案选型与成本管控提供理论依据。</w:t>
      </w:r>
    </w:p>
    <w:p>
      <w:pPr>
        <w:spacing w:before="0" w:after="0" w:line="240" w:lineRule="auto"/>
        <w:jc w:val="both"/>
      </w:pPr>
    </w:p>
    <w:p>
      <w:pPr>
        <w:spacing w:before="0" w:after="0" w:line="240" w:lineRule="auto"/>
        <w:sectPr>
          <w:headerReference r:id="rId7" w:type="default"/>
          <w:footerReference r:id="rId8"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1  本文机制推进点与研究作用</w:t>
      </w:r>
    </w:p>
    <w:p>
      <w:pPr>
        <w:spacing w:before="0" w:after="20" w:line="240" w:lineRule="auto"/>
        <w:jc w:val="center"/>
      </w:pPr>
      <w:r>
        <w:rPr>
          <w:rFonts w:ascii="Times New Roman" w:hAnsi="Times New Roman" w:eastAsia="宋体"/>
          <w:b w:val="0"/>
          <w:sz w:val="18"/>
        </w:rPr>
        <w:t>Table 1  Mechanism advances and roles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304"/>
        <w:gridCol w:w="3303"/>
        <w:gridCol w:w="3303"/>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机制推进</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核心作用</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论文定位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可恢复挑战机制</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在超时或中断后恢复争议流程</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提升挑战活性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携带证据的紧凑提交</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绑定状态/输出/证明/数据可用性根</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形成最小证据入口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故障分类</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区分证明、数据可用性、超时、重放和轨迹故障</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明确异常责任边界</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DA 感知成本摊销</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联合负载、批处理和数据可用性路径分析成本</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支撑高频 DApp 成本论证</w:t>
            </w:r>
          </w:p>
        </w:tc>
      </w:tr>
    </w:tbl>
    <w:p>
      <w:pPr>
        <w:spacing w:before="0" w:after="0" w:line="240" w:lineRule="auto"/>
      </w:pPr>
    </w:p>
    <w:p>
      <w:pPr>
        <w:spacing w:before="0" w:after="0" w:line="240" w:lineRule="auto"/>
        <w:sectPr>
          <w:headerReference r:id="rId9" w:type="default"/>
          <w:footerReference r:id="rId10"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表 2 用于界定本文机制与既有系统的关系：已有系统通常已经具备挑战机制或 TEE 快速路径，本文关注的增量在于超时后的挑战活性、紧凑提交到数据可用性字段级证明的绑定关系，以及面向高频工作负载的成本解释。</w:t>
      </w:r>
    </w:p>
    <w:p>
      <w:pPr>
        <w:spacing w:before="0" w:after="0" w:line="240" w:lineRule="auto"/>
        <w:sectPr>
          <w:headerReference r:id="rId11" w:type="default"/>
          <w:footerReference r:id="rId12"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2  机制语义对比</w:t>
      </w:r>
    </w:p>
    <w:p>
      <w:pPr>
        <w:spacing w:before="0" w:after="20" w:line="240" w:lineRule="auto"/>
        <w:jc w:val="center"/>
      </w:pPr>
      <w:r>
        <w:rPr>
          <w:rFonts w:ascii="Times New Roman" w:hAnsi="Times New Roman" w:eastAsia="宋体"/>
          <w:b w:val="0"/>
          <w:sz w:val="18"/>
        </w:rPr>
        <w:t>Table 2  Semantic comparison of mechanisms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987"/>
        <w:gridCol w:w="1982"/>
        <w:gridCol w:w="1980"/>
        <w:gridCol w:w="1981"/>
        <w:gridCol w:w="198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系统</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挑战机制角色</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恢复语义</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DA 证据绑定</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成本模型作用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Optimism</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欺诈证明 / 争议博弈</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主要依赖挑战窗口假设处理超时</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非本文比较重点</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本文未建模</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Arbitrum</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交互式争议定位</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协议特定的争议推进机制</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非本文比较重点</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本文未建模</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OTR</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TEE 辅助的乐观验证</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超时恢复讨论有限</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部分负载/证明关联</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本文未建模</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TEERollup</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TEE 快速路径与挑战入口</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主要作为系统机制讨论</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架构层面讨论</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未给出轻量数据可用性摊销模型</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本文工作</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可恢复挑战状态机</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恢复操作作为保持活性的状态转移</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紧凑提交到数据可用性字段级证明的绑定</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负载/批处理/路径权衡分析</w:t>
            </w:r>
          </w:p>
        </w:tc>
      </w:tr>
    </w:tbl>
    <w:p>
      <w:pPr>
        <w:spacing w:before="0" w:after="0" w:line="240" w:lineRule="auto"/>
      </w:pPr>
    </w:p>
    <w:p>
      <w:pPr>
        <w:spacing w:before="0" w:after="0" w:line="240" w:lineRule="auto"/>
        <w:sectPr>
          <w:headerReference r:id="rId13" w:type="default"/>
          <w:footerReference r:id="rId14" w:type="default"/>
          <w:type w:val="continuous"/>
          <w:pgSz w:w="11418" w:h="15619"/>
          <w:pgMar w:top="1814" w:right="794" w:bottom="454" w:left="794" w:header="680" w:footer="454" w:gutter="0"/>
          <w:cols w:space="425" w:num="1"/>
          <w:docGrid w:type="lines" w:linePitch="290" w:charSpace="0"/>
        </w:sectPr>
      </w:pPr>
    </w:p>
    <w:p>
      <w:pPr>
        <w:spacing w:before="20" w:after="20" w:line="240" w:lineRule="auto"/>
        <w:jc w:val="left"/>
      </w:pPr>
      <w:r>
        <w:rPr>
          <w:rFonts w:ascii="Times New Roman" w:hAnsi="Times New Roman" w:eastAsia="黑体"/>
          <w:b/>
          <w:sz w:val="23"/>
        </w:rPr>
        <w:t>2  背景与威胁模型</w:t>
      </w:r>
    </w:p>
    <w:p>
      <w:pPr>
        <w:spacing w:before="20" w:after="20" w:line="240" w:lineRule="auto"/>
        <w:jc w:val="left"/>
      </w:pPr>
      <w:r>
        <w:rPr>
          <w:rFonts w:ascii="Times New Roman" w:hAnsi="Times New Roman" w:eastAsia="黑体"/>
          <w:b/>
          <w:sz w:val="23"/>
        </w:rPr>
        <w:t>2.1  Rollup、可信执行环境与数据可用性</w:t>
      </w:r>
    </w:p>
    <w:p>
      <w:pPr>
        <w:spacing w:before="0" w:after="0" w:line="240" w:lineRule="auto"/>
        <w:ind w:firstLine="400"/>
        <w:jc w:val="both"/>
      </w:pPr>
      <w:r>
        <w:rPr>
          <w:rFonts w:ascii="Times New Roman" w:hAnsi="Times New Roman" w:eastAsia="宋体"/>
          <w:sz w:val="20"/>
        </w:rPr>
        <w:t>Rollup 的基本思想是将大量执行过程移至链下完成，并将状态承诺、证明或争议入口提交到链上。ZK-Rollup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默认链下执行结果正确，仅在挑战期内出现有效争议时进行仲裁；其链上负担较轻，但争议窗口和交互过程会引入状态不确定性[6-7,10,16-17]。</w:t>
      </w:r>
    </w:p>
    <w:p>
      <w:pPr>
        <w:spacing w:before="0" w:after="0" w:line="240" w:lineRule="auto"/>
        <w:ind w:firstLine="400"/>
        <w:jc w:val="both"/>
      </w:pPr>
      <w:r>
        <w:rPr>
          <w:rFonts w:ascii="Times New Roman" w:hAnsi="Times New Roman" w:eastAsia="宋体"/>
          <w:b w:val="0"/>
          <w:sz w:val="20"/>
        </w:rPr>
        <w:t>乐观挑战是 Rollup 系统处理异常的重要机制。典型流程包括提交状态承诺、开启挑战、交互式缩小争议范围，并在必要时执行单步重放或链上仲裁。对于长执行轨迹，二分定位能够将争议定位复杂度从线性扫描降低到对数轮次；挑战过程本身也可能遭遇超时、应答缺失或证据不可用，因此活性和恢复性需要进入协议设计。</w:t>
      </w:r>
    </w:p>
    <w:p>
      <w:pPr>
        <w:spacing w:before="0" w:after="0" w:line="240" w:lineRule="auto"/>
        <w:ind w:firstLine="400"/>
        <w:jc w:val="both"/>
      </w:pPr>
      <w:r>
        <w:rPr>
          <w:rFonts w:ascii="Times New Roman" w:hAnsi="Times New Roman" w:eastAsia="宋体"/>
          <w:b w:val="0"/>
          <w:sz w:val="20"/>
        </w:rPr>
        <w:t>数据可用性关注链下或链外数据能否被验证者获取。模块化区块链和惰性账本等路线将数据可用性从执行验证中解耦，使共识层主要负责数据排序和可用性保证，执行与验证由独立的 Rollup 或客户端完成。当执行者将完整负载放在数据可用性层而非链上时，链上提交必须与数据可用性条目形成可验证绑定。</w:t>
      </w:r>
    </w:p>
    <w:p>
      <w:pPr>
        <w:spacing w:before="20" w:after="20" w:line="240" w:lineRule="auto"/>
        <w:jc w:val="left"/>
      </w:pPr>
      <w:r>
        <w:rPr>
          <w:rFonts w:ascii="Times New Roman" w:hAnsi="Times New Roman" w:eastAsia="黑体"/>
          <w:b/>
          <w:sz w:val="23"/>
        </w:rPr>
        <w:t>2.2  问题范围与对抗假设</w:t>
      </w:r>
    </w:p>
    <w:p>
      <w:pPr>
        <w:spacing w:before="0" w:after="0" w:line="240" w:lineRule="auto"/>
        <w:ind w:firstLine="400"/>
        <w:jc w:val="both"/>
      </w:pPr>
      <w:r>
        <w:rPr>
          <w:rFonts w:ascii="Times New Roman" w:hAnsi="Times New Roman" w:eastAsia="宋体"/>
          <w:b w:val="0"/>
          <w:sz w:val="20"/>
        </w:rPr>
        <w: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w:t>
      </w:r>
    </w:p>
    <w:p>
      <w:pPr>
        <w:spacing w:before="0" w:after="0" w:line="240" w:lineRule="auto"/>
        <w:ind w:firstLine="400"/>
        <w:jc w:val="both"/>
      </w:pPr>
      <w:r>
        <w:rPr>
          <w:rFonts w:ascii="Times New Roman" w:hAnsi="Times New Roman" w:eastAsia="宋体"/>
          <w:b w:val="0"/>
          <w:sz w:val="20"/>
        </w:rPr>
        <w: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w:t>
      </w:r>
    </w:p>
    <w:p>
      <w:pPr>
        <w:spacing w:before="0" w:after="0" w:line="240" w:lineRule="auto"/>
        <w:ind w:firstLine="400"/>
        <w:jc w:val="both"/>
      </w:pPr>
      <w:r>
        <w:rPr>
          <w:rFonts w:ascii="Times New Roman" w:hAnsi="Times New Roman" w:eastAsia="宋体"/>
          <w:b w:val="0"/>
          <w:sz w:val="20"/>
        </w:rPr>
        <w:t>范围说明。本文威胁模型不覆盖真实硬件侧信道、远程证明供应链故障、真实 DA 网络经济安全、主网最大可提取价值以及拥堵导致的费用波动；当前证据支撑协议状态连续性、证据绑定关系、配置化成本趋势和合约层对应关系。</w:t>
      </w:r>
    </w:p>
    <w:p>
      <w:pPr>
        <w:spacing w:before="20" w:after="20" w:line="240" w:lineRule="auto"/>
        <w:jc w:val="left"/>
      </w:pPr>
      <w:r>
        <w:rPr>
          <w:rFonts w:ascii="Times New Roman" w:hAnsi="Times New Roman" w:eastAsia="黑体"/>
          <w:b/>
          <w:sz w:val="23"/>
        </w:rPr>
        <w:t>3  系统</w:t>
      </w:r>
      <w:r>
        <w:rPr>
          <w:rFonts w:hint="eastAsia" w:ascii="Times New Roman" w:hAnsi="Times New Roman" w:eastAsia="黑体"/>
          <w:b/>
          <w:sz w:val="23"/>
          <w:lang w:val="en-US" w:eastAsia="zh-CN"/>
        </w:rPr>
        <w:t>架构与总体设计</w:t>
      </w:r>
    </w:p>
    <w:p>
      <w:pPr>
        <w:spacing w:before="0" w:after="0" w:line="240" w:lineRule="auto"/>
        <w:ind w:firstLine="400"/>
        <w:jc w:val="both"/>
      </w:pPr>
      <w:r>
        <w:rPr>
          <w:rFonts w:ascii="Times New Roman" w:hAnsi="Times New Roman" w:eastAsia="宋体"/>
          <w:b w:val="0"/>
          <w:sz w:val="20"/>
        </w:rPr>
        <w:t>本节说明上述机制如何组成端到端系统。系统包含三个角色：执行层负责产生正常路径下的响应与远程证明；DA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w:t>
      </w:r>
    </w:p>
    <w:p>
      <w:pPr>
        <w:spacing w:before="0" w:after="0" w:line="240" w:lineRule="auto"/>
        <w:sectPr>
          <w:headerReference r:id="rId15" w:type="default"/>
          <w:footerReference r:id="rId16" w:type="default"/>
          <w:type w:val="continuous"/>
          <w:pgSz w:w="11418" w:h="15619"/>
          <w:pgMar w:top="1814" w:right="794" w:bottom="454" w:left="794" w:header="680" w:footer="454" w:gutter="0"/>
          <w:cols w:space="425" w:num="2"/>
          <w:docGrid w:type="lines" w:linePitch="290" w:charSpace="0"/>
        </w:sectPr>
      </w:pP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0"/>
                          <a:stretch>
                            <a:fillRect/>
                          </a:stretch>
                        </pic:blipFill>
                        <pic:spPr>
                          <a:xfrm>
                            <a:off x="0" y="0"/>
                            <a:ext cx="5943600" cy="3343275"/>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1  Hybrid TEE-Rollup 原型系统架构</w:t>
            </w:r>
          </w:p>
          <w:p>
            <w:pPr>
              <w:spacing w:before="0" w:after="0" w:line="240" w:lineRule="auto"/>
              <w:jc w:val="center"/>
            </w:pPr>
            <w:r>
              <w:rPr>
                <w:rFonts w:ascii="Times New Roman" w:hAnsi="Times New Roman" w:eastAsia="宋体"/>
                <w:b w:val="0"/>
                <w:sz w:val="18"/>
              </w:rPr>
              <w:t>Fig.1  Prototype architecture of Hybrid TEE-Rollup</w:t>
            </w:r>
          </w:p>
        </w:tc>
      </w:tr>
    </w:tbl>
    <w:p>
      <w:pPr>
        <w:spacing w:before="0" w:after="0" w:line="240" w:lineRule="auto"/>
        <w:sectPr>
          <w:headerReference r:id="rId17" w:type="default"/>
          <w:footerReference r:id="rId18"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spacing w:before="20" w:after="20" w:line="240" w:lineRule="auto"/>
        <w:jc w:val="left"/>
      </w:pPr>
      <w:r>
        <w:rPr>
          <w:rFonts w:ascii="Times New Roman" w:hAnsi="Times New Roman" w:eastAsia="黑体"/>
          <w:b/>
          <w:sz w:val="23"/>
        </w:rPr>
        <w:t>3.1  执行层与正常路径</w:t>
      </w:r>
    </w:p>
    <w:p>
      <w:pPr>
        <w:spacing w:before="0" w:after="0" w:line="240" w:lineRule="auto"/>
        <w:ind w:firstLine="400"/>
        <w:jc w:val="both"/>
      </w:pPr>
      <w:r>
        <w:rPr>
          <w:rFonts w:ascii="Times New Roman" w:hAnsi="Times New Roman" w:eastAsia="宋体"/>
          <w:b w:val="0"/>
          <w:sz w:val="20"/>
        </w:rPr>
        <w:t>执行层负责处理高频 DApp 请求。当前原型采用确定性模拟模型或可选模型后端生成响应，并使用模拟可信执行环境远程证明对输入哈希、输出哈希、nonce 和执行环境标识进行绑定。远程证明的作用是为链下执行结果提供最小可信摘要，使后续验证层能够检查提交结果是否与声明的执行过程一致。</w:t>
      </w:r>
    </w:p>
    <w:p>
      <w:pPr>
        <w:spacing w:before="0" w:after="0" w:line="240" w:lineRule="auto"/>
        <w:ind w:firstLine="400"/>
        <w:jc w:val="both"/>
      </w:pPr>
      <w:r>
        <w:rPr>
          <w:rFonts w:ascii="Times New Roman" w:hAnsi="Times New Roman" w:eastAsia="宋体"/>
          <w:b w:val="0"/>
          <w:sz w:val="20"/>
        </w:rPr>
        <w:t>在本文原型中，模拟可信执行环境用于建立“链下执行摘要—链上提交—异常挑战”的接口关系；真实 TEE 安全性在第 8 章讨论。</w:t>
      </w:r>
    </w:p>
    <w:p>
      <w:pPr>
        <w:spacing w:before="20" w:after="20" w:line="240" w:lineRule="auto"/>
        <w:jc w:val="left"/>
      </w:pPr>
      <w:r>
        <w:rPr>
          <w:rFonts w:ascii="Times New Roman" w:hAnsi="Times New Roman" w:eastAsia="黑体"/>
          <w:b/>
          <w:sz w:val="23"/>
        </w:rPr>
        <w:t>3.2  数据可用性接口</w:t>
      </w:r>
    </w:p>
    <w:p>
      <w:pPr>
        <w:spacing w:before="0" w:after="0" w:line="240" w:lineRule="auto"/>
        <w:ind w:firstLine="400"/>
        <w:jc w:val="both"/>
      </w:pPr>
      <w:r>
        <w:rPr>
          <w:rFonts w:ascii="Times New Roman" w:hAnsi="Times New Roman" w:eastAsia="宋体"/>
          <w:b w:val="0"/>
          <w:sz w:val="20"/>
        </w:rPr>
        <w: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证明；链上仅保存紧凑提交。由此，字节压缩与证据保留被明确区分：正常路径避免完整负载上链，异常路径仍可恢复重放所需的负载上下文。</w:t>
      </w:r>
    </w:p>
    <w:p>
      <w:pPr>
        <w:spacing w:before="0" w:after="0" w:line="240" w:lineRule="auto"/>
        <w:ind w:firstLine="400"/>
        <w:jc w:val="both"/>
      </w:pPr>
      <w:r>
        <w:rPr>
          <w:rFonts w:ascii="Times New Roman" w:hAnsi="Times New Roman" w:eastAsia="宋体"/>
          <w:b w:val="0"/>
          <w:sz w:val="20"/>
        </w:rPr>
        <w: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w:t>
      </w:r>
    </w:p>
    <w:p>
      <w:pPr>
        <w:spacing w:before="20" w:after="20" w:line="240" w:lineRule="auto"/>
        <w:jc w:val="left"/>
      </w:pPr>
      <w:r>
        <w:rPr>
          <w:rFonts w:ascii="Times New Roman" w:hAnsi="Times New Roman" w:eastAsia="黑体"/>
          <w:b/>
          <w:sz w:val="23"/>
        </w:rPr>
        <w:t>3.3  验证层与恢复触发</w:t>
      </w:r>
    </w:p>
    <w:p>
      <w:pPr>
        <w:spacing w:before="0" w:after="0" w:line="240" w:lineRule="auto"/>
        <w:ind w:firstLine="400"/>
        <w:jc w:val="both"/>
      </w:pPr>
      <w:r>
        <w:rPr>
          <w:rFonts w:ascii="Times New Roman" w:hAnsi="Times New Roman" w:eastAsia="宋体"/>
          <w:b w:val="0"/>
          <w:sz w:val="20"/>
        </w:rPr>
        <w:t>验证层负责处理异常路径。当前原型实现挑战打开、响应、步骤、恢复、重放和结算等状态推进；争议出现后，验证层通过证据加载、二分定位、单步重放和仲裁结算，将异常状态推进为可解释的协议结果。</w:t>
      </w:r>
    </w:p>
    <w:p>
      <w:pPr>
        <w:spacing w:before="0" w:after="0" w:line="240" w:lineRule="auto"/>
        <w:ind w:firstLine="400"/>
        <w:jc w:val="both"/>
      </w:pPr>
      <w:r>
        <w:rPr>
          <w:rFonts w:ascii="Times New Roman" w:hAnsi="Times New Roman" w:eastAsia="宋体"/>
          <w:b w:val="0"/>
          <w:sz w:val="20"/>
        </w:rPr>
        <w: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spacing w:before="0" w:after="0" w:line="240" w:lineRule="auto"/>
        <w:ind w:firstLine="400"/>
        <w:jc w:val="both"/>
      </w:pPr>
      <w:r>
        <w:rPr>
          <w:rFonts w:ascii="Times New Roman" w:hAnsi="Times New Roman" w:eastAsia="宋体"/>
          <w:b w:val="0"/>
          <w:sz w:val="20"/>
        </w:rP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pPr>
        <w:spacing w:before="20" w:after="20" w:line="240" w:lineRule="auto"/>
        <w:jc w:val="left"/>
      </w:pPr>
      <w:r>
        <w:rPr>
          <w:rFonts w:ascii="Times New Roman" w:hAnsi="Times New Roman" w:eastAsia="黑体"/>
          <w:b/>
          <w:sz w:val="23"/>
        </w:rPr>
        <w:t>4 核心机制与成本评估</w:t>
      </w:r>
    </w:p>
    <w:p>
      <w:pPr>
        <w:spacing w:before="20" w:after="20" w:line="240" w:lineRule="auto"/>
        <w:jc w:val="left"/>
      </w:pPr>
      <w:r>
        <w:rPr>
          <w:rFonts w:ascii="Times New Roman" w:hAnsi="Times New Roman" w:eastAsia="黑体"/>
          <w:b/>
          <w:sz w:val="23"/>
        </w:rPr>
        <w:t>4.1 可恢复挑战协议</w:t>
      </w:r>
    </w:p>
    <w:p>
      <w:pPr>
        <w:spacing w:before="20" w:after="20" w:line="240" w:lineRule="auto"/>
        <w:jc w:val="left"/>
      </w:pPr>
      <w:r>
        <w:rPr>
          <w:rFonts w:ascii="Times New Roman" w:hAnsi="Times New Roman" w:eastAsia="黑体"/>
          <w:b/>
          <w:sz w:val="21"/>
        </w:rPr>
        <w:t>4.1.1 协议模型与形式化定义</w:t>
      </w:r>
    </w:p>
    <w:p>
      <w:pPr>
        <w:spacing w:before="0" w:after="0" w:line="240" w:lineRule="auto"/>
        <w:ind w:firstLine="400"/>
        <w:jc w:val="both"/>
      </w:pPr>
      <w:r>
        <w:rPr>
          <w:rFonts w:ascii="Times New Roman" w:hAnsi="Times New Roman" w:eastAsia="宋体"/>
          <w:b w:val="0"/>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spacing w:before="0" w:after="0" w:line="240" w:lineRule="auto"/>
        <w:ind w:firstLine="400"/>
        <w:jc w:val="both"/>
      </w:pPr>
      <w:r>
        <w:rPr>
          <w:rFonts w:ascii="Times New Roman" w:hAnsi="Times New Roman" w:eastAsia="宋体"/>
          <w:b w:val="0"/>
          <w:sz w:val="20"/>
        </w:rPr>
        <w:t>定义 1（挑战会话）</w:t>
      </w:r>
    </w:p>
    <w:p>
      <w:pPr>
        <w:spacing w:before="0" w:after="0" w:line="240" w:lineRule="auto"/>
        <w:ind w:firstLine="400"/>
        <w:jc w:val="both"/>
      </w:pPr>
      <w:r>
        <w:rPr>
          <w:rFonts w:ascii="Times New Roman" w:hAnsi="Times New Roman" w:eastAsia="宋体"/>
          <w:b w:val="0"/>
          <w:sz w:val="20"/>
        </w:rPr>
        <w:t>挑战会话定义为：cs = (id, s, F, T)。</w:t>
      </w:r>
    </w:p>
    <w:p>
      <w:pPr>
        <w:spacing w:before="0" w:after="0" w:line="240" w:lineRule="auto"/>
        <w:ind w:firstLine="400"/>
        <w:jc w:val="both"/>
      </w:pPr>
      <w:r>
        <w:rPr>
          <w:rFonts w:ascii="Times New Roman" w:hAnsi="Times New Roman" w:eastAsia="宋体"/>
          <w:b w:val="0"/>
          <w:sz w:val="20"/>
        </w:rPr>
        <w:t>其中，id 表示会话标识；s 表示当前状态；F 表示挑战事实（挑战事实集合）；T 表示超时参数。</w:t>
      </w:r>
    </w:p>
    <w:p>
      <w:pPr>
        <w:spacing w:before="0" w:after="0" w:line="240" w:lineRule="auto"/>
        <w:ind w:firstLine="400"/>
        <w:jc w:val="both"/>
      </w:pPr>
      <w:r>
        <w:rPr>
          <w:rFonts w:ascii="Times New Roman" w:hAnsi="Times New Roman" w:eastAsia="宋体"/>
          <w:b w:val="0"/>
          <w:sz w:val="20"/>
        </w:rPr>
        <w:t>定义 2（挑战状态机）</w:t>
      </w:r>
    </w:p>
    <w:p>
      <w:pPr>
        <w:spacing w:before="0" w:after="0" w:line="240" w:lineRule="auto"/>
        <w:ind w:firstLine="400"/>
        <w:jc w:val="both"/>
      </w:pPr>
      <w:r>
        <w:rPr>
          <w:rFonts w:ascii="Times New Roman" w:hAnsi="Times New Roman" w:eastAsia="宋体"/>
          <w:b w:val="0"/>
          <w:sz w:val="20"/>
        </w:rPr>
        <w:t>挑战状态机定义为：M = (S, E, δ)。</w:t>
      </w:r>
    </w:p>
    <w:p>
      <w:pPr>
        <w:spacing w:before="0" w:after="0" w:line="240" w:lineRule="auto"/>
        <w:ind w:firstLine="400"/>
        <w:jc w:val="both"/>
      </w:pPr>
      <w:r>
        <w:rPr>
          <w:rFonts w:ascii="Times New Roman" w:hAnsi="Times New Roman" w:eastAsia="宋体"/>
          <w:b w:val="0"/>
          <w:sz w:val="20"/>
        </w:rPr>
        <w:t>其中，S 为状态集合；E 为事件集合；δ: S × E → S 为状态转移函数。</w:t>
      </w:r>
    </w:p>
    <w:p>
      <w:pPr>
        <w:spacing w:before="0" w:after="0" w:line="240" w:lineRule="auto"/>
        <w:ind w:firstLine="400"/>
        <w:jc w:val="both"/>
      </w:pPr>
      <w:r>
        <w:rPr>
          <w:rFonts w:ascii="Times New Roman" w:hAnsi="Times New Roman" w:eastAsia="宋体"/>
          <w:b w:val="0"/>
          <w:sz w:val="20"/>
        </w:rPr>
        <w:t>定义 3（恢复函数）</w:t>
      </w:r>
    </w:p>
    <w:p>
      <w:pPr>
        <w:spacing w:before="0" w:after="0" w:line="240" w:lineRule="auto"/>
        <w:ind w:firstLine="400"/>
        <w:jc w:val="both"/>
      </w:pPr>
      <w:r>
        <w:rPr>
          <w:rFonts w:ascii="Times New Roman" w:hAnsi="Times New Roman" w:eastAsia="宋体"/>
          <w:b w:val="0"/>
          <w:sz w:val="20"/>
        </w:rPr>
        <w:t>恢复函数定义为：Recover(cs) = cs'。</w:t>
      </w:r>
    </w:p>
    <w:p>
      <w:pPr>
        <w:spacing w:before="0" w:after="0" w:line="240" w:lineRule="auto"/>
        <w:ind w:firstLine="400"/>
        <w:jc w:val="both"/>
      </w:pPr>
      <w:r>
        <w:rPr>
          <w:rFonts w:ascii="Times New Roman" w:hAnsi="Times New Roman" w:eastAsia="宋体"/>
          <w:b w:val="0"/>
          <w:sz w:val="20"/>
        </w:rPr>
        <w:t>恢复仅改变活性相关状态，不改变挑战事实，即满足：F(cs) = F(Recover(cs))。</w:t>
      </w:r>
    </w:p>
    <w:p>
      <w:pPr>
        <w:spacing w:before="0" w:after="0" w:line="240" w:lineRule="auto"/>
        <w:ind w:firstLine="400"/>
        <w:jc w:val="both"/>
      </w:pPr>
      <w:r>
        <w:rPr>
          <w:rFonts w:ascii="Times New Roman" w:hAnsi="Times New Roman" w:eastAsia="宋体"/>
          <w:sz w:val="20"/>
        </w:rPr>
        <w:t>协议性质</w:t>
      </w:r>
    </w:p>
    <w:p>
      <w:pPr>
        <w:spacing w:before="0" w:after="0" w:line="240" w:lineRule="auto"/>
        <w:ind w:firstLine="400"/>
        <w:jc w:val="both"/>
      </w:pPr>
      <w:r>
        <w:rPr>
          <w:rFonts w:ascii="Times New Roman" w:hAnsi="Times New Roman" w:eastAsia="宋体"/>
          <w:b w:val="0"/>
          <w:sz w:val="20"/>
        </w:rPr>
        <w: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w:t>
      </w:r>
    </w:p>
    <w:p>
      <w:pPr>
        <w:spacing w:before="20" w:after="20" w:line="240" w:lineRule="auto"/>
        <w:jc w:val="left"/>
      </w:pPr>
      <w:r>
        <w:rPr>
          <w:rFonts w:ascii="Times New Roman" w:hAnsi="Times New Roman" w:eastAsia="黑体"/>
          <w:b/>
          <w:sz w:val="21"/>
        </w:rPr>
        <w:t>4.1.2 超时、恢复、重放与仲裁结算</w:t>
      </w:r>
    </w:p>
    <w:p>
      <w:pPr>
        <w:spacing w:before="0" w:after="0" w:line="240" w:lineRule="auto"/>
        <w:ind w:firstLine="400"/>
        <w:jc w:val="both"/>
      </w:pPr>
      <w:r>
        <w:rPr>
          <w:rFonts w:ascii="Times New Roman" w:hAnsi="Times New Roman" w:eastAsia="宋体"/>
          <w:b w:val="0"/>
          <w:sz w:val="20"/>
        </w:rPr>
        <w:t>可恢复挑战协议的目标，是将挑战从一次性错误检测流程扩展为异常场景下可恢复推进的协议状态机。其基本状态包括 PENDING、OPEN、RESPONDED、NARROWING、RECOVERED、READY_FOR_REPLAY、REPLAYED、RESOLVED、SLASHED 和 FINALIZED。</w:t>
      </w:r>
    </w:p>
    <w:p>
      <w:pPr>
        <w:spacing w:before="0" w:after="0" w:line="240" w:lineRule="auto"/>
        <w:sectPr>
          <w:headerReference r:id="rId19" w:type="default"/>
          <w:footerReference r:id="rId20" w:type="default"/>
          <w:type w:val="continuous"/>
          <w:pgSz w:w="11418" w:h="15619"/>
          <w:pgMar w:top="1814" w:right="794" w:bottom="454" w:left="794" w:header="680" w:footer="454" w:gutter="0"/>
          <w:cols w:space="425" w:num="2"/>
          <w:docGrid w:type="lines" w:linePitch="290" w:charSpace="0"/>
        </w:sectPr>
      </w:pP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5943600" cy="2726690"/>
                  <wp:effectExtent l="0" t="0" r="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1"/>
                          <a:stretch>
                            <a:fillRect/>
                          </a:stretch>
                        </pic:blipFill>
                        <pic:spPr>
                          <a:xfrm>
                            <a:off x="0" y="0"/>
                            <a:ext cx="5943600" cy="2727064"/>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2  可恢复挑战协议流程</w:t>
            </w:r>
          </w:p>
          <w:p>
            <w:pPr>
              <w:spacing w:before="0" w:after="0" w:line="240" w:lineRule="auto"/>
              <w:jc w:val="center"/>
            </w:pPr>
            <w:r>
              <w:rPr>
                <w:rFonts w:ascii="Times New Roman" w:hAnsi="Times New Roman" w:eastAsia="宋体"/>
                <w:b w:val="0"/>
                <w:sz w:val="18"/>
              </w:rPr>
              <w:t>Fig.2  Workflow of the recoverable challenge protocol</w:t>
            </w:r>
          </w:p>
        </w:tc>
      </w:tr>
    </w:tbl>
    <w:p>
      <w:pPr>
        <w:spacing w:before="0" w:after="0" w:line="240" w:lineRule="auto"/>
        <w:sectPr>
          <w:headerReference r:id="rId21" w:type="default"/>
          <w:footerReference r:id="rId22"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w:t>
      </w:r>
    </w:p>
    <w:p>
      <w:pPr>
        <w:spacing w:before="0" w:after="0" w:line="240" w:lineRule="auto"/>
        <w:ind w:firstLine="400"/>
        <w:jc w:val="both"/>
      </w:pPr>
      <w:r>
        <w:rPr>
          <w:rFonts w:ascii="Times New Roman" w:hAnsi="Times New Roman" w:eastAsia="宋体"/>
          <w:b w:val="0"/>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spacing w:before="0" w:after="0" w:line="240" w:lineRule="auto"/>
        <w:ind w:firstLine="400"/>
        <w:jc w:val="both"/>
      </w:pPr>
      <w:r>
        <w:rPr>
          <w:rFonts w:ascii="Times New Roman" w:hAnsi="Times New Roman" w:eastAsia="宋体"/>
          <w:b w:val="0"/>
          <w:sz w:val="20"/>
        </w:rPr>
        <w: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spacing w:before="0" w:after="0" w:line="240" w:lineRule="auto"/>
        <w:ind w:firstLine="400"/>
        <w:jc w:val="both"/>
      </w:pPr>
      <w:r>
        <w:rPr>
          <w:rFonts w:ascii="Times New Roman" w:hAnsi="Times New Roman" w:eastAsia="宋体"/>
          <w:b w:val="0"/>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spacing w:before="20" w:after="20" w:line="240" w:lineRule="auto"/>
        <w:jc w:val="left"/>
      </w:pPr>
      <w:r>
        <w:rPr>
          <w:rFonts w:ascii="Times New Roman" w:hAnsi="Times New Roman" w:eastAsia="黑体"/>
          <w:b/>
          <w:sz w:val="21"/>
        </w:rPr>
        <w:t>4.1.3 正确性边界与协议性质</w:t>
      </w:r>
    </w:p>
    <w:p>
      <w:pPr>
        <w:spacing w:before="0" w:after="0" w:line="240" w:lineRule="auto"/>
        <w:ind w:firstLine="400"/>
        <w:jc w:val="both"/>
      </w:pPr>
      <w:r>
        <w:rPr>
          <w:rFonts w:ascii="Times New Roman" w:hAnsi="Times New Roman" w:eastAsia="宋体"/>
          <w:b w:val="0"/>
          <w:sz w:val="20"/>
        </w:rPr>
        <w: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w:t>
      </w:r>
    </w:p>
    <w:p>
      <w:pPr>
        <w:spacing w:before="0" w:after="0" w:line="240" w:lineRule="auto"/>
        <w:ind w:firstLine="400"/>
        <w:jc w:val="both"/>
      </w:pPr>
      <w:r>
        <w:rPr>
          <w:rFonts w:ascii="Times New Roman" w:hAnsi="Times New Roman" w:eastAsia="宋体"/>
          <w:b w:val="0"/>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w:t>
      </w:r>
    </w:p>
    <w:p>
      <w:pPr>
        <w:spacing w:before="0" w:after="0" w:line="240" w:lineRule="auto"/>
        <w:ind w:firstLine="400"/>
        <w:jc w:val="both"/>
      </w:pPr>
      <w:r>
        <w:rPr>
          <w:rFonts w:ascii="Times New Roman" w:hAnsi="Times New Roman" w:eastAsia="宋体"/>
          <w:b w:val="0"/>
          <w:sz w:val="20"/>
        </w:rPr>
        <w: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w:t>
      </w:r>
    </w:p>
    <w:p>
      <w:pPr>
        <w:spacing w:before="20" w:after="20" w:line="240" w:lineRule="auto"/>
        <w:jc w:val="left"/>
      </w:pPr>
      <w:r>
        <w:rPr>
          <w:rFonts w:ascii="Times New Roman" w:hAnsi="Times New Roman" w:eastAsia="黑体"/>
          <w:b/>
          <w:sz w:val="21"/>
        </w:rPr>
        <w:t>4.1.4 协议性质</w:t>
      </w:r>
    </w:p>
    <w:p>
      <w:pPr>
        <w:spacing w:before="0" w:after="0" w:line="240" w:lineRule="auto"/>
        <w:ind w:firstLine="400"/>
        <w:jc w:val="both"/>
      </w:pPr>
      <w:r>
        <w:rPr>
          <w:rFonts w:ascii="Times New Roman" w:hAnsi="Times New Roman" w:eastAsia="宋体"/>
          <w:b w:val="0"/>
          <w:sz w:val="20"/>
        </w:rPr>
        <w: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pPr>
        <w:spacing w:before="20" w:after="20" w:line="240" w:lineRule="auto"/>
        <w:jc w:val="left"/>
      </w:pPr>
      <w:r>
        <w:rPr>
          <w:rFonts w:ascii="Times New Roman" w:hAnsi="Times New Roman" w:eastAsia="黑体"/>
          <w:b/>
          <w:sz w:val="21"/>
        </w:rPr>
        <w:t>4.1.4.1 挑战事实不变性</w:t>
      </w:r>
    </w:p>
    <w:p>
      <w:pPr>
        <w:spacing w:before="0" w:after="0" w:line="240" w:lineRule="auto"/>
        <w:ind w:firstLine="400"/>
        <w:jc w:val="both"/>
      </w:pPr>
      <w:r>
        <w:rPr>
          <w:rFonts w:ascii="Times New Roman" w:hAnsi="Times New Roman" w:eastAsia="宋体"/>
          <w:b w:val="0"/>
          <w:sz w:val="20"/>
        </w:rPr>
        <w:t>挑战会话在创建时便将一组不可修改的协议事实绑定在会话上下文中，这些事实构成争议的“内容面”，包括：</w:t>
      </w:r>
    </w:p>
    <w:p>
      <w:pPr>
        <w:spacing w:before="0" w:after="0" w:line="240" w:lineRule="auto"/>
        <w:ind w:firstLine="400"/>
        <w:jc w:val="both"/>
      </w:pPr>
      <w:r>
        <w:rPr>
          <w:rFonts w:ascii="Times New Roman" w:hAnsi="Times New Roman" w:eastAsia="宋体"/>
          <w:b w:val="0"/>
          <w:sz w:val="20"/>
        </w:rPr>
        <w:t>• 状态根（State Root）：约束输入与输出哈希的绑定关系；</w:t>
      </w:r>
    </w:p>
    <w:p>
      <w:pPr>
        <w:spacing w:before="0" w:after="0" w:line="240" w:lineRule="auto"/>
        <w:ind w:firstLine="400"/>
        <w:jc w:val="both"/>
      </w:pPr>
      <w:r>
        <w:rPr>
          <w:rFonts w:ascii="Times New Roman" w:hAnsi="Times New Roman" w:eastAsia="宋体"/>
          <w:b w:val="0"/>
          <w:sz w:val="20"/>
        </w:rPr>
        <w:t>• 数据可用性根（DA Merkle Root）：约束 DA 层中完整负载的字段级承诺；</w:t>
      </w:r>
    </w:p>
    <w:p>
      <w:pPr>
        <w:spacing w:before="0" w:after="0" w:line="240" w:lineRule="auto"/>
        <w:ind w:firstLine="400"/>
        <w:jc w:val="both"/>
      </w:pPr>
      <w:r>
        <w:rPr>
          <w:rFonts w:ascii="Times New Roman" w:hAnsi="Times New Roman" w:eastAsia="宋体"/>
          <w:b w:val="0"/>
          <w:sz w:val="20"/>
        </w:rPr>
        <w:t>• 负载哈希（Payload Hash）：标识 DA 层中完整的原始负载；</w:t>
      </w:r>
    </w:p>
    <w:p>
      <w:pPr>
        <w:spacing w:before="0" w:after="0" w:line="240" w:lineRule="auto"/>
        <w:ind w:firstLine="400"/>
        <w:jc w:val="both"/>
      </w:pPr>
      <w:r>
        <w:rPr>
          <w:rFonts w:ascii="Times New Roman" w:hAnsi="Times New Roman" w:eastAsia="宋体"/>
          <w:b w:val="0"/>
          <w:sz w:val="20"/>
        </w:rPr>
        <w:t>• 执行轨迹（Execution Trace）：挑战方与被挑战方各自提交的执行步骤序列；</w:t>
      </w:r>
    </w:p>
    <w:p>
      <w:pPr>
        <w:spacing w:before="0" w:after="0" w:line="240" w:lineRule="auto"/>
        <w:ind w:firstLine="400"/>
        <w:jc w:val="both"/>
      </w:pPr>
      <w:r>
        <w:rPr>
          <w:rFonts w:ascii="Times New Roman" w:hAnsi="Times New Roman" w:eastAsia="宋体"/>
          <w:b w:val="0"/>
          <w:sz w:val="20"/>
        </w:rPr>
        <w:t>• 重放证据：二分缩小后定位到的目标步骤与对应的预期哈希和声明哈希；</w:t>
      </w:r>
    </w:p>
    <w:p>
      <w:pPr>
        <w:spacing w:before="0" w:after="0" w:line="240" w:lineRule="auto"/>
        <w:ind w:firstLine="400"/>
        <w:jc w:val="both"/>
      </w:pPr>
      <w:r>
        <w:rPr>
          <w:rFonts w:ascii="Times New Roman" w:hAnsi="Times New Roman" w:eastAsia="宋体"/>
          <w:b w:val="0"/>
          <w:sz w:val="20"/>
        </w:rPr>
        <w:t>• 不一致证据：验证、响应和 DA 字段检查中观测到的字段级不一致记录。</w:t>
      </w:r>
    </w:p>
    <w:p>
      <w:pPr>
        <w:spacing w:before="0" w:after="0" w:line="240" w:lineRule="auto"/>
        <w:ind w:firstLine="400"/>
        <w:jc w:val="both"/>
      </w:pPr>
      <w:r>
        <w:rPr>
          <w:rFonts w:ascii="Times New Roman" w:hAnsi="Times New Roman" w:eastAsia="宋体"/>
          <w:b w:val="0"/>
          <w:sz w:val="20"/>
        </w:rPr>
        <w:t>记挑战会话 cs 的挑战事实集合为 Facts(cs)，则恢复操作满足 Facts(cs_before) = Facts(cs_after)，即恢复不向挑战会话注入新的状态根、负载哈希、执行轨迹或重放证据。</w:t>
      </w:r>
    </w:p>
    <w:p>
      <w:pPr>
        <w:spacing w:before="0" w:after="0" w:line="240" w:lineRule="auto"/>
        <w:ind w:firstLine="400"/>
        <w:jc w:val="both"/>
      </w:pPr>
      <w:r>
        <w:rPr>
          <w:rFonts w:ascii="Times New Roman" w:hAnsi="Times New Roman" w:eastAsia="宋体"/>
          <w:b w:val="0"/>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spacing w:before="20" w:after="20" w:line="240" w:lineRule="auto"/>
        <w:jc w:val="left"/>
      </w:pPr>
      <w:r>
        <w:rPr>
          <w:rFonts w:ascii="Times New Roman" w:hAnsi="Times New Roman" w:eastAsia="黑体"/>
          <w:b/>
          <w:sz w:val="21"/>
        </w:rPr>
        <w:t>4.1.4.2 安全性与活性分离</w:t>
      </w:r>
    </w:p>
    <w:p>
      <w:pPr>
        <w:spacing w:before="0" w:after="0" w:line="240" w:lineRule="auto"/>
        <w:ind w:firstLine="400"/>
        <w:jc w:val="both"/>
      </w:pPr>
      <w:r>
        <w:rPr>
          <w:rFonts w:ascii="Times New Roman" w:hAnsi="Times New Roman" w:eastAsia="宋体"/>
          <w:b w:val="0"/>
          <w:sz w:val="20"/>
        </w:rPr>
        <w: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w:t>
      </w:r>
    </w:p>
    <w:p>
      <w:pPr>
        <w:spacing w:before="0" w:after="0" w:line="240" w:lineRule="auto"/>
        <w:ind w:firstLine="400"/>
        <w:jc w:val="both"/>
      </w:pPr>
      <w:r>
        <w:rPr>
          <w:rFonts w:ascii="Times New Roman" w:hAnsi="Times New Roman" w:eastAsia="宋体"/>
          <w:b w:val="0"/>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w:t>
      </w:r>
    </w:p>
    <w:p>
      <w:pPr>
        <w:spacing w:before="0" w:after="0" w:line="240" w:lineRule="auto"/>
        <w:ind w:firstLine="400"/>
        <w:jc w:val="both"/>
      </w:pPr>
      <w:r>
        <w:rPr>
          <w:rFonts w:ascii="Times New Roman" w:hAnsi="Times New Roman" w:eastAsia="宋体"/>
          <w:b w:val="0"/>
          <w:sz w:val="20"/>
        </w:rPr>
        <w:t>综合来看，恢复机制恢复的是协议活性，而非重新定义正确性。正确性的最终裁决由重放阶段完成，恢复只保证该裁决环节能够被执行。</w:t>
      </w:r>
    </w:p>
    <w:p>
      <w:pPr>
        <w:spacing w:before="20" w:after="20" w:line="240" w:lineRule="auto"/>
        <w:jc w:val="left"/>
      </w:pPr>
      <w:r>
        <w:rPr>
          <w:rFonts w:ascii="Times New Roman" w:hAnsi="Times New Roman" w:eastAsia="黑体"/>
          <w:b/>
          <w:sz w:val="21"/>
        </w:rPr>
        <w:t>4.1.4.3 仲裁连续性</w:t>
      </w:r>
    </w:p>
    <w:p>
      <w:pPr>
        <w:spacing w:before="0" w:after="0" w:line="240" w:lineRule="auto"/>
        <w:ind w:firstLine="400"/>
        <w:jc w:val="both"/>
      </w:pPr>
      <w:r>
        <w:rPr>
          <w:rFonts w:ascii="Times New Roman" w:hAnsi="Times New Roman" w:eastAsia="宋体"/>
          <w:b w:val="0"/>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spacing w:before="0" w:after="0" w:line="240" w:lineRule="auto"/>
        <w:ind w:firstLine="400"/>
        <w:jc w:val="both"/>
      </w:pPr>
      <w:r>
        <w:rPr>
          <w:rFonts w:ascii="Times New Roman" w:hAnsi="Times New Roman" w:eastAsia="宋体"/>
          <w:b w:val="0"/>
          <w:sz w:val="20"/>
        </w:rPr>
        <w: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w:t>
      </w:r>
    </w:p>
    <w:p>
      <w:pPr>
        <w:spacing w:before="0" w:after="0" w:line="240" w:lineRule="auto"/>
        <w:ind w:firstLine="400"/>
        <w:jc w:val="both"/>
      </w:pPr>
      <w:r>
        <w:rPr>
          <w:rFonts w:ascii="Times New Roman" w:hAnsi="Times New Roman" w:eastAsia="宋体"/>
          <w:b w:val="0"/>
          <w:sz w:val="20"/>
        </w:rPr>
        <w:t>可恢复挑战机制通过恢复函数在超时后恢复仲裁流程推进能力：观察节点调用恢复功能使超时会话回到可推进状态，从而继续二分缩小、重放和结算。实验部分（第 7.3 节）在合成超时场景下验证了恢复路径的效果——在当前原型设定下，恢复机制能够将超时停滞转化为可继续推进的仲裁流程。</w:t>
      </w:r>
    </w:p>
    <w:p>
      <w:pPr>
        <w:spacing w:before="20" w:after="20" w:line="240" w:lineRule="auto"/>
        <w:jc w:val="left"/>
      </w:pPr>
      <w:r>
        <w:rPr>
          <w:rFonts w:ascii="Times New Roman" w:hAnsi="Times New Roman" w:eastAsia="黑体"/>
          <w:b/>
          <w:sz w:val="21"/>
        </w:rPr>
        <w:t>4.1.4.4 恢复操作正确性与抗滥用边界</w:t>
      </w:r>
    </w:p>
    <w:p>
      <w:pPr>
        <w:spacing w:before="0" w:after="0" w:line="240" w:lineRule="auto"/>
        <w:ind w:firstLine="400"/>
        <w:jc w:val="both"/>
      </w:pPr>
      <w:r>
        <w:rPr>
          <w:rFonts w:ascii="Times New Roman" w:hAnsi="Times New Roman" w:eastAsia="宋体"/>
          <w:b w:val="0"/>
          <w:sz w:val="20"/>
        </w:rPr>
        <w:t>恢复操作的协议安全性可以从两个角度考察：操作本身的正确性边界，以及恶意节点是否可能通过滥用恢复来破坏协议。两者可合并分析。</w:t>
      </w:r>
    </w:p>
    <w:p>
      <w:pPr>
        <w:spacing w:before="0" w:after="0" w:line="240" w:lineRule="auto"/>
        <w:ind w:firstLine="400"/>
        <w:jc w:val="both"/>
      </w:pPr>
      <w:r>
        <w:rPr>
          <w:rFonts w:ascii="Times New Roman" w:hAnsi="Times New Roman" w:eastAsia="宋体"/>
          <w:b w:val="0"/>
          <w:sz w:val="20"/>
        </w:rPr>
        <w:t>恢复操作允许修改的状态：超时计时器、会话推进状态标记和交互窗口。这些字段属于活性层，它们的修改使停滞会话重新获得推进能力。</w:t>
      </w:r>
    </w:p>
    <w:p>
      <w:pPr>
        <w:spacing w:before="0" w:after="0" w:line="240" w:lineRule="auto"/>
        <w:ind w:firstLine="400"/>
        <w:jc w:val="both"/>
      </w:pPr>
      <w:r>
        <w:rPr>
          <w:rFonts w:ascii="Times New Roman" w:hAnsi="Times New Roman" w:eastAsia="宋体"/>
          <w:b w:val="0"/>
          <w:sz w:val="20"/>
        </w:rPr>
        <w:t>恢复操作不允许修改的状态：重放证据（预期哈希、声明哈希和目标步骤）、执行轨迹承诺（二分缩小区间信息）、DA 指针、DA Merkle 根、Merkle 证明路径和不一致证据。这些字段属于正确性层，恢复操作不能越过此边界。</w:t>
      </w:r>
    </w:p>
    <w:p>
      <w:pPr>
        <w:spacing w:before="0" w:after="0" w:line="240" w:lineRule="auto"/>
        <w:ind w:firstLine="400"/>
        <w:jc w:val="both"/>
      </w:pPr>
      <w:r>
        <w:rPr>
          <w:rFonts w:ascii="Times New Roman" w:hAnsi="Times New Roman" w:eastAsia="宋体"/>
          <w:b w:val="0"/>
          <w:sz w:val="20"/>
        </w:rPr>
        <w: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w:t>
      </w:r>
    </w:p>
    <w:p>
      <w:pPr>
        <w:spacing w:before="0" w:after="0" w:line="240" w:lineRule="auto"/>
        <w:ind w:firstLine="400"/>
        <w:jc w:val="both"/>
      </w:pPr>
      <w:r>
        <w:rPr>
          <w:rFonts w:ascii="Times New Roman" w:hAnsi="Times New Roman" w:eastAsia="宋体"/>
          <w:b/>
          <w:sz w:val="20"/>
        </w:rPr>
        <w:t>协议不变量与保持性质</w:t>
      </w:r>
    </w:p>
    <w:p>
      <w:pPr>
        <w:spacing w:before="0" w:after="0" w:line="240" w:lineRule="auto"/>
        <w:sectPr>
          <w:headerReference r:id="rId23" w:type="default"/>
          <w:footerReference r:id="rId24"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3  协议不变量与保持性质</w:t>
      </w:r>
    </w:p>
    <w:p>
      <w:pPr>
        <w:spacing w:before="0" w:after="20" w:line="240" w:lineRule="auto"/>
        <w:jc w:val="center"/>
      </w:pPr>
      <w:r>
        <w:rPr>
          <w:rFonts w:ascii="Times New Roman" w:hAnsi="Times New Roman" w:eastAsia="宋体"/>
          <w:b w:val="0"/>
          <w:sz w:val="18"/>
        </w:rPr>
        <w:t>Table 3  Protocol invariants and preserved properties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303"/>
        <w:gridCol w:w="3303"/>
        <w:gridCol w:w="33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协议不变量</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含义</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恢复操作下的保持方式</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挑战事实完整性</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状态根、数据可用性根、负载哈希、执行轨迹、重放证据和不一致证据在会话生命周期内不可修改</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恢复操作不改变任何挑战事实字段</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重放正确性</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重放阶段对预期哈希与声明哈希的一致性检查是裁决正确性的唯一依据</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恢复操作不修改预期哈希、声明哈希和目标步骤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仲裁连续性</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在挑战事实已固定、证据可获得且数据可用性证明可检查的可仲裁争议中，协议应避免超时导致的永久停滞，并使争议继续推进至重放、结算或惩罚阶段</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恢复操作是保持仲裁连续性的核心机制；将超时停滞会话恢复至可推进状态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数据可用性绑定</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紧凑提交中的 DA Merkle 根约束 DA 条目的字段级内容</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恢复操作不修改 DA 指针或 DA Merkle 根</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执行轨迹一致性</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二分缩小过程中积累的区间信息是重放定位的依据</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恢复操作不重置或重写区间信息</w:t>
            </w:r>
          </w:p>
        </w:tc>
      </w:tr>
    </w:tbl>
    <w:p>
      <w:pPr>
        <w:spacing w:before="0" w:after="0" w:line="240" w:lineRule="auto"/>
      </w:pPr>
    </w:p>
    <w:p>
      <w:pPr>
        <w:spacing w:before="0" w:after="0" w:line="240" w:lineRule="auto"/>
        <w:sectPr>
          <w:headerReference r:id="rId25" w:type="default"/>
          <w:footerReference r:id="rId26"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上述协议性质在实验部分（第 7.3 节）通过超时场景下不可恢复与可恢复两条路径的对比进行验证，重点考察超时后争议是否仍能推进至重放与结算。</w:t>
      </w:r>
    </w:p>
    <w:p>
      <w:pPr>
        <w:spacing w:before="20" w:after="20" w:line="240" w:lineRule="auto"/>
        <w:jc w:val="left"/>
      </w:pPr>
      <w:r>
        <w:rPr>
          <w:rFonts w:ascii="Times New Roman" w:hAnsi="Times New Roman" w:eastAsia="黑体"/>
          <w:b/>
          <w:sz w:val="23"/>
        </w:rPr>
        <w:t>4.2 证据绑定型紧凑提交与数据可用性绑定</w:t>
      </w:r>
    </w:p>
    <w:p>
      <w:pPr>
        <w:spacing w:before="0" w:after="0" w:line="240" w:lineRule="auto"/>
        <w:ind w:firstLine="400"/>
        <w:jc w:val="both"/>
      </w:pPr>
      <w:r>
        <w:rPr>
          <w:rFonts w:ascii="Times New Roman" w:hAnsi="Times New Roman" w:eastAsia="宋体"/>
          <w:b w:val="0"/>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spacing w:before="0" w:after="0" w:line="240" w:lineRule="auto"/>
        <w:ind w:firstLine="400"/>
        <w:jc w:val="both"/>
      </w:pPr>
      <w:r>
        <w:rPr>
          <w:rFonts w:ascii="Times New Roman" w:hAnsi="Times New Roman" w:eastAsia="宋体"/>
          <w:b w:val="0"/>
          <w:sz w:val="20"/>
        </w:rPr>
        <w: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pPr>
        <w:spacing w:before="0" w:after="0" w:line="240" w:lineRule="auto"/>
        <w:ind w:firstLine="400"/>
        <w:jc w:val="both"/>
      </w:pPr>
      <w:r>
        <w:rPr>
          <w:rFonts w:ascii="Times New Roman" w:hAnsi="Times New Roman" w:eastAsia="宋体"/>
          <w:b w:val="0"/>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spacing w:before="20" w:after="20" w:line="240" w:lineRule="auto"/>
        <w:jc w:val="left"/>
      </w:pPr>
      <w:r>
        <w:rPr>
          <w:rFonts w:ascii="Times New Roman" w:hAnsi="Times New Roman" w:eastAsia="黑体"/>
          <w:b/>
          <w:sz w:val="23"/>
        </w:rPr>
        <w:t>4.3 DA 感知成本评估模型</w:t>
      </w:r>
    </w:p>
    <w:p>
      <w:pPr>
        <w:spacing w:before="0" w:after="0" w:line="240" w:lineRule="auto"/>
        <w:ind w:firstLine="400"/>
        <w:jc w:val="both"/>
      </w:pPr>
      <w:r>
        <w:rPr>
          <w:rFonts w:ascii="Times New Roman" w:hAnsi="Times New Roman" w:eastAsia="宋体"/>
          <w:b w:val="0"/>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spacing w:before="0" w:after="0" w:line="240" w:lineRule="auto"/>
        <w:ind w:firstLine="400"/>
        <w:jc w:val="both"/>
      </w:pPr>
      <w:r>
        <w:rPr>
          <w:rFonts w:ascii="Times New Roman" w:hAnsi="Times New Roman" w:eastAsia="宋体"/>
          <w:sz w:val="20"/>
        </w:rPr>
        <w:t>模型比较四类 DA 路径：全链上调用数据、紧凑外部 DA、紧凑类 EIP-4844 方案和紧凑模块化 DA 采样。该比较作为研究原型的成本建模工具，用于刻画不同数据发布路径的结构性差异[3-4]。</w:t>
      </w:r>
    </w:p>
    <w:p>
      <w:pPr>
        <w:spacing w:before="0" w:after="0" w:line="240" w:lineRule="auto"/>
        <w:ind w:firstLine="400"/>
        <w:jc w:val="both"/>
      </w:pPr>
      <w:r>
        <w:rPr>
          <w:rFonts w:ascii="Times New Roman" w:hAnsi="Times New Roman" w:eastAsia="宋体"/>
          <w:b w:val="0"/>
          <w:sz w:val="20"/>
        </w:rPr>
        <w: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w:t>
      </w:r>
    </w:p>
    <w:p>
      <w:pPr>
        <w:spacing w:before="0" w:after="0" w:line="240" w:lineRule="auto"/>
        <w:ind w:firstLine="400"/>
        <w:jc w:val="both"/>
      </w:pPr>
      <w:r>
        <w:rPr>
          <w:rFonts w:ascii="Times New Roman" w:hAnsi="Times New Roman" w:eastAsia="宋体"/>
          <w:b w:val="0"/>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spacing w:before="20" w:after="20" w:line="240" w:lineRule="auto"/>
        <w:jc w:val="left"/>
      </w:pPr>
      <w:r>
        <w:rPr>
          <w:rFonts w:ascii="Times New Roman" w:hAnsi="Times New Roman" w:eastAsia="黑体"/>
          <w:b/>
          <w:sz w:val="23"/>
        </w:rPr>
        <w:t>5 实验评估</w:t>
      </w:r>
    </w:p>
    <w:p>
      <w:pPr>
        <w:spacing w:before="0" w:after="0" w:line="240" w:lineRule="auto"/>
        <w:ind w:firstLine="400"/>
        <w:jc w:val="both"/>
      </w:pPr>
      <w:r>
        <w:rPr>
          <w:rFonts w:ascii="Times New Roman" w:hAnsi="Times New Roman" w:eastAsia="宋体"/>
          <w:b w:val="0"/>
          <w:sz w:val="20"/>
        </w:rPr>
        <w: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w:t>
      </w:r>
    </w:p>
    <w:p>
      <w:pPr>
        <w:spacing w:before="0" w:after="0" w:line="240" w:lineRule="auto"/>
        <w:ind w:firstLine="400"/>
        <w:jc w:val="both"/>
      </w:pPr>
      <w:r>
        <w:rPr>
          <w:rFonts w:ascii="Times New Roman" w:hAnsi="Times New Roman" w:eastAsia="宋体"/>
          <w:b w:val="0"/>
          <w:sz w:val="20"/>
        </w:rPr>
        <w:t>C_total = C_commit + C_DA + p_challenge × C_challenge （1）</w:t>
      </w:r>
    </w:p>
    <w:p>
      <w:pPr>
        <w:spacing w:before="0" w:after="0" w:line="240" w:lineRule="auto"/>
        <w:ind w:firstLine="400"/>
        <w:jc w:val="both"/>
      </w:pPr>
      <w:r>
        <w:rPr>
          <w:rFonts w:ascii="Times New Roman" w:hAnsi="Times New Roman" w:eastAsia="宋体"/>
          <w:b w:val="0"/>
          <w:sz w:val="20"/>
        </w:rPr>
        <w:t>C_amortized = C_total / batch_size （2）</w:t>
      </w:r>
    </w:p>
    <w:p>
      <w:pPr>
        <w:spacing w:before="0" w:after="0" w:line="240" w:lineRule="auto"/>
        <w:ind w:firstLine="400"/>
        <w:jc w:val="both"/>
      </w:pPr>
      <w:r>
        <w:rPr>
          <w:rFonts w:ascii="Times New Roman" w:hAnsi="Times New Roman" w:eastAsia="宋体"/>
          <w:b w:val="0"/>
          <w:sz w:val="20"/>
        </w:rPr>
        <w:t>其中，C_commit 表示链上紧凑提交或完整负载提交成本，C_DA 表示不同 DA 路径下的数据成本，C_challenge 表示争议发生时挑战、恢复、重放和结算成本，p_challenge 表示争议发生概率。</w:t>
      </w:r>
    </w:p>
    <w:p>
      <w:pPr>
        <w:spacing w:before="20" w:after="20" w:line="240" w:lineRule="auto"/>
        <w:jc w:val="left"/>
      </w:pPr>
      <w:r>
        <w:rPr>
          <w:rFonts w:ascii="Times New Roman" w:hAnsi="Times New Roman" w:eastAsia="黑体"/>
          <w:b/>
          <w:sz w:val="23"/>
        </w:rPr>
        <w:t>5.1 RQ1：紧凑提交能否降低链上提交规模</w:t>
      </w:r>
    </w:p>
    <w:p>
      <w:pPr>
        <w:spacing w:before="0" w:after="0" w:line="240" w:lineRule="auto"/>
        <w:ind w:firstLine="400"/>
        <w:jc w:val="both"/>
      </w:pPr>
      <w:r>
        <w:rPr>
          <w:rFonts w:ascii="Times New Roman" w:hAnsi="Times New Roman" w:eastAsia="宋体"/>
          <w:b w:val="0"/>
          <w:sz w:val="20"/>
        </w:rPr>
        <w: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w:t>
      </w:r>
    </w:p>
    <w:p>
      <w:pPr>
        <w:spacing w:before="0" w:after="0" w:line="240" w:lineRule="auto"/>
        <w:ind w:firstLine="400"/>
        <w:jc w:val="both"/>
      </w:pPr>
      <w:r>
        <w:rPr>
          <w:rFonts w:ascii="Times New Roman" w:hAnsi="Times New Roman" w:eastAsia="宋体"/>
          <w:b w:val="0"/>
          <w:sz w:val="20"/>
        </w:rPr>
        <w: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2971800" cy="12414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2"/>
                          <a:stretch>
                            <a:fillRect/>
                          </a:stretch>
                        </pic:blipFill>
                        <pic:spPr>
                          <a:xfrm>
                            <a:off x="0" y="0"/>
                            <a:ext cx="2971800" cy="1241497"/>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3  完整负载与紧凑提交的字节规模对比</w:t>
            </w:r>
          </w:p>
          <w:p>
            <w:pPr>
              <w:spacing w:before="0" w:after="0" w:line="240" w:lineRule="auto"/>
              <w:jc w:val="center"/>
            </w:pPr>
            <w:r>
              <w:rPr>
                <w:rFonts w:ascii="Times New Roman" w:hAnsi="Times New Roman" w:eastAsia="宋体"/>
                <w:b w:val="0"/>
                <w:sz w:val="18"/>
              </w:rPr>
              <w:t>Fig.3  Byte-size comparison between full payloads and compact commits</w:t>
            </w:r>
          </w:p>
        </w:tc>
      </w:tr>
    </w:tbl>
    <w:p>
      <w:pPr>
        <w:spacing w:before="20" w:after="20" w:line="240" w:lineRule="auto"/>
        <w:jc w:val="left"/>
      </w:pPr>
      <w:r>
        <w:rPr>
          <w:rFonts w:ascii="Times New Roman" w:hAnsi="Times New Roman" w:eastAsia="黑体"/>
          <w:b/>
          <w:sz w:val="23"/>
        </w:rPr>
        <w:t>5.2 RQ2：批大小如何影响 DA 感知摊销成本</w:t>
      </w:r>
    </w:p>
    <w:p>
      <w:pPr>
        <w:spacing w:before="0" w:after="0" w:line="240" w:lineRule="auto"/>
        <w:ind w:firstLine="400"/>
        <w:jc w:val="both"/>
      </w:pPr>
      <w:r>
        <w:rPr>
          <w:rFonts w:ascii="Times New Roman" w:hAnsi="Times New Roman" w:eastAsia="宋体"/>
          <w:sz w:val="20"/>
        </w:rPr>
        <w:t>RQ2 关注提交策略在何种条件下会改变高频合成负载的系统可行性。实验比较全链上调用数据、紧凑外部 DA、紧凑类 EIP-4844 方案和紧凑模块化 DA 采样四类路线。主要指标为摊销 gas 用量和降幅比例[5]。</w:t>
      </w:r>
    </w:p>
    <w:p>
      <w:pPr>
        <w:spacing w:before="0" w:after="0" w:line="240" w:lineRule="auto"/>
        <w:ind w:firstLine="400"/>
        <w:jc w:val="both"/>
      </w:pPr>
      <w:r>
        <w:rPr>
          <w:rFonts w:ascii="Times New Roman" w:hAnsi="Times New Roman" w:eastAsia="宋体"/>
          <w:b w:val="0"/>
          <w:sz w:val="20"/>
        </w:rPr>
        <w: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2971800" cy="1666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3"/>
                          <a:stretch>
                            <a:fillRect/>
                          </a:stretch>
                        </pic:blipFill>
                        <pic:spPr>
                          <a:xfrm>
                            <a:off x="0" y="0"/>
                            <a:ext cx="2971800" cy="1667107"/>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4  不同数据可用性配置下的摊销 gas 用量趋势</w:t>
            </w:r>
          </w:p>
          <w:p>
            <w:pPr>
              <w:spacing w:before="0" w:after="0" w:line="240" w:lineRule="auto"/>
              <w:jc w:val="center"/>
            </w:pPr>
            <w:r>
              <w:rPr>
                <w:rFonts w:ascii="Times New Roman" w:hAnsi="Times New Roman" w:eastAsia="宋体"/>
                <w:b w:val="0"/>
                <w:sz w:val="18"/>
              </w:rPr>
              <w:t>Fig.4  Amortized gas trends under different DA configurations</w:t>
            </w:r>
          </w:p>
        </w:tc>
      </w:tr>
    </w:tbl>
    <w:p>
      <w:pPr>
        <w:spacing w:before="20" w:after="20" w:line="240" w:lineRule="auto"/>
        <w:jc w:val="left"/>
      </w:pPr>
      <w:r>
        <w:rPr>
          <w:rFonts w:ascii="Times New Roman" w:hAnsi="Times New Roman" w:eastAsia="黑体"/>
          <w:b/>
          <w:sz w:val="23"/>
        </w:rPr>
        <w:t>5.3 RQ3：恢复机制能否改善超时场景下的挑战活性</w:t>
      </w:r>
    </w:p>
    <w:p>
      <w:pPr>
        <w:spacing w:before="0" w:after="0" w:line="240" w:lineRule="auto"/>
        <w:ind w:firstLine="400"/>
        <w:jc w:val="both"/>
      </w:pPr>
      <w:r>
        <w:rPr>
          <w:rFonts w:ascii="Times New Roman" w:hAnsi="Times New Roman" w:eastAsia="宋体"/>
          <w:b w:val="0"/>
          <w:sz w:val="20"/>
        </w:rPr>
        <w:t>RQ3 检验本文的核心活性主张。该实验对应第 4.4 节定义的仲裁连续性。Python 原型在不可恢复路径与可恢复路径两条路径中使用相同的合成挑战状态机，轨迹步数覆盖 4 至 128，挑战超时设为 2 秒。关键问题是：超时被检测后，会话是否仍能继续进入重放、结算与罚没。</w:t>
      </w:r>
    </w:p>
    <w:p>
      <w:pPr>
        <w:spacing w:before="0" w:after="0" w:line="240" w:lineRule="auto"/>
        <w:ind w:firstLine="400"/>
        <w:jc w:val="both"/>
      </w:pPr>
      <w:r>
        <w:rPr>
          <w:rFonts w:ascii="Times New Roman" w:hAnsi="Times New Roman" w:eastAsia="宋体"/>
          <w:b w:val="0"/>
          <w:sz w:val="20"/>
        </w:rPr>
        <w: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w:t>
      </w:r>
    </w:p>
    <w:p>
      <w:pPr>
        <w:spacing w:before="20" w:after="20" w:line="240" w:lineRule="auto"/>
        <w:jc w:val="left"/>
      </w:pPr>
      <w:r>
        <w:rPr>
          <w:rFonts w:ascii="Times New Roman" w:hAnsi="Times New Roman" w:eastAsia="黑体"/>
          <w:b/>
          <w:sz w:val="21"/>
        </w:rPr>
        <w:t>5.3.1 恢复开销分析</w:t>
      </w:r>
    </w:p>
    <w:p>
      <w:pPr>
        <w:spacing w:before="0" w:after="0" w:line="240" w:lineRule="auto"/>
        <w:ind w:firstLine="400"/>
        <w:jc w:val="both"/>
      </w:pPr>
      <w:r>
        <w:rPr>
          <w:rFonts w:ascii="Times New Roman" w:hAnsi="Times New Roman" w:eastAsia="宋体"/>
          <w:b w:val="0"/>
          <w:sz w:val="20"/>
        </w:rPr>
        <w: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w:t>
      </w:r>
    </w:p>
    <w:p>
      <w:pPr>
        <w:spacing w:before="0" w:after="0" w:line="240" w:lineRule="auto"/>
        <w:ind w:firstLine="400"/>
        <w:jc w:val="both"/>
      </w:pPr>
      <w:r>
        <w:rPr>
          <w:rFonts w:ascii="Times New Roman" w:hAnsi="Times New Roman" w:eastAsia="宋体"/>
          <w:b w:val="0"/>
          <w:sz w:val="20"/>
        </w:rPr>
        <w:t>该比例仅表示本地 EVM 中两条合约路径的相对开销。</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2971800" cy="1679575"/>
                  <wp:effectExtent l="0" t="0" r="0" b="222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4"/>
                          <a:stretch>
                            <a:fillRect/>
                          </a:stretch>
                        </pic:blipFill>
                        <pic:spPr>
                          <a:xfrm>
                            <a:off x="0" y="0"/>
                            <a:ext cx="2971800" cy="1679898"/>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5  二分挑战轮次与轨迹步数的关系</w:t>
            </w:r>
          </w:p>
          <w:p>
            <w:pPr>
              <w:spacing w:before="0" w:after="0" w:line="240" w:lineRule="auto"/>
              <w:jc w:val="center"/>
            </w:pPr>
            <w:r>
              <w:rPr>
                <w:rFonts w:ascii="Times New Roman" w:hAnsi="Times New Roman" w:eastAsia="宋体"/>
                <w:b w:val="0"/>
                <w:sz w:val="18"/>
              </w:rPr>
              <w:t>Fig.5  Relationship between bisection rounds and trace steps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2971800" cy="1946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55"/>
                          <a:stretch>
                            <a:fillRect/>
                          </a:stretch>
                        </pic:blipFill>
                        <pic:spPr>
                          <a:xfrm>
                            <a:off x="0" y="0"/>
                            <a:ext cx="2971800" cy="1946355"/>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6  超时恢复对挑战完成率的影响</w:t>
            </w:r>
          </w:p>
          <w:p>
            <w:pPr>
              <w:spacing w:before="0" w:after="0" w:line="240" w:lineRule="auto"/>
              <w:jc w:val="center"/>
            </w:pPr>
            <w:r>
              <w:rPr>
                <w:rFonts w:ascii="Times New Roman" w:hAnsi="Times New Roman" w:eastAsia="宋体"/>
                <w:b w:val="0"/>
                <w:sz w:val="18"/>
              </w:rPr>
              <w:t>Fig.6  Impact of timeout recovery on challenge completion rate</w:t>
            </w:r>
          </w:p>
        </w:tc>
      </w:tr>
    </w:tbl>
    <w:p>
      <w:pPr>
        <w:spacing w:before="20" w:after="20" w:line="240" w:lineRule="auto"/>
        <w:jc w:val="left"/>
      </w:pPr>
      <w:r>
        <w:rPr>
          <w:rFonts w:ascii="Times New Roman" w:hAnsi="Times New Roman" w:eastAsia="黑体"/>
          <w:b/>
          <w:sz w:val="23"/>
        </w:rPr>
        <w:t>5.4 RQ4：不同故障场景能否被检测、恢复或惩罚</w:t>
      </w:r>
    </w:p>
    <w:p>
      <w:pPr>
        <w:spacing w:before="0" w:after="0" w:line="240" w:lineRule="auto"/>
        <w:ind w:firstLine="400"/>
        <w:jc w:val="both"/>
      </w:pPr>
      <w:r>
        <w:rPr>
          <w:rFonts w:ascii="Times New Roman" w:hAnsi="Times New Roman" w:eastAsia="宋体"/>
          <w:b w:val="0"/>
          <w:sz w:val="20"/>
        </w:rPr>
        <w:t>RQ4 采用面向故障分类的安全评估方式。实验注入八类合成场景，区分其在当前原型中能否被检测、能否恢复推进、能否进入重放以及能否触发罚没。指标为检测率、挑战成功率和罚没比例。</w:t>
      </w:r>
    </w:p>
    <w:p>
      <w:pPr>
        <w:spacing w:before="0" w:after="0" w:line="240" w:lineRule="auto"/>
        <w:ind w:firstLine="400"/>
        <w:jc w:val="both"/>
      </w:pPr>
      <w:r>
        <w:rPr>
          <w:rFonts w:ascii="Times New Roman" w:hAnsi="Times New Roman" w:eastAsia="宋体"/>
          <w:b w:val="0"/>
          <w:sz w:val="20"/>
        </w:rPr>
        <w: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78" w:type="dxa"/>
            <w:tcMar>
              <w:top w:w="40" w:type="dxa"/>
              <w:left w:w="40" w:type="dxa"/>
              <w:bottom w:w="40" w:type="dxa"/>
              <w:right w:w="40" w:type="dxa"/>
            </w:tcMar>
            <w:vAlign w:val="center"/>
          </w:tcPr>
          <w:p>
            <w:pPr>
              <w:keepNext/>
              <w:spacing w:before="0" w:after="0" w:line="240" w:lineRule="auto"/>
              <w:jc w:val="center"/>
            </w:pPr>
            <w:r>
              <w:rPr>
                <w:rFonts w:ascii="Times New Roman" w:hAnsi="Times New Roman" w:eastAsia="宋体"/>
                <w:b w:val="0"/>
                <w:sz w:val="18"/>
              </w:rPr>
              <w:drawing>
                <wp:inline distT="0" distB="0" distL="114300" distR="114300">
                  <wp:extent cx="2971800" cy="14706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6"/>
                          <a:stretch>
                            <a:fillRect/>
                          </a:stretch>
                        </pic:blipFill>
                        <pic:spPr>
                          <a:xfrm>
                            <a:off x="0" y="0"/>
                            <a:ext cx="2971800" cy="1470853"/>
                          </a:xfrm>
                          <a:prstGeom prst="rect">
                            <a:avLst/>
                          </a:prstGeom>
                        </pic:spPr>
                      </pic:pic>
                    </a:graphicData>
                  </a:graphic>
                </wp:inline>
              </w:drawing>
            </w:r>
          </w:p>
          <w:p>
            <w:pPr>
              <w:spacing w:before="0" w:after="0" w:line="240" w:lineRule="auto"/>
              <w:jc w:val="center"/>
            </w:pPr>
            <w:r>
              <w:rPr>
                <w:rFonts w:ascii="Times New Roman" w:hAnsi="Times New Roman" w:eastAsia="宋体"/>
                <w:b w:val="0"/>
                <w:sz w:val="18"/>
              </w:rPr>
              <w:t>图 7  失败场景检测与仲裁结果</w:t>
            </w:r>
          </w:p>
          <w:p>
            <w:pPr>
              <w:spacing w:before="0" w:after="0" w:line="240" w:lineRule="auto"/>
              <w:jc w:val="center"/>
            </w:pPr>
            <w:r>
              <w:rPr>
                <w:rFonts w:ascii="Times New Roman" w:hAnsi="Times New Roman" w:eastAsia="宋体"/>
                <w:b w:val="0"/>
                <w:sz w:val="18"/>
              </w:rPr>
              <w:t>Fig.7  Detection and arbitration outcomes under failure scenarios</w:t>
            </w:r>
          </w:p>
        </w:tc>
      </w:tr>
    </w:tbl>
    <w:p>
      <w:pPr>
        <w:spacing w:before="0" w:after="0" w:line="240" w:lineRule="auto"/>
        <w:sectPr>
          <w:headerReference r:id="rId27" w:type="default"/>
          <w:footerReference r:id="rId28"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4  失败场景分类与当前证据边界</w:t>
      </w:r>
    </w:p>
    <w:p>
      <w:pPr>
        <w:spacing w:before="0" w:after="20" w:line="240" w:lineRule="auto"/>
        <w:jc w:val="center"/>
      </w:pPr>
      <w:r>
        <w:rPr>
          <w:rFonts w:ascii="Times New Roman" w:hAnsi="Times New Roman" w:eastAsia="宋体"/>
          <w:b w:val="0"/>
          <w:sz w:val="18"/>
        </w:rPr>
        <w:t>Table 4  Failure scenarios and evidence boundaries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77"/>
        <w:gridCol w:w="2477"/>
        <w:gridCol w:w="2478"/>
        <w:gridCol w:w="247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类别</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场景</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当前结果</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证据边界</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正常路径</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正常路径</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不触发检测或罚没</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说明正常路径不误报</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可检测但未统一惩罚</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远程证明无效, 数据不可用, 数据可用性证明无效</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检测率 100%，挑战成功率和罚没比例为 0%</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说明可检测或拒绝，不说明已统一惩罚</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挑战 + 惩罚闭环</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响应篡改, 轨迹长度不匹配</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检测率、挑战成功率和罚没比例均为 100%</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说明典型执行异常可进入闭环</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超时活性对比</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超时不可恢复 vs 超时可恢复</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不可恢复路径为 0%，恢复后为 100%</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说明恢复改善仲裁活性</w:t>
            </w:r>
          </w:p>
        </w:tc>
      </w:tr>
    </w:tbl>
    <w:p>
      <w:pPr>
        <w:spacing w:before="0" w:after="0" w:line="240" w:lineRule="auto"/>
      </w:pPr>
    </w:p>
    <w:p>
      <w:pPr>
        <w:spacing w:before="0" w:after="0" w:line="240" w:lineRule="auto"/>
        <w:sectPr>
          <w:headerReference r:id="rId29" w:type="default"/>
          <w:footerReference r:id="rId30" w:type="default"/>
          <w:type w:val="continuous"/>
          <w:pgSz w:w="11418" w:h="15619"/>
          <w:pgMar w:top="1814" w:right="794" w:bottom="454" w:left="794" w:header="680" w:footer="454" w:gutter="0"/>
          <w:cols w:space="425" w:num="1"/>
          <w:docGrid w:type="lines" w:linePitch="290" w:charSpace="0"/>
        </w:sectPr>
      </w:pPr>
    </w:p>
    <w:p>
      <w:pPr>
        <w:spacing w:before="20" w:after="20" w:line="240" w:lineRule="auto"/>
        <w:jc w:val="left"/>
      </w:pPr>
      <w:r>
        <w:rPr>
          <w:rFonts w:ascii="Times New Roman" w:hAnsi="Times New Roman" w:eastAsia="黑体"/>
          <w:b/>
          <w:sz w:val="23"/>
        </w:rPr>
        <w:t>5.5 RQ5：Solidity、本地 EVM 与 Sepolia 证据能否支撑链上对应物</w:t>
      </w:r>
    </w:p>
    <w:p>
      <w:pPr>
        <w:spacing w:before="0" w:after="0" w:line="240" w:lineRule="auto"/>
        <w:ind w:firstLine="400"/>
        <w:jc w:val="both"/>
      </w:pPr>
      <w:r>
        <w:rPr>
          <w:rFonts w:ascii="Times New Roman" w:hAnsi="Times New Roman" w:eastAsia="宋体"/>
          <w:b w:val="0"/>
          <w:sz w:val="20"/>
        </w:rPr>
        <w:t>RQ5 评估链上合约对应物。当前项目已将核心路径映射为 Solidity 合约，并在 Hardhat 本地 EVM 测试链上得到 gas 用量基线，见表 5。同一套合约已部署到 Sepolia 测试网，见表 6。这些结果说明原型路径具有合约对应物和公开测试网可部署性，不应被解释为生产可用性。</w:t>
      </w:r>
    </w:p>
    <w:p>
      <w:pPr>
        <w:spacing w:before="0" w:after="0" w:line="240" w:lineRule="auto"/>
        <w:sectPr>
          <w:headerReference r:id="rId31" w:type="default"/>
          <w:footerReference r:id="rId32"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5  本地 EVM 关键路径平均 gasUsed</w:t>
      </w:r>
    </w:p>
    <w:p>
      <w:pPr>
        <w:spacing w:before="0" w:after="20" w:line="240" w:lineRule="auto"/>
        <w:jc w:val="center"/>
      </w:pPr>
      <w:r>
        <w:rPr>
          <w:rFonts w:ascii="Times New Roman" w:hAnsi="Times New Roman" w:eastAsia="宋体"/>
          <w:b w:val="0"/>
          <w:sz w:val="18"/>
        </w:rPr>
        <w:t>Table 5  Average gasUsed of local EVM key paths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3305"/>
        <w:gridCol w:w="3299"/>
        <w:gridCol w:w="330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PrEx>
        <w:trPr>
          <w:tblHeader/>
          <w:jc w:val="center"/>
        </w:trPr>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操作</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平均 gasUsed</w:t>
            </w:r>
          </w:p>
        </w:tc>
        <w:tc>
          <w:tcPr>
            <w:tcW w:w="332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registerDA</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113526.00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MockDARegistry 记录负载哈希与数据可用性根</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submitRollup</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299033.67</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紧凑提交提交路径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challengeOpen</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283769.00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challengeRespond</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65886.00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challengeStep</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93807.00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二分定位的单轮推进</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challengeRecover</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156891.00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恢复超时会话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challengeReplay</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135632.00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单步重放仲裁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challengeResolve</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113402.00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结算争议结果</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challengeFinalize</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33477.00</w:t>
            </w:r>
          </w:p>
        </w:tc>
        <w:tc>
          <w:tcPr>
            <w:tcW w:w="332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挑战期后最终确认</w:t>
            </w:r>
          </w:p>
        </w:tc>
      </w:tr>
    </w:tbl>
    <w:p>
      <w:pPr>
        <w:spacing w:before="0" w:after="0" w:line="240" w:lineRule="auto"/>
      </w:pPr>
    </w:p>
    <w:p>
      <w:pPr>
        <w:spacing w:before="0" w:after="0" w:line="240" w:lineRule="auto"/>
        <w:sectPr>
          <w:headerReference r:id="rId33" w:type="default"/>
          <w:footerReference r:id="rId34" w:type="default"/>
          <w:type w:val="continuous"/>
          <w:pgSz w:w="11418" w:h="15619"/>
          <w:pgMar w:top="1814" w:right="794" w:bottom="454" w:left="794" w:header="680" w:footer="454" w:gutter="0"/>
          <w:cols w:space="425" w:num="1"/>
          <w:docGrid w:type="lines" w:linePitch="290" w:charSpace="0"/>
        </w:sectPr>
      </w:pPr>
    </w:p>
    <w:p>
      <w:pPr>
        <w:spacing w:before="0" w:after="0" w:line="240" w:lineRule="auto"/>
        <w:sectPr>
          <w:headerReference r:id="rId35" w:type="default"/>
          <w:footerReference r:id="rId36"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6  Sepolia 部署信息</w:t>
      </w:r>
    </w:p>
    <w:p>
      <w:pPr>
        <w:spacing w:before="0" w:after="20" w:line="240" w:lineRule="auto"/>
        <w:jc w:val="center"/>
      </w:pPr>
      <w:r>
        <w:rPr>
          <w:rFonts w:ascii="Times New Roman" w:hAnsi="Times New Roman" w:eastAsia="宋体"/>
          <w:b w:val="0"/>
          <w:sz w:val="18"/>
        </w:rPr>
        <w:t>Table 6  Sepolia deployment information</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937"/>
        <w:gridCol w:w="4973"/>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4989"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项目</w:t>
            </w:r>
          </w:p>
        </w:tc>
        <w:tc>
          <w:tcPr>
            <w:tcW w:w="4989"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Network / Chain ID</w:t>
            </w:r>
          </w:p>
        </w:tc>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部署区块</w:t>
            </w:r>
          </w:p>
        </w:tc>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MockTEEVerifier</w:t>
            </w:r>
          </w:p>
        </w:tc>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MockDARegistry</w:t>
            </w:r>
          </w:p>
        </w:tc>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HybridTEERollup</w:t>
            </w:r>
          </w:p>
        </w:tc>
        <w:tc>
          <w:tcPr>
            <w:tcW w:w="4989"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0xB9B72f10bB8aBC1ed090f1B0443Fe57189c497Fd</w:t>
            </w:r>
          </w:p>
        </w:tc>
      </w:tr>
    </w:tbl>
    <w:p>
      <w:pPr>
        <w:spacing w:before="0" w:after="0" w:line="240" w:lineRule="auto"/>
      </w:pPr>
    </w:p>
    <w:p>
      <w:pPr>
        <w:spacing w:before="0" w:after="0" w:line="240" w:lineRule="auto"/>
        <w:sectPr>
          <w:headerReference r:id="rId37" w:type="default"/>
          <w:footerReference r:id="rId38"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w:t>
      </w:r>
    </w:p>
    <w:p>
      <w:pPr>
        <w:spacing w:before="20" w:after="20" w:line="240" w:lineRule="auto"/>
        <w:jc w:val="left"/>
      </w:pPr>
      <w:r>
        <w:rPr>
          <w:rFonts w:ascii="Times New Roman" w:hAnsi="Times New Roman" w:eastAsia="黑体"/>
          <w:b/>
          <w:sz w:val="23"/>
        </w:rPr>
        <w:t>5.6 可复现性与证据类型</w:t>
      </w:r>
    </w:p>
    <w:p>
      <w:pPr>
        <w:spacing w:before="0" w:after="0" w:line="240" w:lineRule="auto"/>
        <w:ind w:firstLine="400"/>
        <w:jc w:val="both"/>
      </w:pPr>
      <w:r>
        <w:rPr>
          <w:rFonts w:ascii="Times New Roman" w:hAnsi="Times New Roman" w:eastAsia="宋体"/>
          <w:b w:val="0"/>
          <w:sz w:val="20"/>
        </w:rP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project_code/evm/deployments/sepolia.json。本次版本还保留 comparison_figures 目录和 comparison_experiments.md，用于记录基线对比、面向故障的对比与数据可用性路径权衡的派生图表和说明。</w:t>
      </w:r>
    </w:p>
    <w:p>
      <w:pPr>
        <w:spacing w:before="0" w:after="0" w:line="240" w:lineRule="auto"/>
        <w:ind w:firstLine="400"/>
        <w:jc w:val="both"/>
      </w:pPr>
      <w:r>
        <w:rPr>
          <w:rFonts w:ascii="Times New Roman" w:hAnsi="Times New Roman" w:eastAsia="宋体"/>
          <w:b w:val="0"/>
          <w:sz w:val="20"/>
        </w:rPr>
        <w:t>复现实验可使用以下命令：python -m unittest discover -s tests -v；python scripts/run_paper_experiments.py --clean --samples 100 --payload-sizes 128,512,2048,8192 --batch-sizes 1,10,100,1000 --trace-steps 4,8,16,32,64,128；在 project_code/evm 目录下运行 npm.cmd test 和 npm.cmd run measure:gas。上述命令分别对应机制验证、配置化成本趋势和本地 EVM 状态推进基线，不能相互替代。</w:t>
      </w:r>
    </w:p>
    <w:p>
      <w:pPr>
        <w:spacing w:before="20" w:after="20" w:line="240" w:lineRule="auto"/>
        <w:jc w:val="left"/>
      </w:pPr>
      <w:r>
        <w:rPr>
          <w:rFonts w:ascii="Times New Roman" w:hAnsi="Times New Roman" w:eastAsia="黑体"/>
          <w:b/>
          <w:sz w:val="23"/>
        </w:rPr>
        <w:t>5.7 实验小结</w:t>
      </w:r>
    </w:p>
    <w:p>
      <w:pPr>
        <w:spacing w:before="0" w:after="0" w:line="240" w:lineRule="auto"/>
        <w:ind w:firstLine="400"/>
        <w:jc w:val="both"/>
      </w:pPr>
      <w:r>
        <w:rPr>
          <w:rFonts w:ascii="Times New Roman" w:hAnsi="Times New Roman" w:eastAsia="宋体"/>
          <w:b w:val="0"/>
          <w:sz w:val="20"/>
        </w:rPr>
        <w:t>上述 RQ1 至 RQ5 已经包含了部分对比分析。本节将这些对比集中呈现，避免在不同 RQ 之间重复解释。以下仅列出关键对比维度与结论，详细数据参见对应 RQ 节和表格。</w:t>
      </w:r>
    </w:p>
    <w:p>
      <w:pPr>
        <w:spacing w:before="0" w:after="0" w:line="240" w:lineRule="auto"/>
        <w:sectPr>
          <w:headerReference r:id="rId39" w:type="default"/>
          <w:footerReference r:id="rId40"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7  对比实验小结</w:t>
      </w:r>
    </w:p>
    <w:p>
      <w:pPr>
        <w:spacing w:before="0" w:after="20" w:line="240" w:lineRule="auto"/>
        <w:jc w:val="center"/>
      </w:pPr>
      <w:r>
        <w:rPr>
          <w:rFonts w:ascii="Times New Roman" w:hAnsi="Times New Roman" w:eastAsia="宋体"/>
          <w:b w:val="0"/>
          <w:sz w:val="18"/>
        </w:rPr>
        <w:t>Table 7  Summary of comparison experiments</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981"/>
        <w:gridCol w:w="1983"/>
        <w:gridCol w:w="1982"/>
        <w:gridCol w:w="1982"/>
        <w:gridCol w:w="198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对比维度</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对应研究问题</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基线</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本文路径</w:t>
            </w:r>
          </w:p>
        </w:tc>
        <w:tc>
          <w:tcPr>
            <w:tcW w:w="1996"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主要观察</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恢复活性对比</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RQ3</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不可恢复路径</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可恢复路径</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超时检测不等于协议推进，恢复路径可继续进入重放与结算</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提交规模对比</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RQ1</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完整负载</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紧凑提交隔离负载增长并保留异常路径所需证据入口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故障分类对比</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RQ4</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单一成功/失败判断</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故障分类处理</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不同故障对应检测、拒绝、重放或罚没等不同协议能力</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数据可用性路径对比</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RQ2</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全链上调用数据</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紧凑提交 + 数据可用性路径</w:t>
            </w:r>
          </w:p>
        </w:tc>
        <w:tc>
          <w:tcPr>
            <w:tcW w:w="1996"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成本边界受负载大小、批大小和数据可用性依赖共同影响</w:t>
            </w:r>
          </w:p>
        </w:tc>
      </w:tr>
    </w:tbl>
    <w:p>
      <w:pPr>
        <w:spacing w:before="0" w:after="0" w:line="240" w:lineRule="auto"/>
      </w:pPr>
    </w:p>
    <w:p>
      <w:pPr>
        <w:spacing w:before="0" w:after="0" w:line="240" w:lineRule="auto"/>
        <w:sectPr>
          <w:headerReference r:id="rId41" w:type="default"/>
          <w:footerReference r:id="rId42"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上述对比表明，本文机制的主要贡献在于组合轻量提交、证据绑定和可恢复仲裁路径，使高频场景下的异常处理能够继续推进。</w:t>
      </w:r>
    </w:p>
    <w:p>
      <w:pPr>
        <w:spacing w:before="20" w:after="20" w:line="240" w:lineRule="auto"/>
        <w:jc w:val="left"/>
      </w:pPr>
      <w:r>
        <w:rPr>
          <w:rFonts w:ascii="Times New Roman" w:hAnsi="Times New Roman" w:eastAsia="黑体"/>
          <w:b/>
          <w:sz w:val="23"/>
        </w:rPr>
        <w:t>6 讨论与局限性</w:t>
      </w:r>
    </w:p>
    <w:p>
      <w:pPr>
        <w:spacing w:before="0" w:after="0" w:line="240" w:lineRule="auto"/>
        <w:ind w:firstLine="400"/>
        <w:jc w:val="both"/>
      </w:pPr>
      <w:r>
        <w:rPr>
          <w:rFonts w:ascii="Times New Roman" w:hAnsi="Times New Roman" w:eastAsia="宋体"/>
          <w:b w:val="0"/>
          <w:sz w:val="20"/>
        </w:rPr>
        <w:t>本文结论应理解为机制层研究原型结论。下面先从执行环境、数据可用性、成本估算和链上实现四个方面集中说明证据边界，随后单列相关工作，以避免将实验边界与文献定位混写。</w:t>
      </w:r>
    </w:p>
    <w:p>
      <w:pPr>
        <w:spacing w:before="20" w:after="20" w:line="240" w:lineRule="auto"/>
        <w:jc w:val="left"/>
      </w:pPr>
      <w:r>
        <w:rPr>
          <w:rFonts w:ascii="Times New Roman" w:hAnsi="Times New Roman" w:eastAsia="黑体"/>
          <w:b/>
          <w:sz w:val="23"/>
        </w:rPr>
        <w:t>6.1 执行环境边界</w:t>
      </w:r>
    </w:p>
    <w:p>
      <w:pPr>
        <w:spacing w:before="0" w:after="0" w:line="240" w:lineRule="auto"/>
        <w:ind w:firstLine="400"/>
        <w:jc w:val="both"/>
      </w:pPr>
      <w:r>
        <w:rPr>
          <w:rFonts w:ascii="Times New Roman" w:hAnsi="Times New Roman" w:eastAsia="宋体"/>
          <w:b w:val="0"/>
          <w:sz w:val="20"/>
        </w:rPr>
        <w:t>当前系统使用模拟 TEE，远程证明仅建模输入与输出的绑定关系。不覆盖真实硬件侧信道攻击、远程证明格式兼容性、宿主输入输出操控和供应链信任。因此，本文实验验证的是机制接口能否跑通，而非硬件安全强度。</w:t>
      </w:r>
    </w:p>
    <w:p>
      <w:pPr>
        <w:spacing w:before="20" w:after="20" w:line="240" w:lineRule="auto"/>
        <w:jc w:val="left"/>
      </w:pPr>
      <w:r>
        <w:rPr>
          <w:rFonts w:ascii="Times New Roman" w:hAnsi="Times New Roman" w:eastAsia="黑体"/>
          <w:b/>
          <w:sz w:val="23"/>
        </w:rPr>
        <w:t>6.2 数据可用性边界</w:t>
      </w:r>
    </w:p>
    <w:p>
      <w:pPr>
        <w:spacing w:before="0" w:after="0" w:line="240" w:lineRule="auto"/>
        <w:ind w:firstLine="400"/>
        <w:jc w:val="both"/>
      </w:pPr>
      <w:r>
        <w:rPr>
          <w:rFonts w:ascii="Times New Roman" w:hAnsi="Times New Roman" w:eastAsia="宋体"/>
          <w:sz w:val="20"/>
        </w:rPr>
        <w:t>当前使用可验证数据可用性注册表，实现了数据可用性根、负载哈希、字段级 Merkle 证明和可用性状态记录。未接入 Celestia、EigenDA 或其他真实数据可用性网络，因而不证明真实数据可用性经济安全或大规模采样下的可用性保证[12-13]。</w:t>
      </w:r>
    </w:p>
    <w:p>
      <w:pPr>
        <w:spacing w:before="20" w:after="20" w:line="240" w:lineRule="auto"/>
        <w:jc w:val="left"/>
      </w:pPr>
      <w:r>
        <w:rPr>
          <w:rFonts w:ascii="Times New Roman" w:hAnsi="Times New Roman" w:eastAsia="黑体"/>
          <w:b/>
          <w:sz w:val="23"/>
        </w:rPr>
        <w:t>6.3 成本模型边界</w:t>
      </w:r>
    </w:p>
    <w:p>
      <w:pPr>
        <w:spacing w:before="0" w:after="0" w:line="240" w:lineRule="auto"/>
        <w:ind w:firstLine="400"/>
        <w:jc w:val="both"/>
      </w:pPr>
      <w:r>
        <w:rPr>
          <w:rFonts w:ascii="Times New Roman" w:hAnsi="Times New Roman" w:eastAsia="宋体"/>
          <w:b w:val="0"/>
          <w:sz w:val="20"/>
        </w:rPr>
        <w:t>当前成本模型为配置化估算。全链上调用数据、紧凑模块化数据可用性采样等路线下的 gas 估算来自预设参数而非主网交易回执或真实数据可用性网络定价。96.33% 等降幅比例是给定配置下的趋势结果，不模拟主网拥堵费率、blob 基础费率和交易调度延迟。</w:t>
      </w:r>
    </w:p>
    <w:p>
      <w:pPr>
        <w:spacing w:before="20" w:after="20" w:line="240" w:lineRule="auto"/>
        <w:jc w:val="left"/>
      </w:pPr>
      <w:r>
        <w:rPr>
          <w:rFonts w:ascii="Times New Roman" w:hAnsi="Times New Roman" w:eastAsia="黑体"/>
          <w:b/>
          <w:sz w:val="23"/>
        </w:rPr>
        <w:t>6.4 链上实现边界</w:t>
      </w:r>
    </w:p>
    <w:p>
      <w:pPr>
        <w:spacing w:before="0" w:after="0" w:line="240" w:lineRule="auto"/>
        <w:ind w:firstLine="400"/>
        <w:jc w:val="both"/>
      </w:pPr>
      <w:r>
        <w:rPr>
          <w:rFonts w:ascii="Times New Roman" w:hAnsi="Times New Roman" w:eastAsia="宋体"/>
          <w:b w:val="0"/>
          <w:sz w:val="20"/>
        </w:rPr>
        <w:t>Hardhat 本地 EVM gas 基线说明 Solidity 原型的提交、挑战、恢复、重放和结算路径具有合约对应物。Sepolia 部署说明核心合约具有公开测试网可部署性。两者均不代表主网性能、审计就绪性或生产可用性。</w:t>
      </w:r>
    </w:p>
    <w:p>
      <w:pPr>
        <w:spacing w:before="0" w:after="0" w:line="240" w:lineRule="auto"/>
        <w:ind w:firstLine="400"/>
        <w:jc w:val="both"/>
      </w:pPr>
      <w:r>
        <w:rPr>
          <w:rFonts w:ascii="Times New Roman" w:hAnsi="Times New Roman" w:eastAsia="宋体"/>
          <w:b w:val="0"/>
          <w:sz w:val="20"/>
        </w:rPr>
        <w:t>当前原型尚未测量多并发挑战会话、恢复队列增长、重放队列延迟和调度竞争；并发恢复与重放调度仍属于后续工作。</w:t>
      </w:r>
    </w:p>
    <w:p>
      <w:pPr>
        <w:spacing w:before="20" w:after="20" w:line="240" w:lineRule="auto"/>
        <w:jc w:val="left"/>
      </w:pPr>
      <w:r>
        <w:rPr>
          <w:rFonts w:ascii="Times New Roman" w:hAnsi="Times New Roman" w:eastAsia="黑体"/>
          <w:b/>
          <w:sz w:val="23"/>
        </w:rPr>
        <w:t>6.5 相关工作</w:t>
      </w:r>
    </w:p>
    <w:p>
      <w:pPr>
        <w:spacing w:before="0" w:after="0" w:line="240" w:lineRule="auto"/>
        <w:ind w:firstLine="400"/>
        <w:jc w:val="both"/>
      </w:pPr>
      <w:r>
        <w:rPr>
          <w:rFonts w:ascii="Times New Roman" w:hAnsi="Times New Roman" w:eastAsia="宋体"/>
          <w:b w:val="0"/>
          <w:sz w:val="20"/>
        </w:rPr>
        <w:t>TEEROLLUP 提出了利用异构 TEE 降低 Rollup 验证成本的系统设计。本文受其思路启发，但聚焦异常场景下的挑战恢复和紧凑提交的证据绑定。</w:t>
      </w:r>
    </w:p>
    <w:p>
      <w:pPr>
        <w:spacing w:before="0" w:after="0" w:line="240" w:lineRule="auto"/>
        <w:ind w:firstLine="400"/>
        <w:jc w:val="both"/>
      </w:pPr>
      <w:r>
        <w:rPr>
          <w:rFonts w:ascii="Times New Roman" w:hAnsi="Times New Roman" w:eastAsia="宋体"/>
          <w:b w:val="0"/>
          <w:sz w:val="20"/>
        </w:rPr>
        <w:t>opML 等工作研究如何通过乐观欺诈证明支持机器学习或大模型计算，通常包含二分定位、单步仲裁和链上虚拟机验证。本文借鉴交互式争议定位思想，但未实现完整 FPVM 或真实 ML 执行证明，而将二分重放用于 Hybrid TEE-Rollup 原型中的异常仲裁。</w:t>
      </w:r>
    </w:p>
    <w:p>
      <w:pPr>
        <w:spacing w:before="0" w:after="0" w:line="240" w:lineRule="auto"/>
        <w:ind w:firstLine="400"/>
        <w:jc w:val="both"/>
      </w:pPr>
      <w:r>
        <w:rPr>
          <w:rFonts w:ascii="Times New Roman" w:hAnsi="Times New Roman" w:eastAsia="宋体"/>
          <w:sz w:val="20"/>
        </w:rPr>
        <w:t>Dynamic Fraud Proof 关注无争议场景下的最终性压缩，并在发现争议时动态延迟结算。该方向强调挑战窗口和验证者参与机制的动态调整；本文聚焦更窄的超时后挑战会话恢复问题[2]。</w:t>
      </w:r>
    </w:p>
    <w:p>
      <w:pPr>
        <w:spacing w:before="0" w:after="0" w:line="240" w:lineRule="auto"/>
        <w:ind w:firstLine="400"/>
        <w:jc w:val="both"/>
      </w:pPr>
      <w:r>
        <w:rPr>
          <w:rFonts w:ascii="Times New Roman" w:hAnsi="Times New Roman" w:eastAsia="宋体"/>
          <w:b w:val="0"/>
          <w:sz w:val="20"/>
        </w:rPr>
        <w:t>LazyLedger、模块化 DA 以及轻客户端相关工作强调数据可用性与执行验证解耦。本文使用可验证 DA 注册表和配置化建模分析紧凑提交加数据可用性验证的成本趋势。</w:t>
      </w:r>
    </w:p>
    <w:p>
      <w:pPr>
        <w:spacing w:before="0" w:after="0" w:line="240" w:lineRule="auto"/>
        <w:sectPr>
          <w:headerReference r:id="rId43" w:type="default"/>
          <w:footerReference r:id="rId44" w:type="default"/>
          <w:type w:val="continuous"/>
          <w:pgSz w:w="11418" w:h="15619"/>
          <w:pgMar w:top="1814" w:right="794" w:bottom="454" w:left="794" w:header="680" w:footer="454" w:gutter="0"/>
          <w:cols w:space="425" w:num="2"/>
          <w:docGrid w:type="lines" w:linePitch="290" w:charSpace="0"/>
        </w:sectPr>
      </w:pPr>
    </w:p>
    <w:p>
      <w:pPr>
        <w:spacing w:before="0" w:after="20" w:line="240" w:lineRule="auto"/>
        <w:jc w:val="center"/>
      </w:pPr>
      <w:r>
        <w:rPr>
          <w:rFonts w:ascii="Times New Roman" w:hAnsi="Times New Roman" w:eastAsia="宋体"/>
          <w:b w:val="0"/>
          <w:sz w:val="18"/>
        </w:rPr>
        <w:t>表 8  相关工作与本文工作的对照</w:t>
      </w:r>
    </w:p>
    <w:p>
      <w:pPr>
        <w:spacing w:before="0" w:after="20" w:line="240" w:lineRule="auto"/>
        <w:jc w:val="center"/>
      </w:pPr>
      <w:r>
        <w:rPr>
          <w:rFonts w:ascii="Times New Roman" w:hAnsi="Times New Roman" w:eastAsia="宋体"/>
          <w:b w:val="0"/>
          <w:sz w:val="18"/>
        </w:rPr>
        <w:t>Table 8  Comparison with related work</w:t>
      </w:r>
    </w:p>
    <w:tbl>
      <w:tblPr>
        <w:tblStyle w:val="28"/>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483"/>
        <w:gridCol w:w="2475"/>
        <w:gridCol w:w="2476"/>
        <w:gridCol w:w="247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方向 / 工作</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核心关注</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与本文关系</w:t>
            </w:r>
          </w:p>
        </w:tc>
        <w:tc>
          <w:tcPr>
            <w:tcW w:w="2494" w:type="dxa"/>
            <w:tcBorders>
              <w:bottom w:val="single" w:color="000000" w:sz="6" w:space="0"/>
            </w:tcBorders>
            <w:tcMar>
              <w:top w:w="40" w:type="dxa"/>
              <w:left w:w="40" w:type="dxa"/>
              <w:bottom w:w="40" w:type="dxa"/>
              <w:right w:w="40" w:type="dxa"/>
            </w:tcMar>
            <w:vAlign w:val="center"/>
          </w:tcPr>
          <w:p>
            <w:pPr>
              <w:spacing w:before="0" w:after="0" w:line="240" w:lineRule="auto"/>
              <w:jc w:val="center"/>
            </w:pPr>
            <w:r>
              <w:rPr>
                <w:rFonts w:ascii="Times New Roman" w:hAnsi="Times New Roman" w:eastAsia="宋体"/>
                <w:b/>
                <w:sz w:val="15"/>
              </w:rPr>
              <w:t>本文不声称覆盖的部分</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TEEROLLUP / Hybrid TEE-Rollup</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利用异构 TEE 降低 Rollup 验证成本，并保留挑战和 DA 惩罚机制</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本文沿用 Hybrid TEE-Rollup 的研究方向，聚焦可恢复挑战路径与携带证据的紧凑提交</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不实现完整 TEE 委员会、生产级提现流程或完整经济安全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乐观 TEE Rollup / OTR</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将 TEE 快速执行与乐观验证结合</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本文同样采用“正常路径低成本、异常路径挑战”的思想</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不证明真实 TEE 远程证明机制安全或链上生成式 AI 生产服务可用性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opML / optimistic ML 欺诈证明</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通过二分定位和单步证明验证 ML 或复杂计算</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本文借鉴二分重放的争议定位结构</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不实现完整 FPVM、真实模型推理单步证明或链上 ML 执行环境</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Dynamic 欺诈证明</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动态调整争议窗口和最终性，以缩短无争议路径延迟</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本文关注超时后会话恢复，是更窄的挑战活性问题</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不提出完整动态最终性协议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LazyLedger / 模块化 DA</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将 DA 与执行验证解耦，支持数据可用性抽样</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本文用可验证 DA 与数据可用性配置说明紧凑提交需要绑定 DA 证据</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不接入真实 DA 网络，也不证明 DAS 经济安全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轻客户端 for Lazy Blockchains</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面向轻客户端的数据可用性抽样与验证</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本文借鉴“轻量验证者需要可检查数据承诺”的思想</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不实现真实轻客户端协议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EIP-4844 / blob 数据</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降低 Rollup 数据发布成本，提供 blob 数据市场</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本文将类 EIP-4844 方案作为配置化成本配置</w:t>
            </w:r>
          </w:p>
        </w:tc>
        <w:tc>
          <w:tcPr>
            <w:tcW w:w="2494" w:type="dxa"/>
            <w:tcMar>
              <w:top w:w="40" w:type="dxa"/>
              <w:left w:w="40" w:type="dxa"/>
              <w:bottom w:w="40" w:type="dxa"/>
              <w:right w:w="40" w:type="dxa"/>
            </w:tcMar>
            <w:vAlign w:val="center"/>
          </w:tcPr>
          <w:p>
            <w:pPr>
              <w:spacing w:before="0" w:after="0" w:line="240" w:lineRule="auto"/>
              <w:jc w:val="center"/>
            </w:pPr>
            <w:r>
              <w:rPr>
                <w:rFonts w:ascii="Times New Roman" w:hAnsi="Times New Roman" w:eastAsia="宋体"/>
                <w:b w:val="0"/>
                <w:sz w:val="15"/>
              </w:rPr>
              <w:t>不模拟真实 blob 基础费率、主网拥堵或 blob 生命周期</w:t>
            </w:r>
          </w:p>
        </w:tc>
      </w:tr>
    </w:tbl>
    <w:p>
      <w:pPr>
        <w:spacing w:before="0" w:after="0" w:line="240" w:lineRule="auto"/>
      </w:pPr>
    </w:p>
    <w:p>
      <w:pPr>
        <w:spacing w:before="0" w:after="0" w:line="240" w:lineRule="auto"/>
        <w:sectPr>
          <w:headerReference r:id="rId45" w:type="default"/>
          <w:footerReference r:id="rId46" w:type="default"/>
          <w:type w:val="continuous"/>
          <w:pgSz w:w="11418" w:h="15619"/>
          <w:pgMar w:top="1814" w:right="794" w:bottom="454" w:left="794" w:header="680" w:footer="454" w:gutter="0"/>
          <w:cols w:space="425" w:num="1"/>
          <w:docGrid w:type="lines" w:linePitch="290" w:charSpace="0"/>
        </w:sectPr>
      </w:pPr>
    </w:p>
    <w:p>
      <w:pPr>
        <w:spacing w:before="0" w:after="0" w:line="240" w:lineRule="auto"/>
        <w:ind w:firstLine="400"/>
        <w:jc w:val="both"/>
      </w:pPr>
      <w:r>
        <w:rPr>
          <w:rFonts w:ascii="Times New Roman" w:hAnsi="Times New Roman" w:eastAsia="宋体"/>
          <w:b w:val="0"/>
          <w:sz w:val="20"/>
        </w:rPr>
        <w:t>从对照可以看出，已有工作已经提供 TEE-Rollup、乐观欺诈证明和模块化数据可用性等主要路线；本文将可恢复挑战路径、数据可用性绑定紧凑提交和轻量成本模型放入同一个可运行研究原型中，并分别用 Python、Hardhat 与 Sepolia 证据说明机制可行性、链上对应物和可部署性边界。</w:t>
      </w:r>
    </w:p>
    <w:p>
      <w:pPr>
        <w:spacing w:before="20" w:after="20" w:line="240" w:lineRule="auto"/>
        <w:jc w:val="left"/>
      </w:pPr>
      <w:r>
        <w:rPr>
          <w:rFonts w:ascii="Times New Roman" w:hAnsi="Times New Roman" w:eastAsia="黑体"/>
          <w:b/>
          <w:sz w:val="23"/>
        </w:rPr>
        <w:t>6.6 小结与未来方向</w:t>
      </w:r>
    </w:p>
    <w:p>
      <w:pPr>
        <w:spacing w:before="0" w:after="0" w:line="240" w:lineRule="auto"/>
        <w:ind w:firstLine="400"/>
        <w:jc w:val="both"/>
      </w:pPr>
      <w:r>
        <w:rPr>
          <w:rFonts w:ascii="Times New Roman" w:hAnsi="Times New Roman" w:eastAsia="宋体"/>
          <w:b w:val="0"/>
          <w:sz w:val="20"/>
        </w:rPr>
        <w:t>高频去中心化应用的核心困难在于低成本交互与异常可验证之间的持续权衡。本文在 Hybrid TEE-Rollup 背景下研究一个更窄的问题：在不重做完整 Rollup 系统的前提下，如何让轻量提交、数据可用性证据和可恢复挑战形成可运行的研究原型。现有证据显示，Python 原型跑通了紧凑提交、数据可用性证明、挑战、恢复、重放与结算；对比型实验区分了检测与完成、压缩与证据绑定；本地 EVM 和 Sepolia 证据说明协议路径具有合约对应物。</w:t>
      </w:r>
    </w:p>
    <w:p>
      <w:pPr>
        <w:spacing w:before="0" w:after="0" w:line="240" w:lineRule="auto"/>
        <w:ind w:firstLine="400"/>
        <w:jc w:val="both"/>
      </w:pPr>
      <w:r>
        <w:rPr>
          <w:rFonts w:ascii="Times New Roman" w:hAnsi="Times New Roman" w:eastAsia="宋体"/>
          <w:b w:val="0"/>
          <w:sz w:val="20"/>
        </w:rPr>
        <w:t>从理论层面看，本文的主要价值在于将挑战恢复从工程操作提升为具有协议语义的独立机制，提出并论证仲裁连续性这一协议性质。第 4.4 节系统化了挑战事实不变性、安全性与活性的分离、仲裁连续性和恢复操作正确性四项性质，为该机制进入更复杂的 Rollup 协议栈提供了理论参照。</w:t>
      </w:r>
    </w:p>
    <w:p>
      <w:pPr>
        <w:spacing w:before="0" w:after="0" w:line="240" w:lineRule="auto"/>
        <w:ind w:firstLine="400"/>
        <w:jc w:val="both"/>
      </w:pPr>
      <w:r>
        <w:rPr>
          <w:rFonts w:ascii="Times New Roman" w:hAnsi="Times New Roman" w:eastAsia="宋体"/>
          <w:b w:val="0"/>
          <w:sz w:val="20"/>
        </w:rPr>
        <w:t>后续研究可以沿两个方向推进：一是在真实 TEE 和数据可用性环境中重新测量成本、活性和异常处理边界；二是加强重放证据的链上可验证性，完善故障到罚没策略，补齐并发挑战和恢复频率限制等工程机制。</w:t>
      </w:r>
    </w:p>
    <w:p>
      <w:pPr>
        <w:spacing w:before="0" w:after="20" w:line="240" w:lineRule="auto"/>
        <w:jc w:val="left"/>
      </w:pPr>
      <w:r>
        <w:rPr>
          <w:rFonts w:ascii="Times New Roman" w:hAnsi="Times New Roman" w:eastAsia="黑体"/>
          <w:b/>
          <w:sz w:val="23"/>
        </w:rPr>
        <w:t>参考文献：</w:t>
      </w:r>
    </w:p>
    <w:p>
      <w:pPr>
        <w:spacing w:before="0" w:after="0" w:line="240" w:lineRule="auto"/>
        <w:jc w:val="left"/>
      </w:pPr>
      <w:r>
        <w:rPr>
          <w:rFonts w:ascii="Times New Roman" w:hAnsi="Times New Roman" w:eastAsia="宋体"/>
          <w:sz w:val="18"/>
        </w:rPr>
        <w:t>[1] WEN X, FENG Q, LYU H, et al. TEEROLLUP: Efficient Rollup Design Using Heterogeneous TEE[EB/OL]. arXiv:2409.14647, 2024.</w:t>
      </w:r>
    </w:p>
    <w:p>
      <w:pPr>
        <w:spacing w:before="0" w:after="0" w:line="240" w:lineRule="auto"/>
        <w:jc w:val="left"/>
      </w:pPr>
      <w:r>
        <w:rPr>
          <w:rFonts w:ascii="Times New Roman" w:hAnsi="Times New Roman" w:eastAsia="宋体"/>
          <w:sz w:val="18"/>
        </w:rPr>
        <w:t>[2] PICCO G, FORTUGNO A. Dynamic Fraud Proof[EB/OL]. arXiv:2502.10321, 2025.</w:t>
      </w:r>
    </w:p>
    <w:p>
      <w:pPr>
        <w:spacing w:before="0" w:after="0" w:line="240" w:lineRule="auto"/>
        <w:jc w:val="left"/>
      </w:pPr>
      <w:r>
        <w:rPr>
          <w:rFonts w:ascii="Times New Roman" w:hAnsi="Times New Roman" w:eastAsia="宋体"/>
          <w:sz w:val="18"/>
        </w:rPr>
        <w:t>[3] AL-BASSAM M. LazyLedger: A Distributed Data Availability Ledger with Client-Side Smart Contracts[EB/OL]. arXiv:1905.09274, 2019.</w:t>
      </w:r>
    </w:p>
    <w:p>
      <w:pPr>
        <w:spacing w:before="0" w:after="0" w:line="240" w:lineRule="auto"/>
        <w:jc w:val="left"/>
      </w:pPr>
      <w:r>
        <w:rPr>
          <w:rFonts w:ascii="Times New Roman" w:hAnsi="Times New Roman" w:eastAsia="宋体"/>
          <w:sz w:val="18"/>
        </w:rPr>
        <w:t>[4] TAS E N, TSE D, YANG L, et al. Light Clients for Lazy Blockchains[EB/OL]. arXiv:2203.15968, 2022.</w:t>
      </w:r>
    </w:p>
    <w:p>
      <w:pPr>
        <w:spacing w:before="0" w:after="0" w:line="240" w:lineRule="auto"/>
        <w:jc w:val="left"/>
      </w:pPr>
      <w:r>
        <w:rPr>
          <w:rFonts w:ascii="Times New Roman" w:hAnsi="Times New Roman" w:eastAsia="宋体"/>
          <w:sz w:val="18"/>
        </w:rPr>
        <w:t>[5] Ethereum Foundation. EIP-4844: Shard Blob Transactions[EB/OL]. 2024.</w:t>
      </w:r>
    </w:p>
    <w:p>
      <w:pPr>
        <w:spacing w:before="0" w:after="0" w:line="240" w:lineRule="auto"/>
        <w:jc w:val="left"/>
      </w:pPr>
      <w:r>
        <w:rPr>
          <w:rFonts w:ascii="Times New Roman" w:hAnsi="Times New Roman" w:eastAsia="宋体"/>
          <w:sz w:val="18"/>
        </w:rPr>
        <w:t>[6] Ethereum Foundation. Optimistic Rollups[EB/OL]. Ethereum Documentation, 2024.</w:t>
      </w:r>
    </w:p>
    <w:p>
      <w:pPr>
        <w:spacing w:before="0" w:after="0" w:line="240" w:lineRule="auto"/>
        <w:jc w:val="left"/>
      </w:pPr>
      <w:r>
        <w:rPr>
          <w:rFonts w:ascii="Times New Roman" w:hAnsi="Times New Roman" w:eastAsia="宋体"/>
          <w:sz w:val="18"/>
        </w:rPr>
        <w:t>[7] BUTERIN V. An Incomplete Guide to Rollups[EB/OL]. 2021.</w:t>
      </w:r>
    </w:p>
    <w:p>
      <w:pPr>
        <w:spacing w:before="0" w:after="0" w:line="240" w:lineRule="auto"/>
        <w:jc w:val="left"/>
      </w:pPr>
      <w:r>
        <w:rPr>
          <w:rFonts w:ascii="Times New Roman" w:hAnsi="Times New Roman" w:eastAsia="宋体"/>
          <w:sz w:val="18"/>
        </w:rPr>
        <w:t>[8] Intel Corporation. Intel Software Guard Extensions Developer Guide[EB/OL]. 2024.</w:t>
      </w:r>
    </w:p>
    <w:p>
      <w:pPr>
        <w:spacing w:before="0" w:after="0" w:line="240" w:lineRule="auto"/>
        <w:jc w:val="left"/>
      </w:pPr>
      <w:r>
        <w:rPr>
          <w:rFonts w:ascii="Times New Roman" w:hAnsi="Times New Roman" w:eastAsia="宋体"/>
          <w:sz w:val="18"/>
        </w:rPr>
        <w:t>[9] Intel Corporation. Intel Trust Domain Extensions Architecture Specification[EB/OL]. 2024.</w:t>
      </w:r>
    </w:p>
    <w:p>
      <w:pPr>
        <w:spacing w:before="0" w:after="0" w:line="240" w:lineRule="auto"/>
        <w:jc w:val="left"/>
      </w:pPr>
      <w:r>
        <w:rPr>
          <w:rFonts w:ascii="Times New Roman" w:hAnsi="Times New Roman" w:eastAsia="宋体"/>
          <w:sz w:val="18"/>
        </w:rPr>
        <w:t>[10] Offchain Labs. Arbitrum: A Next-Generation Layer 2 for Ethereum[EB/OL]. 2021.</w:t>
      </w:r>
    </w:p>
    <w:p>
      <w:pPr>
        <w:spacing w:before="0" w:after="0" w:line="240" w:lineRule="auto"/>
        <w:jc w:val="left"/>
      </w:pPr>
      <w:r>
        <w:rPr>
          <w:rFonts w:ascii="Times New Roman" w:hAnsi="Times New Roman" w:eastAsia="宋体"/>
          <w:sz w:val="18"/>
        </w:rPr>
        <w:t>[11] Cartesi. Cartesi Rollups Documentation[EB/OL]. 2024.</w:t>
      </w:r>
    </w:p>
    <w:p>
      <w:pPr>
        <w:spacing w:before="0" w:after="0" w:line="240" w:lineRule="auto"/>
        <w:jc w:val="left"/>
      </w:pPr>
      <w:r>
        <w:rPr>
          <w:rFonts w:ascii="Times New Roman" w:hAnsi="Times New Roman" w:eastAsia="宋体"/>
          <w:sz w:val="18"/>
        </w:rPr>
        <w:t>[12] EigenLayer. EigenDA Documentation[EB/OL]. 2024.</w:t>
      </w:r>
    </w:p>
    <w:p>
      <w:pPr>
        <w:spacing w:before="0" w:after="0" w:line="240" w:lineRule="auto"/>
        <w:jc w:val="left"/>
      </w:pPr>
      <w:r>
        <w:rPr>
          <w:rFonts w:ascii="Times New Roman" w:hAnsi="Times New Roman" w:eastAsia="宋体"/>
          <w:sz w:val="18"/>
        </w:rPr>
        <w:t>[13] Celestia. Celestia: Modular Blockchain Network[EB/OL]. 2024.</w:t>
      </w:r>
    </w:p>
    <w:p>
      <w:pPr>
        <w:spacing w:before="0" w:after="0" w:line="240" w:lineRule="auto"/>
        <w:jc w:val="left"/>
      </w:pPr>
      <w:r>
        <w:rPr>
          <w:rFonts w:ascii="Times New Roman" w:hAnsi="Times New Roman" w:eastAsia="宋体"/>
          <w:sz w:val="18"/>
        </w:rPr>
        <w:t>[14] RISC Zero. RISC Zero zkVM Documentation[EB/OL]. 2024.</w:t>
      </w:r>
    </w:p>
    <w:p>
      <w:pPr>
        <w:spacing w:before="0" w:after="0" w:line="240" w:lineRule="auto"/>
        <w:jc w:val="left"/>
      </w:pPr>
      <w:r>
        <w:rPr>
          <w:rFonts w:ascii="Times New Roman" w:hAnsi="Times New Roman" w:eastAsia="宋体"/>
          <w:sz w:val="18"/>
        </w:rPr>
        <w:t>[15] Succinct Labs. SP1: A Performant, 100% Open-Source zkVM[EB/OL]. 2024.</w:t>
      </w:r>
    </w:p>
    <w:p>
      <w:pPr>
        <w:spacing w:before="0" w:after="0" w:line="240" w:lineRule="auto"/>
        <w:jc w:val="left"/>
      </w:pPr>
      <w:r>
        <w:rPr>
          <w:rFonts w:ascii="Times New Roman" w:hAnsi="Times New Roman" w:eastAsia="宋体"/>
          <w:sz w:val="18"/>
        </w:rPr>
        <w:t>[16] Arbitrum Foundation. Arbitrum Nitro Technical Documentation[EB/OL]. 2024.</w:t>
      </w:r>
    </w:p>
    <w:p>
      <w:pPr>
        <w:spacing w:before="0" w:after="0" w:line="240" w:lineRule="auto"/>
        <w:jc w:val="left"/>
      </w:pPr>
      <w:r>
        <w:rPr>
          <w:rFonts w:ascii="Times New Roman" w:hAnsi="Times New Roman" w:eastAsia="宋体"/>
          <w:sz w:val="18"/>
        </w:rPr>
        <w:t>[17] OP Labs. Optimism Documentation: Fault Proofs and Dispute Games[EB/OL]. 2024.</w:t>
      </w:r>
    </w:p>
    <w:p>
      <w:pPr>
        <w:spacing w:before="0" w:after="0" w:line="240" w:lineRule="auto"/>
        <w:jc w:val="left"/>
      </w:pPr>
      <w:r>
        <w:rPr>
          <w:rFonts w:ascii="Times New Roman" w:hAnsi="Times New Roman" w:eastAsia="宋体"/>
          <w:sz w:val="18"/>
        </w:rPr>
        <w:t>[18] CANETTI R, et al. Universally Composable Security: A New Paradigm for Cryptographic Protocols[EB/OL]. 2000.</w:t>
      </w:r>
    </w:p>
    <w:p>
      <w:pPr>
        <w:spacing w:before="0" w:after="0" w:line="240" w:lineRule="auto"/>
        <w:jc w:val="left"/>
      </w:pPr>
      <w:r>
        <w:rPr>
          <w:rFonts w:ascii="Times New Roman" w:hAnsi="Times New Roman" w:eastAsia="宋体"/>
          <w:sz w:val="18"/>
        </w:rPr>
        <w:t>[19] GOLDWASSER S, MICALI S, RACKOFF R. The Knowledge Complexity of Interactive Proof Systems[J]. SIAM Journal on Computing, 1989, 18(1): 186-208.</w:t>
      </w:r>
    </w:p>
    <w:p>
      <w:pPr>
        <w:spacing w:before="0" w:after="0" w:line="240" w:lineRule="auto"/>
        <w:jc w:val="left"/>
      </w:pPr>
      <w:r>
        <w:rPr>
          <w:rFonts w:ascii="Times New Roman" w:hAnsi="Times New Roman" w:eastAsia="宋体"/>
          <w:sz w:val="18"/>
        </w:rPr>
        <w:t>[20] NIST. Recommendation for Key Management: Part 1 - General (Rev. 5)[EB/OL]. 2020.</w:t>
      </w:r>
    </w:p>
    <w:sectPr>
      <w:headerReference r:id="rId47" w:type="default"/>
      <w:footerReference r:id="rId48" w:type="default"/>
      <w:type w:val="continuous"/>
      <w:pgSz w:w="11418" w:h="15619"/>
      <w:pgMar w:top="1814" w:right="794" w:bottom="454" w:left="794" w:header="680" w:footer="454" w:gutter="0"/>
      <w:cols w:space="425"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altName w:val="宋体"/>
    <w:panose1 w:val="03000509000000000000"/>
    <w:charset w:val="86"/>
    <w:family w:val="script"/>
    <w:pitch w:val="default"/>
    <w:sig w:usb0="00000000" w:usb1="00000000" w:usb2="00000000" w:usb3="00000000" w:csb0="00040000" w:csb1="00000000"/>
  </w:font>
  <w:font w:name="方正大标宋简体">
    <w:altName w:val="微软雅黑"/>
    <w:panose1 w:val="03000509000000000000"/>
    <w:charset w:val="86"/>
    <w:family w:val="script"/>
    <w:pitch w:val="default"/>
    <w:sig w:usb0="00000000" w:usb1="00000000" w:usb2="00000010" w:usb3="00000000" w:csb0="00040001" w:csb1="00000000"/>
  </w:font>
  <w:font w:name="方正楷体简体">
    <w:altName w:val="宋体"/>
    <w:panose1 w:val="03000509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方正小标宋简体">
    <w:altName w:val="方正舒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Univers LT Std 55">
    <w:altName w:val="宋体"/>
    <w:panose1 w:val="00000000000000000000"/>
    <w:charset w:val="86"/>
    <w:family w:val="swiss"/>
    <w:pitch w:val="default"/>
    <w:sig w:usb0="00000000" w:usb1="00000000" w:usb2="00000010" w:usb3="00000000" w:csb0="00040000" w:csb1="00000000"/>
  </w:font>
  <w:font w:name="·s²Ó©úÅé">
    <w:altName w:val="MingLiU-ExtB"/>
    <w:panose1 w:val="00000000000000000000"/>
    <w:charset w:val="88"/>
    <w:family w:val="auto"/>
    <w:pitch w:val="default"/>
    <w:sig w:usb0="00000000" w:usb1="00000000" w:usb2="00000010" w:usb3="00000000" w:csb0="001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line="200" w:lineRule="exact"/>
      <w:ind w:firstLine="0"/>
      <w:jc w:val="center"/>
    </w:pPr>
    <w:r>
      <w:rPr>
        <w:rFonts w:ascii="Times New Roman" w:hAnsi="Times New Roman" w:eastAsia="宋体"/>
        <w:sz w:val="18"/>
      </w:rPr>
      <w:t>计算机科学与探索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春艳">
    <w15:presenceInfo w15:providerId="WPS Office" w15:userId="56520418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autoHyphenation/>
  <w:hyphenationZone w:val="357"/>
  <w:doNotHyphenateCaps/>
  <w:evenAndOddHeaders w:val="1"/>
  <w:drawingGridHorizontalSpacing w:val="112"/>
  <w:drawingGridVerticalSpacing w:val="299"/>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BiNGRhMTNkYjFhZGQwOGU5YjQ2ZDZmYjhiNTAxNzcifQ=="/>
  </w:docVars>
  <w:rsids>
    <w:rsidRoot w:val="00DD7751"/>
    <w:rsid w:val="00005CFD"/>
    <w:rsid w:val="00011807"/>
    <w:rsid w:val="00030EC8"/>
    <w:rsid w:val="00062942"/>
    <w:rsid w:val="00065AF5"/>
    <w:rsid w:val="00092FDB"/>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D1514"/>
    <w:rsid w:val="001E2B0D"/>
    <w:rsid w:val="001E7A55"/>
    <w:rsid w:val="002046FE"/>
    <w:rsid w:val="00207568"/>
    <w:rsid w:val="00262D7B"/>
    <w:rsid w:val="00274B15"/>
    <w:rsid w:val="00281282"/>
    <w:rsid w:val="00285662"/>
    <w:rsid w:val="002909D7"/>
    <w:rsid w:val="002929B9"/>
    <w:rsid w:val="002A5AAF"/>
    <w:rsid w:val="002A6809"/>
    <w:rsid w:val="002B05AD"/>
    <w:rsid w:val="002F1962"/>
    <w:rsid w:val="00311726"/>
    <w:rsid w:val="00316198"/>
    <w:rsid w:val="00321B34"/>
    <w:rsid w:val="00325FE7"/>
    <w:rsid w:val="0034661D"/>
    <w:rsid w:val="00363096"/>
    <w:rsid w:val="0037513A"/>
    <w:rsid w:val="00391529"/>
    <w:rsid w:val="003A3B03"/>
    <w:rsid w:val="003A7A49"/>
    <w:rsid w:val="003B2B4A"/>
    <w:rsid w:val="003C0413"/>
    <w:rsid w:val="003D283B"/>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D0745"/>
    <w:rsid w:val="004E3926"/>
    <w:rsid w:val="005020CC"/>
    <w:rsid w:val="00504539"/>
    <w:rsid w:val="00512470"/>
    <w:rsid w:val="00521C56"/>
    <w:rsid w:val="00541BE8"/>
    <w:rsid w:val="00561FB4"/>
    <w:rsid w:val="005656AE"/>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52567"/>
    <w:rsid w:val="007852FB"/>
    <w:rsid w:val="00795AD4"/>
    <w:rsid w:val="007A57FD"/>
    <w:rsid w:val="007D3B77"/>
    <w:rsid w:val="007F243C"/>
    <w:rsid w:val="007F5FD4"/>
    <w:rsid w:val="00807051"/>
    <w:rsid w:val="00811E54"/>
    <w:rsid w:val="00821102"/>
    <w:rsid w:val="00836F37"/>
    <w:rsid w:val="008415B3"/>
    <w:rsid w:val="0084726E"/>
    <w:rsid w:val="00852397"/>
    <w:rsid w:val="00855A85"/>
    <w:rsid w:val="008717C2"/>
    <w:rsid w:val="00880E03"/>
    <w:rsid w:val="008A101C"/>
    <w:rsid w:val="008A33BB"/>
    <w:rsid w:val="008A618D"/>
    <w:rsid w:val="008B5EE6"/>
    <w:rsid w:val="008C48D2"/>
    <w:rsid w:val="008E29E7"/>
    <w:rsid w:val="008E311A"/>
    <w:rsid w:val="008F3E45"/>
    <w:rsid w:val="009129E6"/>
    <w:rsid w:val="00927BA4"/>
    <w:rsid w:val="00930393"/>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A1228C"/>
    <w:rsid w:val="00A22196"/>
    <w:rsid w:val="00A32381"/>
    <w:rsid w:val="00A528BC"/>
    <w:rsid w:val="00A5456A"/>
    <w:rsid w:val="00A704A8"/>
    <w:rsid w:val="00A81F18"/>
    <w:rsid w:val="00A844BF"/>
    <w:rsid w:val="00AC548C"/>
    <w:rsid w:val="00AD7D5F"/>
    <w:rsid w:val="00AF7E14"/>
    <w:rsid w:val="00B0017D"/>
    <w:rsid w:val="00B02A2B"/>
    <w:rsid w:val="00B30964"/>
    <w:rsid w:val="00B3126B"/>
    <w:rsid w:val="00B46DC9"/>
    <w:rsid w:val="00B47A48"/>
    <w:rsid w:val="00B50E6B"/>
    <w:rsid w:val="00B534DA"/>
    <w:rsid w:val="00B579CE"/>
    <w:rsid w:val="00B61B28"/>
    <w:rsid w:val="00B66F58"/>
    <w:rsid w:val="00B77187"/>
    <w:rsid w:val="00B877FB"/>
    <w:rsid w:val="00BA5026"/>
    <w:rsid w:val="00BB289C"/>
    <w:rsid w:val="00BB53E8"/>
    <w:rsid w:val="00BE1306"/>
    <w:rsid w:val="00C132F9"/>
    <w:rsid w:val="00C31B06"/>
    <w:rsid w:val="00C36DE8"/>
    <w:rsid w:val="00C51506"/>
    <w:rsid w:val="00C53E3B"/>
    <w:rsid w:val="00C55DE3"/>
    <w:rsid w:val="00C72274"/>
    <w:rsid w:val="00C80585"/>
    <w:rsid w:val="00CA6AF4"/>
    <w:rsid w:val="00CA7590"/>
    <w:rsid w:val="00CB44BA"/>
    <w:rsid w:val="00CB7F98"/>
    <w:rsid w:val="00CC26FE"/>
    <w:rsid w:val="00CC7279"/>
    <w:rsid w:val="00CD0EAC"/>
    <w:rsid w:val="00CD3C10"/>
    <w:rsid w:val="00D075AE"/>
    <w:rsid w:val="00D36EB5"/>
    <w:rsid w:val="00D437E0"/>
    <w:rsid w:val="00D64354"/>
    <w:rsid w:val="00DA2D6C"/>
    <w:rsid w:val="00DB19E1"/>
    <w:rsid w:val="00DC3E70"/>
    <w:rsid w:val="00DD2F86"/>
    <w:rsid w:val="00DD7751"/>
    <w:rsid w:val="00DE6BF6"/>
    <w:rsid w:val="00DF2B27"/>
    <w:rsid w:val="00E0715C"/>
    <w:rsid w:val="00E44206"/>
    <w:rsid w:val="00E4780A"/>
    <w:rsid w:val="00E5183C"/>
    <w:rsid w:val="00E52E8E"/>
    <w:rsid w:val="00E7519C"/>
    <w:rsid w:val="00E80626"/>
    <w:rsid w:val="00E81A59"/>
    <w:rsid w:val="00E853A2"/>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155760AC"/>
    <w:rsid w:val="1DBD148B"/>
    <w:rsid w:val="5FF297CD"/>
    <w:rsid w:val="69915C81"/>
    <w:rsid w:val="7EE7F1CF"/>
    <w:rsid w:val="CF7E7B6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9" Type="http://schemas.microsoft.com/office/2011/relationships/people" Target="people.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7.png"/><Relationship Id="rId55" Type="http://schemas.openxmlformats.org/officeDocument/2006/relationships/image" Target="media/image6.png"/><Relationship Id="rId54" Type="http://schemas.openxmlformats.org/officeDocument/2006/relationships/image" Target="media/image5.png"/><Relationship Id="rId53" Type="http://schemas.openxmlformats.org/officeDocument/2006/relationships/image" Target="media/image4.png"/><Relationship Id="rId52" Type="http://schemas.openxmlformats.org/officeDocument/2006/relationships/image" Target="media/image3.png"/><Relationship Id="rId51" Type="http://schemas.openxmlformats.org/officeDocument/2006/relationships/image" Target="media/image2.png"/><Relationship Id="rId50" Type="http://schemas.openxmlformats.org/officeDocument/2006/relationships/image" Target="media/image1.png"/><Relationship Id="rId5" Type="http://schemas.openxmlformats.org/officeDocument/2006/relationships/header" Target="header1.xml"/><Relationship Id="rId49" Type="http://schemas.openxmlformats.org/officeDocument/2006/relationships/theme" Target="theme/theme1.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endnotes" Target="endnotes.xml"/><Relationship Id="rId39" Type="http://schemas.openxmlformats.org/officeDocument/2006/relationships/header" Target="header18.xml"/><Relationship Id="rId38" Type="http://schemas.openxmlformats.org/officeDocument/2006/relationships/footer" Target="footer17.xml"/><Relationship Id="rId37" Type="http://schemas.openxmlformats.org/officeDocument/2006/relationships/header" Target="header17.xml"/><Relationship Id="rId36" Type="http://schemas.openxmlformats.org/officeDocument/2006/relationships/footer" Target="footer16.xml"/><Relationship Id="rId35" Type="http://schemas.openxmlformats.org/officeDocument/2006/relationships/header" Target="header16.xml"/><Relationship Id="rId34" Type="http://schemas.openxmlformats.org/officeDocument/2006/relationships/footer" Target="footer15.xml"/><Relationship Id="rId33" Type="http://schemas.openxmlformats.org/officeDocument/2006/relationships/header" Target="header15.xml"/><Relationship Id="rId32" Type="http://schemas.openxmlformats.org/officeDocument/2006/relationships/footer" Target="footer14.xml"/><Relationship Id="rId31" Type="http://schemas.openxmlformats.org/officeDocument/2006/relationships/header" Target="header14.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ao\Library\Containers\com.kingsoft.wpsoffice.mac\Data\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写作模板（中文）-1226</Template>
  <Company>scp</Company>
  <Pages>11</Pages>
  <Words>13355</Words>
  <Characters>19032</Characters>
  <Lines>44</Lines>
  <Paragraphs>12</Paragraphs>
  <TotalTime>122</TotalTime>
  <ScaleCrop>false</ScaleCrop>
  <LinksUpToDate>false</LinksUpToDate>
  <CharactersWithSpaces>20269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2024-12-03T19:17:00Z</dcterms:created>
  <dc:creator>微软用户</dc:creator>
  <cp:lastModifiedBy>杨帆</cp:lastModifiedBy>
  <cp:lastPrinted>2024-12-03T22:07:00Z</cp:lastPrinted>
  <dcterms:modified xsi:type="dcterms:W3CDTF">2026-06-15T05:50:50Z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