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1563"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1D1D82F2" w14:textId="77777777" w:rsidR="00580E0B" w:rsidRDefault="00000000">
      <w:pPr>
        <w:spacing w:after="60" w:line="240" w:lineRule="auto"/>
        <w:ind w:firstLine="0"/>
        <w:jc w:val="left"/>
      </w:pPr>
      <w:r>
        <w:rPr>
          <w:rFonts w:eastAsia="楷体"/>
          <w:sz w:val="20"/>
          <w:szCs w:val="20"/>
        </w:rPr>
        <w:t>摘</w:t>
      </w:r>
      <w:r>
        <w:rPr>
          <w:rFonts w:eastAsia="楷体"/>
          <w:sz w:val="20"/>
          <w:szCs w:val="20"/>
        </w:rPr>
        <w:t xml:space="preserve">  </w:t>
      </w:r>
      <w:r>
        <w:rPr>
          <w:rFonts w:eastAsia="楷体"/>
          <w:sz w:val="20"/>
          <w:szCs w:val="20"/>
        </w:rPr>
        <w:t>要：高频去中心化应用（</w:t>
      </w:r>
      <w:r>
        <w:rPr>
          <w:rFonts w:eastAsia="楷体"/>
          <w:sz w:val="20"/>
          <w:szCs w:val="20"/>
        </w:rPr>
        <w:t>DApp</w:t>
      </w:r>
      <w:r>
        <w:rPr>
          <w:rFonts w:eastAsia="楷体"/>
          <w:sz w:val="20"/>
          <w:szCs w:val="20"/>
        </w:rPr>
        <w:t>）要求低延迟、低链上开销与公开可验证仲裁并存。本文面向</w:t>
      </w:r>
      <w:r>
        <w:rPr>
          <w:rFonts w:eastAsia="楷体"/>
          <w:sz w:val="20"/>
          <w:szCs w:val="20"/>
        </w:rPr>
        <w:t xml:space="preserve"> Hybrid TEE-Rollup </w:t>
      </w:r>
      <w:r>
        <w:rPr>
          <w:rFonts w:eastAsia="楷体"/>
          <w:sz w:val="20"/>
          <w:szCs w:val="20"/>
        </w:rPr>
        <w:t>场景，提出可恢复挑战机制、携带证据的紧凑提交机制和数据可用性感知成本模型。可恢复挑战机制将超时会话恢复为可重放、可结算状态；紧凑提交绑定状态根、输出哈希、证明哈希、</w:t>
      </w:r>
      <w:r>
        <w:rPr>
          <w:rFonts w:eastAsia="楷体"/>
          <w:sz w:val="20"/>
          <w:szCs w:val="20"/>
        </w:rPr>
        <w:t xml:space="preserve">DA </w:t>
      </w:r>
      <w:r>
        <w:rPr>
          <w:rFonts w:eastAsia="楷体"/>
          <w:sz w:val="20"/>
          <w:szCs w:val="20"/>
        </w:rPr>
        <w:t>指针与</w:t>
      </w:r>
      <w:r>
        <w:rPr>
          <w:rFonts w:eastAsia="楷体"/>
          <w:sz w:val="20"/>
          <w:szCs w:val="20"/>
        </w:rPr>
        <w:t xml:space="preserve"> DA </w:t>
      </w:r>
      <w:r>
        <w:rPr>
          <w:rFonts w:eastAsia="楷体"/>
          <w:sz w:val="20"/>
          <w:szCs w:val="20"/>
        </w:rPr>
        <w:t>根；成本模型用于分析负载规模、批处理摊销与</w:t>
      </w:r>
      <w:r>
        <w:rPr>
          <w:rFonts w:eastAsia="楷体"/>
          <w:sz w:val="20"/>
          <w:szCs w:val="20"/>
        </w:rPr>
        <w:t xml:space="preserve"> DA </w:t>
      </w:r>
      <w:r>
        <w:rPr>
          <w:rFonts w:eastAsia="楷体"/>
          <w:sz w:val="20"/>
          <w:szCs w:val="20"/>
        </w:rPr>
        <w:t>路径选择。基于</w:t>
      </w:r>
      <w:r>
        <w:rPr>
          <w:rFonts w:eastAsia="楷体"/>
          <w:sz w:val="20"/>
          <w:szCs w:val="20"/>
        </w:rPr>
        <w:t xml:space="preserve"> Python </w:t>
      </w:r>
      <w:r>
        <w:rPr>
          <w:rFonts w:eastAsia="楷体"/>
          <w:sz w:val="20"/>
          <w:szCs w:val="20"/>
        </w:rPr>
        <w:t>原型、本地</w:t>
      </w:r>
      <w:r>
        <w:rPr>
          <w:rFonts w:eastAsia="楷体"/>
          <w:sz w:val="20"/>
          <w:szCs w:val="20"/>
        </w:rPr>
        <w:t xml:space="preserve"> EVM gas </w:t>
      </w:r>
      <w:r>
        <w:rPr>
          <w:rFonts w:eastAsia="楷体"/>
          <w:sz w:val="20"/>
          <w:szCs w:val="20"/>
        </w:rPr>
        <w:t>测量与</w:t>
      </w:r>
      <w:r>
        <w:rPr>
          <w:rFonts w:eastAsia="楷体"/>
          <w:sz w:val="20"/>
          <w:szCs w:val="20"/>
        </w:rPr>
        <w:t xml:space="preserve"> Sepolia </w:t>
      </w:r>
      <w:r>
        <w:rPr>
          <w:rFonts w:eastAsia="楷体"/>
          <w:sz w:val="20"/>
          <w:szCs w:val="20"/>
        </w:rPr>
        <w:t>部署记录，实验显示紧凑提交平均约</w:t>
      </w:r>
      <w:r>
        <w:rPr>
          <w:rFonts w:eastAsia="楷体"/>
          <w:sz w:val="20"/>
          <w:szCs w:val="20"/>
        </w:rPr>
        <w:t xml:space="preserve"> 406 </w:t>
      </w:r>
      <w:r>
        <w:rPr>
          <w:rFonts w:eastAsia="楷体"/>
          <w:sz w:val="20"/>
          <w:szCs w:val="20"/>
        </w:rPr>
        <w:t>字节，在给定配置下模块化</w:t>
      </w:r>
      <w:r>
        <w:rPr>
          <w:rFonts w:eastAsia="楷体"/>
          <w:sz w:val="20"/>
          <w:szCs w:val="20"/>
        </w:rPr>
        <w:t xml:space="preserve"> DA </w:t>
      </w:r>
      <w:r>
        <w:rPr>
          <w:rFonts w:eastAsia="楷体"/>
          <w:sz w:val="20"/>
          <w:szCs w:val="20"/>
        </w:rPr>
        <w:t>采样路径可降低约</w:t>
      </w:r>
      <w:r>
        <w:rPr>
          <w:rFonts w:eastAsia="楷体"/>
          <w:sz w:val="20"/>
          <w:szCs w:val="20"/>
        </w:rPr>
        <w:t xml:space="preserve"> 96.33% </w:t>
      </w:r>
      <w:r>
        <w:rPr>
          <w:rFonts w:eastAsia="楷体"/>
          <w:sz w:val="20"/>
          <w:szCs w:val="20"/>
        </w:rPr>
        <w:t>摊销成本，可恢复路径改善超时场景下的挑战完成能力。上述结论基于模拟</w:t>
      </w:r>
      <w:r>
        <w:rPr>
          <w:rFonts w:eastAsia="楷体"/>
          <w:sz w:val="20"/>
          <w:szCs w:val="20"/>
        </w:rPr>
        <w:t xml:space="preserve"> TEE</w:t>
      </w:r>
      <w:r>
        <w:rPr>
          <w:rFonts w:eastAsia="楷体"/>
          <w:sz w:val="20"/>
          <w:szCs w:val="20"/>
        </w:rPr>
        <w:t>、可验证</w:t>
      </w:r>
      <w:r>
        <w:rPr>
          <w:rFonts w:eastAsia="楷体"/>
          <w:sz w:val="20"/>
          <w:szCs w:val="20"/>
        </w:rPr>
        <w:t xml:space="preserve"> DA </w:t>
      </w:r>
      <w:r>
        <w:rPr>
          <w:rFonts w:eastAsia="楷体"/>
          <w:sz w:val="20"/>
          <w:szCs w:val="20"/>
        </w:rPr>
        <w:t>注册表和配置化成本模型。</w:t>
      </w:r>
    </w:p>
    <w:p w14:paraId="10354BC5"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67A86D7A"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437CC1E7"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71741DA6"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0EA25162"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418DB9F"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8AE0D05"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583663BD"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，其风险也集中在异常路径：一旦恢复机制和证据入口缺失，系统会在最需要仲裁时失去协议连续性。</w:t>
      </w:r>
    </w:p>
    <w:p w14:paraId="399D2B38" w14:textId="77777777" w:rsidR="00580E0B" w:rsidRDefault="00000000">
      <w:pPr>
        <w:ind w:firstLine="408"/>
      </w:pPr>
      <w:r>
        <w:rPr>
          <w:sz w:val="20"/>
        </w:rPr>
        <w:t>超时后挑战流程卡死属于协议活性与仲裁连续性问</w:t>
      </w:r>
      <w:r>
        <w:rPr>
          <w:sz w:val="20"/>
        </w:rPr>
        <w:t>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D8FC9DA"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703F871C" w14:textId="7FAFEAAC" w:rsidR="00580E0B" w:rsidRDefault="00242694" w:rsidP="00242694">
      <w:pPr>
        <w:spacing w:before="80" w:after="40" w:line="240" w:lineRule="auto"/>
        <w:ind w:firstLineChars="200" w:firstLine="470"/>
        <w:jc w:val="left"/>
      </w:pPr>
      <w:r>
        <w:rPr>
          <w:rFonts w:eastAsia="黑体" w:hint="eastAsia"/>
          <w:b/>
          <w:bCs/>
          <w:sz w:val="23"/>
          <w:szCs w:val="23"/>
        </w:rPr>
        <w:t>本文的贡献如下</w:t>
      </w:r>
    </w:p>
    <w:p w14:paraId="3D9D7148" w14:textId="39331E3B"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C0F9DBD"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08637A31" w14:textId="77777777" w:rsidR="00CC3364" w:rsidRDefault="00CC3364" w:rsidP="00CC3364">
      <w:pPr>
        <w:spacing w:before="120" w:after="60" w:line="240" w:lineRule="auto"/>
        <w:ind w:firstLine="0"/>
        <w:jc w:val="left"/>
        <w:rPr>
          <w:sz w:val="20"/>
        </w:rPr>
      </w:pPr>
      <w:r w:rsidRPr="00CC3364">
        <w:rPr>
          <w:rFonts w:hint="eastAsia"/>
          <w:sz w:val="20"/>
        </w:rPr>
        <w:lastRenderedPageBreak/>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942320C" w14:textId="5FC48F46" w:rsidR="00580E0B" w:rsidRDefault="00000000" w:rsidP="00242694">
      <w:pPr>
        <w:spacing w:before="120" w:after="60" w:line="240" w:lineRule="auto"/>
        <w:ind w:firstLine="0"/>
        <w:jc w:val="left"/>
      </w:pPr>
      <w:r>
        <w:rPr>
          <w:rFonts w:eastAsia="黑体"/>
          <w:b/>
          <w:bCs/>
          <w:sz w:val="23"/>
          <w:szCs w:val="23"/>
        </w:rPr>
        <w:t xml:space="preserve">2  </w:t>
      </w:r>
      <w:r>
        <w:rPr>
          <w:rFonts w:eastAsia="黑体"/>
          <w:b/>
          <w:bCs/>
          <w:sz w:val="23"/>
          <w:szCs w:val="23"/>
        </w:rPr>
        <w:t>相关工作</w:t>
      </w:r>
    </w:p>
    <w:p w14:paraId="7B86EA45"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01D65946" w14:textId="77777777" w:rsidR="00580E0B" w:rsidRDefault="00000000">
      <w:pPr>
        <w:ind w:firstLine="408"/>
      </w:pPr>
      <w:r>
        <w:rPr>
          <w:sz w:val="20"/>
        </w:rPr>
        <w:t xml:space="preserve">opML </w:t>
      </w:r>
      <w:r>
        <w:rPr>
          <w:sz w:val="20"/>
        </w:rPr>
        <w:t>与</w:t>
      </w:r>
      <w:r>
        <w:rPr>
          <w:sz w:val="20"/>
        </w:rPr>
        <w:t xml:space="preserve"> optimistic fraud proof </w:t>
      </w:r>
      <w:r>
        <w:rPr>
          <w:sz w:val="20"/>
        </w:rPr>
        <w:t>等工作研究如何通过乐观证明支持复杂计算，通常包含二分定位、单步仲裁和链上验证。本文借鉴交互式争议定位思想，但不实现完整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172B7DD1"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134062D8" w14:textId="39F8E6B7" w:rsidR="00580E0B" w:rsidRDefault="00000000" w:rsidP="00242694">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281CBB88" w14:textId="77777777" w:rsidR="00580E0B" w:rsidRDefault="00000000">
      <w:pPr>
        <w:ind w:firstLine="408"/>
      </w:pPr>
      <w:r>
        <w:t xml:space="preserve">Rollup </w:t>
      </w:r>
      <w:r>
        <w:t>的基本思想是将大量执行过程移至链下完成，并将状态承诺、证明或争议入口提交到链上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715319AF"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4388D194" w14:textId="4D748D6D" w:rsidR="00580E0B" w:rsidRDefault="00000000" w:rsidP="00242694">
      <w:pPr>
        <w:ind w:firstLine="408"/>
      </w:pPr>
      <w:r>
        <w:t>数据可用性关注链下或链外数据能否被验证者</w:t>
      </w:r>
      <w:r>
        <w:t>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72DCE9E3"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2005A27A"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336E349"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3BBA2D81" w14:textId="5716D1F1" w:rsidR="00580E0B" w:rsidRDefault="00000000">
      <w:pPr>
        <w:ind w:firstLine="408"/>
      </w:pPr>
      <w:r>
        <w:rPr>
          <w:sz w:val="20"/>
        </w:rPr>
        <w:t>系统包含三个角色</w:t>
      </w:r>
      <w:r w:rsidR="00242694">
        <w:rPr>
          <w:rFonts w:hint="eastAsia"/>
          <w:sz w:val="20"/>
        </w:rPr>
        <w:t>，即执行层，</w:t>
      </w:r>
      <w:r w:rsidR="00242694">
        <w:rPr>
          <w:rFonts w:hint="eastAsia"/>
          <w:sz w:val="20"/>
        </w:rPr>
        <w:t>DA</w:t>
      </w:r>
      <w:r w:rsidR="00242694">
        <w:rPr>
          <w:rFonts w:hint="eastAsia"/>
          <w:sz w:val="20"/>
        </w:rPr>
        <w:t>层和验证层</w:t>
      </w:r>
      <w:r>
        <w:rPr>
          <w:sz w:val="20"/>
        </w:rPr>
        <w:t>：执行层负责产生正常路径下的响应与远程证明；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70B0BE05" w14:textId="77777777">
        <w:trPr>
          <w:jc w:val="center"/>
        </w:trPr>
        <w:tc>
          <w:tcPr>
            <w:tcW w:w="4464" w:type="dxa"/>
            <w:tcBorders>
              <w:bottom w:val="single" w:sz="6" w:space="0" w:color="000000"/>
            </w:tcBorders>
            <w:vAlign w:val="center"/>
          </w:tcPr>
          <w:p w14:paraId="70707A5D" w14:textId="77777777" w:rsidR="00580E0B" w:rsidRDefault="00257EB1">
            <w:pPr>
              <w:keepNext/>
              <w:spacing w:line="180" w:lineRule="auto"/>
              <w:ind w:firstLine="0"/>
              <w:jc w:val="center"/>
            </w:pPr>
            <w:r>
              <w:rPr>
                <w:noProof/>
                <w:sz w:val="15"/>
                <w:szCs w:val="15"/>
              </w:rPr>
              <w:lastRenderedPageBreak/>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26132D16"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48B55CAA" w14:textId="77777777" w:rsidR="00580E0B" w:rsidRDefault="00000000">
            <w:pPr>
              <w:spacing w:line="180" w:lineRule="auto"/>
              <w:ind w:firstLine="0"/>
              <w:jc w:val="center"/>
            </w:pPr>
            <w:r>
              <w:rPr>
                <w:sz w:val="15"/>
                <w:szCs w:val="15"/>
              </w:rPr>
              <w:t>Fig.1  Prototype architecture of Hybrid TEE-Rollup</w:t>
            </w:r>
          </w:p>
        </w:tc>
      </w:tr>
    </w:tbl>
    <w:p w14:paraId="4776C4F8"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326F4160"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12BCD33"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386C08C0"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239884E5"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2D2F022F"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7F73995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w:t>
      </w:r>
      <w:r>
        <w:rPr>
          <w:sz w:val="20"/>
        </w:rPr>
        <w:t>失，则异常应被归类为数据可用性故障，而不应被误写为已完成重放的执行错误。</w:t>
      </w:r>
    </w:p>
    <w:p w14:paraId="10CF9241"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062A78B2"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2664F72B"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0A6AF06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43969490"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02CE21AC"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38EE704B"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2E56B88E"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4FF2D8C1" w14:textId="77777777" w:rsidR="00580E0B" w:rsidRDefault="00000000">
      <w:pPr>
        <w:ind w:firstLine="0"/>
        <w:jc w:val="left"/>
      </w:pPr>
      <w:r>
        <w:rPr>
          <w:rFonts w:ascii="黑体" w:eastAsia="黑体" w:hAnsi="黑体"/>
          <w:b/>
          <w:sz w:val="20"/>
        </w:rPr>
        <w:t>定义 1（挑战会话）</w:t>
      </w:r>
    </w:p>
    <w:p w14:paraId="327254A8" w14:textId="77777777" w:rsidR="00580E0B" w:rsidRDefault="00000000">
      <w:pPr>
        <w:ind w:firstLine="408"/>
      </w:pPr>
      <w:r>
        <w:rPr>
          <w:sz w:val="20"/>
        </w:rPr>
        <w:t>挑战会话定义为：</w:t>
      </w:r>
      <w:r>
        <w:rPr>
          <w:sz w:val="20"/>
        </w:rPr>
        <w:t>cs = (id, s, F, T)</w:t>
      </w:r>
      <w:r>
        <w:rPr>
          <w:sz w:val="20"/>
        </w:rPr>
        <w:t>。</w:t>
      </w:r>
    </w:p>
    <w:p w14:paraId="67268420" w14:textId="77777777" w:rsidR="00580E0B" w:rsidRDefault="00000000">
      <w:pPr>
        <w:ind w:firstLine="408"/>
      </w:pPr>
      <w:r>
        <w:rPr>
          <w:sz w:val="20"/>
        </w:rPr>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4BA7AA53" w14:textId="77777777" w:rsidR="00580E0B" w:rsidRDefault="00000000">
      <w:pPr>
        <w:ind w:firstLine="0"/>
        <w:jc w:val="left"/>
      </w:pPr>
      <w:r>
        <w:rPr>
          <w:rFonts w:ascii="黑体" w:eastAsia="黑体" w:hAnsi="黑体"/>
          <w:b/>
          <w:sz w:val="20"/>
        </w:rPr>
        <w:t>定义 2（挑战状态机）</w:t>
      </w:r>
    </w:p>
    <w:p w14:paraId="7A3DFECD" w14:textId="77777777" w:rsidR="00580E0B" w:rsidRDefault="00000000">
      <w:pPr>
        <w:ind w:firstLine="408"/>
      </w:pPr>
      <w:r>
        <w:rPr>
          <w:sz w:val="20"/>
        </w:rPr>
        <w:t>挑战状态机定义为：</w:t>
      </w:r>
      <w:r>
        <w:rPr>
          <w:sz w:val="20"/>
        </w:rPr>
        <w:t>M = (S, E, δ)</w:t>
      </w:r>
      <w:r>
        <w:rPr>
          <w:sz w:val="20"/>
        </w:rPr>
        <w:t>。</w:t>
      </w:r>
    </w:p>
    <w:p w14:paraId="3764F7B5"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377FB0B3" w14:textId="77777777" w:rsidR="00580E0B" w:rsidRDefault="00000000">
      <w:pPr>
        <w:ind w:firstLine="0"/>
        <w:jc w:val="left"/>
      </w:pPr>
      <w:r>
        <w:rPr>
          <w:rFonts w:ascii="黑体" w:eastAsia="黑体" w:hAnsi="黑体"/>
          <w:b/>
          <w:sz w:val="20"/>
        </w:rPr>
        <w:t>定义 3（恢复函数）</w:t>
      </w:r>
    </w:p>
    <w:p w14:paraId="38AA839E" w14:textId="77777777" w:rsidR="00580E0B" w:rsidRDefault="00000000">
      <w:pPr>
        <w:ind w:firstLine="408"/>
      </w:pPr>
      <w:r>
        <w:rPr>
          <w:sz w:val="20"/>
        </w:rPr>
        <w:t>恢复函数定义为：</w:t>
      </w:r>
      <w:r>
        <w:rPr>
          <w:sz w:val="20"/>
        </w:rPr>
        <w:t>Recover(cs) = cs'</w:t>
      </w:r>
      <w:r>
        <w:rPr>
          <w:sz w:val="20"/>
        </w:rPr>
        <w:t>。</w:t>
      </w:r>
    </w:p>
    <w:p w14:paraId="7E8A3806" w14:textId="70622CF5" w:rsidR="00580E0B" w:rsidRDefault="00000000" w:rsidP="00242694">
      <w:pPr>
        <w:ind w:firstLine="408"/>
      </w:pPr>
      <w:r>
        <w:rPr>
          <w:sz w:val="20"/>
        </w:rPr>
        <w:lastRenderedPageBreak/>
        <w:t>恢复仅改变活性相关状态，不改变挑战事实，即满足：</w:t>
      </w:r>
      <w:r>
        <w:rPr>
          <w:sz w:val="20"/>
        </w:rPr>
        <w:t>F(cs) = F(Recover(cs))</w:t>
      </w:r>
      <w:r>
        <w:rPr>
          <w:sz w:val="20"/>
        </w:rPr>
        <w:t>。</w:t>
      </w:r>
    </w:p>
    <w:p w14:paraId="1794279C"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29C03A34" w14:textId="77777777" w:rsidR="00580E0B" w:rsidRDefault="00000000">
      <w:pPr>
        <w:spacing w:before="60" w:after="30" w:line="240" w:lineRule="auto"/>
        <w:ind w:firstLine="0"/>
        <w:jc w:val="left"/>
      </w:pPr>
      <w:r>
        <w:rPr>
          <w:rFonts w:eastAsia="黑体"/>
          <w:b/>
          <w:bCs/>
          <w:sz w:val="21"/>
          <w:szCs w:val="21"/>
        </w:rPr>
        <w:t xml:space="preserve">4.1.2  </w:t>
      </w:r>
      <w:r>
        <w:rPr>
          <w:rFonts w:eastAsia="黑体"/>
          <w:b/>
          <w:bCs/>
          <w:sz w:val="21"/>
          <w:szCs w:val="21"/>
        </w:rPr>
        <w:t>超时、恢复、重放与仲裁结算</w:t>
      </w:r>
    </w:p>
    <w:p w14:paraId="4E85AF03" w14:textId="77777777"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1A32D31A" w14:textId="77777777">
        <w:trPr>
          <w:jc w:val="center"/>
        </w:trPr>
        <w:tc>
          <w:tcPr>
            <w:tcW w:w="4464" w:type="dxa"/>
            <w:tcBorders>
              <w:bottom w:val="single" w:sz="6" w:space="0" w:color="000000"/>
            </w:tcBorders>
            <w:vAlign w:val="center"/>
          </w:tcPr>
          <w:p w14:paraId="7997E2EC"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52E979F5"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61F8A084" w14:textId="77777777" w:rsidR="00580E0B" w:rsidRDefault="00000000">
            <w:pPr>
              <w:spacing w:line="180" w:lineRule="auto"/>
              <w:ind w:firstLine="0"/>
              <w:jc w:val="center"/>
            </w:pPr>
            <w:r>
              <w:rPr>
                <w:sz w:val="15"/>
                <w:szCs w:val="15"/>
              </w:rPr>
              <w:t>Fig.2  Workflow of the recoverable challenge protocol</w:t>
            </w:r>
          </w:p>
        </w:tc>
      </w:tr>
    </w:tbl>
    <w:p w14:paraId="2AD95C8C"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，从而避免对长执行轨迹进行线性扫描。</w:t>
      </w:r>
    </w:p>
    <w:p w14:paraId="6FC02100"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38BEFB68"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1BF88BF"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BEDB132" w14:textId="77777777" w:rsidR="00580E0B" w:rsidRDefault="00000000">
      <w:pPr>
        <w:spacing w:before="60" w:after="30" w:line="240" w:lineRule="auto"/>
        <w:ind w:firstLine="0"/>
        <w:jc w:val="left"/>
      </w:pPr>
      <w:r>
        <w:rPr>
          <w:rFonts w:eastAsia="黑体"/>
          <w:b/>
          <w:bCs/>
          <w:sz w:val="21"/>
          <w:szCs w:val="21"/>
        </w:rPr>
        <w:t xml:space="preserve">4.1.3  </w:t>
      </w:r>
      <w:r>
        <w:rPr>
          <w:rFonts w:eastAsia="黑体"/>
          <w:b/>
          <w:bCs/>
          <w:sz w:val="21"/>
          <w:szCs w:val="21"/>
        </w:rPr>
        <w:t>正确性边界与协议性质</w:t>
      </w:r>
    </w:p>
    <w:p w14:paraId="68B3B2A3"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50D91192"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283FFA2"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0CF2AB6B" w14:textId="77777777" w:rsidR="00580E0B" w:rsidRDefault="00000000">
      <w:pPr>
        <w:spacing w:before="60" w:after="30" w:line="240" w:lineRule="auto"/>
        <w:ind w:firstLine="0"/>
        <w:jc w:val="left"/>
      </w:pPr>
      <w:r>
        <w:rPr>
          <w:rFonts w:eastAsia="黑体"/>
          <w:b/>
          <w:bCs/>
          <w:sz w:val="21"/>
          <w:szCs w:val="21"/>
        </w:rPr>
        <w:t xml:space="preserve">4.1.4  </w:t>
      </w:r>
      <w:r>
        <w:rPr>
          <w:rFonts w:eastAsia="黑体"/>
          <w:b/>
          <w:bCs/>
          <w:sz w:val="21"/>
          <w:szCs w:val="21"/>
        </w:rPr>
        <w:t>协议性质</w:t>
      </w:r>
    </w:p>
    <w:p w14:paraId="54A6D8E0"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w:t>
      </w:r>
      <w:r>
        <w:rPr>
          <w:sz w:val="20"/>
        </w:rPr>
        <w:lastRenderedPageBreak/>
        <w:t>安全性与活性的分离、仲裁连续性和恢复操作正确性四项性质，并给出协议不变量表格，以明确恢复机制的协议语义边界。</w:t>
      </w:r>
    </w:p>
    <w:p w14:paraId="1FDADB46" w14:textId="5597D93F" w:rsidR="00580E0B" w:rsidRDefault="00000000" w:rsidP="00242694">
      <w:pPr>
        <w:spacing w:before="60" w:after="30" w:line="240" w:lineRule="auto"/>
        <w:ind w:firstLine="408"/>
        <w:jc w:val="left"/>
      </w:pPr>
      <w:r>
        <w:rPr>
          <w:rFonts w:eastAsia="黑体"/>
          <w:b/>
          <w:bCs/>
          <w:sz w:val="21"/>
          <w:szCs w:val="21"/>
        </w:rPr>
        <w:t>挑战事实不变性</w:t>
      </w:r>
    </w:p>
    <w:p w14:paraId="2A1AD45D"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6251B5A5"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3B26E2E"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1F39C27D"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05E6FEEB"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09CE381E" w14:textId="77777777" w:rsidR="00580E0B" w:rsidRDefault="00000000">
      <w:pPr>
        <w:ind w:firstLine="408"/>
      </w:pPr>
      <w:r>
        <w:rPr>
          <w:sz w:val="20"/>
        </w:rPr>
        <w:t xml:space="preserve">• </w:t>
      </w:r>
      <w:r>
        <w:rPr>
          <w:sz w:val="20"/>
        </w:rPr>
        <w:t>重放证据：二分缩小后定位到的目标步骤与对应的预期哈希和声明哈希；</w:t>
      </w:r>
    </w:p>
    <w:p w14:paraId="474B99F6"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3A5E3BA6"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4C231B82"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79E319A6" w14:textId="387ADA1A" w:rsidR="00580E0B" w:rsidRDefault="00000000" w:rsidP="00242694">
      <w:pPr>
        <w:spacing w:before="60" w:after="30" w:line="240" w:lineRule="auto"/>
        <w:ind w:firstLineChars="200" w:firstLine="430"/>
        <w:jc w:val="left"/>
      </w:pPr>
      <w:r>
        <w:rPr>
          <w:rFonts w:eastAsia="黑体"/>
          <w:b/>
          <w:bCs/>
          <w:sz w:val="21"/>
          <w:szCs w:val="21"/>
        </w:rPr>
        <w:t>安全性与活性分离</w:t>
      </w:r>
    </w:p>
    <w:p w14:paraId="185BE3D4"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当挑战会话因交互超时而停滞时，恢复使其重新获得推进能力；但它不直接改变正确性判断</w:t>
      </w:r>
      <w:r>
        <w:rPr>
          <w:sz w:val="20"/>
        </w:rPr>
        <w:t>——</w:t>
      </w:r>
      <w:r>
        <w:rPr>
          <w:sz w:val="20"/>
        </w:rPr>
        <w:t>一个原本错误的执行结果不会因恢复而变为正确。</w:t>
      </w:r>
    </w:p>
    <w:p w14:paraId="183FEC7F"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w:t>
      </w:r>
      <w:r>
        <w:rPr>
          <w:sz w:val="20"/>
        </w:rPr>
        <w:t xml:space="preserve">Merkle </w:t>
      </w:r>
      <w:r>
        <w:rPr>
          <w:sz w:val="20"/>
        </w:rPr>
        <w:t>根和</w:t>
      </w:r>
      <w:r>
        <w:rPr>
          <w:sz w:val="20"/>
        </w:rPr>
        <w:t xml:space="preserve"> DA </w:t>
      </w:r>
      <w:r>
        <w:rPr>
          <w:sz w:val="20"/>
        </w:rPr>
        <w:t>指针在提交时已锁定。</w:t>
      </w:r>
    </w:p>
    <w:p w14:paraId="67608B9E"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DD9112C" w14:textId="13AE2082" w:rsidR="00580E0B" w:rsidRDefault="00000000" w:rsidP="00242694">
      <w:pPr>
        <w:spacing w:before="60" w:after="30" w:line="240" w:lineRule="auto"/>
        <w:ind w:firstLineChars="200" w:firstLine="430"/>
        <w:jc w:val="left"/>
      </w:pPr>
      <w:r>
        <w:rPr>
          <w:rFonts w:eastAsia="黑体"/>
          <w:b/>
          <w:bCs/>
          <w:sz w:val="21"/>
          <w:szCs w:val="21"/>
        </w:rPr>
        <w:t>仲裁连续性</w:t>
      </w:r>
    </w:p>
    <w:p w14:paraId="0B74D0F4" w14:textId="6FDF77F0" w:rsidR="00580E0B" w:rsidRDefault="00000000">
      <w:pPr>
        <w:ind w:firstLine="408"/>
      </w:pPr>
      <w:r>
        <w:rPr>
          <w:sz w:val="20"/>
        </w:rP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1B80DFCF"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3A16C065"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5DFC560"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44A3AFD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569CCAC1"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w:t>
      </w:r>
      <w:r>
        <w:rPr>
          <w:sz w:val="20"/>
        </w:rPr>
        <w:lastRenderedPageBreak/>
        <w:t>于链上字节压缩。</w:t>
      </w:r>
    </w:p>
    <w:p w14:paraId="581B222F"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23FB3746"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778435DE"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61383C1"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55B25190"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34EFE1F9"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71BCCD12"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73140D8B"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w:t>
      </w:r>
      <w:r>
        <w:rPr>
          <w:sz w:val="20"/>
        </w:rPr>
        <w:t>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63587DD0"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54DF7931" w14:textId="77777777" w:rsidR="00580E0B" w:rsidRDefault="00000000">
      <w:pPr>
        <w:ind w:firstLine="408"/>
      </w:pPr>
      <w:r>
        <w:rPr>
          <w:sz w:val="20"/>
        </w:rPr>
        <w:t xml:space="preserve">C_amortized = C_total / batch_size </w:t>
      </w:r>
      <w:r>
        <w:rPr>
          <w:sz w:val="20"/>
        </w:rPr>
        <w:t>（</w:t>
      </w:r>
      <w:r>
        <w:rPr>
          <w:sz w:val="20"/>
        </w:rPr>
        <w:t>2</w:t>
      </w:r>
      <w:r>
        <w:rPr>
          <w:sz w:val="20"/>
        </w:rPr>
        <w:t>）</w:t>
      </w:r>
    </w:p>
    <w:p w14:paraId="1C392478"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5738D700" w14:textId="77777777"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A9CF8D0"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330206ED"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2C93DF5" w14:textId="77777777">
        <w:trPr>
          <w:jc w:val="center"/>
        </w:trPr>
        <w:tc>
          <w:tcPr>
            <w:tcW w:w="4464" w:type="dxa"/>
            <w:tcBorders>
              <w:bottom w:val="single" w:sz="6" w:space="0" w:color="000000"/>
            </w:tcBorders>
            <w:vAlign w:val="center"/>
          </w:tcPr>
          <w:p w14:paraId="6FD070E3"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2A87968C"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2EA749DC" w14:textId="77777777" w:rsidR="00580E0B" w:rsidRDefault="00000000">
            <w:pPr>
              <w:spacing w:line="180" w:lineRule="auto"/>
              <w:ind w:firstLine="0"/>
              <w:jc w:val="center"/>
            </w:pPr>
            <w:r>
              <w:rPr>
                <w:sz w:val="15"/>
                <w:szCs w:val="15"/>
              </w:rPr>
              <w:t>Fig.3  Byte-size comparison between full payloads and compact commits</w:t>
            </w:r>
          </w:p>
        </w:tc>
      </w:tr>
    </w:tbl>
    <w:p w14:paraId="5D5AD351" w14:textId="77777777"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0069B92D" w14:textId="77777777" w:rsidR="00580E0B" w:rsidRDefault="00000000">
      <w:pPr>
        <w:ind w:firstLine="408"/>
      </w:pPr>
      <w:r>
        <w:rPr>
          <w:sz w:val="20"/>
        </w:rPr>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72F1924A"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w:t>
      </w:r>
      <w:r>
        <w:rPr>
          <w:sz w:val="20"/>
        </w:rPr>
        <w:lastRenderedPageBreak/>
        <w:t xml:space="preserve">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A454DDC" w14:textId="77777777">
        <w:trPr>
          <w:jc w:val="center"/>
        </w:trPr>
        <w:tc>
          <w:tcPr>
            <w:tcW w:w="4464" w:type="dxa"/>
            <w:tcBorders>
              <w:bottom w:val="single" w:sz="6" w:space="0" w:color="000000"/>
            </w:tcBorders>
            <w:vAlign w:val="center"/>
          </w:tcPr>
          <w:p w14:paraId="388621C3"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0CCA07E4"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3D9D6555" w14:textId="77777777" w:rsidR="00580E0B" w:rsidRDefault="00000000">
            <w:pPr>
              <w:spacing w:line="180" w:lineRule="auto"/>
              <w:ind w:firstLine="0"/>
              <w:jc w:val="center"/>
            </w:pPr>
            <w:r>
              <w:rPr>
                <w:sz w:val="15"/>
                <w:szCs w:val="15"/>
              </w:rPr>
              <w:t>Fig.4  Amortized gas trends under different DA configurations</w:t>
            </w:r>
          </w:p>
        </w:tc>
      </w:tr>
    </w:tbl>
    <w:p w14:paraId="2FC8E4EA" w14:textId="77777777"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49029F60"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04A912D3"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77FBE8AC"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161A15E2" w14:textId="77777777" w:rsidR="00580E0B" w:rsidRDefault="00000000">
      <w:pPr>
        <w:ind w:firstLine="408"/>
      </w:pPr>
      <w:r>
        <w:rPr>
          <w:sz w:val="20"/>
        </w:rPr>
        <w:t>该比例仅表示本地</w:t>
      </w:r>
      <w:r>
        <w:rPr>
          <w:sz w:val="20"/>
        </w:rPr>
        <w:t xml:space="preserve"> EVM </w:t>
      </w:r>
      <w:r>
        <w:rPr>
          <w:sz w:val="20"/>
        </w:rPr>
        <w:t>中两条合约路径的相对开销。</w:t>
      </w:r>
    </w:p>
    <w:p w14:paraId="01C63B46" w14:textId="77777777"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2CDC9A70"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261D8266"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w:t>
      </w:r>
      <w:r>
        <w:rPr>
          <w:sz w:val="20"/>
        </w:rPr>
        <w:t>远程证明无效、数据不可用和数据可用性证明无效在当前原型中体现为检测和拒绝能力，尚未形成完整的挑战到罚没路径。超时不可恢复场景体现为检测但无法完成仲裁；超时可恢复场景则形成完整闭环。</w:t>
      </w:r>
    </w:p>
    <w:p w14:paraId="5520470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25134A0"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22C3FD82" w14:textId="77777777">
        <w:trPr>
          <w:tblHeader/>
          <w:jc w:val="center"/>
        </w:trPr>
        <w:tc>
          <w:tcPr>
            <w:tcW w:w="892" w:type="dxa"/>
            <w:tcBorders>
              <w:bottom w:val="single" w:sz="6" w:space="0" w:color="000000"/>
            </w:tcBorders>
            <w:vAlign w:val="center"/>
          </w:tcPr>
          <w:p w14:paraId="105CC59B"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521578DD"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1CCAA0E9"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248BD054" w14:textId="77777777" w:rsidR="00580E0B" w:rsidRDefault="00000000">
            <w:pPr>
              <w:spacing w:line="180" w:lineRule="auto"/>
              <w:ind w:firstLine="0"/>
              <w:jc w:val="center"/>
            </w:pPr>
            <w:r>
              <w:rPr>
                <w:b/>
                <w:sz w:val="15"/>
                <w:szCs w:val="15"/>
              </w:rPr>
              <w:t>证据边界</w:t>
            </w:r>
          </w:p>
        </w:tc>
      </w:tr>
      <w:tr w:rsidR="00580E0B" w14:paraId="16BF45D0" w14:textId="77777777">
        <w:trPr>
          <w:jc w:val="center"/>
        </w:trPr>
        <w:tc>
          <w:tcPr>
            <w:tcW w:w="892" w:type="dxa"/>
            <w:vAlign w:val="center"/>
          </w:tcPr>
          <w:p w14:paraId="53E139A5" w14:textId="77777777" w:rsidR="00580E0B" w:rsidRDefault="00000000">
            <w:pPr>
              <w:spacing w:line="180" w:lineRule="auto"/>
              <w:ind w:firstLine="0"/>
              <w:jc w:val="center"/>
            </w:pPr>
            <w:r>
              <w:rPr>
                <w:sz w:val="15"/>
                <w:szCs w:val="15"/>
              </w:rPr>
              <w:t>正常路径</w:t>
            </w:r>
          </w:p>
        </w:tc>
        <w:tc>
          <w:tcPr>
            <w:tcW w:w="1116" w:type="dxa"/>
            <w:vAlign w:val="center"/>
          </w:tcPr>
          <w:p w14:paraId="026D4B7B" w14:textId="77777777" w:rsidR="00580E0B" w:rsidRDefault="00000000">
            <w:pPr>
              <w:spacing w:line="180" w:lineRule="auto"/>
              <w:ind w:firstLine="0"/>
              <w:jc w:val="center"/>
            </w:pPr>
            <w:r>
              <w:rPr>
                <w:sz w:val="15"/>
                <w:szCs w:val="15"/>
              </w:rPr>
              <w:t>正常路径</w:t>
            </w:r>
          </w:p>
        </w:tc>
        <w:tc>
          <w:tcPr>
            <w:tcW w:w="1116" w:type="dxa"/>
            <w:vAlign w:val="center"/>
          </w:tcPr>
          <w:p w14:paraId="35F56DAC" w14:textId="77777777" w:rsidR="00580E0B" w:rsidRDefault="00000000">
            <w:pPr>
              <w:spacing w:line="180" w:lineRule="auto"/>
              <w:ind w:firstLine="0"/>
              <w:jc w:val="center"/>
            </w:pPr>
            <w:r>
              <w:rPr>
                <w:sz w:val="15"/>
                <w:szCs w:val="15"/>
              </w:rPr>
              <w:t>不触发检测或罚没</w:t>
            </w:r>
          </w:p>
        </w:tc>
        <w:tc>
          <w:tcPr>
            <w:tcW w:w="1340" w:type="dxa"/>
            <w:vAlign w:val="center"/>
          </w:tcPr>
          <w:p w14:paraId="237D3DF9" w14:textId="77777777" w:rsidR="00580E0B" w:rsidRDefault="00000000">
            <w:pPr>
              <w:spacing w:line="180" w:lineRule="auto"/>
              <w:ind w:firstLine="0"/>
              <w:jc w:val="center"/>
            </w:pPr>
            <w:r>
              <w:rPr>
                <w:sz w:val="15"/>
                <w:szCs w:val="15"/>
              </w:rPr>
              <w:t>说明正常路径不误报</w:t>
            </w:r>
          </w:p>
        </w:tc>
      </w:tr>
      <w:tr w:rsidR="00580E0B" w14:paraId="6F68D734" w14:textId="77777777">
        <w:trPr>
          <w:jc w:val="center"/>
        </w:trPr>
        <w:tc>
          <w:tcPr>
            <w:tcW w:w="892" w:type="dxa"/>
            <w:vAlign w:val="center"/>
          </w:tcPr>
          <w:p w14:paraId="42E5F38F" w14:textId="77777777" w:rsidR="00580E0B" w:rsidRDefault="00000000">
            <w:pPr>
              <w:spacing w:line="180" w:lineRule="auto"/>
              <w:ind w:firstLine="0"/>
              <w:jc w:val="center"/>
            </w:pPr>
            <w:r>
              <w:rPr>
                <w:sz w:val="15"/>
                <w:szCs w:val="15"/>
              </w:rPr>
              <w:t>可检测但未统一惩罚</w:t>
            </w:r>
          </w:p>
        </w:tc>
        <w:tc>
          <w:tcPr>
            <w:tcW w:w="1116" w:type="dxa"/>
            <w:vAlign w:val="center"/>
          </w:tcPr>
          <w:p w14:paraId="0ABD9B3B"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26F8D797"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3737554" w14:textId="77777777" w:rsidR="00580E0B" w:rsidRDefault="00000000">
            <w:pPr>
              <w:spacing w:line="180" w:lineRule="auto"/>
              <w:ind w:firstLine="0"/>
              <w:jc w:val="center"/>
            </w:pPr>
            <w:r>
              <w:rPr>
                <w:sz w:val="15"/>
                <w:szCs w:val="15"/>
              </w:rPr>
              <w:t>说明可检测或拒绝，不说明已统一惩罚</w:t>
            </w:r>
          </w:p>
        </w:tc>
      </w:tr>
      <w:tr w:rsidR="00580E0B" w14:paraId="097F541C" w14:textId="77777777">
        <w:trPr>
          <w:jc w:val="center"/>
        </w:trPr>
        <w:tc>
          <w:tcPr>
            <w:tcW w:w="892" w:type="dxa"/>
            <w:vAlign w:val="center"/>
          </w:tcPr>
          <w:p w14:paraId="2414CEDE"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4D50E08E"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2C3937C"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3FDC51B" w14:textId="77777777" w:rsidR="00580E0B" w:rsidRDefault="00000000">
            <w:pPr>
              <w:spacing w:line="180" w:lineRule="auto"/>
              <w:ind w:firstLine="0"/>
              <w:jc w:val="center"/>
            </w:pPr>
            <w:r>
              <w:rPr>
                <w:sz w:val="15"/>
                <w:szCs w:val="15"/>
              </w:rPr>
              <w:t>说明典型执行异常可进入闭环</w:t>
            </w:r>
          </w:p>
        </w:tc>
      </w:tr>
      <w:tr w:rsidR="00580E0B" w14:paraId="2E2C38D1" w14:textId="77777777">
        <w:trPr>
          <w:jc w:val="center"/>
        </w:trPr>
        <w:tc>
          <w:tcPr>
            <w:tcW w:w="892" w:type="dxa"/>
            <w:vAlign w:val="center"/>
          </w:tcPr>
          <w:p w14:paraId="74CA6B98" w14:textId="77777777" w:rsidR="00580E0B" w:rsidRDefault="00000000">
            <w:pPr>
              <w:spacing w:line="180" w:lineRule="auto"/>
              <w:ind w:firstLine="0"/>
              <w:jc w:val="center"/>
            </w:pPr>
            <w:r>
              <w:rPr>
                <w:sz w:val="15"/>
                <w:szCs w:val="15"/>
              </w:rPr>
              <w:t>超时活性对比</w:t>
            </w:r>
          </w:p>
        </w:tc>
        <w:tc>
          <w:tcPr>
            <w:tcW w:w="1116" w:type="dxa"/>
            <w:vAlign w:val="center"/>
          </w:tcPr>
          <w:p w14:paraId="148E939E"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3CC1CF5E"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723D211D" w14:textId="77777777" w:rsidR="00580E0B" w:rsidRDefault="00000000">
            <w:pPr>
              <w:spacing w:line="180" w:lineRule="auto"/>
              <w:ind w:firstLine="0"/>
              <w:jc w:val="center"/>
            </w:pPr>
            <w:r>
              <w:rPr>
                <w:sz w:val="15"/>
                <w:szCs w:val="15"/>
              </w:rPr>
              <w:t>说明恢复改善仲裁活性</w:t>
            </w:r>
          </w:p>
        </w:tc>
      </w:tr>
    </w:tbl>
    <w:p w14:paraId="718C7753" w14:textId="77777777" w:rsidR="00580E0B" w:rsidRDefault="00580E0B">
      <w:pPr>
        <w:spacing w:after="60" w:line="250" w:lineRule="exact"/>
      </w:pPr>
    </w:p>
    <w:p w14:paraId="34CA9D58" w14:textId="77777777" w:rsidR="00580E0B" w:rsidRDefault="00000000">
      <w:pPr>
        <w:spacing w:before="80" w:after="40" w:line="240" w:lineRule="auto"/>
        <w:ind w:firstLine="0"/>
        <w:jc w:val="left"/>
      </w:pPr>
      <w:r>
        <w:rPr>
          <w:rFonts w:eastAsia="黑体"/>
          <w:b/>
          <w:bCs/>
          <w:sz w:val="23"/>
          <w:szCs w:val="23"/>
        </w:rPr>
        <w:t>5.5  Solidity</w:t>
      </w:r>
      <w:r>
        <w:rPr>
          <w:rFonts w:eastAsia="黑体"/>
          <w:b/>
          <w:bCs/>
          <w:sz w:val="23"/>
          <w:szCs w:val="23"/>
        </w:rPr>
        <w:t>、本地</w:t>
      </w:r>
      <w:r>
        <w:rPr>
          <w:rFonts w:eastAsia="黑体"/>
          <w:b/>
          <w:bCs/>
          <w:sz w:val="23"/>
          <w:szCs w:val="23"/>
        </w:rPr>
        <w:t xml:space="preserve"> EVM </w:t>
      </w:r>
      <w:r>
        <w:rPr>
          <w:rFonts w:eastAsia="黑体"/>
          <w:b/>
          <w:bCs/>
          <w:sz w:val="23"/>
          <w:szCs w:val="23"/>
        </w:rPr>
        <w:t>与</w:t>
      </w:r>
      <w:r>
        <w:rPr>
          <w:rFonts w:eastAsia="黑体"/>
          <w:b/>
          <w:bCs/>
          <w:sz w:val="23"/>
          <w:szCs w:val="23"/>
        </w:rPr>
        <w:t xml:space="preserve"> Sepolia </w:t>
      </w:r>
      <w:r>
        <w:rPr>
          <w:rFonts w:eastAsia="黑体"/>
          <w:b/>
          <w:bCs/>
          <w:sz w:val="23"/>
          <w:szCs w:val="23"/>
        </w:rPr>
        <w:t>证据能否支撑链上对应物</w:t>
      </w:r>
    </w:p>
    <w:p w14:paraId="5C030BEA"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7BECECC4"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4B441676"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28CA5074" w14:textId="77777777">
        <w:trPr>
          <w:tblHeader/>
          <w:jc w:val="center"/>
        </w:trPr>
        <w:tc>
          <w:tcPr>
            <w:tcW w:w="1116" w:type="dxa"/>
            <w:tcBorders>
              <w:bottom w:val="single" w:sz="6" w:space="0" w:color="000000"/>
            </w:tcBorders>
            <w:vAlign w:val="center"/>
          </w:tcPr>
          <w:p w14:paraId="0E1E7F11"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42FD6C9E"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0F3CC125" w14:textId="77777777" w:rsidR="0091511F" w:rsidRDefault="00000000">
            <w:pPr>
              <w:spacing w:line="180" w:lineRule="auto"/>
            </w:pPr>
            <w:r>
              <w:rPr>
                <w:sz w:val="15"/>
                <w:szCs w:val="15"/>
              </w:rPr>
              <w:t>含义</w:t>
            </w:r>
          </w:p>
        </w:tc>
      </w:tr>
      <w:tr w:rsidR="00580E0B" w14:paraId="5D442F18" w14:textId="77777777">
        <w:trPr>
          <w:jc w:val="center"/>
        </w:trPr>
        <w:tc>
          <w:tcPr>
            <w:tcW w:w="1116" w:type="dxa"/>
            <w:vAlign w:val="center"/>
          </w:tcPr>
          <w:p w14:paraId="747D4BD4" w14:textId="77777777" w:rsidR="00580E0B" w:rsidRDefault="00000000">
            <w:pPr>
              <w:spacing w:line="180" w:lineRule="auto"/>
              <w:ind w:firstLine="0"/>
              <w:jc w:val="center"/>
            </w:pPr>
            <w:r>
              <w:rPr>
                <w:sz w:val="15"/>
                <w:szCs w:val="15"/>
              </w:rPr>
              <w:t>registerDA</w:t>
            </w:r>
          </w:p>
        </w:tc>
        <w:tc>
          <w:tcPr>
            <w:tcW w:w="1116" w:type="dxa"/>
            <w:vAlign w:val="center"/>
          </w:tcPr>
          <w:p w14:paraId="05D2EE1E" w14:textId="77777777" w:rsidR="0091511F" w:rsidRDefault="00000000">
            <w:pPr>
              <w:spacing w:line="180" w:lineRule="auto"/>
            </w:pPr>
            <w:r>
              <w:rPr>
                <w:sz w:val="15"/>
                <w:szCs w:val="15"/>
              </w:rPr>
              <w:t>113526</w:t>
            </w:r>
          </w:p>
        </w:tc>
        <w:tc>
          <w:tcPr>
            <w:tcW w:w="2232" w:type="dxa"/>
            <w:vAlign w:val="center"/>
          </w:tcPr>
          <w:p w14:paraId="0805B02C"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D0A8427" w14:textId="77777777">
        <w:trPr>
          <w:jc w:val="center"/>
        </w:trPr>
        <w:tc>
          <w:tcPr>
            <w:tcW w:w="1116" w:type="dxa"/>
            <w:vAlign w:val="center"/>
          </w:tcPr>
          <w:p w14:paraId="1BCFA4E1" w14:textId="77777777" w:rsidR="00580E0B" w:rsidRDefault="00000000">
            <w:pPr>
              <w:spacing w:line="180" w:lineRule="auto"/>
              <w:ind w:firstLine="0"/>
              <w:jc w:val="center"/>
            </w:pPr>
            <w:r>
              <w:rPr>
                <w:sz w:val="15"/>
                <w:szCs w:val="15"/>
              </w:rPr>
              <w:t>submitRollup</w:t>
            </w:r>
          </w:p>
        </w:tc>
        <w:tc>
          <w:tcPr>
            <w:tcW w:w="1116" w:type="dxa"/>
            <w:vAlign w:val="center"/>
          </w:tcPr>
          <w:p w14:paraId="07F51A91" w14:textId="77777777" w:rsidR="0091511F" w:rsidRDefault="00000000">
            <w:pPr>
              <w:spacing w:line="180" w:lineRule="auto"/>
            </w:pPr>
            <w:r>
              <w:rPr>
                <w:sz w:val="15"/>
                <w:szCs w:val="15"/>
              </w:rPr>
              <w:t>299033.67</w:t>
            </w:r>
          </w:p>
        </w:tc>
        <w:tc>
          <w:tcPr>
            <w:tcW w:w="2232" w:type="dxa"/>
            <w:vAlign w:val="center"/>
          </w:tcPr>
          <w:p w14:paraId="6108E372" w14:textId="77777777" w:rsidR="00580E0B" w:rsidRDefault="00000000">
            <w:pPr>
              <w:spacing w:line="180" w:lineRule="auto"/>
              <w:ind w:firstLine="0"/>
              <w:jc w:val="center"/>
            </w:pPr>
            <w:r>
              <w:rPr>
                <w:sz w:val="15"/>
                <w:szCs w:val="15"/>
              </w:rPr>
              <w:t>紧凑提交提交路径</w:t>
            </w:r>
          </w:p>
        </w:tc>
      </w:tr>
      <w:tr w:rsidR="00580E0B" w14:paraId="6A459CFE" w14:textId="77777777">
        <w:trPr>
          <w:jc w:val="center"/>
        </w:trPr>
        <w:tc>
          <w:tcPr>
            <w:tcW w:w="1116" w:type="dxa"/>
            <w:vAlign w:val="center"/>
          </w:tcPr>
          <w:p w14:paraId="077C89B0" w14:textId="77777777" w:rsidR="00580E0B" w:rsidRDefault="00000000">
            <w:pPr>
              <w:spacing w:line="180" w:lineRule="auto"/>
              <w:ind w:firstLine="0"/>
              <w:jc w:val="center"/>
            </w:pPr>
            <w:r>
              <w:rPr>
                <w:sz w:val="15"/>
                <w:szCs w:val="15"/>
              </w:rPr>
              <w:t>challengeOpen</w:t>
            </w:r>
          </w:p>
        </w:tc>
        <w:tc>
          <w:tcPr>
            <w:tcW w:w="1116" w:type="dxa"/>
            <w:vAlign w:val="center"/>
          </w:tcPr>
          <w:p w14:paraId="4FBADD48" w14:textId="77777777" w:rsidR="0091511F" w:rsidRDefault="00000000">
            <w:pPr>
              <w:spacing w:line="180" w:lineRule="auto"/>
            </w:pPr>
            <w:r>
              <w:rPr>
                <w:sz w:val="15"/>
                <w:szCs w:val="15"/>
              </w:rPr>
              <w:t>283769</w:t>
            </w:r>
          </w:p>
        </w:tc>
        <w:tc>
          <w:tcPr>
            <w:tcW w:w="2232" w:type="dxa"/>
            <w:vAlign w:val="center"/>
          </w:tcPr>
          <w:p w14:paraId="4EC803C6" w14:textId="77777777" w:rsidR="00580E0B" w:rsidRDefault="00000000">
            <w:pPr>
              <w:spacing w:line="180" w:lineRule="auto"/>
              <w:ind w:firstLine="0"/>
              <w:jc w:val="center"/>
            </w:pPr>
            <w:r>
              <w:rPr>
                <w:sz w:val="15"/>
                <w:szCs w:val="15"/>
              </w:rPr>
              <w:t>打开争议并加载证据</w:t>
            </w:r>
          </w:p>
        </w:tc>
      </w:tr>
      <w:tr w:rsidR="00580E0B" w14:paraId="6C3F14A2" w14:textId="77777777">
        <w:trPr>
          <w:jc w:val="center"/>
        </w:trPr>
        <w:tc>
          <w:tcPr>
            <w:tcW w:w="1116" w:type="dxa"/>
            <w:vAlign w:val="center"/>
          </w:tcPr>
          <w:p w14:paraId="0BA4A2DB" w14:textId="77777777" w:rsidR="00580E0B" w:rsidRDefault="00000000">
            <w:pPr>
              <w:spacing w:line="180" w:lineRule="auto"/>
              <w:ind w:firstLine="0"/>
              <w:jc w:val="center"/>
            </w:pPr>
            <w:r>
              <w:rPr>
                <w:sz w:val="15"/>
                <w:szCs w:val="15"/>
              </w:rPr>
              <w:t>challengeRespond</w:t>
            </w:r>
          </w:p>
        </w:tc>
        <w:tc>
          <w:tcPr>
            <w:tcW w:w="1116" w:type="dxa"/>
            <w:vAlign w:val="center"/>
          </w:tcPr>
          <w:p w14:paraId="46085239" w14:textId="77777777" w:rsidR="0091511F" w:rsidRDefault="00000000">
            <w:pPr>
              <w:spacing w:line="180" w:lineRule="auto"/>
            </w:pPr>
            <w:r>
              <w:rPr>
                <w:sz w:val="15"/>
                <w:szCs w:val="15"/>
              </w:rPr>
              <w:t>65886</w:t>
            </w:r>
          </w:p>
        </w:tc>
        <w:tc>
          <w:tcPr>
            <w:tcW w:w="2232" w:type="dxa"/>
            <w:vAlign w:val="center"/>
          </w:tcPr>
          <w:p w14:paraId="4847240E" w14:textId="77777777" w:rsidR="00580E0B" w:rsidRDefault="00000000">
            <w:pPr>
              <w:spacing w:line="180" w:lineRule="auto"/>
              <w:ind w:firstLine="0"/>
              <w:jc w:val="center"/>
            </w:pPr>
            <w:r>
              <w:rPr>
                <w:sz w:val="15"/>
                <w:szCs w:val="15"/>
              </w:rPr>
              <w:t>被挑战方响应</w:t>
            </w:r>
          </w:p>
        </w:tc>
      </w:tr>
      <w:tr w:rsidR="00580E0B" w14:paraId="12F2AF9B" w14:textId="77777777">
        <w:trPr>
          <w:jc w:val="center"/>
        </w:trPr>
        <w:tc>
          <w:tcPr>
            <w:tcW w:w="1116" w:type="dxa"/>
            <w:vAlign w:val="center"/>
          </w:tcPr>
          <w:p w14:paraId="4B078C1A" w14:textId="77777777" w:rsidR="00580E0B" w:rsidRDefault="00000000">
            <w:pPr>
              <w:spacing w:line="180" w:lineRule="auto"/>
              <w:ind w:firstLine="0"/>
              <w:jc w:val="center"/>
            </w:pPr>
            <w:r>
              <w:rPr>
                <w:sz w:val="15"/>
                <w:szCs w:val="15"/>
              </w:rPr>
              <w:t>challengeStep</w:t>
            </w:r>
          </w:p>
        </w:tc>
        <w:tc>
          <w:tcPr>
            <w:tcW w:w="1116" w:type="dxa"/>
            <w:vAlign w:val="center"/>
          </w:tcPr>
          <w:p w14:paraId="7B96A805" w14:textId="77777777" w:rsidR="0091511F" w:rsidRDefault="00000000">
            <w:pPr>
              <w:spacing w:line="180" w:lineRule="auto"/>
            </w:pPr>
            <w:r>
              <w:rPr>
                <w:sz w:val="15"/>
                <w:szCs w:val="15"/>
              </w:rPr>
              <w:t>93807</w:t>
            </w:r>
          </w:p>
        </w:tc>
        <w:tc>
          <w:tcPr>
            <w:tcW w:w="2232" w:type="dxa"/>
            <w:vAlign w:val="center"/>
          </w:tcPr>
          <w:p w14:paraId="5DB8BB34" w14:textId="77777777" w:rsidR="00580E0B" w:rsidRDefault="00000000">
            <w:pPr>
              <w:spacing w:line="180" w:lineRule="auto"/>
              <w:ind w:firstLine="0"/>
              <w:jc w:val="center"/>
            </w:pPr>
            <w:r>
              <w:rPr>
                <w:sz w:val="15"/>
                <w:szCs w:val="15"/>
              </w:rPr>
              <w:t>二分定位的单轮推进</w:t>
            </w:r>
          </w:p>
        </w:tc>
      </w:tr>
      <w:tr w:rsidR="00580E0B" w14:paraId="306833B6" w14:textId="77777777">
        <w:trPr>
          <w:jc w:val="center"/>
        </w:trPr>
        <w:tc>
          <w:tcPr>
            <w:tcW w:w="1116" w:type="dxa"/>
            <w:vAlign w:val="center"/>
          </w:tcPr>
          <w:p w14:paraId="03478E80" w14:textId="77777777" w:rsidR="00580E0B" w:rsidRDefault="00000000">
            <w:pPr>
              <w:spacing w:line="180" w:lineRule="auto"/>
              <w:ind w:firstLine="0"/>
              <w:jc w:val="center"/>
            </w:pPr>
            <w:r>
              <w:rPr>
                <w:sz w:val="15"/>
                <w:szCs w:val="15"/>
              </w:rPr>
              <w:t>challengeRecover</w:t>
            </w:r>
          </w:p>
        </w:tc>
        <w:tc>
          <w:tcPr>
            <w:tcW w:w="1116" w:type="dxa"/>
            <w:vAlign w:val="center"/>
          </w:tcPr>
          <w:p w14:paraId="6B327906" w14:textId="77777777" w:rsidR="0091511F" w:rsidRDefault="00000000">
            <w:pPr>
              <w:spacing w:line="180" w:lineRule="auto"/>
            </w:pPr>
            <w:r>
              <w:rPr>
                <w:sz w:val="15"/>
                <w:szCs w:val="15"/>
              </w:rPr>
              <w:t>156891</w:t>
            </w:r>
          </w:p>
        </w:tc>
        <w:tc>
          <w:tcPr>
            <w:tcW w:w="2232" w:type="dxa"/>
            <w:vAlign w:val="center"/>
          </w:tcPr>
          <w:p w14:paraId="0A59C1B0" w14:textId="77777777" w:rsidR="00580E0B" w:rsidRDefault="00000000">
            <w:pPr>
              <w:spacing w:line="180" w:lineRule="auto"/>
              <w:ind w:firstLine="0"/>
              <w:jc w:val="center"/>
            </w:pPr>
            <w:r>
              <w:rPr>
                <w:sz w:val="15"/>
                <w:szCs w:val="15"/>
              </w:rPr>
              <w:t>恢复超时会话</w:t>
            </w:r>
          </w:p>
        </w:tc>
      </w:tr>
      <w:tr w:rsidR="00580E0B" w14:paraId="66C37F78" w14:textId="77777777">
        <w:trPr>
          <w:jc w:val="center"/>
        </w:trPr>
        <w:tc>
          <w:tcPr>
            <w:tcW w:w="1116" w:type="dxa"/>
            <w:vAlign w:val="center"/>
          </w:tcPr>
          <w:p w14:paraId="28949E7E" w14:textId="77777777" w:rsidR="00580E0B" w:rsidRDefault="00000000">
            <w:pPr>
              <w:spacing w:line="180" w:lineRule="auto"/>
              <w:ind w:firstLine="0"/>
              <w:jc w:val="center"/>
            </w:pPr>
            <w:r>
              <w:rPr>
                <w:sz w:val="15"/>
                <w:szCs w:val="15"/>
              </w:rPr>
              <w:t>challengeReplay</w:t>
            </w:r>
          </w:p>
        </w:tc>
        <w:tc>
          <w:tcPr>
            <w:tcW w:w="1116" w:type="dxa"/>
            <w:vAlign w:val="center"/>
          </w:tcPr>
          <w:p w14:paraId="6891054A" w14:textId="77777777" w:rsidR="0091511F" w:rsidRDefault="00000000">
            <w:pPr>
              <w:spacing w:line="180" w:lineRule="auto"/>
            </w:pPr>
            <w:r>
              <w:rPr>
                <w:sz w:val="15"/>
                <w:szCs w:val="15"/>
              </w:rPr>
              <w:t>135632</w:t>
            </w:r>
          </w:p>
        </w:tc>
        <w:tc>
          <w:tcPr>
            <w:tcW w:w="2232" w:type="dxa"/>
            <w:vAlign w:val="center"/>
          </w:tcPr>
          <w:p w14:paraId="1E84C698" w14:textId="77777777" w:rsidR="00580E0B" w:rsidRDefault="00000000">
            <w:pPr>
              <w:spacing w:line="180" w:lineRule="auto"/>
              <w:ind w:firstLine="0"/>
              <w:jc w:val="center"/>
            </w:pPr>
            <w:r>
              <w:rPr>
                <w:sz w:val="15"/>
                <w:szCs w:val="15"/>
              </w:rPr>
              <w:t>单步重放仲裁</w:t>
            </w:r>
          </w:p>
        </w:tc>
      </w:tr>
      <w:tr w:rsidR="00580E0B" w14:paraId="233F0611" w14:textId="77777777">
        <w:trPr>
          <w:jc w:val="center"/>
        </w:trPr>
        <w:tc>
          <w:tcPr>
            <w:tcW w:w="1116" w:type="dxa"/>
            <w:vAlign w:val="center"/>
          </w:tcPr>
          <w:p w14:paraId="74FE1F05" w14:textId="77777777" w:rsidR="00580E0B" w:rsidRDefault="00000000">
            <w:pPr>
              <w:spacing w:line="180" w:lineRule="auto"/>
              <w:ind w:firstLine="0"/>
              <w:jc w:val="center"/>
            </w:pPr>
            <w:r>
              <w:rPr>
                <w:sz w:val="15"/>
                <w:szCs w:val="15"/>
              </w:rPr>
              <w:t>challengeResolve</w:t>
            </w:r>
          </w:p>
        </w:tc>
        <w:tc>
          <w:tcPr>
            <w:tcW w:w="1116" w:type="dxa"/>
            <w:vAlign w:val="center"/>
          </w:tcPr>
          <w:p w14:paraId="53F8E964" w14:textId="77777777" w:rsidR="0091511F" w:rsidRDefault="00000000">
            <w:pPr>
              <w:spacing w:line="180" w:lineRule="auto"/>
            </w:pPr>
            <w:r>
              <w:rPr>
                <w:sz w:val="15"/>
                <w:szCs w:val="15"/>
              </w:rPr>
              <w:t>113402</w:t>
            </w:r>
          </w:p>
        </w:tc>
        <w:tc>
          <w:tcPr>
            <w:tcW w:w="2232" w:type="dxa"/>
            <w:vAlign w:val="center"/>
          </w:tcPr>
          <w:p w14:paraId="0F1E94CC" w14:textId="77777777" w:rsidR="00580E0B" w:rsidRDefault="00000000">
            <w:pPr>
              <w:spacing w:line="180" w:lineRule="auto"/>
              <w:ind w:firstLine="0"/>
              <w:jc w:val="center"/>
            </w:pPr>
            <w:r>
              <w:rPr>
                <w:sz w:val="15"/>
                <w:szCs w:val="15"/>
              </w:rPr>
              <w:t>结算争议结果</w:t>
            </w:r>
          </w:p>
        </w:tc>
      </w:tr>
      <w:tr w:rsidR="00580E0B" w14:paraId="19DEF1D2" w14:textId="77777777">
        <w:trPr>
          <w:jc w:val="center"/>
        </w:trPr>
        <w:tc>
          <w:tcPr>
            <w:tcW w:w="1116" w:type="dxa"/>
            <w:vAlign w:val="center"/>
          </w:tcPr>
          <w:p w14:paraId="43D8773E" w14:textId="77777777" w:rsidR="00580E0B" w:rsidRDefault="00000000">
            <w:pPr>
              <w:spacing w:line="180" w:lineRule="auto"/>
              <w:ind w:firstLine="0"/>
              <w:jc w:val="center"/>
            </w:pPr>
            <w:r>
              <w:rPr>
                <w:sz w:val="15"/>
                <w:szCs w:val="15"/>
              </w:rPr>
              <w:t>challengeFinalize</w:t>
            </w:r>
          </w:p>
        </w:tc>
        <w:tc>
          <w:tcPr>
            <w:tcW w:w="1116" w:type="dxa"/>
            <w:vAlign w:val="center"/>
          </w:tcPr>
          <w:p w14:paraId="626360C9" w14:textId="77777777" w:rsidR="0091511F" w:rsidRDefault="00000000">
            <w:pPr>
              <w:spacing w:line="180" w:lineRule="auto"/>
            </w:pPr>
            <w:r>
              <w:rPr>
                <w:sz w:val="15"/>
                <w:szCs w:val="15"/>
              </w:rPr>
              <w:t>33477</w:t>
            </w:r>
          </w:p>
        </w:tc>
        <w:tc>
          <w:tcPr>
            <w:tcW w:w="2232" w:type="dxa"/>
            <w:vAlign w:val="center"/>
          </w:tcPr>
          <w:p w14:paraId="1984E201" w14:textId="77777777" w:rsidR="00580E0B" w:rsidRDefault="00000000">
            <w:pPr>
              <w:spacing w:line="180" w:lineRule="auto"/>
              <w:ind w:firstLine="0"/>
              <w:jc w:val="center"/>
            </w:pPr>
            <w:r>
              <w:rPr>
                <w:sz w:val="15"/>
                <w:szCs w:val="15"/>
              </w:rPr>
              <w:t>挑战期后最终确认</w:t>
            </w:r>
          </w:p>
        </w:tc>
      </w:tr>
    </w:tbl>
    <w:p w14:paraId="18EFB446" w14:textId="77777777" w:rsidR="00580E0B" w:rsidRDefault="00580E0B" w:rsidP="002527EC">
      <w:pPr>
        <w:spacing w:after="60" w:line="250" w:lineRule="exact"/>
        <w:ind w:firstLine="0"/>
      </w:pPr>
    </w:p>
    <w:p w14:paraId="3EE390A3"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w:t>
      </w:r>
      <w:r>
        <w:rPr>
          <w:sz w:val="20"/>
        </w:rPr>
        <w:lastRenderedPageBreak/>
        <w:t>网格、挑战网格、故障场景、汇总文件）由同一实验脚本生成。</w:t>
      </w:r>
    </w:p>
    <w:p w14:paraId="3B308153" w14:textId="77777777" w:rsidR="00580E0B" w:rsidRDefault="00000000">
      <w:pPr>
        <w:spacing w:before="80" w:after="40" w:line="240" w:lineRule="auto"/>
        <w:ind w:firstLine="0"/>
        <w:jc w:val="left"/>
      </w:pPr>
      <w:r>
        <w:rPr>
          <w:rFonts w:eastAsia="黑体"/>
          <w:b/>
          <w:bCs/>
          <w:sz w:val="23"/>
          <w:szCs w:val="23"/>
        </w:rPr>
        <w:t>5.</w:t>
      </w:r>
      <w:r w:rsidR="00A75E44">
        <w:rPr>
          <w:rFonts w:eastAsia="黑体" w:hint="eastAsia"/>
          <w:b/>
          <w:bCs/>
          <w:sz w:val="23"/>
          <w:szCs w:val="23"/>
        </w:rPr>
        <w:t>6</w:t>
      </w:r>
      <w:r>
        <w:rPr>
          <w:rFonts w:eastAsia="黑体"/>
          <w:b/>
          <w:bCs/>
          <w:sz w:val="23"/>
          <w:szCs w:val="23"/>
        </w:rPr>
        <w:t xml:space="preserve">  </w:t>
      </w:r>
      <w:r>
        <w:rPr>
          <w:rFonts w:eastAsia="黑体"/>
          <w:b/>
          <w:bCs/>
          <w:sz w:val="23"/>
          <w:szCs w:val="23"/>
        </w:rPr>
        <w:t>实验小结</w:t>
      </w:r>
    </w:p>
    <w:p w14:paraId="4EDE2B43" w14:textId="77777777"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3C2E8893" w14:textId="77777777"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603A4412"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36524A1F"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0DF24A1A" w14:textId="77777777" w:rsidR="00580E0B" w:rsidRDefault="00000000">
      <w:pPr>
        <w:ind w:firstLine="408"/>
      </w:pPr>
      <w:r>
        <w:rPr>
          <w:sz w:val="20"/>
        </w:rPr>
        <w:t>基于</w:t>
      </w:r>
      <w:r>
        <w:rPr>
          <w:sz w:val="20"/>
        </w:rPr>
        <w:t xml:space="preserve"> Python </w:t>
      </w:r>
      <w:r>
        <w:rPr>
          <w:sz w:val="20"/>
        </w:rPr>
        <w:t>原型、本地</w:t>
      </w:r>
      <w:r>
        <w:rPr>
          <w:sz w:val="20"/>
        </w:rPr>
        <w:t xml:space="preserve"> EVM gas </w:t>
      </w:r>
      <w:r>
        <w:rPr>
          <w:sz w:val="20"/>
        </w:rPr>
        <w:t>测量与</w:t>
      </w:r>
      <w:r>
        <w:rPr>
          <w:sz w:val="20"/>
        </w:rPr>
        <w:t xml:space="preserve"> Sepolia </w:t>
      </w:r>
      <w:r>
        <w:rPr>
          <w:sz w:val="20"/>
        </w:rPr>
        <w:t>部署记录，实验结果表明，紧凑提交能够隔离链上提交规模与完整负载增长，在给定配置下模块化</w:t>
      </w:r>
      <w:r>
        <w:rPr>
          <w:sz w:val="20"/>
        </w:rPr>
        <w:t xml:space="preserve"> DA </w:t>
      </w:r>
      <w:r>
        <w:rPr>
          <w:sz w:val="20"/>
        </w:rPr>
        <w:t>采样路径具有明显的摊销成本优势，恢复路径也能改善超时场景下的挑战完成能力。需要说明的是，当前结果基于模拟</w:t>
      </w:r>
      <w:r>
        <w:rPr>
          <w:sz w:val="20"/>
        </w:rPr>
        <w:t xml:space="preserve"> TEE</w:t>
      </w:r>
      <w:r>
        <w:rPr>
          <w:sz w:val="20"/>
        </w:rPr>
        <w:t>、可验证</w:t>
      </w:r>
      <w:r>
        <w:rPr>
          <w:sz w:val="20"/>
        </w:rPr>
        <w:t xml:space="preserve"> DA </w:t>
      </w:r>
      <w:r>
        <w:rPr>
          <w:sz w:val="20"/>
        </w:rPr>
        <w:t>注册表和配置化成本模型，尚不代表真实主网或生产环境表现。后续工作将进一步接入真实</w:t>
      </w:r>
      <w:r>
        <w:rPr>
          <w:sz w:val="20"/>
        </w:rPr>
        <w:t xml:space="preserve"> TEE </w:t>
      </w:r>
      <w:r>
        <w:rPr>
          <w:sz w:val="20"/>
        </w:rPr>
        <w:t>与数据可用性网络，并完善并发挑战、恢复频率限制和故障到罚没的统一处理机制。</w:t>
      </w:r>
    </w:p>
    <w:p w14:paraId="23117BD3" w14:textId="77777777" w:rsidR="00580E0B" w:rsidRDefault="00000000">
      <w:pPr>
        <w:ind w:firstLine="0"/>
        <w:jc w:val="left"/>
      </w:pPr>
      <w:r>
        <w:rPr>
          <w:rFonts w:eastAsia="黑体"/>
          <w:b/>
          <w:sz w:val="23"/>
        </w:rPr>
        <w:t>参考文献：</w:t>
      </w:r>
    </w:p>
    <w:p w14:paraId="70C7FFDA" w14:textId="77777777" w:rsidR="00580E0B" w:rsidRDefault="00000000">
      <w:pPr>
        <w:spacing w:line="288" w:lineRule="auto"/>
        <w:ind w:left="368" w:hanging="368"/>
        <w:jc w:val="left"/>
      </w:pPr>
      <w:r>
        <w:rPr>
          <w:rFonts w:eastAsia="宋体"/>
          <w:sz w:val="18"/>
        </w:rPr>
        <w:t>[1] WEN X, FENG Q, LYU H, et al. TEEROLLUP: efficient Rollup design using heterogeneous TEE[EB/OL]. arXiv:2409.14647, 2024 [2026-06-15].</w:t>
      </w:r>
    </w:p>
    <w:p w14:paraId="43AF42DC" w14:textId="77777777" w:rsidR="00580E0B" w:rsidRDefault="00000000">
      <w:pPr>
        <w:spacing w:line="288" w:lineRule="auto"/>
        <w:ind w:left="368" w:hanging="368"/>
        <w:jc w:val="left"/>
      </w:pPr>
      <w:r>
        <w:rPr>
          <w:rFonts w:eastAsia="宋体"/>
          <w:sz w:val="18"/>
        </w:rPr>
        <w:t>[2] BUTERIN V. An incomplete guide to Rollups[EB/OL]. 2021 [2026-06-15].</w:t>
      </w:r>
    </w:p>
    <w:p w14:paraId="35A4C4B8" w14:textId="77777777" w:rsidR="00580E0B" w:rsidRDefault="00000000">
      <w:pPr>
        <w:spacing w:line="288" w:lineRule="auto"/>
        <w:ind w:left="368" w:hanging="368"/>
        <w:jc w:val="left"/>
      </w:pPr>
      <w:r>
        <w:rPr>
          <w:rFonts w:eastAsia="宋体"/>
          <w:sz w:val="18"/>
        </w:rPr>
        <w:t>[3] ETHEREUM FOUNDATION. Optimistic Rollups[EB/OL]. 2024 [2026-06-15].</w:t>
      </w:r>
    </w:p>
    <w:p w14:paraId="0D1B95AC" w14:textId="77777777" w:rsidR="00580E0B" w:rsidRDefault="00000000">
      <w:pPr>
        <w:spacing w:line="288" w:lineRule="auto"/>
        <w:ind w:left="368" w:hanging="368"/>
        <w:jc w:val="left"/>
      </w:pPr>
      <w:r>
        <w:rPr>
          <w:rFonts w:eastAsia="宋体"/>
          <w:sz w:val="18"/>
        </w:rPr>
        <w:t>[4] ARBITRUM FOUNDATION. Arbitrum Nitro technical documentation[EB/OL]. 2024 [2026-06-15].</w:t>
      </w:r>
    </w:p>
    <w:p w14:paraId="76499E41" w14:textId="77777777" w:rsidR="00580E0B" w:rsidRDefault="00000000">
      <w:pPr>
        <w:spacing w:line="288" w:lineRule="auto"/>
        <w:ind w:left="368" w:hanging="368"/>
        <w:jc w:val="left"/>
      </w:pPr>
      <w:r>
        <w:rPr>
          <w:rFonts w:eastAsia="宋体"/>
          <w:sz w:val="18"/>
        </w:rPr>
        <w:t>[5] OP LABS. Optimism documentation: fault proofs and dispute games[EB/OL]. 2024 [2026-06-15].</w:t>
      </w:r>
    </w:p>
    <w:p w14:paraId="01491B5A" w14:textId="77777777" w:rsidR="00580E0B" w:rsidRDefault="00000000">
      <w:pPr>
        <w:spacing w:line="288" w:lineRule="auto"/>
        <w:ind w:left="368" w:hanging="368"/>
        <w:jc w:val="left"/>
      </w:pPr>
      <w:r>
        <w:rPr>
          <w:rFonts w:eastAsia="宋体"/>
          <w:sz w:val="18"/>
        </w:rPr>
        <w:t>[6] PICCO G, FORTUGNO A. Dynamic fraud proof[EB/OL]. arXiv:2502.10321, 2025 [2026-06-15].</w:t>
      </w:r>
    </w:p>
    <w:p w14:paraId="6CAB095C" w14:textId="77777777" w:rsidR="00580E0B" w:rsidRDefault="00000000">
      <w:pPr>
        <w:spacing w:line="288" w:lineRule="auto"/>
        <w:ind w:left="368" w:hanging="368"/>
        <w:jc w:val="left"/>
      </w:pPr>
      <w:r>
        <w:rPr>
          <w:rFonts w:eastAsia="宋体"/>
          <w:sz w:val="18"/>
        </w:rPr>
        <w:t>[7] AL-BASSAM M. LazyLedger: a distributed data availability ledger with client-side smart contracts[EB/OL]. arXiv:1905.09274, 2019 [2026-06-15].</w:t>
      </w:r>
    </w:p>
    <w:p w14:paraId="7892FB11" w14:textId="77777777" w:rsidR="00580E0B" w:rsidRDefault="00000000">
      <w:pPr>
        <w:spacing w:line="288" w:lineRule="auto"/>
        <w:ind w:left="368" w:hanging="368"/>
        <w:jc w:val="left"/>
      </w:pPr>
      <w:r>
        <w:rPr>
          <w:rFonts w:eastAsia="宋体"/>
          <w:sz w:val="18"/>
        </w:rPr>
        <w:t>[8] TAS E N, TSE D, YANG L, et al. Light clients for lazy blockchains[EB/OL]. arXiv:2203.15968, 2022 [2026-06-15].</w:t>
      </w:r>
    </w:p>
    <w:p w14:paraId="39B6AF17" w14:textId="77777777" w:rsidR="00580E0B" w:rsidRDefault="00000000">
      <w:pPr>
        <w:spacing w:line="288" w:lineRule="auto"/>
        <w:ind w:left="368" w:hanging="368"/>
        <w:jc w:val="left"/>
      </w:pPr>
      <w:r>
        <w:rPr>
          <w:rFonts w:eastAsia="宋体"/>
          <w:sz w:val="18"/>
        </w:rPr>
        <w:t>[9] EIGENLABS. EigenDA documentation[EB/OL]. 2024 [2026-06-15].</w:t>
      </w:r>
    </w:p>
    <w:p w14:paraId="3067DF32" w14:textId="77777777" w:rsidR="00580E0B" w:rsidRDefault="00000000">
      <w:pPr>
        <w:spacing w:line="288" w:lineRule="auto"/>
        <w:ind w:left="368" w:hanging="368"/>
        <w:jc w:val="left"/>
      </w:pPr>
      <w:r>
        <w:rPr>
          <w:rFonts w:eastAsia="宋体"/>
          <w:sz w:val="18"/>
        </w:rPr>
        <w:t>[10] CELESTIA. Celestia: modular blockchain network[EB/OL]. 2024 [2026-06-15].</w:t>
      </w:r>
    </w:p>
    <w:p w14:paraId="1BEA52D7" w14:textId="77777777" w:rsidR="00580E0B" w:rsidRDefault="00000000">
      <w:pPr>
        <w:spacing w:line="288" w:lineRule="auto"/>
        <w:ind w:left="368" w:hanging="368"/>
        <w:jc w:val="left"/>
      </w:pPr>
      <w:r>
        <w:rPr>
          <w:rFonts w:eastAsia="宋体"/>
          <w:sz w:val="18"/>
        </w:rPr>
        <w:t>[11] INTEL CORPORATION. Intel Software Guard Extensions developer guide[EB/OL]. 2024 [2026-06-15].</w:t>
      </w:r>
    </w:p>
    <w:p w14:paraId="0778B523" w14:textId="77777777" w:rsidR="00580E0B" w:rsidRDefault="00000000">
      <w:pPr>
        <w:spacing w:line="288" w:lineRule="auto"/>
        <w:ind w:left="368" w:hanging="368"/>
        <w:jc w:val="left"/>
      </w:pPr>
      <w:r>
        <w:rPr>
          <w:rFonts w:eastAsia="宋体"/>
          <w:sz w:val="18"/>
        </w:rPr>
        <w:t>[12] ETHEREUM FOUNDATION. EIP-4844: shard blob transactions[EB/OL]. 2024 [2026-06-15].</w:t>
      </w:r>
    </w:p>
    <w:p w14:paraId="184A7422" w14:textId="12D2D794" w:rsidR="00692B03" w:rsidRDefault="00692B03">
      <w:pPr>
        <w:spacing w:line="240" w:lineRule="auto"/>
        <w:ind w:firstLine="0"/>
        <w:jc w:val="left"/>
      </w:pPr>
    </w:p>
    <w:sectPr w:rsidR="00692B03">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BF73" w14:textId="77777777" w:rsidR="00664796" w:rsidRDefault="00664796">
      <w:pPr>
        <w:spacing w:line="240" w:lineRule="auto"/>
      </w:pPr>
      <w:r>
        <w:separator/>
      </w:r>
    </w:p>
  </w:endnote>
  <w:endnote w:type="continuationSeparator" w:id="0">
    <w:p w14:paraId="2684BCF3" w14:textId="77777777" w:rsidR="00664796" w:rsidRDefault="006647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华文宋体"/>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9F82"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A072"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CF317" w14:textId="77777777" w:rsidR="00664796" w:rsidRDefault="00664796">
      <w:r>
        <w:separator/>
      </w:r>
    </w:p>
  </w:footnote>
  <w:footnote w:type="continuationSeparator" w:id="0">
    <w:p w14:paraId="16A923E8" w14:textId="77777777" w:rsidR="00664796" w:rsidRDefault="00664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9020"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F47CF"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E5B2F"/>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42694"/>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64796"/>
    <w:rsid w:val="00672075"/>
    <w:rsid w:val="00682CEF"/>
    <w:rsid w:val="00687DD2"/>
    <w:rsid w:val="006910EE"/>
    <w:rsid w:val="00692B03"/>
    <w:rsid w:val="00692B1C"/>
    <w:rsid w:val="00692E38"/>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85A08"/>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E4651"/>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88D23F"/>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0</TotalTime>
  <Pages>8</Pages>
  <Words>2149</Words>
  <Characters>12253</Characters>
  <Application>Microsoft Office Word</Application>
  <DocSecurity>0</DocSecurity>
  <Lines>102</Lines>
  <Paragraphs>28</Paragraphs>
  <ScaleCrop>false</ScaleCrop>
  <Company>scp</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3</cp:revision>
  <cp:lastPrinted>2024-12-03T06:07:00Z</cp:lastPrinted>
  <dcterms:created xsi:type="dcterms:W3CDTF">2026-06-15T12:38:00Z</dcterms:created>
  <dcterms:modified xsi:type="dcterms:W3CDTF">2026-06-15T12:46:00Z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