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50E3B" w14:textId="77777777" w:rsidR="00580E0B" w:rsidRDefault="00000000">
      <w:pPr>
        <w:spacing w:after="0" w:line="264" w:lineRule="auto" w:before="0"/>
        <w:ind w:firstLine="408"/>
        <w:jc w:val="center"/>
      </w:pPr>
      <w:r>
        <w:rPr>
          <w:rFonts w:eastAsia="方正书宋简体" w:ascii="Times New Roman" w:hAnsi="Times New Roman"/>
          <w:b/>
          <w:sz w:val="20"/>
        </w:rPr>
        <w:t>面向高频</w:t>
      </w:r>
      <w:r>
        <w:rPr>
          <w:rFonts w:eastAsia="方正书宋简体" w:ascii="Times New Roman" w:hAnsi="Times New Roman"/>
          <w:b/>
          <w:sz w:val="20"/>
        </w:rPr>
        <w:t xml:space="preserve"> DApp </w:t>
      </w:r>
      <w:r>
        <w:rPr>
          <w:rFonts w:eastAsia="方正书宋简体" w:ascii="Times New Roman" w:hAnsi="Times New Roman"/>
          <w:b/>
          <w:sz w:val="20"/>
        </w:rPr>
        <w:t>的</w:t>
      </w:r>
      <w:r>
        <w:rPr>
          <w:rFonts w:eastAsia="方正书宋简体" w:ascii="Times New Roman" w:hAnsi="Times New Roman"/>
          <w:b/>
          <w:sz w:val="20"/>
        </w:rPr>
        <w:t xml:space="preserve"> Hybrid TEE-Rollup </w:t>
      </w:r>
      <w:r>
        <w:rPr>
          <w:rFonts w:eastAsia="方正书宋简体" w:ascii="Times New Roman" w:hAnsi="Times New Roman"/>
          <w:b/>
          <w:sz w:val="20"/>
        </w:rPr>
        <w:t>可恢复挑战协议与轻量</w:t>
      </w:r>
      <w:r>
        <w:rPr>
          <w:rFonts w:eastAsia="方正书宋简体" w:ascii="Times New Roman" w:hAnsi="Times New Roman"/>
          <w:b/>
          <w:sz w:val="20"/>
        </w:rPr>
        <w:t xml:space="preserve"> DA </w:t>
      </w:r>
      <w:r>
        <w:rPr>
          <w:rFonts w:eastAsia="方正书宋简体" w:ascii="Times New Roman" w:hAnsi="Times New Roman"/>
          <w:b/>
          <w:sz w:val="20"/>
        </w:rPr>
        <w:t>成本评估</w:t>
      </w:r>
    </w:p>
    <w:p w14:paraId="2A9FD716" w14:textId="77777777" w:rsidR="00580E0B" w:rsidRDefault="00000000">
      <w:pPr>
        <w:spacing w:after="0" w:line="264" w:lineRule="auto" w:before="0"/>
        <w:ind w:firstLine="408"/>
        <w:jc w:val="center"/>
      </w:pPr>
      <w:r>
        <w:rPr>
          <w:rFonts w:eastAsia="方正书宋简体" w:ascii="Times New Roman" w:hAnsi="Times New Roman"/>
          <w:b w:val="0"/>
          <w:sz w:val="20"/>
        </w:rPr>
        <w:t>杨帆</w:t>
      </w:r>
    </w:p>
    <w:p w14:paraId="510B1ED0" w14:textId="77777777" w:rsidR="00580E0B" w:rsidRDefault="00000000">
      <w:pPr>
        <w:spacing w:before="0" w:after="0" w:line="264" w:lineRule="auto"/>
        <w:ind w:firstLine="408"/>
      </w:pPr>
      <w:r>
        <w:rPr>
          <w:rFonts w:eastAsia="方正书宋简体" w:ascii="Times New Roman" w:hAnsi="Times New Roman"/>
          <w:b/>
          <w:sz w:val="20"/>
        </w:rPr>
        <w:t>摘</w:t>
      </w:r>
      <w:r>
        <w:rPr>
          <w:rFonts w:eastAsia="方正书宋简体" w:ascii="Times New Roman" w:hAnsi="Times New Roman"/>
          <w:b/>
          <w:sz w:val="20"/>
        </w:rPr>
        <w:t xml:space="preserve">  </w:t>
      </w:r>
      <w:r>
        <w:rPr>
          <w:rFonts w:eastAsia="方正书宋简体" w:ascii="Times New Roman" w:hAnsi="Times New Roman"/>
          <w:b/>
          <w:sz w:val="20"/>
        </w:rPr>
        <w:t>要：</w:t>
      </w:r>
      <w:r>
        <w:rPr>
          <w:rFonts w:eastAsia="方正书宋简体" w:ascii="Times New Roman" w:hAnsi="Times New Roman"/>
          <w:sz w:val="20"/>
        </w:rPr>
        <w:t>高频去中心化应用（</w:t>
      </w:r>
      <w:r>
        <w:rPr>
          <w:rFonts w:eastAsia="方正书宋简体" w:ascii="Times New Roman" w:hAnsi="Times New Roman"/>
          <w:sz w:val="20"/>
        </w:rPr>
        <w:t>DApp</w:t>
      </w:r>
      <w:r>
        <w:rPr>
          <w:rFonts w:eastAsia="方正书宋简体" w:ascii="Times New Roman" w:hAnsi="Times New Roman"/>
          <w:sz w:val="20"/>
        </w:rPr>
        <w:t>）要求低延迟、低链上开销与公开可验证仲裁并存。本文研究</w:t>
      </w:r>
      <w:r>
        <w:rPr>
          <w:rFonts w:eastAsia="方正书宋简体" w:ascii="Times New Roman" w:hAnsi="Times New Roman"/>
          <w:sz w:val="20"/>
        </w:rPr>
        <w:t xml:space="preserve"> Hybrid TEE-Rollup </w:t>
      </w:r>
      <w:r>
        <w:rPr>
          <w:rFonts w:eastAsia="方正书宋简体" w:ascii="Times New Roman" w:hAnsi="Times New Roman"/>
          <w:sz w:val="20"/>
        </w:rPr>
        <w:t>中轻量链上承诺、链外数据可用性（</w:t>
      </w:r>
      <w:r>
        <w:rPr>
          <w:rFonts w:eastAsia="方正书宋简体" w:ascii="Times New Roman" w:hAnsi="Times New Roman"/>
          <w:sz w:val="20"/>
        </w:rPr>
        <w:t>DA</w:t>
      </w:r>
      <w:r>
        <w:rPr>
          <w:rFonts w:eastAsia="方正书宋简体" w:ascii="Times New Roman" w:hAnsi="Times New Roman"/>
          <w:sz w:val="20"/>
        </w:rPr>
        <w:t>）负载与超时挑战之间的协同机制，提出可恢复挑战机制、携带证据的紧凑提交机制以及数据可用性感知成本模型。可恢复挑战机制用于将超时会话恢复至可重放、可结算状态；携带证据的紧凑提交机制绑定状态根、输出哈希、证明哈希、</w:t>
      </w:r>
      <w:r>
        <w:rPr>
          <w:rFonts w:eastAsia="方正书宋简体" w:ascii="Times New Roman" w:hAnsi="Times New Roman"/>
          <w:sz w:val="20"/>
        </w:rPr>
        <w:t xml:space="preserve">DA </w:t>
      </w:r>
      <w:r>
        <w:rPr>
          <w:rFonts w:eastAsia="方正书宋简体" w:ascii="Times New Roman" w:hAnsi="Times New Roman"/>
          <w:sz w:val="20"/>
        </w:rPr>
        <w:t>指针与</w:t>
      </w:r>
      <w:r>
        <w:rPr>
          <w:rFonts w:eastAsia="方正书宋简体" w:ascii="Times New Roman" w:hAnsi="Times New Roman"/>
          <w:sz w:val="20"/>
        </w:rPr>
        <w:t xml:space="preserve"> DA </w:t>
      </w:r>
      <w:r>
        <w:rPr>
          <w:rFonts w:eastAsia="方正书宋简体" w:ascii="Times New Roman" w:hAnsi="Times New Roman"/>
          <w:sz w:val="20"/>
        </w:rPr>
        <w:t>根；数据可用性感知成本模型用于分析负载规模、批处理摊销与</w:t>
      </w:r>
      <w:r>
        <w:rPr>
          <w:rFonts w:eastAsia="方正书宋简体" w:ascii="Times New Roman" w:hAnsi="Times New Roman"/>
          <w:sz w:val="20"/>
        </w:rPr>
        <w:t xml:space="preserve"> DA </w:t>
      </w:r>
      <w:r>
        <w:rPr>
          <w:rFonts w:eastAsia="方正书宋简体" w:ascii="Times New Roman" w:hAnsi="Times New Roman"/>
          <w:sz w:val="20"/>
        </w:rPr>
        <w:t>路径选择之间的关系。基于</w:t>
      </w:r>
      <w:r>
        <w:rPr>
          <w:rFonts w:eastAsia="方正书宋简体" w:ascii="Times New Roman" w:hAnsi="Times New Roman"/>
          <w:sz w:val="20"/>
        </w:rPr>
        <w:t xml:space="preserve"> Python </w:t>
      </w:r>
      <w:r>
        <w:rPr>
          <w:rFonts w:eastAsia="方正书宋简体" w:ascii="Times New Roman" w:hAnsi="Times New Roman"/>
          <w:sz w:val="20"/>
        </w:rPr>
        <w:t>原型、本地</w:t>
      </w:r>
      <w:r>
        <w:rPr>
          <w:rFonts w:eastAsia="方正书宋简体" w:ascii="Times New Roman" w:hAnsi="Times New Roman"/>
          <w:sz w:val="20"/>
        </w:rPr>
        <w:t xml:space="preserve"> EVM gas </w:t>
      </w:r>
      <w:r>
        <w:rPr>
          <w:rFonts w:eastAsia="方正书宋简体" w:ascii="Times New Roman" w:hAnsi="Times New Roman"/>
          <w:sz w:val="20"/>
        </w:rPr>
        <w:t>测量与</w:t>
      </w:r>
      <w:r>
        <w:rPr>
          <w:rFonts w:eastAsia="方正书宋简体" w:ascii="Times New Roman" w:hAnsi="Times New Roman"/>
          <w:sz w:val="20"/>
        </w:rPr>
        <w:t xml:space="preserve"> Sepolia </w:t>
      </w:r>
      <w:r>
        <w:rPr>
          <w:rFonts w:eastAsia="方正书宋简体" w:ascii="Times New Roman" w:hAnsi="Times New Roman"/>
          <w:sz w:val="20"/>
        </w:rPr>
        <w:t>部署记录，实验结果表明：紧凑提交平均约为</w:t>
      </w:r>
      <w:r>
        <w:rPr>
          <w:rFonts w:eastAsia="方正书宋简体" w:ascii="Times New Roman" w:hAnsi="Times New Roman"/>
          <w:sz w:val="20"/>
        </w:rPr>
        <w:t xml:space="preserve"> 406 </w:t>
      </w:r>
      <w:r>
        <w:rPr>
          <w:rFonts w:eastAsia="方正书宋简体" w:ascii="Times New Roman" w:hAnsi="Times New Roman"/>
          <w:sz w:val="20"/>
        </w:rPr>
        <w:t>字节；在负载</w:t>
      </w:r>
      <w:r>
        <w:rPr>
          <w:rFonts w:eastAsia="方正书宋简体" w:ascii="Times New Roman" w:hAnsi="Times New Roman"/>
          <w:sz w:val="20"/>
        </w:rPr>
        <w:t xml:space="preserve"> 8192</w:t>
      </w:r>
      <w:r>
        <w:rPr>
          <w:rFonts w:eastAsia="方正书宋简体" w:ascii="Times New Roman" w:hAnsi="Times New Roman"/>
          <w:sz w:val="20"/>
        </w:rPr>
        <w:t>、批大小</w:t>
      </w:r>
      <w:r>
        <w:rPr>
          <w:rFonts w:eastAsia="方正书宋简体" w:ascii="Times New Roman" w:hAnsi="Times New Roman"/>
          <w:sz w:val="20"/>
        </w:rPr>
        <w:t xml:space="preserve"> 1000 </w:t>
      </w:r>
      <w:r>
        <w:rPr>
          <w:rFonts w:eastAsia="方正书宋简体" w:ascii="Times New Roman" w:hAnsi="Times New Roman"/>
          <w:sz w:val="20"/>
        </w:rPr>
        <w:t>的配置下，模块化</w:t>
      </w:r>
      <w:r>
        <w:rPr>
          <w:rFonts w:eastAsia="方正书宋简体" w:ascii="Times New Roman" w:hAnsi="Times New Roman"/>
          <w:sz w:val="20"/>
        </w:rPr>
        <w:t xml:space="preserve"> DA </w:t>
      </w:r>
      <w:r>
        <w:rPr>
          <w:rFonts w:eastAsia="方正书宋简体" w:ascii="Times New Roman" w:hAnsi="Times New Roman"/>
          <w:sz w:val="20"/>
        </w:rPr>
        <w:t>采样路径的摊销成本估算较全链上调用数据下降</w:t>
      </w:r>
      <w:r>
        <w:rPr>
          <w:rFonts w:eastAsia="方正书宋简体" w:ascii="Times New Roman" w:hAnsi="Times New Roman"/>
          <w:sz w:val="20"/>
        </w:rPr>
        <w:t xml:space="preserve"> 96.33%</w:t>
      </w:r>
      <w:r>
        <w:rPr>
          <w:rFonts w:eastAsia="方正书宋简体" w:ascii="Times New Roman" w:hAnsi="Times New Roman"/>
          <w:sz w:val="20"/>
        </w:rPr>
        <w:t>；在合成超时场景中，恢复路径可将挑战成功率由</w:t>
      </w:r>
      <w:r>
        <w:rPr>
          <w:rFonts w:eastAsia="方正书宋简体" w:ascii="Times New Roman" w:hAnsi="Times New Roman"/>
          <w:sz w:val="20"/>
        </w:rPr>
        <w:t xml:space="preserve"> 0% </w:t>
      </w:r>
      <w:r>
        <w:rPr>
          <w:rFonts w:eastAsia="方正书宋简体" w:ascii="Times New Roman" w:hAnsi="Times New Roman"/>
          <w:sz w:val="20"/>
        </w:rPr>
        <w:t>提升至</w:t>
      </w:r>
      <w:r>
        <w:rPr>
          <w:rFonts w:eastAsia="方正书宋简体" w:ascii="Times New Roman" w:hAnsi="Times New Roman"/>
          <w:sz w:val="20"/>
        </w:rPr>
        <w:t xml:space="preserve"> 100%</w:t>
      </w:r>
      <w:r>
        <w:rPr>
          <w:rFonts w:eastAsia="方正书宋简体" w:ascii="Times New Roman" w:hAnsi="Times New Roman"/>
          <w:sz w:val="20"/>
        </w:rPr>
        <w:t>。本文结论基于模拟</w:t>
      </w:r>
      <w:r>
        <w:rPr>
          <w:rFonts w:eastAsia="方正书宋简体" w:ascii="Times New Roman" w:hAnsi="Times New Roman"/>
          <w:sz w:val="20"/>
        </w:rPr>
        <w:t xml:space="preserve"> TEE</w:t>
      </w:r>
      <w:r>
        <w:rPr>
          <w:rFonts w:eastAsia="方正书宋简体" w:ascii="Times New Roman" w:hAnsi="Times New Roman"/>
          <w:sz w:val="20"/>
        </w:rPr>
        <w:t>、可验证</w:t>
      </w:r>
      <w:r>
        <w:rPr>
          <w:rFonts w:eastAsia="方正书宋简体" w:ascii="Times New Roman" w:hAnsi="Times New Roman"/>
          <w:sz w:val="20"/>
        </w:rPr>
        <w:t xml:space="preserve"> DA </w:t>
      </w:r>
      <w:r>
        <w:rPr>
          <w:rFonts w:eastAsia="方正书宋简体" w:ascii="Times New Roman" w:hAnsi="Times New Roman"/>
          <w:sz w:val="20"/>
        </w:rPr>
        <w:t>注册表与配置化成本模型。</w:t>
      </w:r>
    </w:p>
    <w:p w14:paraId="32A9F7C4" w14:textId="77777777" w:rsidR="00580E0B" w:rsidRDefault="00000000">
      <w:pPr>
        <w:spacing w:before="0" w:after="0" w:line="264" w:lineRule="auto"/>
        <w:ind w:firstLine="408"/>
      </w:pPr>
      <w:r>
        <w:rPr>
          <w:rFonts w:eastAsia="方正书宋简体" w:ascii="Times New Roman" w:hAnsi="Times New Roman"/>
          <w:b/>
          <w:sz w:val="20"/>
        </w:rPr>
        <w:t>关键词：</w:t>
      </w:r>
      <w:r>
        <w:rPr>
          <w:rFonts w:eastAsia="方正书宋简体" w:ascii="Times New Roman" w:hAnsi="Times New Roman"/>
          <w:sz w:val="20"/>
        </w:rPr>
        <w:t>Hybrid TEE-Rollup</w:t>
      </w:r>
      <w:r>
        <w:rPr>
          <w:rFonts w:eastAsia="方正书宋简体" w:ascii="Times New Roman" w:hAnsi="Times New Roman"/>
          <w:sz w:val="20"/>
        </w:rPr>
        <w:t>；交互式挑战；数据可用性；高频</w:t>
      </w:r>
      <w:r>
        <w:rPr>
          <w:rFonts w:eastAsia="方正书宋简体" w:ascii="Times New Roman" w:hAnsi="Times New Roman"/>
          <w:sz w:val="20"/>
        </w:rPr>
        <w:t xml:space="preserve"> DApp</w:t>
      </w:r>
      <w:r>
        <w:rPr>
          <w:rFonts w:eastAsia="方正书宋简体" w:ascii="Times New Roman" w:hAnsi="Times New Roman"/>
          <w:sz w:val="20"/>
        </w:rPr>
        <w:t>；成本摊销；故障恢复</w:t>
      </w:r>
    </w:p>
    <w:p w14:paraId="3D92EAC0" w14:textId="77777777" w:rsidR="00580E0B" w:rsidRDefault="00000000">
      <w:pPr>
        <w:spacing w:line="264" w:lineRule="auto" w:before="0" w:after="0"/>
        <w:ind w:firstLine="408"/>
        <w:jc w:val="left"/>
      </w:pPr>
      <w:r>
        <w:rPr>
          <w:rFonts w:eastAsia="方正书宋简体" w:ascii="Times New Roman" w:hAnsi="Times New Roman"/>
          <w:sz w:val="20"/>
        </w:rPr>
        <w:t>中图分类号：</w:t>
      </w:r>
      <w:r>
        <w:rPr>
          <w:rFonts w:eastAsia="方正书宋简体" w:ascii="Times New Roman" w:hAnsi="Times New Roman"/>
          <w:sz w:val="20"/>
        </w:rPr>
        <w:t xml:space="preserve">TP311    </w:t>
      </w:r>
      <w:r>
        <w:rPr>
          <w:rFonts w:eastAsia="方正书宋简体" w:ascii="Times New Roman" w:hAnsi="Times New Roman"/>
          <w:sz w:val="20"/>
        </w:rPr>
        <w:t>文献标志码：</w:t>
      </w:r>
      <w:r>
        <w:rPr>
          <w:rFonts w:eastAsia="方正书宋简体" w:ascii="Times New Roman" w:hAnsi="Times New Roman"/>
          <w:sz w:val="20"/>
        </w:rPr>
        <w:t>A</w:t>
      </w:r>
    </w:p>
    <w:p w14:paraId="4844ABB4" w14:textId="77777777" w:rsidR="00580E0B" w:rsidRDefault="00000000">
      <w:pPr>
        <w:spacing w:before="0" w:after="0" w:line="264" w:lineRule="auto"/>
        <w:ind w:firstLine="408"/>
        <w:jc w:val="center"/>
      </w:pPr>
      <w:r>
        <w:rPr>
          <w:rFonts w:eastAsia="方正书宋简体" w:ascii="Times New Roman" w:hAnsi="Times New Roman"/>
          <w:b/>
          <w:sz w:val="20"/>
        </w:rPr>
        <w:t>Recoverable Challenge Protocol and Lightweight DA Cost Evaluation for</w:t>
      </w:r>
      <w:r>
        <w:rPr>
          <w:rFonts w:eastAsia="方正书宋简体" w:ascii="Times New Roman" w:hAnsi="Times New Roman"/>
          <w:b/>
          <w:sz w:val="20"/>
        </w:rPr>
        <w:br/>
        <w:t>Hybrid TEE-Rollup in High-Frequency DApps</w:t>
      </w:r>
    </w:p>
    <w:p w14:paraId="0D7BFE12" w14:textId="77777777" w:rsidR="00580E0B" w:rsidRDefault="00000000">
      <w:pPr>
        <w:spacing w:after="0" w:line="264" w:lineRule="auto" w:before="0"/>
        <w:ind w:firstLine="408"/>
        <w:jc w:val="center"/>
      </w:pPr>
      <w:r>
        <w:rPr>
          <w:rFonts w:eastAsia="方正书宋简体" w:ascii="Times New Roman" w:hAnsi="Times New Roman"/>
          <w:b w:val="0"/>
          <w:sz w:val="20"/>
        </w:rPr>
        <w:t>YANG Fan</w:t>
      </w:r>
    </w:p>
    <w:p w14:paraId="4DE89B72" w14:textId="77777777" w:rsidR="00A179AD" w:rsidRDefault="00000000">
      <w:pPr>
        <w:spacing w:before="0" w:after="0" w:line="264" w:lineRule="auto"/>
        <w:ind w:firstLine="408"/>
        <w:rPr>
          <w:rFonts w:eastAsiaTheme="minorEastAsia"/>
          <w:sz w:val="20"/>
        </w:rPr>
      </w:pPr>
      <w:r>
        <w:rPr>
          <w:rFonts w:eastAsia="方正书宋简体" w:ascii="Times New Roman" w:hAnsi="Times New Roman"/>
          <w:b/>
          <w:sz w:val="20"/>
        </w:rPr>
        <w:t xml:space="preserve">Abstract: </w:t>
      </w:r>
      <w:r w:rsidR="00A179AD" w:rsidRPr="00A179AD">
        <w:rPr>
          <w:rFonts w:eastAsia="方正书宋简体" w:ascii="Times New Roman" w:hAnsi="Times New Roman"/>
          <w:sz w:val="20"/>
        </w:rPr>
        <w:t>High-frequency decentralized applications (DApps) require the coexistence of low latency, low on-chain overhead, and publicly verifiable arbitration. This paper investigates the coordination among lightweight on-chain commitments, off-chain data availability (DA) payloads, and timeout challenges in Hybrid TEE-Rollups. We propose a recoverable challenge mechanism, an evidence-carrying compact commitment mechanism, and a data-availability-aware cost model. The recoverable challenge mechanism restores timeout sessions to a replayable and settleable state. The evidence-carrying compact commitment mechanism binds the state root, output hash, proof hash, DA pointer, and DA root. The data-availability-aware cost model analyzes the relationship among payload size, batching amortization, and DA path selection. Based on a Python prototype, local EVM gas measurements, and Sepolia deployment records, the experimental results show that the compact commitment averages approximately 406 bytes. Under the configuration with a payload size of 8192 and a batch size of 1000, the estimated amortized cost of the modular DA sampling path is reduced by 96.33% compared with full on-chain calldata. In synthetic timeout scenarios, the recovery path increases the challenge success rate from 0% to 100%. The conclusions of this paper are based on a simulated TEE, a verifiable DA registry, and a configuration-aware cost model.</w:t>
      </w:r>
    </w:p>
    <w:p w14:paraId="5E75A6EC" w14:textId="7B0D7258" w:rsidR="00580E0B" w:rsidRDefault="00000000">
      <w:pPr>
        <w:spacing w:before="0" w:after="0" w:line="264" w:lineRule="auto"/>
        <w:ind w:firstLine="408"/>
      </w:pPr>
      <w:r>
        <w:rPr>
          <w:rFonts w:eastAsia="方正书宋简体" w:ascii="Times New Roman" w:hAnsi="Times New Roman"/>
          <w:b/>
          <w:sz w:val="20"/>
        </w:rPr>
        <w:t xml:space="preserve">Key words: </w:t>
      </w:r>
      <w:r>
        <w:rPr>
          <w:rFonts w:eastAsia="方正书宋简体" w:ascii="Times New Roman" w:hAnsi="Times New Roman"/>
          <w:sz w:val="20"/>
        </w:rPr>
        <w:t>Hybrid TEE-Rollup; interactive challenge; data availability; high-frequency DApp; cost amortization; fault recovery</w:t>
      </w:r>
    </w:p>
    <w:p w14:paraId="051FBA2C" w14:textId="77777777" w:rsidR="00580E0B" w:rsidRDefault="00000000">
      <w:pPr>
        <w:spacing w:before="0" w:after="0" w:line="240" w:lineRule="auto"/>
        <w:ind w:firstLine="0"/>
        <w:jc w:val="left"/>
      </w:pPr>
      <w:r>
        <w:rPr>
          <w:rFonts w:eastAsia="黑体" w:ascii="黑体" w:hAnsi="黑体"/>
          <w:b/>
          <w:sz w:val="23"/>
        </w:rPr>
        <w:t xml:space="preserve">1  </w:t>
      </w:r>
      <w:r>
        <w:rPr>
          <w:rFonts w:eastAsia="黑体" w:ascii="黑体" w:hAnsi="黑体"/>
          <w:b/>
          <w:sz w:val="23"/>
        </w:rPr>
        <w:t>引言</w:t>
      </w:r>
    </w:p>
    <w:p w14:paraId="2D35D4D8" w14:textId="77777777" w:rsidR="00580E0B" w:rsidRDefault="00000000">
      <w:pPr>
        <w:spacing w:line="264" w:lineRule="auto" w:before="0" w:after="0"/>
        <w:ind w:firstLine="408"/>
      </w:pPr>
      <w:r>
        <w:rPr>
          <w:rFonts w:ascii="Times New Roman" w:hAnsi="Times New Roman" w:eastAsia="方正书宋简体"/>
          <w:sz w:val="20"/>
        </w:rPr>
        <w:t>高频去中心化应用的瓶颈来自低价值高频交互与异常可验证性的耦合。以链上 AI 推理服务为例，正常路径要求 TEE 链下执行与紧凑提交降低延迟和链上开销，异常路径则必须在响应、证明或 DA 负载不一致时保留公开仲裁入口。</w:t>
      </w:r>
    </w:p>
    <w:p w14:paraId="0533386A" w14:textId="77777777" w:rsidR="00580E0B" w:rsidRDefault="00000000">
      <w:pPr>
        <w:spacing w:line="264" w:lineRule="auto" w:before="0" w:after="0"/>
        <w:ind w:firstLine="408"/>
      </w:pPr>
      <w:r>
        <w:rPr>
          <w:rFonts w:ascii="Times New Roman" w:hAnsi="Times New Roman" w:eastAsia="方正书宋简体"/>
          <w:sz w:val="20"/>
        </w:rPr>
        <w:t>现有路线分别覆盖了这一需求的不同侧面：全链上执行公开验证能力强但成本高，完全链下执行成本低但缺少公开仲裁，纯 TEE 执行降低正常路径验证成本但受硬件和宿主环境影响。Hybrid TEE-Rollup 将 TEE 快速路径与链上异常路径结合</w:t>
      </w:r>
      <w:r>
        <w:rPr>
          <w:rFonts w:ascii="Times New Roman" w:hAnsi="Times New Roman" w:eastAsia="方正书宋简体"/>
          <w:sz w:val="20"/>
          <w:vertAlign w:val="superscript"/>
        </w:rPr>
        <w:t>[1]</w:t>
      </w:r>
      <w:r>
        <w:rPr>
          <w:rFonts w:ascii="Times New Roman" w:hAnsi="Times New Roman" w:eastAsia="方正书宋简体"/>
          <w:sz w:val="20"/>
        </w:rPr>
        <w:t>，但仍需要恢复机制和证据入口来维持异常场景下的协议连续性。</w:t>
      </w:r>
    </w:p>
    <w:p w14:paraId="1907FB19" w14:textId="77777777" w:rsidR="00580E0B" w:rsidRDefault="00000000">
      <w:pPr>
        <w:spacing w:line="264" w:lineRule="auto" w:before="0" w:after="0"/>
        <w:ind w:firstLine="408"/>
      </w:pPr>
      <w:r>
        <w:rPr>
          <w:rFonts w:ascii="Times New Roman" w:hAnsi="Times New Roman" w:eastAsia="方正书宋简体"/>
          <w:sz w:val="20"/>
        </w:rPr>
        <w:t>超时后挑战流程卡死属于协议活性与仲裁连续性问题。本文以故障发生、恢复、重放和结算为主线，将紧凑提交作为最小可验证证据入口，使异常路径能够继续进入验证与重放。</w:t>
      </w:r>
    </w:p>
    <w:p w14:paraId="6238B796" w14:textId="77777777" w:rsidR="00580E0B" w:rsidRDefault="00000000">
      <w:pPr>
        <w:spacing w:line="264" w:lineRule="auto" w:before="0" w:after="0"/>
        <w:ind w:firstLine="408"/>
      </w:pPr>
      <w:r>
        <w:rPr>
          <w:rFonts w:ascii="Times New Roman" w:hAnsi="Times New Roman" w:eastAsia="方正书宋简体"/>
          <w:sz w:val="20"/>
        </w:rPr>
        <w:t>实验采用合成负载、模拟 TEE、可验证 DA 注册表、本地 EVM gas 实测与 Sepolia 部署记录。</w:t>
      </w:r>
    </w:p>
    <w:p w14:paraId="34E7D69A" w14:textId="77777777" w:rsidR="00580E0B" w:rsidRDefault="00000000">
      <w:pPr>
        <w:spacing w:before="0" w:after="0" w:line="240" w:lineRule="auto"/>
        <w:ind w:firstLine="0"/>
        <w:jc w:val="left"/>
      </w:pPr>
      <w:r>
        <w:rPr>
          <w:rFonts w:eastAsia="黑体" w:ascii="黑体" w:hAnsi="黑体"/>
          <w:b/>
          <w:sz w:val="23"/>
        </w:rPr>
        <w:t xml:space="preserve">1.1  </w:t>
      </w:r>
      <w:r>
        <w:rPr>
          <w:rFonts w:eastAsia="黑体" w:ascii="黑体" w:hAnsi="黑体"/>
          <w:b/>
          <w:sz w:val="23"/>
        </w:rPr>
        <w:t>本文贡献</w:t>
      </w:r>
    </w:p>
    <w:p w14:paraId="3D209502" w14:textId="051BB092" w:rsidR="00580E0B" w:rsidRDefault="00000000">
      <w:pPr>
        <w:spacing w:line="264" w:lineRule="auto" w:before="0" w:after="0"/>
        <w:ind w:firstLine="408"/>
      </w:pPr>
      <w:r>
        <w:rPr>
          <w:rFonts w:ascii="Times New Roman" w:hAnsi="Times New Roman" w:eastAsia="方正书宋简体"/>
          <w:sz w:val="20"/>
        </w:rPr>
        <w:t>第一，可恢复挑战机制将超时会话恢复至可重放、可仲裁状态，在不修改争议事实的前提下维持仲裁连续性。</w:t>
      </w:r>
    </w:p>
    <w:p w14:paraId="26013702" w14:textId="125182DF" w:rsidR="00580E0B" w:rsidRDefault="00000000">
      <w:pPr>
        <w:spacing w:line="264" w:lineRule="auto" w:before="0" w:after="0"/>
        <w:ind w:firstLine="408"/>
      </w:pPr>
      <w:r>
        <w:rPr>
          <w:rFonts w:ascii="Times New Roman" w:hAnsi="Times New Roman" w:eastAsia="方正书宋简体"/>
          <w:sz w:val="20"/>
        </w:rPr>
        <w:t>第二，携带证据的紧凑提交将状态根、输出哈希、证明哈希、DA 指针与 DA 根绑定为同一证据上下文。</w:t>
      </w:r>
    </w:p>
    <w:p w14:paraId="17A813EE" w14:textId="5C165078" w:rsidR="00580E0B" w:rsidRDefault="00000000">
      <w:pPr>
        <w:spacing w:line="264" w:lineRule="auto" w:before="0" w:after="0"/>
        <w:ind w:firstLine="408"/>
      </w:pPr>
      <w:r>
        <w:rPr>
          <w:rFonts w:ascii="Times New Roman" w:hAnsi="Times New Roman" w:eastAsia="方正书宋简体"/>
          <w:sz w:val="20"/>
        </w:rPr>
        <w:t>第三，数据可用性感知成本模型刻画负载规模、批处理摊销与 DA 路径选择之间的结构性权衡。</w:t>
      </w:r>
    </w:p>
    <w:p w14:paraId="6CB78B6A" w14:textId="77777777" w:rsidR="00580E0B" w:rsidRDefault="00000000">
      <w:pPr>
        <w:spacing w:line="264" w:lineRule="auto" w:before="0" w:after="0"/>
        <w:ind w:firstLine="408"/>
        <w:jc w:val="center"/>
      </w:pPr>
      <w:r>
        <w:rPr>
          <w:rFonts w:ascii="Times New Roman" w:hAnsi="Times New Roman" w:eastAsia="方正书宋简体"/>
          <w:sz w:val="20"/>
        </w:rPr>
        <w:t>表 2 用于概括本文与典型 Rollup/TEE-Rollup 路线在挑战恢复、DA 证据绑定和成本建模上的差异。</w:t>
      </w:r>
    </w:p>
    <w:p w14:paraId="4D751CE6" w14:textId="77777777" w:rsidR="00580E0B" w:rsidRDefault="00000000">
      <w:pPr>
        <w:spacing w:line="264" w:lineRule="auto" w:before="0" w:after="0"/>
        <w:ind w:firstLine="408"/>
        <w:jc w:val="center"/>
      </w:pPr>
      <w:r>
        <w:rPr>
          <w:rFonts w:eastAsia="方正书宋简体" w:ascii="Times New Roman" w:hAnsi="Times New Roman"/>
          <w:b/>
          <w:sz w:val="20"/>
        </w:rPr>
        <w:t>表</w:t>
      </w:r>
      <w:r>
        <w:rPr>
          <w:rFonts w:eastAsia="方正书宋简体" w:ascii="Times New Roman" w:hAnsi="Times New Roman"/>
          <w:b/>
          <w:sz w:val="20"/>
        </w:rPr>
        <w:t xml:space="preserve"> 2  </w:t>
      </w:r>
      <w:r>
        <w:rPr>
          <w:rFonts w:eastAsia="方正书宋简体" w:ascii="Times New Roman" w:hAnsi="Times New Roman"/>
          <w:b/>
          <w:sz w:val="20"/>
        </w:rPr>
        <w:t>机制语义对比</w:t>
      </w:r>
    </w:p>
    <w:p w14:paraId="20E2924D" w14:textId="77777777" w:rsidR="00580E0B" w:rsidRDefault="00000000">
      <w:pPr>
        <w:spacing w:line="264" w:lineRule="auto" w:before="0" w:after="0"/>
        <w:ind w:firstLine="408"/>
        <w:jc w:val="center"/>
      </w:pPr>
      <w:r>
        <w:rPr>
          <w:rFonts w:eastAsia="方正书宋简体" w:ascii="Times New Roman" w:hAnsi="Times New Roman"/>
          <w:b w:val="0"/>
          <w:sz w:val="20"/>
        </w:rPr>
        <w:t>Table 2  Semantic comparison of mechanisms</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995"/>
        <w:gridCol w:w="1995"/>
        <w:gridCol w:w="1996"/>
        <w:gridCol w:w="1996"/>
        <w:gridCol w:w="1996"/>
      </w:tblGrid>
      <w:tr w:rsidR="00580E0B" w14:paraId="2CE9C234" w14:textId="77777777">
        <w:trPr>
          <w:tblHeader/>
          <w:jc w:val="center"/>
        </w:trPr>
        <w:tc>
          <w:tcPr>
            <w:tcW w:w="1996" w:type="dxa"/>
            <w:tcBorders>
              <w:bottom w:val="single" w:sz="6" w:space="0" w:color="000000"/>
            </w:tcBorders>
            <w:vAlign w:val="center"/>
          </w:tcPr>
          <w:p w14:paraId="2F135948" w14:textId="77777777" w:rsidR="00580E0B" w:rsidRDefault="00000000">
            <w:pPr>
              <w:spacing w:line="240" w:lineRule="auto" w:before="0" w:after="0"/>
              <w:ind w:firstLine="0"/>
              <w:jc w:val="center"/>
            </w:pPr>
            <w:r>
              <w:rPr>
                <w:rFonts w:eastAsia="方正书宋简体" w:ascii="Times New Roman" w:hAnsi="Times New Roman"/>
                <w:b/>
                <w:sz w:val="16"/>
              </w:rPr>
              <w:t>系统</w:t>
            </w:r>
          </w:p>
        </w:tc>
        <w:tc>
          <w:tcPr>
            <w:tcW w:w="1996" w:type="dxa"/>
            <w:tcBorders>
              <w:bottom w:val="single" w:sz="6" w:space="0" w:color="000000"/>
            </w:tcBorders>
            <w:vAlign w:val="center"/>
          </w:tcPr>
          <w:p w14:paraId="1454F9AC" w14:textId="77777777" w:rsidR="00580E0B" w:rsidRDefault="00000000">
            <w:pPr>
              <w:spacing w:line="240" w:lineRule="auto" w:before="0" w:after="0"/>
              <w:ind w:firstLine="0"/>
              <w:jc w:val="center"/>
            </w:pPr>
            <w:r>
              <w:rPr>
                <w:rFonts w:eastAsia="方正书宋简体" w:ascii="Times New Roman" w:hAnsi="Times New Roman"/>
                <w:b/>
                <w:sz w:val="16"/>
              </w:rPr>
              <w:t>挑战机制角色</w:t>
            </w:r>
          </w:p>
        </w:tc>
        <w:tc>
          <w:tcPr>
            <w:tcW w:w="1996" w:type="dxa"/>
            <w:tcBorders>
              <w:bottom w:val="single" w:sz="6" w:space="0" w:color="000000"/>
            </w:tcBorders>
            <w:vAlign w:val="center"/>
          </w:tcPr>
          <w:p w14:paraId="1AFAFF26" w14:textId="77777777" w:rsidR="00580E0B" w:rsidRDefault="00000000">
            <w:pPr>
              <w:spacing w:line="240" w:lineRule="auto" w:before="0" w:after="0"/>
              <w:ind w:firstLine="0"/>
              <w:jc w:val="center"/>
            </w:pPr>
            <w:r>
              <w:rPr>
                <w:rFonts w:eastAsia="方正书宋简体" w:ascii="Times New Roman" w:hAnsi="Times New Roman"/>
                <w:b/>
                <w:sz w:val="16"/>
              </w:rPr>
              <w:t>恢复语义</w:t>
            </w:r>
          </w:p>
        </w:tc>
        <w:tc>
          <w:tcPr>
            <w:tcW w:w="1996" w:type="dxa"/>
            <w:tcBorders>
              <w:bottom w:val="single" w:sz="6" w:space="0" w:color="000000"/>
            </w:tcBorders>
            <w:vAlign w:val="center"/>
          </w:tcPr>
          <w:p w14:paraId="2A1B091B" w14:textId="77777777" w:rsidR="00580E0B" w:rsidRDefault="00000000">
            <w:pPr>
              <w:spacing w:line="240" w:lineRule="auto" w:before="0" w:after="0"/>
              <w:ind w:firstLine="0"/>
              <w:jc w:val="center"/>
            </w:pPr>
            <w:r>
              <w:rPr>
                <w:rFonts w:eastAsia="方正书宋简体" w:ascii="Times New Roman" w:hAnsi="Times New Roman"/>
                <w:b/>
                <w:sz w:val="16"/>
              </w:rPr>
              <w:t xml:space="preserve">DA </w:t>
            </w:r>
            <w:r>
              <w:rPr>
                <w:rFonts w:eastAsia="方正书宋简体" w:ascii="Times New Roman" w:hAnsi="Times New Roman"/>
                <w:b/>
                <w:sz w:val="16"/>
              </w:rPr>
              <w:t>证据绑定</w:t>
            </w:r>
          </w:p>
        </w:tc>
        <w:tc>
          <w:tcPr>
            <w:tcW w:w="1996" w:type="dxa"/>
            <w:tcBorders>
              <w:bottom w:val="single" w:sz="6" w:space="0" w:color="000000"/>
            </w:tcBorders>
            <w:vAlign w:val="center"/>
          </w:tcPr>
          <w:p w14:paraId="6A392267" w14:textId="77777777" w:rsidR="00580E0B" w:rsidRDefault="00000000">
            <w:pPr>
              <w:spacing w:line="240" w:lineRule="auto" w:before="0" w:after="0"/>
              <w:ind w:firstLine="0"/>
              <w:jc w:val="center"/>
            </w:pPr>
            <w:r>
              <w:rPr>
                <w:rFonts w:eastAsia="方正书宋简体" w:ascii="Times New Roman" w:hAnsi="Times New Roman"/>
                <w:b/>
                <w:sz w:val="16"/>
              </w:rPr>
              <w:t>成本模型作用</w:t>
            </w:r>
          </w:p>
        </w:tc>
      </w:tr>
      <w:tr w:rsidR="00580E0B" w14:paraId="5D0D997B" w14:textId="77777777">
        <w:trPr>
          <w:jc w:val="center"/>
        </w:trPr>
        <w:tc>
          <w:tcPr>
            <w:tcW w:w="1996" w:type="dxa"/>
            <w:vAlign w:val="center"/>
          </w:tcPr>
          <w:p>
            <w:pPr>
              <w:spacing w:line="240" w:lineRule="auto" w:before="0" w:after="0"/>
              <w:ind w:firstLine="0"/>
            </w:pPr>
            <w:r>
              <w:rPr>
                <w:rFonts w:ascii="Times New Roman" w:hAnsi="Times New Roman" w:eastAsia="方正书宋简体"/>
                <w:sz w:val="16"/>
              </w:rPr>
              <w:t>Optimism</w:t>
            </w:r>
          </w:p>
        </w:tc>
        <w:tc>
          <w:tcPr>
            <w:tcW w:w="1996" w:type="dxa"/>
            <w:vAlign w:val="center"/>
          </w:tcPr>
          <w:p>
            <w:pPr>
              <w:spacing w:line="240" w:lineRule="auto" w:before="0" w:after="0"/>
              <w:ind w:firstLine="0"/>
            </w:pPr>
            <w:r>
              <w:rPr>
                <w:rFonts w:ascii="Times New Roman" w:hAnsi="Times New Roman" w:eastAsia="方正书宋简体"/>
                <w:sz w:val="16"/>
              </w:rPr>
              <w:t>欺诈证明/争议博弈</w:t>
            </w:r>
          </w:p>
        </w:tc>
        <w:tc>
          <w:tcPr>
            <w:tcW w:w="1996" w:type="dxa"/>
            <w:vAlign w:val="center"/>
          </w:tcPr>
          <w:p>
            <w:pPr>
              <w:spacing w:line="240" w:lineRule="auto" w:before="0" w:after="0"/>
              <w:ind w:firstLine="0"/>
            </w:pPr>
            <w:r>
              <w:rPr>
                <w:rFonts w:ascii="Times New Roman" w:hAnsi="Times New Roman" w:eastAsia="方正书宋简体"/>
                <w:sz w:val="16"/>
              </w:rPr>
              <w:t>挑战窗口</w:t>
            </w:r>
          </w:p>
        </w:tc>
        <w:tc>
          <w:tcPr>
            <w:tcW w:w="1996" w:type="dxa"/>
            <w:vAlign w:val="center"/>
          </w:tcPr>
          <w:p>
            <w:pPr>
              <w:spacing w:line="240" w:lineRule="auto" w:before="0" w:after="0"/>
              <w:ind w:firstLine="0"/>
            </w:pPr>
            <w:r>
              <w:rPr>
                <w:rFonts w:ascii="Times New Roman" w:hAnsi="Times New Roman" w:eastAsia="方正书宋简体"/>
                <w:sz w:val="16"/>
              </w:rPr>
              <w:t>非重点</w:t>
            </w:r>
          </w:p>
        </w:tc>
        <w:tc>
          <w:tcPr>
            <w:tcW w:w="1996" w:type="dxa"/>
            <w:vAlign w:val="center"/>
          </w:tcPr>
          <w:p>
            <w:pPr>
              <w:spacing w:line="240" w:lineRule="auto" w:before="0" w:after="0"/>
              <w:ind w:firstLine="0"/>
            </w:pPr>
            <w:r>
              <w:rPr>
                <w:rFonts w:ascii="Times New Roman" w:hAnsi="Times New Roman" w:eastAsia="方正书宋简体"/>
                <w:sz w:val="16"/>
              </w:rPr>
              <w:t>未建模</w:t>
            </w:r>
          </w:p>
        </w:tc>
      </w:tr>
      <w:tr w:rsidR="00580E0B" w14:paraId="70D0B1A6" w14:textId="77777777">
        <w:trPr>
          <w:jc w:val="center"/>
        </w:trPr>
        <w:tc>
          <w:tcPr>
            <w:tcW w:w="1996" w:type="dxa"/>
            <w:vAlign w:val="center"/>
          </w:tcPr>
          <w:p>
            <w:pPr>
              <w:spacing w:line="240" w:lineRule="auto" w:before="0" w:after="0"/>
              <w:ind w:firstLine="0"/>
            </w:pPr>
            <w:r>
              <w:rPr>
                <w:rFonts w:ascii="Times New Roman" w:hAnsi="Times New Roman" w:eastAsia="方正书宋简体"/>
                <w:sz w:val="16"/>
              </w:rPr>
              <w:t>Arbitrum</w:t>
            </w:r>
          </w:p>
        </w:tc>
        <w:tc>
          <w:tcPr>
            <w:tcW w:w="1996" w:type="dxa"/>
            <w:vAlign w:val="center"/>
          </w:tcPr>
          <w:p>
            <w:pPr>
              <w:spacing w:line="240" w:lineRule="auto" w:before="0" w:after="0"/>
              <w:ind w:firstLine="0"/>
            </w:pPr>
            <w:r>
              <w:rPr>
                <w:rFonts w:ascii="Times New Roman" w:hAnsi="Times New Roman" w:eastAsia="方正书宋简体"/>
                <w:sz w:val="16"/>
              </w:rPr>
              <w:t>交互式争议定位</w:t>
            </w:r>
          </w:p>
        </w:tc>
        <w:tc>
          <w:tcPr>
            <w:tcW w:w="1996" w:type="dxa"/>
            <w:vAlign w:val="center"/>
          </w:tcPr>
          <w:p>
            <w:pPr>
              <w:spacing w:line="240" w:lineRule="auto" w:before="0" w:after="0"/>
              <w:ind w:firstLine="0"/>
            </w:pPr>
            <w:r>
              <w:rPr>
                <w:rFonts w:ascii="Times New Roman" w:hAnsi="Times New Roman" w:eastAsia="方正书宋简体"/>
                <w:sz w:val="16"/>
              </w:rPr>
              <w:t>协议推进</w:t>
            </w:r>
          </w:p>
        </w:tc>
        <w:tc>
          <w:tcPr>
            <w:tcW w:w="1996" w:type="dxa"/>
            <w:vAlign w:val="center"/>
          </w:tcPr>
          <w:p>
            <w:pPr>
              <w:spacing w:line="240" w:lineRule="auto" w:before="0" w:after="0"/>
              <w:ind w:firstLine="0"/>
            </w:pPr>
            <w:r>
              <w:rPr>
                <w:rFonts w:ascii="Times New Roman" w:hAnsi="Times New Roman" w:eastAsia="方正书宋简体"/>
                <w:sz w:val="16"/>
              </w:rPr>
              <w:t>非重点</w:t>
            </w:r>
          </w:p>
        </w:tc>
        <w:tc>
          <w:tcPr>
            <w:tcW w:w="1996" w:type="dxa"/>
            <w:vAlign w:val="center"/>
          </w:tcPr>
          <w:p>
            <w:pPr>
              <w:spacing w:line="240" w:lineRule="auto" w:before="0" w:after="0"/>
              <w:ind w:firstLine="0"/>
            </w:pPr>
            <w:r>
              <w:rPr>
                <w:rFonts w:ascii="Times New Roman" w:hAnsi="Times New Roman" w:eastAsia="方正书宋简体"/>
                <w:sz w:val="16"/>
              </w:rPr>
              <w:t>未建模</w:t>
            </w:r>
          </w:p>
        </w:tc>
      </w:tr>
      <w:tr w:rsidR="00580E0B" w14:paraId="33038C88" w14:textId="77777777">
        <w:trPr>
          <w:jc w:val="center"/>
        </w:trPr>
        <w:tc>
          <w:tcPr>
            <w:tcW w:w="1996" w:type="dxa"/>
            <w:vAlign w:val="center"/>
          </w:tcPr>
          <w:p>
            <w:pPr>
              <w:spacing w:line="240" w:lineRule="auto" w:before="0" w:after="0"/>
              <w:ind w:firstLine="0"/>
            </w:pPr>
            <w:r>
              <w:rPr>
                <w:rFonts w:ascii="Times New Roman" w:hAnsi="Times New Roman" w:eastAsia="方正书宋简体"/>
                <w:sz w:val="16"/>
              </w:rPr>
              <w:t>TEERollup</w:t>
            </w:r>
          </w:p>
        </w:tc>
        <w:tc>
          <w:tcPr>
            <w:tcW w:w="1996" w:type="dxa"/>
            <w:vAlign w:val="center"/>
          </w:tcPr>
          <w:p>
            <w:pPr>
              <w:spacing w:line="240" w:lineRule="auto" w:before="0" w:after="0"/>
              <w:ind w:firstLine="0"/>
            </w:pPr>
            <w:r>
              <w:rPr>
                <w:rFonts w:ascii="Times New Roman" w:hAnsi="Times New Roman" w:eastAsia="方正书宋简体"/>
                <w:sz w:val="16"/>
              </w:rPr>
              <w:t>TEE 快速路径</w:t>
            </w:r>
          </w:p>
        </w:tc>
        <w:tc>
          <w:tcPr>
            <w:tcW w:w="1996" w:type="dxa"/>
            <w:vAlign w:val="center"/>
          </w:tcPr>
          <w:p>
            <w:pPr>
              <w:spacing w:line="240" w:lineRule="auto" w:before="0" w:after="0"/>
              <w:ind w:firstLine="0"/>
            </w:pPr>
            <w:r>
              <w:rPr>
                <w:rFonts w:ascii="Times New Roman" w:hAnsi="Times New Roman" w:eastAsia="方正书宋简体"/>
                <w:sz w:val="16"/>
              </w:rPr>
              <w:t>继承挑战假设</w:t>
            </w:r>
          </w:p>
        </w:tc>
        <w:tc>
          <w:tcPr>
            <w:tcW w:w="1996" w:type="dxa"/>
            <w:vAlign w:val="center"/>
          </w:tcPr>
          <w:p>
            <w:pPr>
              <w:spacing w:line="240" w:lineRule="auto" w:before="0" w:after="0"/>
              <w:ind w:firstLine="0"/>
            </w:pPr>
            <w:r>
              <w:rPr>
                <w:rFonts w:ascii="Times New Roman" w:hAnsi="Times New Roman" w:eastAsia="方正书宋简体"/>
                <w:sz w:val="16"/>
              </w:rPr>
              <w:t>TEE/DA 结合</w:t>
            </w:r>
          </w:p>
        </w:tc>
        <w:tc>
          <w:tcPr>
            <w:tcW w:w="1996" w:type="dxa"/>
            <w:vAlign w:val="center"/>
          </w:tcPr>
          <w:p>
            <w:pPr>
              <w:spacing w:line="240" w:lineRule="auto" w:before="0" w:after="0"/>
              <w:ind w:firstLine="0"/>
            </w:pPr>
            <w:r>
              <w:rPr>
                <w:rFonts w:ascii="Times New Roman" w:hAnsi="Times New Roman" w:eastAsia="方正书宋简体"/>
                <w:sz w:val="16"/>
              </w:rPr>
              <w:t>降低验证成本</w:t>
            </w:r>
          </w:p>
        </w:tc>
      </w:tr>
      <w:tr w:rsidR="00580E0B" w14:paraId="54B3FCF6" w14:textId="77777777">
        <w:trPr>
          <w:jc w:val="center"/>
        </w:trPr>
        <w:tc>
          <w:tcPr>
            <w:tcW w:w="1996" w:type="dxa"/>
            <w:vAlign w:val="center"/>
          </w:tcPr>
          <w:p>
            <w:pPr>
              <w:spacing w:line="240" w:lineRule="auto" w:before="0" w:after="0"/>
              <w:ind w:firstLine="0"/>
            </w:pPr>
            <w:r>
              <w:rPr>
                <w:rFonts w:ascii="Times New Roman" w:hAnsi="Times New Roman" w:eastAsia="方正书宋简体"/>
                <w:sz w:val="16"/>
              </w:rPr>
              <w:t>本文工作</w:t>
            </w:r>
          </w:p>
        </w:tc>
        <w:tc>
          <w:tcPr>
            <w:tcW w:w="1996" w:type="dxa"/>
            <w:vAlign w:val="center"/>
          </w:tcPr>
          <w:p>
            <w:pPr>
              <w:spacing w:line="240" w:lineRule="auto" w:before="0" w:after="0"/>
              <w:ind w:firstLine="0"/>
            </w:pPr>
            <w:r>
              <w:rPr>
                <w:rFonts w:ascii="Times New Roman" w:hAnsi="Times New Roman" w:eastAsia="方正书宋简体"/>
                <w:sz w:val="16"/>
              </w:rPr>
              <w:t>恢复+重放</w:t>
            </w:r>
          </w:p>
        </w:tc>
        <w:tc>
          <w:tcPr>
            <w:tcW w:w="1996" w:type="dxa"/>
            <w:vAlign w:val="center"/>
          </w:tcPr>
          <w:p>
            <w:pPr>
              <w:spacing w:line="240" w:lineRule="auto" w:before="0" w:after="0"/>
              <w:ind w:firstLine="0"/>
            </w:pPr>
            <w:r>
              <w:rPr>
                <w:rFonts w:ascii="Times New Roman" w:hAnsi="Times New Roman" w:eastAsia="方正书宋简体"/>
                <w:sz w:val="16"/>
              </w:rPr>
              <w:t>超时可恢复</w:t>
            </w:r>
          </w:p>
        </w:tc>
        <w:tc>
          <w:tcPr>
            <w:tcW w:w="1996" w:type="dxa"/>
            <w:vAlign w:val="center"/>
          </w:tcPr>
          <w:p>
            <w:pPr>
              <w:spacing w:line="240" w:lineRule="auto" w:before="0" w:after="0"/>
              <w:ind w:firstLine="0"/>
            </w:pPr>
            <w:r>
              <w:rPr>
                <w:rFonts w:ascii="Times New Roman" w:hAnsi="Times New Roman" w:eastAsia="方正书宋简体"/>
                <w:sz w:val="16"/>
              </w:rPr>
              <w:t>字段级绑定</w:t>
            </w:r>
          </w:p>
        </w:tc>
        <w:tc>
          <w:tcPr>
            <w:tcW w:w="1996" w:type="dxa"/>
            <w:vAlign w:val="center"/>
          </w:tcPr>
          <w:p>
            <w:pPr>
              <w:spacing w:line="240" w:lineRule="auto" w:before="0" w:after="0"/>
              <w:ind w:firstLine="0"/>
            </w:pPr>
            <w:r>
              <w:rPr>
                <w:rFonts w:ascii="Times New Roman" w:hAnsi="Times New Roman" w:eastAsia="方正书宋简体"/>
                <w:sz w:val="16"/>
              </w:rPr>
              <w:t>DA 感知摊销</w:t>
            </w:r>
          </w:p>
        </w:tc>
      </w:tr>
    </w:tbl>
    <w:p w14:paraId="03B94AD9" w14:textId="77777777" w:rsidR="00580E0B" w:rsidRDefault="00000000">
      <w:pPr>
        <w:spacing w:before="0" w:after="0" w:line="240" w:lineRule="auto"/>
        <w:ind w:firstLine="0"/>
        <w:jc w:val="left"/>
      </w:pPr>
      <w:r>
        <w:rPr>
          <w:rFonts w:eastAsia="黑体" w:ascii="黑体" w:hAnsi="黑体"/>
          <w:b/>
          <w:sz w:val="23"/>
        </w:rPr>
        <w:t xml:space="preserve">2  </w:t>
      </w:r>
      <w:r>
        <w:rPr>
          <w:rFonts w:eastAsia="黑体" w:ascii="黑体" w:hAnsi="黑体"/>
          <w:b/>
          <w:sz w:val="23"/>
        </w:rPr>
        <w:t>背景与威胁模型</w:t>
      </w:r>
    </w:p>
    <w:p w14:paraId="767915BC" w14:textId="77777777" w:rsidR="00580E0B" w:rsidRDefault="00000000">
      <w:pPr>
        <w:spacing w:before="0" w:after="0" w:line="240" w:lineRule="auto"/>
        <w:ind w:firstLine="0"/>
        <w:jc w:val="left"/>
      </w:pPr>
      <w:r>
        <w:rPr>
          <w:rFonts w:eastAsia="黑体" w:ascii="黑体" w:hAnsi="黑体"/>
          <w:b/>
          <w:sz w:val="23"/>
        </w:rPr>
        <w:t>2.1  Rollup</w:t>
      </w:r>
      <w:r>
        <w:rPr>
          <w:rFonts w:eastAsia="黑体" w:ascii="黑体" w:hAnsi="黑体"/>
          <w:b/>
          <w:sz w:val="23"/>
        </w:rPr>
        <w:t>、可信执行环境与数据可用性</w:t>
      </w:r>
    </w:p>
    <w:p w14:paraId="1E43C243" w14:textId="77777777" w:rsidR="00580E0B" w:rsidRDefault="00000000">
      <w:pPr>
        <w:spacing w:line="264" w:lineRule="auto" w:before="0" w:after="0"/>
        <w:ind w:firstLine="408"/>
      </w:pPr>
      <w:r>
        <w:rPr>
          <w:rFonts w:ascii="Times New Roman" w:hAnsi="Times New Roman" w:eastAsia="方正书宋简体"/>
          <w:sz w:val="20"/>
        </w:rPr>
        <w:t>Rollup 将执行移至链下，并把状态承诺、证明或争议入口提交到链上</w:t>
      </w:r>
      <w:r>
        <w:rPr>
          <w:rFonts w:ascii="Times New Roman" w:hAnsi="Times New Roman" w:eastAsia="方正书宋简体"/>
          <w:sz w:val="20"/>
          <w:vertAlign w:val="superscript"/>
        </w:rPr>
        <w:t>[2]</w:t>
      </w:r>
      <w:r>
        <w:rPr>
          <w:rFonts w:ascii="Times New Roman" w:hAnsi="Times New Roman" w:eastAsia="方正书宋简体"/>
          <w:sz w:val="20"/>
        </w:rPr>
        <w:t>。ZK-Rollup 依赖有效性证明，验证属性强但证明与电路成本较高</w:t>
      </w:r>
      <w:r>
        <w:rPr>
          <w:rFonts w:ascii="Times New Roman" w:hAnsi="Times New Roman" w:eastAsia="方正书宋简体"/>
          <w:sz w:val="20"/>
          <w:vertAlign w:val="superscript"/>
        </w:rPr>
        <w:t>[3][4]</w:t>
      </w:r>
      <w:r>
        <w:rPr>
          <w:rFonts w:ascii="Times New Roman" w:hAnsi="Times New Roman" w:eastAsia="方正书宋简体"/>
          <w:sz w:val="20"/>
        </w:rPr>
        <w:t>；Optimistic Rollup 默认结果正确，仅在挑战期内仲裁有效争议，链上负担较轻但会引入争议窗口和交互不确定性</w:t>
      </w:r>
      <w:r>
        <w:rPr>
          <w:rFonts w:ascii="Times New Roman" w:hAnsi="Times New Roman" w:eastAsia="方正书宋简体"/>
          <w:sz w:val="20"/>
          <w:vertAlign w:val="superscript"/>
        </w:rPr>
        <w:t>[5]</w:t>
      </w:r>
      <w:r>
        <w:rPr>
          <w:rFonts w:ascii="Times New Roman" w:hAnsi="Times New Roman" w:eastAsia="方正书宋简体"/>
          <w:sz w:val="20"/>
        </w:rPr>
        <w:t>。</w:t>
      </w:r>
    </w:p>
    <w:p w14:paraId="28804CA6" w14:textId="77777777" w:rsidR="00580E0B" w:rsidRDefault="00000000">
      <w:pPr>
        <w:spacing w:line="264" w:lineRule="auto" w:before="0" w:after="0"/>
        <w:ind w:firstLine="408"/>
      </w:pPr>
      <w:r>
        <w:rPr>
          <w:rFonts w:ascii="Times New Roman" w:hAnsi="Times New Roman" w:eastAsia="方正书宋简体"/>
          <w:sz w:val="20"/>
        </w:rPr>
        <w:t>乐观挑战通常包括提交状态承诺、开启挑战、交互式缩小争议范围和单步重放/链上仲裁</w:t>
      </w:r>
      <w:r>
        <w:rPr>
          <w:rFonts w:ascii="Times New Roman" w:hAnsi="Times New Roman" w:eastAsia="方正书宋简体"/>
          <w:sz w:val="20"/>
          <w:vertAlign w:val="superscript"/>
        </w:rPr>
        <w:t>[6][7][8][9]</w:t>
      </w:r>
      <w:r>
        <w:rPr>
          <w:rFonts w:ascii="Times New Roman" w:hAnsi="Times New Roman" w:eastAsia="方正书宋简体"/>
          <w:sz w:val="20"/>
        </w:rPr>
        <w:t>。二分定位可将长轨迹争议定位复杂度降至对数轮次，但超时、应答缺失或证据不可用仍要求协议具备恢复性</w:t>
      </w:r>
      <w:r>
        <w:rPr>
          <w:rFonts w:ascii="Times New Roman" w:hAnsi="Times New Roman" w:eastAsia="方正书宋简体"/>
          <w:sz w:val="20"/>
          <w:vertAlign w:val="superscript"/>
        </w:rPr>
        <w:t>[10]</w:t>
      </w:r>
      <w:r>
        <w:rPr>
          <w:rFonts w:ascii="Times New Roman" w:hAnsi="Times New Roman" w:eastAsia="方正书宋简体"/>
          <w:sz w:val="20"/>
        </w:rPr>
        <w:t>。</w:t>
      </w:r>
    </w:p>
    <w:p w14:paraId="5D093AA5" w14:textId="77777777" w:rsidR="00580E0B" w:rsidRDefault="00000000">
      <w:pPr>
        <w:spacing w:line="264" w:lineRule="auto" w:before="0" w:after="0"/>
        <w:ind w:firstLine="408"/>
      </w:pPr>
      <w:r>
        <w:rPr>
          <w:rFonts w:ascii="Times New Roman" w:hAnsi="Times New Roman" w:eastAsia="方正书宋简体"/>
          <w:sz w:val="20"/>
        </w:rPr>
        <w:t>数据可用性关注链下或链外数据能否被验证者获取。惰性账本、轻客户端和模块化 DA 路线将数据可用性与执行验证解耦</w:t>
      </w:r>
      <w:r>
        <w:rPr>
          <w:rFonts w:ascii="Times New Roman" w:hAnsi="Times New Roman" w:eastAsia="方正书宋简体"/>
          <w:sz w:val="20"/>
          <w:vertAlign w:val="superscript"/>
        </w:rPr>
        <w:t>[11][12][13][14]</w:t>
      </w:r>
      <w:r>
        <w:rPr>
          <w:rFonts w:ascii="Times New Roman" w:hAnsi="Times New Roman" w:eastAsia="方正书宋简体"/>
          <w:sz w:val="20"/>
        </w:rPr>
        <w:t>；当完整负载放在 DA 层而非链上时，链上提交必须与 DA 条目形成可验证绑定。</w:t>
      </w:r>
    </w:p>
    <w:p w14:paraId="461BAA93" w14:textId="77777777" w:rsidR="00580E0B" w:rsidRDefault="00000000">
      <w:pPr>
        <w:spacing w:before="0" w:after="0" w:line="240" w:lineRule="auto"/>
        <w:ind w:firstLine="0"/>
        <w:jc w:val="left"/>
      </w:pPr>
      <w:r>
        <w:rPr>
          <w:rFonts w:eastAsia="黑体" w:ascii="黑体" w:hAnsi="黑体"/>
          <w:b/>
          <w:sz w:val="23"/>
        </w:rPr>
        <w:t xml:space="preserve">2.2  </w:t>
      </w:r>
      <w:r>
        <w:rPr>
          <w:rFonts w:eastAsia="黑体" w:ascii="黑体" w:hAnsi="黑体"/>
          <w:b/>
          <w:sz w:val="23"/>
        </w:rPr>
        <w:t>问题范围与对抗假设</w:t>
      </w:r>
    </w:p>
    <w:p w14:paraId="2E6BB30D" w14:textId="77777777" w:rsidR="00580E0B" w:rsidRDefault="00000000">
      <w:pPr>
        <w:spacing w:line="264" w:lineRule="auto" w:before="0" w:after="0"/>
        <w:ind w:firstLine="408"/>
      </w:pPr>
      <w:r>
        <w:rPr>
          <w:rFonts w:ascii="Times New Roman" w:hAnsi="Times New Roman" w:eastAsia="方正书宋简体"/>
          <w:sz w:val="20"/>
        </w:rPr>
        <w:t>本文研究 Hybrid TEE-Rollup 如何在正常路径保持低成本，同时保留公开、可恢复且有证据支撑的异常路径：链上提交不随完整负载线性增长，紧凑提交可指向 DA 证据，超时不会使仲裁永久停滞。</w:t>
      </w:r>
    </w:p>
    <w:p w14:paraId="74C0D7E8" w14:textId="77777777" w:rsidR="00580E0B" w:rsidRDefault="00000000">
      <w:pPr>
        <w:spacing w:line="264" w:lineRule="auto" w:before="0" w:after="0"/>
        <w:ind w:firstLine="408"/>
      </w:pPr>
      <w:r>
        <w:rPr>
          <w:rFonts w:ascii="Times New Roman" w:hAnsi="Times New Roman" w:eastAsia="方正书宋简体"/>
          <w:sz w:val="20"/>
        </w:rPr>
        <w:t>攻击面覆盖提交者、执行环境、DA 绑定和挑战流程：执行者可能提交错误响应或无效证明，DA 层可能出现负载缺失、Merkle 证明损坏或根不一致，挑战流程也可能因交互超时中断。</w:t>
      </w:r>
    </w:p>
    <w:p w14:paraId="01CFF699" w14:textId="77777777" w:rsidR="00580E0B" w:rsidRDefault="00000000">
      <w:pPr>
        <w:spacing w:before="0" w:after="0" w:line="240" w:lineRule="auto"/>
        <w:ind w:firstLine="0"/>
        <w:jc w:val="left"/>
      </w:pPr>
      <w:r>
        <w:rPr>
          <w:rFonts w:eastAsia="黑体" w:ascii="黑体" w:hAnsi="黑体"/>
          <w:b/>
          <w:sz w:val="23"/>
        </w:rPr>
        <w:t xml:space="preserve">3  </w:t>
      </w:r>
      <w:r>
        <w:rPr>
          <w:rFonts w:eastAsia="黑体" w:ascii="黑体" w:hAnsi="黑体"/>
          <w:b/>
          <w:sz w:val="23"/>
        </w:rPr>
        <w:t>系统概览</w:t>
      </w:r>
    </w:p>
    <w:p w14:paraId="2234092D" w14:textId="77777777" w:rsidR="00580E0B" w:rsidRDefault="00000000">
      <w:pPr>
        <w:spacing w:line="264" w:lineRule="auto" w:before="0" w:after="0"/>
        <w:ind w:firstLine="408"/>
      </w:pPr>
      <w:r>
        <w:rPr>
          <w:rFonts w:ascii="Times New Roman" w:hAnsi="Times New Roman" w:eastAsia="方正书宋简体"/>
          <w:sz w:val="20"/>
        </w:rPr>
        <w:t>系统包含执行层、DA 层和验证层：执行层产生响应与远程证明，DA 层保存重放证据，验证层将故障转化为挑战、恢复、重放与结算等状态转移。</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978"/>
      </w:tblGrid>
      <w:tr w:rsidR="00580E0B" w14:paraId="04719084" w14:textId="77777777">
        <w:trPr>
          <w:jc w:val="center"/>
        </w:trPr>
        <w:tc>
          <w:tcPr>
            <w:tcW w:w="9978" w:type="dxa"/>
            <w:vAlign w:val="center"/>
          </w:tcPr>
          <w:p w14:paraId="5248D0E5" w14:textId="77777777" w:rsidR="00580E0B" w:rsidRDefault="00000000">
            <w:pPr>
              <w:keepNext/>
              <w:spacing w:before="0" w:after="0" w:line="240" w:lineRule="auto"/>
              <w:ind w:firstLine="0"/>
              <w:jc w:val="center"/>
            </w:pPr>
            <w:r>
              <w:rPr>
                <w:rFonts w:ascii="Times New Roman" w:hAnsi="Times New Roman" w:eastAsia="方正书宋简体"/>
                <w:noProof/>
                <w:sz w:val="16"/>
              </w:rPr>
              <w:lastRenderedPageBreak/>
              <w:drawing>
                <wp:inline distT="0" distB="0" distL="0" distR="0" wp14:anchorId="28C7701B" wp14:editId="062485C4">
                  <wp:extent cx="5943600" cy="3343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943600" cy="3343275"/>
                          </a:xfrm>
                          <a:prstGeom prst="rect">
                            <a:avLst/>
                          </a:prstGeom>
                        </pic:spPr>
                      </pic:pic>
                    </a:graphicData>
                  </a:graphic>
                </wp:inline>
              </w:drawing>
            </w:r>
          </w:p>
          <w:p w14:paraId="4E82B290" w14:textId="77777777" w:rsidR="00580E0B" w:rsidRDefault="00000000">
            <w:pPr>
              <w:spacing w:line="240" w:lineRule="auto" w:before="0" w:after="0"/>
              <w:ind w:firstLine="0"/>
              <w:jc w:val="center"/>
            </w:pPr>
            <w:r>
              <w:rPr>
                <w:rFonts w:eastAsia="方正书宋简体" w:ascii="Times New Roman" w:hAnsi="Times New Roman"/>
                <w:sz w:val="16"/>
              </w:rPr>
              <w:t>图</w:t>
            </w:r>
            <w:r>
              <w:rPr>
                <w:rFonts w:eastAsia="方正书宋简体" w:ascii="Times New Roman" w:hAnsi="Times New Roman"/>
                <w:sz w:val="16"/>
              </w:rPr>
              <w:t xml:space="preserve"> 1  Hybrid TEE-Rollup </w:t>
            </w:r>
            <w:r>
              <w:rPr>
                <w:rFonts w:eastAsia="方正书宋简体" w:ascii="Times New Roman" w:hAnsi="Times New Roman"/>
                <w:sz w:val="16"/>
              </w:rPr>
              <w:t>原型系统架构</w:t>
            </w:r>
          </w:p>
          <w:p w14:paraId="07092232" w14:textId="77777777" w:rsidR="00580E0B" w:rsidRDefault="00000000">
            <w:pPr>
              <w:spacing w:line="240" w:lineRule="auto" w:before="0" w:after="0"/>
              <w:ind w:firstLine="0"/>
              <w:jc w:val="center"/>
            </w:pPr>
            <w:r>
              <w:rPr>
                <w:rFonts w:eastAsia="方正书宋简体" w:ascii="Times New Roman" w:hAnsi="Times New Roman"/>
                <w:sz w:val="16"/>
              </w:rPr>
              <w:t>Fig.1  Prototype architecture of Hybrid TEE-Rollup</w:t>
            </w:r>
          </w:p>
        </w:tc>
      </w:tr>
    </w:tbl>
    <w:p w14:paraId="0A502789" w14:textId="77777777" w:rsidR="00580E0B" w:rsidRDefault="00000000">
      <w:pPr>
        <w:spacing w:line="264" w:lineRule="auto" w:before="0" w:after="0"/>
        <w:ind w:firstLine="408"/>
      </w:pPr>
      <w:r>
        <w:rPr>
          <w:rFonts w:ascii="Times New Roman" w:hAnsi="Times New Roman" w:eastAsia="方正书宋简体"/>
          <w:sz w:val="20"/>
        </w:rPr>
        <w:t>如图 1 所示，正常路径中执行层输出响应与远程证明，DA 层保存完整证据，链上仅保存紧凑提交；异常路径中验证层通过 DA 指针取回证据，并以挑战、恢复、重放和结算推进状态。</w:t>
      </w:r>
    </w:p>
    <w:p w14:paraId="400972FC" w14:textId="77777777" w:rsidR="00580E0B" w:rsidRDefault="00000000">
      <w:pPr>
        <w:spacing w:before="0" w:after="0" w:line="240" w:lineRule="auto"/>
        <w:ind w:firstLine="0"/>
        <w:jc w:val="left"/>
      </w:pPr>
      <w:r>
        <w:rPr>
          <w:rFonts w:eastAsia="黑体" w:ascii="黑体" w:hAnsi="黑体"/>
          <w:b/>
          <w:sz w:val="23"/>
        </w:rPr>
        <w:t xml:space="preserve">3.1  </w:t>
      </w:r>
      <w:r>
        <w:rPr>
          <w:rFonts w:eastAsia="黑体" w:ascii="黑体" w:hAnsi="黑体"/>
          <w:b/>
          <w:sz w:val="23"/>
        </w:rPr>
        <w:t>执行层与正常路径</w:t>
      </w:r>
    </w:p>
    <w:p w14:paraId="458CFA93" w14:textId="77777777" w:rsidR="00580E0B" w:rsidRDefault="00000000">
      <w:pPr>
        <w:spacing w:line="264" w:lineRule="auto" w:before="0" w:after="0"/>
        <w:ind w:firstLine="408"/>
      </w:pPr>
      <w:r>
        <w:rPr>
          <w:rFonts w:ascii="Times New Roman" w:hAnsi="Times New Roman" w:eastAsia="方正书宋简体"/>
          <w:sz w:val="20"/>
        </w:rPr>
        <w:t>执行层处理高频 DApp 请求，当前原型以确定性模拟模型或可选模型后端生成响应，并用模拟 TEE 远程证明绑定输入哈希、输出哈希、nonce 和环境标识[15][16]。</w:t>
      </w:r>
    </w:p>
    <w:p w14:paraId="58D7B54D" w14:textId="77777777" w:rsidR="00580E0B" w:rsidRDefault="00000000">
      <w:pPr>
        <w:spacing w:before="0" w:after="0" w:line="240" w:lineRule="auto"/>
        <w:ind w:firstLine="0"/>
        <w:jc w:val="left"/>
      </w:pPr>
      <w:r>
        <w:rPr>
          <w:rFonts w:eastAsia="黑体" w:ascii="黑体" w:hAnsi="黑体"/>
          <w:b/>
          <w:sz w:val="23"/>
        </w:rPr>
        <w:t xml:space="preserve">3.2  </w:t>
      </w:r>
      <w:r>
        <w:rPr>
          <w:rFonts w:eastAsia="黑体" w:ascii="黑体" w:hAnsi="黑体"/>
          <w:b/>
          <w:sz w:val="23"/>
        </w:rPr>
        <w:t>数据可用性接口</w:t>
      </w:r>
    </w:p>
    <w:p w14:paraId="665325DC" w14:textId="77777777" w:rsidR="00580E0B" w:rsidRDefault="00000000">
      <w:pPr>
        <w:spacing w:line="264" w:lineRule="auto" w:before="0" w:after="0"/>
        <w:ind w:firstLine="408"/>
      </w:pPr>
      <w:r>
        <w:rPr>
          <w:rFonts w:ascii="Times New Roman" w:hAnsi="Times New Roman" w:eastAsia="方正书宋简体"/>
          <w:sz w:val="20"/>
        </w:rPr>
        <w:t>DA 接口保存提示、响应、远程证明、负载哈希、叶哈希、Merkle 根和字段级 Merkle 证明；链上紧凑提交只保存必要承诺，使异常路径仍可恢复重放上下文。</w:t>
      </w:r>
    </w:p>
    <w:p w14:paraId="1EE04F6D" w14:textId="77777777" w:rsidR="00580E0B" w:rsidRDefault="00000000">
      <w:pPr>
        <w:spacing w:line="264" w:lineRule="auto" w:before="0" w:after="0"/>
        <w:ind w:firstLine="408"/>
      </w:pPr>
      <w:r>
        <w:rPr>
          <w:rFonts w:ascii="Times New Roman" w:hAnsi="Times New Roman" w:eastAsia="方正书宋简体"/>
          <w:sz w:val="20"/>
        </w:rPr>
        <w:t>若响应被替换，验证者可取回响应字段及其 Merkle 证明并与链上 DA 根检查一致性；若负载缺失，则异常归类为 DA 故障。</w:t>
      </w:r>
    </w:p>
    <w:p w14:paraId="1E53CEA8" w14:textId="77777777" w:rsidR="00580E0B" w:rsidRDefault="00000000">
      <w:pPr>
        <w:spacing w:before="0" w:after="0" w:line="240" w:lineRule="auto"/>
        <w:ind w:firstLine="0"/>
        <w:jc w:val="left"/>
      </w:pPr>
      <w:r>
        <w:rPr>
          <w:rFonts w:eastAsia="黑体" w:ascii="黑体" w:hAnsi="黑体"/>
          <w:b/>
          <w:sz w:val="23"/>
        </w:rPr>
        <w:t xml:space="preserve">3.3  </w:t>
      </w:r>
      <w:r>
        <w:rPr>
          <w:rFonts w:eastAsia="黑体" w:ascii="黑体" w:hAnsi="黑体"/>
          <w:b/>
          <w:sz w:val="23"/>
        </w:rPr>
        <w:t>验证层与恢复触发</w:t>
      </w:r>
    </w:p>
    <w:p w14:paraId="102BD681" w14:textId="77777777" w:rsidR="00580E0B" w:rsidRDefault="00000000">
      <w:pPr>
        <w:spacing w:line="264" w:lineRule="auto" w:before="0" w:after="0"/>
        <w:ind w:firstLine="408"/>
      </w:pPr>
      <w:r>
        <w:rPr>
          <w:rFonts w:ascii="Times New Roman" w:hAnsi="Times New Roman" w:eastAsia="方正书宋简体"/>
          <w:sz w:val="20"/>
        </w:rPr>
        <w:t>验证层处理挑战打开、响应、步骤、恢复、重放和结算；争议出现后，系统通过证据加载、二分定位、单步重放和仲裁结算推进异常状态[17]。</w:t>
      </w:r>
    </w:p>
    <w:p w14:paraId="7CD0D3AC" w14:textId="77777777" w:rsidR="00580E0B" w:rsidRDefault="00000000">
      <w:pPr>
        <w:spacing w:line="264" w:lineRule="auto" w:before="0" w:after="0"/>
        <w:ind w:firstLine="408"/>
      </w:pPr>
      <w:r>
        <w:rPr>
          <w:rFonts w:ascii="Times New Roman" w:hAnsi="Times New Roman" w:eastAsia="方正书宋简体"/>
          <w:sz w:val="20"/>
        </w:rPr>
        <w:t>验证层将故障划分为证明故障、DA 故障、超时故障、重放故障和轨迹不一致，并据此选择拒绝、恢复、重放或结算路径。</w:t>
      </w:r>
    </w:p>
    <w:p w14:paraId="72557241" w14:textId="77777777" w:rsidR="00580E0B" w:rsidRDefault="00000000">
      <w:pPr>
        <w:spacing w:line="264" w:lineRule="auto" w:before="0" w:after="0"/>
        <w:ind w:firstLine="408"/>
      </w:pPr>
      <w:r>
        <w:rPr>
          <w:rFonts w:ascii="Times New Roman" w:hAnsi="Times New Roman" w:eastAsia="方正书宋简体"/>
          <w:sz w:val="20"/>
        </w:rPr>
        <w:t>Solidity 原型抽取提交、验证、挑战、恢复和结算等适合链上表达的路径，作为 Python 原型的合约对应物。</w:t>
      </w:r>
    </w:p>
    <w:p w14:paraId="530D22B8" w14:textId="77777777" w:rsidR="00580E0B" w:rsidRDefault="00000000">
      <w:pPr>
        <w:spacing w:before="0" w:after="0" w:line="240" w:lineRule="auto"/>
        <w:ind w:firstLine="0"/>
        <w:jc w:val="left"/>
      </w:pPr>
      <w:r>
        <w:rPr>
          <w:rFonts w:ascii="黑体" w:hAnsi="黑体" w:eastAsia="黑体"/>
          <w:b/>
          <w:sz w:val="23"/>
        </w:rPr>
        <w:t>4  核心机制与成本评估</w:t>
      </w:r>
    </w:p>
    <w:p>
      <w:pPr>
        <w:spacing w:line="240" w:lineRule="auto" w:before="0" w:after="0"/>
        <w:ind w:firstLine="0"/>
        <w:jc w:val="left"/>
      </w:pPr>
      <w:r>
        <w:rPr>
          <w:rFonts w:ascii="黑体" w:hAnsi="黑体" w:eastAsia="黑体"/>
          <w:b/>
          <w:sz w:val="23"/>
        </w:rPr>
        <w:t>4.1  可恢复挑战协议</w:t>
      </w:r>
    </w:p>
    <w:p w14:paraId="39F9D778" w14:textId="77777777" w:rsidR="00580E0B" w:rsidRDefault="00000000">
      <w:pPr>
        <w:spacing w:before="0" w:after="0" w:line="240" w:lineRule="auto"/>
        <w:ind w:firstLine="0"/>
        <w:jc w:val="left"/>
      </w:pPr>
      <w:r>
        <w:rPr>
          <w:rFonts w:ascii="黑体" w:hAnsi="黑体" w:eastAsia="黑体"/>
          <w:b/>
          <w:sz w:val="21"/>
        </w:rPr>
        <w:t>4.1.1  协议模型与形式化定义</w:t>
      </w:r>
    </w:p>
    <w:p w14:paraId="40CBDC47" w14:textId="77777777" w:rsidR="00580E0B" w:rsidRDefault="00000000">
      <w:pPr>
        <w:spacing w:line="264" w:lineRule="auto" w:before="0" w:after="0"/>
        <w:ind w:firstLine="408"/>
      </w:pPr>
      <w:r>
        <w:rPr>
          <w:rFonts w:ascii="Times New Roman" w:hAnsi="Times New Roman" w:eastAsia="方正书宋简体"/>
          <w:sz w:val="20"/>
        </w:rPr>
        <w:t>本节给出恢复机制成立所需的协议边界：恢复只推进流程，不修改争议事实，因此属于活性层转移而非正确性裁决。</w:t>
      </w:r>
    </w:p>
    <w:p w14:paraId="67CE66C8" w14:textId="77777777" w:rsidR="00580E0B" w:rsidRDefault="00000000">
      <w:pPr>
        <w:spacing w:line="264" w:lineRule="auto" w:before="0" w:after="0"/>
        <w:ind w:firstLine="408"/>
        <w:jc w:val="left"/>
      </w:pPr>
      <w:r>
        <w:rPr>
          <w:rFonts w:eastAsia="方正书宋简体" w:ascii="Times New Roman" w:hAnsi="Times New Roman"/>
          <w:b/>
          <w:sz w:val="20"/>
        </w:rPr>
        <w:t>定义</w:t>
      </w:r>
      <w:r>
        <w:rPr>
          <w:rFonts w:eastAsia="方正书宋简体" w:ascii="Times New Roman" w:hAnsi="Times New Roman"/>
          <w:b/>
          <w:sz w:val="20"/>
        </w:rPr>
        <w:t xml:space="preserve"> 1</w:t>
      </w:r>
      <w:r>
        <w:rPr>
          <w:rFonts w:eastAsia="方正书宋简体" w:ascii="Times New Roman" w:hAnsi="Times New Roman"/>
          <w:b/>
          <w:sz w:val="20"/>
        </w:rPr>
        <w:t>（挑战会话）</w:t>
      </w:r>
    </w:p>
    <w:p w14:paraId="744A026F" w14:textId="77777777" w:rsidR="00580E0B" w:rsidRDefault="00000000">
      <w:pPr>
        <w:spacing w:line="264" w:lineRule="auto" w:before="0" w:after="0"/>
        <w:ind w:firstLine="408"/>
      </w:pPr>
      <w:r>
        <w:rPr>
          <w:rFonts w:eastAsia="方正书宋简体" w:ascii="Times New Roman" w:hAnsi="Times New Roman"/>
          <w:sz w:val="20"/>
        </w:rPr>
        <w:t>挑战会话定义为：</w:t>
      </w:r>
      <w:r>
        <w:rPr>
          <w:rFonts w:eastAsia="方正书宋简体" w:ascii="Times New Roman" w:hAnsi="Times New Roman"/>
          <w:sz w:val="20"/>
        </w:rPr>
        <w:t>cs = (id, s, F, T)</w:t>
      </w:r>
      <w:r>
        <w:rPr>
          <w:rFonts w:eastAsia="方正书宋简体" w:ascii="Times New Roman" w:hAnsi="Times New Roman"/>
          <w:sz w:val="20"/>
        </w:rPr>
        <w:t>。</w:t>
      </w:r>
    </w:p>
    <w:p w14:paraId="564C5F39" w14:textId="77777777" w:rsidR="00580E0B" w:rsidRDefault="00000000">
      <w:pPr>
        <w:spacing w:line="264" w:lineRule="auto" w:before="0" w:after="0"/>
        <w:ind w:firstLine="408"/>
      </w:pPr>
      <w:r>
        <w:rPr>
          <w:rFonts w:ascii="Times New Roman" w:hAnsi="Times New Roman" w:eastAsia="方正书宋简体"/>
          <w:sz w:val="20"/>
        </w:rPr>
        <w:t>其中，id 为会话标识，s 为状态，F 为挑战事实集合，T 为超时参数。</w:t>
      </w:r>
    </w:p>
    <w:p w14:paraId="4AEDF422" w14:textId="77777777" w:rsidR="00580E0B" w:rsidRDefault="00000000">
      <w:pPr>
        <w:spacing w:line="264" w:lineRule="auto" w:before="0" w:after="0"/>
        <w:ind w:firstLine="408"/>
        <w:jc w:val="left"/>
      </w:pPr>
      <w:r>
        <w:rPr>
          <w:rFonts w:eastAsia="方正书宋简体" w:ascii="Times New Roman" w:hAnsi="Times New Roman"/>
          <w:b/>
          <w:sz w:val="20"/>
        </w:rPr>
        <w:t>定义</w:t>
      </w:r>
      <w:r>
        <w:rPr>
          <w:rFonts w:eastAsia="方正书宋简体" w:ascii="Times New Roman" w:hAnsi="Times New Roman"/>
          <w:b/>
          <w:sz w:val="20"/>
        </w:rPr>
        <w:t xml:space="preserve"> 2</w:t>
      </w:r>
      <w:r>
        <w:rPr>
          <w:rFonts w:eastAsia="方正书宋简体" w:ascii="Times New Roman" w:hAnsi="Times New Roman"/>
          <w:b/>
          <w:sz w:val="20"/>
        </w:rPr>
        <w:t>（挑战状态机）</w:t>
      </w:r>
    </w:p>
    <w:p w14:paraId="25BBA1CE" w14:textId="77777777" w:rsidR="00580E0B" w:rsidRDefault="00000000">
      <w:pPr>
        <w:spacing w:line="264" w:lineRule="auto" w:before="0" w:after="0"/>
        <w:ind w:firstLine="408"/>
      </w:pPr>
      <w:r>
        <w:rPr>
          <w:rFonts w:eastAsia="方正书宋简体" w:ascii="Times New Roman" w:hAnsi="Times New Roman"/>
          <w:sz w:val="20"/>
        </w:rPr>
        <w:t>挑战状态机定义为：</w:t>
      </w:r>
      <w:r>
        <w:rPr>
          <w:rFonts w:eastAsia="方正书宋简体" w:ascii="Times New Roman" w:hAnsi="Times New Roman"/>
          <w:sz w:val="20"/>
        </w:rPr>
        <w:t>M = (S, E, δ)</w:t>
      </w:r>
      <w:r>
        <w:rPr>
          <w:rFonts w:eastAsia="方正书宋简体" w:ascii="Times New Roman" w:hAnsi="Times New Roman"/>
          <w:sz w:val="20"/>
        </w:rPr>
        <w:t>。</w:t>
      </w:r>
    </w:p>
    <w:p w14:paraId="2A3B336E" w14:textId="77777777" w:rsidR="00580E0B" w:rsidRDefault="00000000">
      <w:pPr>
        <w:spacing w:line="264" w:lineRule="auto" w:before="0" w:after="0"/>
        <w:ind w:firstLine="408"/>
      </w:pPr>
      <w:r>
        <w:rPr>
          <w:rFonts w:ascii="Times New Roman" w:hAnsi="Times New Roman" w:eastAsia="方正书宋简体"/>
          <w:sz w:val="20"/>
        </w:rPr>
        <w:t>其中，S 为状态集合，E 为事件集合，δ 为状态转移函数。</w:t>
      </w:r>
    </w:p>
    <w:p w14:paraId="3C30C366" w14:textId="77777777" w:rsidR="00580E0B" w:rsidRDefault="00000000">
      <w:pPr>
        <w:spacing w:line="264" w:lineRule="auto" w:before="0" w:after="0"/>
        <w:ind w:firstLine="408"/>
        <w:jc w:val="left"/>
      </w:pPr>
      <w:r>
        <w:rPr>
          <w:rFonts w:eastAsia="方正书宋简体" w:ascii="Times New Roman" w:hAnsi="Times New Roman"/>
          <w:b/>
          <w:sz w:val="20"/>
        </w:rPr>
        <w:t>定义</w:t>
      </w:r>
      <w:r>
        <w:rPr>
          <w:rFonts w:eastAsia="方正书宋简体" w:ascii="Times New Roman" w:hAnsi="Times New Roman"/>
          <w:b/>
          <w:sz w:val="20"/>
        </w:rPr>
        <w:t xml:space="preserve"> 3</w:t>
      </w:r>
      <w:r>
        <w:rPr>
          <w:rFonts w:eastAsia="方正书宋简体" w:ascii="Times New Roman" w:hAnsi="Times New Roman"/>
          <w:b/>
          <w:sz w:val="20"/>
        </w:rPr>
        <w:t>（恢复函数）</w:t>
      </w:r>
    </w:p>
    <w:p w14:paraId="35C501FD" w14:textId="77777777" w:rsidR="00580E0B" w:rsidRDefault="00000000">
      <w:pPr>
        <w:spacing w:line="264" w:lineRule="auto" w:before="0" w:after="0"/>
        <w:ind w:firstLine="408"/>
      </w:pPr>
      <w:r>
        <w:rPr>
          <w:rFonts w:eastAsia="方正书宋简体" w:ascii="Times New Roman" w:hAnsi="Times New Roman"/>
          <w:sz w:val="20"/>
        </w:rPr>
        <w:lastRenderedPageBreak/>
        <w:t>恢复函数定义为：</w:t>
      </w:r>
      <w:r>
        <w:rPr>
          <w:rFonts w:eastAsia="方正书宋简体" w:ascii="Times New Roman" w:hAnsi="Times New Roman"/>
          <w:sz w:val="20"/>
        </w:rPr>
        <w:t>Recover(cs) = cs'</w:t>
      </w:r>
      <w:r>
        <w:rPr>
          <w:rFonts w:eastAsia="方正书宋简体" w:ascii="Times New Roman" w:hAnsi="Times New Roman"/>
          <w:sz w:val="20"/>
        </w:rPr>
        <w:t>。</w:t>
      </w:r>
    </w:p>
    <w:p w14:paraId="61EA09E5" w14:textId="77777777" w:rsidR="00580E0B" w:rsidRDefault="00000000">
      <w:pPr>
        <w:spacing w:line="264" w:lineRule="auto" w:before="0" w:after="0"/>
        <w:ind w:firstLine="408"/>
      </w:pPr>
      <w:r>
        <w:rPr>
          <w:rFonts w:eastAsia="方正书宋简体" w:ascii="Times New Roman" w:hAnsi="Times New Roman"/>
          <w:sz w:val="20"/>
        </w:rPr>
        <w:t>恢复仅改变活性相关状态，不改变挑战事实，即满足：</w:t>
      </w:r>
      <w:r>
        <w:rPr>
          <w:rFonts w:eastAsia="方正书宋简体" w:ascii="Times New Roman" w:hAnsi="Times New Roman"/>
          <w:sz w:val="20"/>
        </w:rPr>
        <w:t>F(cs) = F(Recover(cs))</w:t>
      </w:r>
      <w:r>
        <w:rPr>
          <w:rFonts w:eastAsia="方正书宋简体" w:ascii="Times New Roman" w:hAnsi="Times New Roman"/>
          <w:sz w:val="20"/>
        </w:rPr>
        <w:t>。</w:t>
      </w:r>
    </w:p>
    <w:p w14:paraId="6A8A7EDD" w14:textId="77777777" w:rsidR="00580E0B" w:rsidRDefault="00000000">
      <w:pPr>
        <w:spacing w:before="0" w:after="0" w:line="264" w:lineRule="auto"/>
        <w:ind w:firstLine="408"/>
        <w:jc w:val="left"/>
      </w:pPr>
      <w:r>
        <w:rPr>
          <w:rFonts w:eastAsia="方正书宋简体" w:ascii="Times New Roman" w:hAnsi="Times New Roman"/>
          <w:b/>
          <w:sz w:val="20"/>
        </w:rPr>
        <w:t>协议性质</w:t>
      </w:r>
    </w:p>
    <w:p w14:paraId="5E31DAF8" w14:textId="77777777" w:rsidR="00580E0B" w:rsidRDefault="00000000">
      <w:pPr>
        <w:spacing w:line="264" w:lineRule="auto" w:before="0" w:after="0"/>
        <w:ind w:firstLine="408"/>
      </w:pPr>
      <w:r>
        <w:rPr>
          <w:rFonts w:ascii="Times New Roman" w:hAnsi="Times New Roman" w:eastAsia="方正书宋简体"/>
          <w:sz w:val="20"/>
        </w:rPr>
        <w:t>恢复函数允许会话从 TIMED_OUT 等停滞状态回到可推进状态，但不重写紧凑提交、DA 根、负载哈希、执行轨迹或不一致证据。后续正确性仍由重放阶段基于原始挑战事实判断。</w:t>
      </w:r>
    </w:p>
    <w:p w14:paraId="39AA5182" w14:textId="77777777" w:rsidR="00580E0B" w:rsidRDefault="00000000">
      <w:pPr>
        <w:spacing w:before="0" w:after="0" w:line="240" w:lineRule="auto"/>
        <w:ind w:firstLine="0"/>
        <w:jc w:val="left"/>
      </w:pPr>
      <w:r>
        <w:rPr>
          <w:rFonts w:ascii="黑体" w:hAnsi="黑体" w:eastAsia="黑体"/>
          <w:b/>
          <w:sz w:val="21"/>
        </w:rPr>
        <w:t>4.1.2  超时、恢复、重放与仲裁结算</w:t>
      </w:r>
    </w:p>
    <w:p w14:paraId="5605B3E7" w14:textId="77777777" w:rsidR="00580E0B" w:rsidRDefault="00000000">
      <w:pPr>
        <w:spacing w:line="264" w:lineRule="auto" w:before="0" w:after="0"/>
        <w:ind w:firstLine="408"/>
      </w:pPr>
      <w:r>
        <w:rPr>
          <w:rFonts w:ascii="Times New Roman" w:hAnsi="Times New Roman" w:eastAsia="方正书宋简体"/>
          <w:sz w:val="20"/>
        </w:rPr>
        <w:t>可恢复挑战协议将一次性错误检测扩展为异常场景下可恢复推进的状态机，状态包括 PENDING、OPEN、RESPONDED、NARROWING、RECOVERED、READY_FOR_REPLAY、REPLAYED、RESOLVED、SLASHED 和 FINALIZED。</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978"/>
      </w:tblGrid>
      <w:tr w:rsidR="00580E0B" w14:paraId="0043B56E" w14:textId="77777777">
        <w:trPr>
          <w:jc w:val="center"/>
        </w:trPr>
        <w:tc>
          <w:tcPr>
            <w:tcW w:w="9978" w:type="dxa"/>
            <w:vAlign w:val="center"/>
          </w:tcPr>
          <w:p w14:paraId="56534BE3" w14:textId="77777777" w:rsidR="00580E0B" w:rsidRDefault="00000000">
            <w:pPr>
              <w:keepNext/>
              <w:spacing w:before="0" w:after="0" w:line="240" w:lineRule="auto"/>
              <w:ind w:firstLine="0"/>
              <w:jc w:val="center"/>
            </w:pPr>
            <w:r>
              <w:rPr>
                <w:rFonts w:ascii="Times New Roman" w:hAnsi="Times New Roman" w:eastAsia="方正书宋简体"/>
                <w:noProof/>
                <w:sz w:val="16"/>
              </w:rPr>
              <w:drawing>
                <wp:inline distT="0" distB="0" distL="0" distR="0" wp14:anchorId="422C6E65" wp14:editId="3D93E964">
                  <wp:extent cx="5943600" cy="27270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943600" cy="2727064"/>
                          </a:xfrm>
                          <a:prstGeom prst="rect">
                            <a:avLst/>
                          </a:prstGeom>
                        </pic:spPr>
                      </pic:pic>
                    </a:graphicData>
                  </a:graphic>
                </wp:inline>
              </w:drawing>
            </w:r>
          </w:p>
          <w:p w14:paraId="5493179C" w14:textId="77777777" w:rsidR="00580E0B" w:rsidRDefault="00000000">
            <w:pPr>
              <w:spacing w:line="240" w:lineRule="auto" w:before="0" w:after="0"/>
              <w:ind w:firstLine="0"/>
              <w:jc w:val="center"/>
            </w:pPr>
            <w:r>
              <w:rPr>
                <w:rFonts w:eastAsia="方正书宋简体" w:ascii="Times New Roman" w:hAnsi="Times New Roman"/>
                <w:sz w:val="16"/>
              </w:rPr>
              <w:t>图</w:t>
            </w:r>
            <w:r>
              <w:rPr>
                <w:rFonts w:eastAsia="方正书宋简体" w:ascii="Times New Roman" w:hAnsi="Times New Roman"/>
                <w:sz w:val="16"/>
              </w:rPr>
              <w:t xml:space="preserve"> 2  </w:t>
            </w:r>
            <w:r>
              <w:rPr>
                <w:rFonts w:eastAsia="方正书宋简体" w:ascii="Times New Roman" w:hAnsi="Times New Roman"/>
                <w:sz w:val="16"/>
              </w:rPr>
              <w:t>可恢复挑战协议流程</w:t>
            </w:r>
          </w:p>
          <w:p w14:paraId="29FD94D7" w14:textId="77777777" w:rsidR="00580E0B" w:rsidRDefault="00000000">
            <w:pPr>
              <w:spacing w:line="240" w:lineRule="auto" w:before="0" w:after="0"/>
              <w:ind w:firstLine="0"/>
              <w:jc w:val="center"/>
            </w:pPr>
            <w:r>
              <w:rPr>
                <w:rFonts w:eastAsia="方正书宋简体" w:ascii="Times New Roman" w:hAnsi="Times New Roman"/>
                <w:sz w:val="16"/>
              </w:rPr>
              <w:t>Fig.2  Workflow of the recoverable challenge protocol</w:t>
            </w:r>
          </w:p>
        </w:tc>
      </w:tr>
    </w:tbl>
    <w:p w14:paraId="0639AD57" w14:textId="77777777" w:rsidR="00580E0B" w:rsidRDefault="00000000">
      <w:pPr>
        <w:spacing w:line="264" w:lineRule="auto" w:before="0" w:after="0"/>
        <w:ind w:firstLine="408"/>
      </w:pPr>
      <w:r>
        <w:rPr>
          <w:rFonts w:ascii="Times New Roman" w:hAnsi="Times New Roman" w:eastAsia="方正书宋简体"/>
          <w:sz w:val="20"/>
        </w:rPr>
        <w:t>挑战者打开会话后，系统加载紧凑提交、DA 状态和不一致证据；若争议涉及执行轨迹，则通过二分步骤缩小区间，并在单步阶段进入重放。</w:t>
      </w:r>
    </w:p>
    <w:p w14:paraId="6DBB8FB6" w14:textId="77777777" w:rsidR="00580E0B" w:rsidRDefault="00000000">
      <w:pPr>
        <w:spacing w:line="264" w:lineRule="auto" w:before="0" w:after="0"/>
        <w:ind w:firstLine="408"/>
      </w:pPr>
      <w:r>
        <w:rPr>
          <w:rFonts w:ascii="Times New Roman" w:hAnsi="Times New Roman" w:eastAsia="方正书宋简体"/>
          <w:sz w:val="20"/>
        </w:rPr>
        <w:t>重放阶段比较预期哈希与声明哈希：不一致时挑战成立并进入罚没或相应结算，一致时挑战不成立或进入正常结算逻辑。</w:t>
      </w:r>
    </w:p>
    <w:p w14:paraId="4F85204B" w14:textId="77777777" w:rsidR="00580E0B" w:rsidRDefault="00000000">
      <w:pPr>
        <w:spacing w:line="264" w:lineRule="auto" w:before="0" w:after="0"/>
        <w:ind w:firstLine="408"/>
      </w:pPr>
      <w:r>
        <w:rPr>
          <w:rFonts w:ascii="Times New Roman" w:hAnsi="Times New Roman" w:eastAsia="方正书宋简体"/>
          <w:sz w:val="20"/>
        </w:rPr>
        <w:t>恢复操作在不改变证据内容的前提下恢复流程推进能力，使超时会话回到可二分、可重放、可结算状态；它改变活性而非正确性。</w:t>
      </w:r>
    </w:p>
    <w:p w14:paraId="4134BBBB" w14:textId="77777777" w:rsidR="00580E0B" w:rsidRDefault="00000000">
      <w:pPr>
        <w:spacing w:line="264" w:lineRule="auto" w:before="0" w:after="0"/>
        <w:ind w:firstLine="408"/>
      </w:pPr>
      <w:r>
        <w:rPr>
          <w:rFonts w:ascii="Times New Roman" w:hAnsi="Times New Roman" w:eastAsia="方正书宋简体"/>
          <w:sz w:val="20"/>
        </w:rPr>
        <w:t>协议包含三条路径：无争议时进入最终确认；响应篡改或轨迹不匹配时进入打开、响应、二分、重放与结算；超时中断时由观察节点调用恢复后继续重放与结算。</w:t>
      </w:r>
    </w:p>
    <w:p w14:paraId="1F12D0A6" w14:textId="77777777" w:rsidR="00580E0B" w:rsidRDefault="00000000">
      <w:pPr>
        <w:spacing w:before="0" w:after="0" w:line="240" w:lineRule="auto"/>
        <w:ind w:firstLine="0"/>
        <w:jc w:val="left"/>
      </w:pPr>
      <w:r>
        <w:rPr>
          <w:rFonts w:ascii="黑体" w:hAnsi="黑体" w:eastAsia="黑体"/>
          <w:b/>
          <w:sz w:val="21"/>
        </w:rPr>
        <w:t>4.1.3  正确性边界与协议性质</w:t>
      </w:r>
    </w:p>
    <w:p w14:paraId="2FDB305F" w14:textId="77777777" w:rsidR="00580E0B" w:rsidRDefault="00000000">
      <w:pPr>
        <w:spacing w:line="264" w:lineRule="auto" w:before="0" w:after="0"/>
        <w:ind w:firstLine="408"/>
      </w:pPr>
      <w:r>
        <w:rPr>
          <w:rFonts w:ascii="Times New Roman" w:hAnsi="Times New Roman" w:eastAsia="方正书宋简体"/>
          <w:sz w:val="20"/>
        </w:rPr>
        <w:t>性质一，数据可用性绑定性质。紧凑提交中的 DA Merkle 根与 DA 条目的字段级证明形成绑定；提示词、响应或证明字段被替换时，负载哈希、叶哈希或 Merkle 证明会与链上根不一致。</w:t>
      </w:r>
    </w:p>
    <w:p w14:paraId="06DB6B9B" w14:textId="77777777" w:rsidR="00580E0B" w:rsidRDefault="00000000">
      <w:pPr>
        <w:spacing w:line="264" w:lineRule="auto" w:before="0" w:after="0"/>
        <w:ind w:firstLine="408"/>
      </w:pPr>
      <w:r>
        <w:rPr>
          <w:rFonts w:ascii="Times New Roman" w:hAnsi="Times New Roman" w:eastAsia="方正书宋简体"/>
          <w:sz w:val="20"/>
        </w:rPr>
        <w:t>性质二，仲裁连续性。恢复使超时挑战会话继续进入二分、重放和结算，但不修改执行轨迹、重放证据或争议事实，因此只恢复活性连续性。</w:t>
      </w:r>
    </w:p>
    <w:p w14:paraId="2ABBCA8A" w14:textId="77777777" w:rsidR="00580E0B" w:rsidRDefault="00000000">
      <w:pPr>
        <w:spacing w:line="264" w:lineRule="auto" w:before="0" w:after="0"/>
        <w:ind w:firstLine="408"/>
      </w:pPr>
      <w:r>
        <w:rPr>
          <w:rFonts w:ascii="Times New Roman" w:hAnsi="Times New Roman" w:eastAsia="方正书宋简体"/>
          <w:sz w:val="20"/>
        </w:rPr>
        <w:t>性质三，二分定位性质。长度为 n 的执行轨迹可通过二分步骤缩小争议区间；实验中轨迹步数 4、8、16、32、64、128 对应平均轮次 2、3、4、5、6、7，与对数趋势一致。</w:t>
      </w:r>
    </w:p>
    <w:p w14:paraId="0155D093" w14:textId="77777777" w:rsidR="00580E0B" w:rsidRDefault="00000000">
      <w:pPr>
        <w:spacing w:before="0" w:after="0" w:line="240" w:lineRule="auto"/>
        <w:ind w:firstLine="0"/>
        <w:jc w:val="left"/>
      </w:pPr>
      <w:r>
        <w:rPr>
          <w:rFonts w:ascii="黑体" w:hAnsi="黑体" w:eastAsia="黑体"/>
          <w:b/>
          <w:sz w:val="21"/>
        </w:rPr>
        <w:t>4.1.4  协议不变量与恢复边界</w:t>
      </w:r>
    </w:p>
    <w:p>
      <w:pPr>
        <w:spacing w:line="264" w:lineRule="auto" w:before="0" w:after="0"/>
        <w:ind w:firstLine="408"/>
      </w:pPr>
      <w:r>
        <w:rPr>
          <w:rFonts w:ascii="Times New Roman" w:hAnsi="Times New Roman" w:eastAsia="方正书宋简体"/>
          <w:sz w:val="20"/>
        </w:rPr>
        <w:t>恢复不改变挑战事实，只修改超时计时器、会话状态标记和交互窗口等活性层字段；它不修改状态根、DA 根、负载哈希、执行轨迹、重放证据和不一致证据，因此正确性仍由重放阶段判断[18]。</w:t>
      </w:r>
    </w:p>
    <w:p>
      <w:pPr>
        <w:spacing w:line="264" w:lineRule="auto" w:before="0" w:after="0"/>
        <w:ind w:firstLine="408"/>
      </w:pPr>
      <w:r>
        <w:rPr>
          <w:rFonts w:ascii="Times New Roman" w:hAnsi="Times New Roman" w:eastAsia="方正书宋简体"/>
          <w:sz w:val="20"/>
        </w:rPr>
        <w:t>恢复操作保持挑战事实完整性、重放正确性、数据可用性绑定和执行轨迹一致性，仅作用于活性层状态。反复恢复可能带来资源消耗，恢复频率限制留作后续工作。</w:t>
      </w:r>
    </w:p>
    <w:p w14:paraId="0D810CA0" w14:textId="77777777" w:rsidR="00580E0B" w:rsidRDefault="00000000">
      <w:pPr>
        <w:spacing w:before="0" w:after="0" w:line="240" w:lineRule="auto"/>
        <w:ind w:firstLine="0"/>
        <w:jc w:val="left"/>
      </w:pPr>
      <w:r>
        <w:rPr>
          <w:rFonts w:ascii="黑体" w:hAnsi="黑体" w:eastAsia="黑体"/>
          <w:b/>
          <w:sz w:val="23"/>
        </w:rPr>
        <w:t>4.2  携带证据的紧凑提交机制</w:t>
      </w:r>
    </w:p>
    <w:p w14:paraId="2ACE204E" w14:textId="77777777" w:rsidR="00580E0B" w:rsidRDefault="00000000">
      <w:pPr>
        <w:spacing w:line="264" w:lineRule="auto" w:before="0" w:after="0"/>
        <w:ind w:firstLine="408"/>
      </w:pPr>
      <w:r>
        <w:rPr>
          <w:rFonts w:ascii="Times New Roman" w:hAnsi="Times New Roman" w:eastAsia="方正书宋简体"/>
          <w:sz w:val="20"/>
        </w:rPr>
        <w:t>携带证据的紧凑提交绑定状态根、输出哈希、证明哈希、DA 指针和 DA 根：状态根约束输入、输出与环境摘要，输出哈希约束响应，证明哈希约束证明，DA 指针和 DA 根定位并承诺完整负载。</w:t>
      </w:r>
    </w:p>
    <w:p w14:paraId="40BA236F" w14:textId="77777777" w:rsidR="00580E0B" w:rsidRDefault="00000000">
      <w:pPr>
        <w:spacing w:line="264" w:lineRule="auto" w:before="0" w:after="0"/>
        <w:ind w:firstLine="408"/>
      </w:pPr>
      <w:r>
        <w:rPr>
          <w:rFonts w:ascii="Times New Roman" w:hAnsi="Times New Roman" w:eastAsia="方正书宋简体"/>
          <w:sz w:val="20"/>
        </w:rPr>
        <w:t>该绑定使验证者能够从链上提交进入 DA 证据结构：响应篡改、证明不一致或 DA 证明损坏都可被定位为相应证据故障，并为后续挑战和重放加载最小证据上下文。</w:t>
      </w:r>
    </w:p>
    <w:p w14:paraId="3FEE1DA9" w14:textId="77777777" w:rsidR="00580E0B" w:rsidRDefault="00000000">
      <w:pPr>
        <w:spacing w:line="264" w:lineRule="auto" w:before="0" w:after="0"/>
        <w:ind w:firstLine="408"/>
      </w:pPr>
      <w:r>
        <w:rPr>
          <w:rFonts w:ascii="Times New Roman" w:hAnsi="Times New Roman" w:eastAsia="方正书宋简体"/>
          <w:sz w:val="20"/>
        </w:rPr>
        <w:t>因此，即使提交者替换负载字段、隐藏 DA 条目或延迟响应，紧凑提交仍锁定了异常路径所需的关键证据字段。</w:t>
      </w:r>
    </w:p>
    <w:p w14:paraId="2CF4A90C" w14:textId="77777777" w:rsidR="00580E0B" w:rsidRDefault="00000000">
      <w:pPr>
        <w:spacing w:before="0" w:after="0" w:line="240" w:lineRule="auto"/>
        <w:ind w:firstLine="0"/>
        <w:jc w:val="left"/>
      </w:pPr>
      <w:r>
        <w:rPr>
          <w:rFonts w:ascii="黑体" w:hAnsi="黑体" w:eastAsia="黑体"/>
          <w:b/>
          <w:sz w:val="23"/>
        </w:rPr>
        <w:t>4.3  数据可用性感知成本评估</w:t>
      </w:r>
    </w:p>
    <w:p w14:paraId="4106043B" w14:textId="77777777" w:rsidR="00580E0B" w:rsidRDefault="00000000">
      <w:pPr>
        <w:spacing w:line="264" w:lineRule="auto" w:before="0" w:after="0"/>
        <w:ind w:firstLine="408"/>
      </w:pPr>
      <w:r>
        <w:rPr>
          <w:rFonts w:ascii="Times New Roman" w:hAnsi="Times New Roman" w:eastAsia="方正书宋简体"/>
          <w:sz w:val="20"/>
        </w:rPr>
        <w:t>成本模型比较全链上与紧凑提交配合 DA 的结构性差异：前者成本随负载大小近似线性增长，后者将负载发布转移到 DA 路径，链上仅保留紧凑提交。</w:t>
      </w:r>
    </w:p>
    <w:p w14:paraId="1EDD213B" w14:textId="77777777" w:rsidR="00580E0B" w:rsidRDefault="00000000">
      <w:pPr>
        <w:spacing w:line="264" w:lineRule="auto" w:before="0" w:after="0"/>
        <w:ind w:firstLine="408"/>
      </w:pPr>
      <w:r>
        <w:rPr>
          <w:rFonts w:ascii="Times New Roman" w:hAnsi="Times New Roman" w:eastAsia="方正书宋简体"/>
          <w:sz w:val="20"/>
        </w:rPr>
        <w:t>模型比较四类 DA 路径：全链上调用数据、紧凑外部 DA、紧凑类 EIP-4844 方案和紧凑模块化 DA 采样</w:t>
      </w:r>
      <w:r>
        <w:rPr>
          <w:rFonts w:ascii="Times New Roman" w:hAnsi="Times New Roman" w:eastAsia="方正书宋简体"/>
          <w:sz w:val="20"/>
          <w:vertAlign w:val="superscript"/>
        </w:rPr>
        <w:t>[19]</w:t>
      </w:r>
      <w:r>
        <w:rPr>
          <w:rFonts w:ascii="Times New Roman" w:hAnsi="Times New Roman" w:eastAsia="方正书宋简体"/>
          <w:sz w:val="20"/>
        </w:rPr>
        <w:t>，用于刻画不同数据发布路径的成本差异。</w:t>
      </w:r>
    </w:p>
    <w:p w14:paraId="24508716" w14:textId="77777777" w:rsidR="00580E0B" w:rsidRDefault="00000000">
      <w:pPr>
        <w:spacing w:line="264" w:lineRule="auto" w:before="0" w:after="0"/>
        <w:ind w:firstLine="408"/>
      </w:pPr>
      <w:r>
        <w:rPr>
          <w:rFonts w:ascii="Times New Roman" w:hAnsi="Times New Roman" w:eastAsia="方正书宋简体"/>
          <w:sz w:val="20"/>
        </w:rPr>
        <w:t>模型表达为 C_total = C_commit + C_DA + p_challenge × C_challenge，批处理后单笔摊销成本为 C_amortized = C_total / batch_size。</w:t>
      </w:r>
    </w:p>
    <w:p w14:paraId="405B28BD" w14:textId="77777777" w:rsidR="00580E0B" w:rsidRDefault="00000000">
      <w:pPr>
        <w:spacing w:line="264" w:lineRule="auto" w:before="0" w:after="0"/>
        <w:ind w:firstLine="408"/>
      </w:pPr>
      <w:r>
        <w:rPr>
          <w:rFonts w:ascii="Times New Roman" w:hAnsi="Times New Roman" w:eastAsia="方正书宋简体"/>
          <w:sz w:val="20"/>
        </w:rPr>
        <w:t>批大小越大，固定提交成本越容易被摊薄；负载越大，全链上调用数据的线性成本越突出；DA 路径边际数据成本越低，紧凑提交配合 DA 的收益越明显。</w:t>
      </w:r>
    </w:p>
    <w:p w14:paraId="0436BB06" w14:textId="77777777" w:rsidR="00580E0B" w:rsidRDefault="00000000">
      <w:pPr>
        <w:spacing w:before="0" w:after="0" w:line="240" w:lineRule="auto"/>
        <w:ind w:firstLine="0"/>
        <w:jc w:val="left"/>
      </w:pPr>
      <w:r>
        <w:rPr>
          <w:rFonts w:ascii="黑体" w:hAnsi="黑体" w:eastAsia="黑体"/>
          <w:b/>
          <w:sz w:val="23"/>
        </w:rPr>
        <w:t>5  实验评估</w:t>
      </w:r>
    </w:p>
    <w:p w14:paraId="42B178EC" w14:textId="77777777" w:rsidR="00580E0B" w:rsidRDefault="00000000">
      <w:pPr>
        <w:spacing w:line="264" w:lineRule="auto" w:before="0" w:after="0"/>
        <w:ind w:firstLine="408"/>
      </w:pPr>
      <w:r>
        <w:rPr>
          <w:rFonts w:ascii="Times New Roman" w:hAnsi="Times New Roman" w:eastAsia="方正书宋简体"/>
          <w:sz w:val="20"/>
        </w:rPr>
        <w:t>实验使用 Python 原型、模拟 TEE、合成负载、可验证 DA 注册表、本地 EVM gas 和 Sepolia 部署记录，评估提交规模、DA 摊销成本、超时恢复活性和链上对应物。</w:t>
      </w:r>
    </w:p>
    <w:p w14:paraId="3A4FCC5E" w14:textId="77777777" w:rsidR="00580E0B" w:rsidRDefault="00000000">
      <w:pPr>
        <w:spacing w:before="0" w:after="0" w:line="240" w:lineRule="auto"/>
        <w:ind w:firstLine="0"/>
        <w:jc w:val="left"/>
      </w:pPr>
      <w:r>
        <w:rPr>
          <w:rFonts w:ascii="黑体" w:hAnsi="黑体" w:eastAsia="黑体"/>
          <w:b/>
          <w:sz w:val="23"/>
        </w:rPr>
        <w:t>5.1  RQ1：紧凑提交能否降低链上提交规模</w:t>
      </w:r>
    </w:p>
    <w:p w14:paraId="225FF62F" w14:textId="77777777" w:rsidR="00580E0B" w:rsidRDefault="00000000">
      <w:pPr>
        <w:spacing w:line="264" w:lineRule="auto" w:before="0" w:after="0"/>
        <w:ind w:firstLine="408"/>
      </w:pPr>
      <w:r>
        <w:rPr>
          <w:rFonts w:ascii="Times New Roman" w:hAnsi="Times New Roman" w:eastAsia="方正书宋简体"/>
          <w:sz w:val="20"/>
        </w:rPr>
        <w:t>RQ1 隔离考察提交结构，比较完整负载与紧凑提交的规范 JSON 字节数。</w:t>
      </w:r>
    </w:p>
    <w:p w14:paraId="56744037" w14:textId="77777777" w:rsidR="00580E0B" w:rsidRDefault="00000000">
      <w:pPr>
        <w:spacing w:line="264" w:lineRule="auto" w:before="0" w:after="0"/>
        <w:ind w:firstLine="408"/>
      </w:pPr>
      <w:r>
        <w:rPr>
          <w:rFonts w:ascii="Times New Roman" w:hAnsi="Times New Roman" w:eastAsia="方正书宋简体"/>
          <w:sz w:val="20"/>
        </w:rPr>
        <w:t>结果表明，紧凑提交平均约 406 字节，基本隔离负载规模增长；负载 8192、提示长度为 64 和 256 时，完整负载约为 50068.84 和 50262.84 字节，而紧凑提交仍为 406.00 字节。</w:t>
      </w:r>
    </w:p>
    <w:p w14:paraId="7ECC5701" w14:textId="77777777" w:rsidR="00580E0B" w:rsidRDefault="00000000">
      <w:pPr>
        <w:spacing w:before="0" w:after="0" w:line="240" w:lineRule="auto"/>
        <w:ind w:firstLine="0"/>
        <w:jc w:val="left"/>
      </w:pPr>
      <w:r>
        <w:rPr>
          <w:rFonts w:ascii="黑体" w:hAnsi="黑体" w:eastAsia="黑体"/>
          <w:b/>
          <w:sz w:val="23"/>
        </w:rPr>
        <w:t>5.2  RQ2：批大小如何影响 DA 感知摊销成本</w:t>
      </w:r>
    </w:p>
    <w:p w14:paraId="0032C28B" w14:textId="77777777" w:rsidR="00580E0B" w:rsidRDefault="00000000">
      <w:pPr>
        <w:spacing w:line="264" w:lineRule="auto" w:before="0" w:after="0"/>
        <w:ind w:firstLine="408"/>
      </w:pPr>
      <w:r>
        <w:rPr>
          <w:rFonts w:ascii="Times New Roman" w:hAnsi="Times New Roman" w:eastAsia="方正书宋简体"/>
          <w:sz w:val="20"/>
        </w:rPr>
        <w:t>RQ2 比较全链上调用数据、紧凑外部 DA、紧凑类 EIP-4844 和紧凑模块化 DA 采样四类路线，指标为摊销 gas 与降幅。</w:t>
      </w:r>
    </w:p>
    <w:p w14:paraId="365E07AB" w14:textId="77777777" w:rsidR="00580E0B" w:rsidRDefault="00000000">
      <w:pPr>
        <w:spacing w:line="264" w:lineRule="auto" w:before="0" w:after="0"/>
        <w:ind w:firstLine="408"/>
      </w:pPr>
      <w:r>
        <w:rPr>
          <w:rFonts w:ascii="Times New Roman" w:hAnsi="Times New Roman" w:eastAsia="方正书宋简体"/>
          <w:sz w:val="20"/>
        </w:rPr>
        <w:t>以负载 8192 为例，全链上调用数据从批大小 1 时的 801101.44 gas 降至批大小 1000 时的 801.21 gas；紧凑模块化 DA 采样从 29026.98 降至 29.03，较全链上调用数据下降 96.33%。</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76"/>
      </w:tblGrid>
      <w:tr w:rsidR="00580E0B" w14:paraId="160E7509" w14:textId="77777777">
        <w:trPr>
          <w:jc w:val="center"/>
        </w:trPr>
        <w:tc>
          <w:tcPr>
            <w:tcW w:w="9978" w:type="dxa"/>
            <w:vAlign w:val="center"/>
          </w:tcPr>
          <w:p w14:paraId="5058F54D" w14:textId="77777777" w:rsidR="00580E0B" w:rsidRDefault="00000000">
            <w:pPr>
              <w:keepNext/>
              <w:spacing w:before="0" w:after="0" w:line="240" w:lineRule="auto"/>
              <w:ind w:firstLine="0"/>
              <w:jc w:val="center"/>
            </w:pPr>
            <w:r>
              <w:rPr>
                <w:rFonts w:ascii="Times New Roman" w:hAnsi="Times New Roman" w:eastAsia="方正书宋简体"/>
                <w:noProof/>
                <w:sz w:val="16"/>
              </w:rPr>
              <w:drawing>
                <wp:inline distT="0" distB="0" distL="0" distR="0" wp14:anchorId="5344FF98" wp14:editId="190E44A9">
                  <wp:extent cx="2971800" cy="16671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2971800" cy="1667107"/>
                          </a:xfrm>
                          <a:prstGeom prst="rect">
                            <a:avLst/>
                          </a:prstGeom>
                        </pic:spPr>
                      </pic:pic>
                    </a:graphicData>
                  </a:graphic>
                </wp:inline>
              </w:drawing>
            </w:r>
          </w:p>
          <w:p w14:paraId="7FC76C73" w14:textId="77777777" w:rsidR="00580E0B" w:rsidRDefault="00000000">
            <w:pPr>
              <w:spacing w:line="240" w:lineRule="auto" w:before="0" w:after="0"/>
              <w:ind w:firstLine="0"/>
              <w:jc w:val="center"/>
            </w:pPr>
            <w:r>
              <w:rPr>
                <w:rFonts w:eastAsia="方正书宋简体" w:ascii="Times New Roman" w:hAnsi="Times New Roman"/>
                <w:sz w:val="16"/>
              </w:rPr>
              <w:t>图</w:t>
            </w:r>
            <w:r>
              <w:rPr>
                <w:rFonts w:eastAsia="方正书宋简体" w:ascii="Times New Roman" w:hAnsi="Times New Roman"/>
                <w:sz w:val="16"/>
              </w:rPr>
              <w:t xml:space="preserve"> 4  </w:t>
            </w:r>
            <w:r>
              <w:rPr>
                <w:rFonts w:eastAsia="方正书宋简体" w:ascii="Times New Roman" w:hAnsi="Times New Roman"/>
                <w:sz w:val="16"/>
              </w:rPr>
              <w:t>不同数据可用性配置下的摊销</w:t>
            </w:r>
            <w:r>
              <w:rPr>
                <w:rFonts w:eastAsia="方正书宋简体" w:ascii="Times New Roman" w:hAnsi="Times New Roman"/>
                <w:sz w:val="16"/>
              </w:rPr>
              <w:t xml:space="preserve"> gas </w:t>
            </w:r>
            <w:r>
              <w:rPr>
                <w:rFonts w:eastAsia="方正书宋简体" w:ascii="Times New Roman" w:hAnsi="Times New Roman"/>
                <w:sz w:val="16"/>
              </w:rPr>
              <w:t>用量趋势</w:t>
            </w:r>
          </w:p>
          <w:p w14:paraId="2098840C" w14:textId="77777777" w:rsidR="00580E0B" w:rsidRDefault="00000000">
            <w:pPr>
              <w:spacing w:line="240" w:lineRule="auto" w:before="0" w:after="0"/>
              <w:ind w:firstLine="0"/>
              <w:jc w:val="center"/>
            </w:pPr>
            <w:r>
              <w:rPr>
                <w:rFonts w:eastAsia="方正书宋简体" w:ascii="Times New Roman" w:hAnsi="Times New Roman"/>
                <w:sz w:val="16"/>
              </w:rPr>
              <w:t>Fig.4  Amortized gas trends under different DA configurations</w:t>
            </w:r>
          </w:p>
        </w:tc>
      </w:tr>
    </w:tbl>
    <w:p w14:paraId="43ACA858" w14:textId="77777777" w:rsidR="00580E0B" w:rsidRDefault="00000000">
      <w:pPr>
        <w:spacing w:before="0" w:after="0" w:line="240" w:lineRule="auto"/>
        <w:ind w:firstLine="0"/>
        <w:jc w:val="left"/>
      </w:pPr>
      <w:r>
        <w:rPr>
          <w:rFonts w:ascii="黑体" w:hAnsi="黑体" w:eastAsia="黑体"/>
          <w:b/>
          <w:sz w:val="23"/>
        </w:rPr>
        <w:t>5.3  RQ3：恢复机制能否改善超时场景下的挑战活性</w:t>
      </w:r>
    </w:p>
    <w:p w14:paraId="51C31C26" w14:textId="77777777" w:rsidR="00580E0B" w:rsidRDefault="00000000">
      <w:pPr>
        <w:spacing w:line="264" w:lineRule="auto" w:before="0" w:after="0"/>
        <w:ind w:firstLine="408"/>
      </w:pPr>
      <w:r>
        <w:rPr>
          <w:rFonts w:ascii="Times New Roman" w:hAnsi="Times New Roman" w:eastAsia="方正书宋简体"/>
          <w:sz w:val="20"/>
        </w:rPr>
        <w:t>RQ3 使用相同合成挑战状态机比较不可恢复与可恢复路径，轨迹步数覆盖 4 至 128，挑战超时设为 2 秒。</w:t>
      </w:r>
    </w:p>
    <w:p w14:paraId="451BB206" w14:textId="77777777" w:rsidR="00580E0B" w:rsidRDefault="00000000">
      <w:pPr>
        <w:spacing w:line="264" w:lineRule="auto" w:before="0" w:after="0"/>
        <w:ind w:firstLine="408"/>
      </w:pPr>
      <w:r>
        <w:rPr>
          <w:rFonts w:ascii="Times New Roman" w:hAnsi="Times New Roman" w:eastAsia="方正书宋简体"/>
          <w:sz w:val="20"/>
        </w:rPr>
        <w:t>轨迹步数为 4、8、16、32、64、128 时，平均二分轮次分别为 2、3、4、5、6、7；超时不可恢复路径挑战成功率为 0%，可恢复路径为 100%，说明超时检测不等于协议完成。</w:t>
      </w:r>
    </w:p>
    <w:p w14:paraId="7DA6889F" w14:textId="77777777" w:rsidR="00580E0B" w:rsidRDefault="00000000">
      <w:pPr>
        <w:spacing w:line="264" w:lineRule="auto" w:before="0" w:after="0"/>
        <w:ind w:firstLine="408"/>
      </w:pPr>
      <w:r>
        <w:rPr>
          <w:rFonts w:ascii="Times New Roman" w:hAnsi="Times New Roman" w:eastAsia="方正书宋简体"/>
          <w:sz w:val="20"/>
        </w:rPr>
        <w:t>本地 EVM 数据显示，challengeStep 平均 gas 为 93807，challengeRecover 平均 gas 为 156891，恢复相对单轮挑战步骤的开销比约为 1.67。</w:t>
      </w:r>
    </w:p>
    <w:p w14:paraId="464CE4C8" w14:textId="77777777" w:rsidR="00580E0B" w:rsidRDefault="00000000">
      <w:pPr>
        <w:spacing w:before="0" w:after="0" w:line="240" w:lineRule="auto"/>
        <w:ind w:firstLine="0"/>
        <w:jc w:val="left"/>
      </w:pPr>
      <w:r>
        <w:rPr>
          <w:rFonts w:ascii="黑体" w:hAnsi="黑体" w:eastAsia="黑体"/>
          <w:b/>
          <w:sz w:val="23"/>
        </w:rPr>
        <w:t>5.4  补充验证与链上对应物</w:t>
      </w:r>
    </w:p>
    <w:p w14:paraId="0EF1A7C6" w14:textId="77777777" w:rsidR="00580E0B" w:rsidRDefault="00000000">
      <w:pPr>
        <w:spacing w:line="264" w:lineRule="auto" w:before="0" w:after="0"/>
        <w:ind w:firstLine="408"/>
      </w:pPr>
      <w:r>
        <w:rPr>
          <w:rFonts w:ascii="Times New Roman" w:hAnsi="Times New Roman" w:eastAsia="方正书宋简体"/>
          <w:sz w:val="20"/>
        </w:rPr>
        <w:t>补充故障实验表明，响应篡改和轨迹长度不匹配可形成检测、恢复、重放和罚没闭环；远程证明无效、数据不可用和 DA 证明无效体现为检测或拒绝能力。</w:t>
      </w:r>
    </w:p>
    <w:p w14:paraId="67BE059C" w14:textId="77777777" w:rsidR="00580E0B" w:rsidRDefault="00000000">
      <w:pPr>
        <w:spacing w:line="264" w:lineRule="auto" w:before="0" w:after="0"/>
        <w:ind w:firstLine="408"/>
      </w:pPr>
      <w:r>
        <w:rPr>
          <w:rFonts w:ascii="Times New Roman" w:hAnsi="Times New Roman" w:eastAsia="方正书宋简体"/>
          <w:sz w:val="20"/>
        </w:rPr>
        <w:t>超时不可恢复场景体现为检测但不能完成仲裁，超时可恢复场景则能继续推进至重放与结算。</w:t>
      </w:r>
    </w:p>
    <w:p w14:paraId="29620C6E" w14:textId="77777777" w:rsidR="00580E0B" w:rsidRDefault="00000000">
      <w:pPr>
        <w:spacing w:before="0" w:after="0" w:line="240" w:lineRule="auto"/>
        <w:ind w:firstLine="0"/>
        <w:jc w:val="left"/>
      </w:pPr>
      <w:r>
        <w:rPr>
          <w:rFonts w:ascii="黑体" w:hAnsi="黑体" w:eastAsia="黑体"/>
          <w:b/>
          <w:sz w:val="23"/>
        </w:rPr>
        <w:t>5.5  实验小结</w:t>
      </w:r>
    </w:p>
    <w:p w14:paraId="318397E0" w14:textId="77777777" w:rsidR="00580E0B" w:rsidRDefault="00000000">
      <w:pPr>
        <w:spacing w:line="264" w:lineRule="auto" w:before="0" w:after="0"/>
        <w:ind w:firstLine="408"/>
      </w:pPr>
      <w:r>
        <w:rPr>
          <w:rFonts w:ascii="Times New Roman" w:hAnsi="Times New Roman" w:eastAsia="方正书宋简体"/>
          <w:sz w:val="20"/>
        </w:rPr>
        <w:t>Solidity 合约覆盖提交、挑战、恢复、重放和结算路径；Hardhat 本地 EVM 提供 gas 基线，同一套合约已部署至 Sepolia 测试网，Chain ID 为 11155111，部署区块为 10825904，说明原型具有公开测试网可部署性。</w:t>
      </w:r>
    </w:p>
    <w:p w14:paraId="0E4761AA" w14:textId="77777777" w:rsidR="00580E0B" w:rsidRDefault="00000000">
      <w:pPr>
        <w:spacing w:line="264" w:lineRule="auto" w:before="0" w:after="0"/>
        <w:ind w:firstLine="408"/>
        <w:jc w:val="center"/>
      </w:pPr>
      <w:r>
        <w:rPr>
          <w:rFonts w:eastAsia="方正书宋简体" w:ascii="Times New Roman" w:hAnsi="Times New Roman"/>
          <w:b/>
          <w:sz w:val="20"/>
        </w:rPr>
        <w:t>表</w:t>
      </w:r>
      <w:r>
        <w:rPr>
          <w:rFonts w:eastAsia="方正书宋简体" w:ascii="Times New Roman" w:hAnsi="Times New Roman"/>
          <w:b/>
          <w:sz w:val="20"/>
        </w:rPr>
        <w:t xml:space="preserve"> 5  </w:t>
      </w:r>
      <w:r>
        <w:rPr>
          <w:rFonts w:eastAsia="方正书宋简体" w:ascii="Times New Roman" w:hAnsi="Times New Roman"/>
          <w:b/>
          <w:sz w:val="20"/>
        </w:rPr>
        <w:t>本地</w:t>
      </w:r>
      <w:r>
        <w:rPr>
          <w:rFonts w:eastAsia="方正书宋简体" w:ascii="Times New Roman" w:hAnsi="Times New Roman"/>
          <w:b/>
          <w:sz w:val="20"/>
        </w:rPr>
        <w:t xml:space="preserve"> EVM </w:t>
      </w:r>
      <w:r>
        <w:rPr>
          <w:rFonts w:eastAsia="方正书宋简体" w:ascii="Times New Roman" w:hAnsi="Times New Roman"/>
          <w:b/>
          <w:sz w:val="20"/>
        </w:rPr>
        <w:t>关键路径平均</w:t>
      </w:r>
      <w:r>
        <w:rPr>
          <w:rFonts w:eastAsia="方正书宋简体" w:ascii="Times New Roman" w:hAnsi="Times New Roman"/>
          <w:b/>
          <w:sz w:val="20"/>
        </w:rPr>
        <w:t xml:space="preserve"> gasUsed</w:t>
      </w:r>
    </w:p>
    <w:p w14:paraId="637A7672" w14:textId="77777777" w:rsidR="00580E0B" w:rsidRDefault="00000000">
      <w:pPr>
        <w:spacing w:line="264" w:lineRule="auto" w:before="0" w:after="0"/>
        <w:ind w:firstLine="408"/>
        <w:jc w:val="center"/>
      </w:pPr>
      <w:r>
        <w:rPr>
          <w:rFonts w:eastAsia="方正书宋简体" w:ascii="Times New Roman" w:hAnsi="Times New Roman"/>
          <w:b w:val="0"/>
          <w:sz w:val="20"/>
        </w:rPr>
        <w:t>Table 5  Average gasUsed of local EVM key paths</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3326"/>
        <w:gridCol w:w="3326"/>
        <w:gridCol w:w="3326"/>
      </w:tblGrid>
      <w:tr w:rsidR="00580E0B" w14:paraId="55EC4EE7" w14:textId="77777777">
        <w:trPr>
          <w:tblHeader/>
          <w:jc w:val="center"/>
        </w:trPr>
        <w:tc>
          <w:tcPr>
            <w:tcW w:w="3326" w:type="dxa"/>
            <w:tcBorders>
              <w:bottom w:val="single" w:sz="6" w:space="0" w:color="000000"/>
            </w:tcBorders>
            <w:vAlign w:val="center"/>
          </w:tcPr>
          <w:p w14:paraId="6C1EDC63" w14:textId="77777777" w:rsidR="00580E0B" w:rsidRDefault="00000000">
            <w:pPr>
              <w:spacing w:line="240" w:lineRule="auto" w:before="0" w:after="0"/>
              <w:ind w:firstLine="0"/>
              <w:jc w:val="center"/>
            </w:pPr>
            <w:r>
              <w:rPr>
                <w:rFonts w:eastAsia="方正书宋简体" w:ascii="Times New Roman" w:hAnsi="Times New Roman"/>
                <w:b/>
                <w:sz w:val="16"/>
              </w:rPr>
              <w:t>操作</w:t>
            </w:r>
          </w:p>
        </w:tc>
        <w:tc>
          <w:tcPr>
            <w:tcW w:w="3326" w:type="dxa"/>
            <w:tcBorders>
              <w:bottom w:val="single" w:sz="6" w:space="0" w:color="000000"/>
            </w:tcBorders>
            <w:vAlign w:val="center"/>
          </w:tcPr>
          <w:p w14:paraId="76F9AE29" w14:textId="77777777" w:rsidR="00580E0B" w:rsidRDefault="00000000">
            <w:pPr>
              <w:spacing w:line="240" w:lineRule="auto" w:before="0" w:after="0"/>
              <w:ind w:firstLine="0"/>
              <w:jc w:val="center"/>
            </w:pPr>
            <w:r>
              <w:rPr>
                <w:rFonts w:eastAsia="方正书宋简体" w:ascii="Times New Roman" w:hAnsi="Times New Roman"/>
                <w:b/>
                <w:sz w:val="16"/>
              </w:rPr>
              <w:t>平均</w:t>
            </w:r>
            <w:r>
              <w:rPr>
                <w:rFonts w:eastAsia="方正书宋简体" w:ascii="Times New Roman" w:hAnsi="Times New Roman"/>
                <w:b/>
                <w:sz w:val="16"/>
              </w:rPr>
              <w:t xml:space="preserve"> gasUsed</w:t>
            </w:r>
          </w:p>
        </w:tc>
        <w:tc>
          <w:tcPr>
            <w:tcW w:w="3326" w:type="dxa"/>
            <w:tcBorders>
              <w:bottom w:val="single" w:sz="6" w:space="0" w:color="000000"/>
            </w:tcBorders>
            <w:vAlign w:val="center"/>
          </w:tcPr>
          <w:p w14:paraId="639B3FD2" w14:textId="77777777" w:rsidR="00580E0B" w:rsidRDefault="00000000">
            <w:pPr>
              <w:spacing w:line="240" w:lineRule="auto" w:before="0" w:after="0"/>
              <w:ind w:firstLine="0"/>
              <w:jc w:val="center"/>
            </w:pPr>
            <w:r>
              <w:rPr>
                <w:rFonts w:eastAsia="方正书宋简体" w:ascii="Times New Roman" w:hAnsi="Times New Roman"/>
                <w:b/>
                <w:sz w:val="16"/>
              </w:rPr>
              <w:t>解释</w:t>
            </w:r>
          </w:p>
        </w:tc>
      </w:tr>
      <w:tr w:rsidR="00580E0B" w14:paraId="044D5C94" w14:textId="77777777">
        <w:trPr>
          <w:jc w:val="center"/>
        </w:trPr>
        <w:tc>
          <w:tcPr>
            <w:tcW w:w="3326" w:type="dxa"/>
            <w:vAlign w:val="center"/>
          </w:tcPr>
          <w:p w14:paraId="659BD82C" w14:textId="77777777" w:rsidR="00580E0B" w:rsidRDefault="00000000">
            <w:pPr>
              <w:spacing w:line="240" w:lineRule="auto" w:before="0" w:after="0"/>
              <w:ind w:firstLine="0"/>
              <w:jc w:val="center"/>
            </w:pPr>
            <w:r>
              <w:rPr>
                <w:rFonts w:eastAsia="方正书宋简体" w:ascii="Times New Roman" w:hAnsi="Times New Roman"/>
                <w:sz w:val="16"/>
              </w:rPr>
              <w:t>registerDA</w:t>
            </w:r>
          </w:p>
        </w:tc>
        <w:tc>
          <w:tcPr>
            <w:tcW w:w="3326" w:type="dxa"/>
            <w:vAlign w:val="center"/>
          </w:tcPr>
          <w:p w14:paraId="26C0EB2D" w14:textId="77777777" w:rsidR="00580E0B" w:rsidRDefault="00000000">
            <w:pPr>
              <w:spacing w:line="240" w:lineRule="auto" w:before="0" w:after="0"/>
              <w:ind w:firstLine="0"/>
              <w:jc w:val="center"/>
            </w:pPr>
            <w:r>
              <w:rPr>
                <w:rFonts w:eastAsia="方正书宋简体" w:ascii="Times New Roman" w:hAnsi="Times New Roman"/>
                <w:sz w:val="16"/>
              </w:rPr>
              <w:t>113526.00</w:t>
            </w:r>
          </w:p>
        </w:tc>
        <w:tc>
          <w:tcPr>
            <w:tcW w:w="3326" w:type="dxa"/>
            <w:vAlign w:val="center"/>
          </w:tcPr>
          <w:p>
            <w:pPr>
              <w:spacing w:line="240" w:lineRule="auto" w:before="0" w:after="0"/>
              <w:ind w:firstLine="0"/>
            </w:pPr>
            <w:r>
              <w:rPr>
                <w:rFonts w:ascii="Times New Roman" w:hAnsi="Times New Roman" w:eastAsia="方正书宋简体"/>
                <w:sz w:val="16"/>
              </w:rPr>
              <w:t>记录 DA 根</w:t>
            </w:r>
          </w:p>
        </w:tc>
      </w:tr>
      <w:tr w:rsidR="00580E0B" w14:paraId="78B9D0A1" w14:textId="77777777">
        <w:trPr>
          <w:jc w:val="center"/>
        </w:trPr>
        <w:tc>
          <w:tcPr>
            <w:tcW w:w="3326" w:type="dxa"/>
            <w:vAlign w:val="center"/>
          </w:tcPr>
          <w:p w14:paraId="26E5485F" w14:textId="77777777" w:rsidR="00580E0B" w:rsidRDefault="00000000">
            <w:pPr>
              <w:spacing w:line="240" w:lineRule="auto" w:before="0" w:after="0"/>
              <w:ind w:firstLine="0"/>
              <w:jc w:val="center"/>
            </w:pPr>
            <w:r>
              <w:rPr>
                <w:rFonts w:eastAsia="方正书宋简体" w:ascii="Times New Roman" w:hAnsi="Times New Roman"/>
                <w:sz w:val="16"/>
              </w:rPr>
              <w:t>submitRollup</w:t>
            </w:r>
          </w:p>
        </w:tc>
        <w:tc>
          <w:tcPr>
            <w:tcW w:w="3326" w:type="dxa"/>
            <w:vAlign w:val="center"/>
          </w:tcPr>
          <w:p w14:paraId="45163D9A" w14:textId="77777777" w:rsidR="00580E0B" w:rsidRDefault="00000000">
            <w:pPr>
              <w:spacing w:line="240" w:lineRule="auto" w:before="0" w:after="0"/>
              <w:ind w:firstLine="0"/>
              <w:jc w:val="center"/>
            </w:pPr>
            <w:r>
              <w:rPr>
                <w:rFonts w:eastAsia="方正书宋简体" w:ascii="Times New Roman" w:hAnsi="Times New Roman"/>
                <w:sz w:val="16"/>
              </w:rPr>
              <w:t>299033.67</w:t>
            </w:r>
          </w:p>
        </w:tc>
        <w:tc>
          <w:tcPr>
            <w:tcW w:w="3326" w:type="dxa"/>
            <w:vAlign w:val="center"/>
          </w:tcPr>
          <w:p>
            <w:pPr>
              <w:spacing w:line="240" w:lineRule="auto" w:before="0" w:after="0"/>
              <w:ind w:firstLine="0"/>
            </w:pPr>
            <w:r>
              <w:rPr>
                <w:rFonts w:ascii="Times New Roman" w:hAnsi="Times New Roman" w:eastAsia="方正书宋简体"/>
                <w:sz w:val="16"/>
              </w:rPr>
              <w:t>提交紧凑承诺</w:t>
            </w:r>
          </w:p>
        </w:tc>
      </w:tr>
      <w:tr w:rsidR="00580E0B" w14:paraId="536A7CB5" w14:textId="77777777">
        <w:trPr>
          <w:jc w:val="center"/>
        </w:trPr>
        <w:tc>
          <w:tcPr>
            <w:tcW w:w="3326" w:type="dxa"/>
            <w:vAlign w:val="center"/>
          </w:tcPr>
          <w:p w14:paraId="7BC73D57" w14:textId="77777777" w:rsidR="00580E0B" w:rsidRDefault="00000000">
            <w:pPr>
              <w:spacing w:line="240" w:lineRule="auto" w:before="0" w:after="0"/>
              <w:ind w:firstLine="0"/>
              <w:jc w:val="center"/>
            </w:pPr>
            <w:r>
              <w:rPr>
                <w:rFonts w:eastAsia="方正书宋简体" w:ascii="Times New Roman" w:hAnsi="Times New Roman"/>
                <w:sz w:val="16"/>
              </w:rPr>
              <w:t>challengeStep</w:t>
            </w:r>
          </w:p>
        </w:tc>
        <w:tc>
          <w:tcPr>
            <w:tcW w:w="3326" w:type="dxa"/>
            <w:vAlign w:val="center"/>
          </w:tcPr>
          <w:p w14:paraId="25893283" w14:textId="77777777" w:rsidR="00580E0B" w:rsidRDefault="00000000">
            <w:pPr>
              <w:spacing w:line="240" w:lineRule="auto" w:before="0" w:after="0"/>
              <w:ind w:firstLine="0"/>
              <w:jc w:val="center"/>
            </w:pPr>
            <w:r>
              <w:rPr>
                <w:rFonts w:eastAsia="方正书宋简体" w:ascii="Times New Roman" w:hAnsi="Times New Roman"/>
                <w:sz w:val="16"/>
              </w:rPr>
              <w:t>93807.00</w:t>
            </w:r>
          </w:p>
        </w:tc>
        <w:tc>
          <w:tcPr>
            <w:tcW w:w="3326" w:type="dxa"/>
            <w:vAlign w:val="center"/>
          </w:tcPr>
          <w:p>
            <w:pPr>
              <w:spacing w:line="240" w:lineRule="auto" w:before="0" w:after="0"/>
              <w:ind w:firstLine="0"/>
            </w:pPr>
            <w:r>
              <w:rPr>
                <w:rFonts w:ascii="Times New Roman" w:hAnsi="Times New Roman" w:eastAsia="方正书宋简体"/>
                <w:sz w:val="16"/>
              </w:rPr>
              <w:t>二分挑战步骤</w:t>
            </w:r>
          </w:p>
        </w:tc>
      </w:tr>
      <w:tr w:rsidR="00580E0B" w14:paraId="051F70C1" w14:textId="77777777">
        <w:trPr>
          <w:jc w:val="center"/>
        </w:trPr>
        <w:tc>
          <w:tcPr>
            <w:tcW w:w="3326" w:type="dxa"/>
            <w:vAlign w:val="center"/>
          </w:tcPr>
          <w:p w14:paraId="373F1AB9" w14:textId="77777777" w:rsidR="00580E0B" w:rsidRDefault="00000000">
            <w:pPr>
              <w:spacing w:line="240" w:lineRule="auto" w:before="0" w:after="0"/>
              <w:ind w:firstLine="0"/>
              <w:jc w:val="center"/>
            </w:pPr>
            <w:r>
              <w:rPr>
                <w:rFonts w:eastAsia="方正书宋简体" w:ascii="Times New Roman" w:hAnsi="Times New Roman"/>
                <w:sz w:val="16"/>
              </w:rPr>
              <w:t>challengeRecover</w:t>
            </w:r>
          </w:p>
        </w:tc>
        <w:tc>
          <w:tcPr>
            <w:tcW w:w="3326" w:type="dxa"/>
            <w:vAlign w:val="center"/>
          </w:tcPr>
          <w:p w14:paraId="0AF1056D" w14:textId="77777777" w:rsidR="00580E0B" w:rsidRDefault="00000000">
            <w:pPr>
              <w:spacing w:line="240" w:lineRule="auto" w:before="0" w:after="0"/>
              <w:ind w:firstLine="0"/>
              <w:jc w:val="center"/>
            </w:pPr>
            <w:r>
              <w:rPr>
                <w:rFonts w:eastAsia="方正书宋简体" w:ascii="Times New Roman" w:hAnsi="Times New Roman"/>
                <w:sz w:val="16"/>
              </w:rPr>
              <w:t>156891.00</w:t>
            </w:r>
          </w:p>
        </w:tc>
        <w:tc>
          <w:tcPr>
            <w:tcW w:w="3326" w:type="dxa"/>
            <w:vAlign w:val="center"/>
          </w:tcPr>
          <w:p>
            <w:pPr>
              <w:spacing w:line="240" w:lineRule="auto" w:before="0" w:after="0"/>
              <w:ind w:firstLine="0"/>
            </w:pPr>
            <w:r>
              <w:rPr>
                <w:rFonts w:ascii="Times New Roman" w:hAnsi="Times New Roman" w:eastAsia="方正书宋简体"/>
                <w:sz w:val="16"/>
              </w:rPr>
              <w:t>超时恢复</w:t>
            </w:r>
          </w:p>
        </w:tc>
      </w:tr>
      <w:tr w:rsidR="00580E0B" w14:paraId="281A0744" w14:textId="77777777">
        <w:trPr>
          <w:jc w:val="center"/>
        </w:trPr>
        <w:tc>
          <w:tcPr>
            <w:tcW w:w="3326" w:type="dxa"/>
            <w:vAlign w:val="center"/>
          </w:tcPr>
          <w:p w14:paraId="223545DA" w14:textId="77777777" w:rsidR="00580E0B" w:rsidRDefault="00000000">
            <w:pPr>
              <w:spacing w:line="240" w:lineRule="auto" w:before="0" w:after="0"/>
              <w:ind w:firstLine="0"/>
              <w:jc w:val="center"/>
            </w:pPr>
            <w:r>
              <w:rPr>
                <w:rFonts w:eastAsia="方正书宋简体" w:ascii="Times New Roman" w:hAnsi="Times New Roman"/>
                <w:sz w:val="16"/>
              </w:rPr>
              <w:t>challengeReplay</w:t>
            </w:r>
          </w:p>
        </w:tc>
        <w:tc>
          <w:tcPr>
            <w:tcW w:w="3326" w:type="dxa"/>
            <w:vAlign w:val="center"/>
          </w:tcPr>
          <w:p w14:paraId="70C57656" w14:textId="77777777" w:rsidR="00580E0B" w:rsidRDefault="00000000">
            <w:pPr>
              <w:spacing w:line="240" w:lineRule="auto" w:before="0" w:after="0"/>
              <w:ind w:firstLine="0"/>
              <w:jc w:val="center"/>
            </w:pPr>
            <w:r>
              <w:rPr>
                <w:rFonts w:eastAsia="方正书宋简体" w:ascii="Times New Roman" w:hAnsi="Times New Roman"/>
                <w:sz w:val="16"/>
              </w:rPr>
              <w:t>135632.00</w:t>
            </w:r>
          </w:p>
        </w:tc>
        <w:tc>
          <w:tcPr>
            <w:tcW w:w="3326" w:type="dxa"/>
            <w:vAlign w:val="center"/>
          </w:tcPr>
          <w:p>
            <w:pPr>
              <w:spacing w:line="240" w:lineRule="auto" w:before="0" w:after="0"/>
              <w:ind w:firstLine="0"/>
            </w:pPr>
            <w:r>
              <w:rPr>
                <w:rFonts w:ascii="Times New Roman" w:hAnsi="Times New Roman" w:eastAsia="方正书宋简体"/>
                <w:sz w:val="16"/>
              </w:rPr>
              <w:t>单步重放</w:t>
            </w:r>
          </w:p>
        </w:tc>
      </w:tr>
      <w:tr w:rsidR="00580E0B" w14:paraId="7F0A5528" w14:textId="77777777">
        <w:trPr>
          <w:jc w:val="center"/>
        </w:trPr>
        <w:tc>
          <w:tcPr>
            <w:tcW w:w="3326" w:type="dxa"/>
            <w:vAlign w:val="center"/>
          </w:tcPr>
          <w:p w14:paraId="09958BE1" w14:textId="77777777" w:rsidR="00580E0B" w:rsidRDefault="00000000">
            <w:pPr>
              <w:spacing w:line="240" w:lineRule="auto" w:before="0" w:after="0"/>
              <w:ind w:firstLine="0"/>
              <w:jc w:val="center"/>
            </w:pPr>
            <w:r>
              <w:rPr>
                <w:rFonts w:eastAsia="方正书宋简体" w:ascii="Times New Roman" w:hAnsi="Times New Roman"/>
                <w:sz w:val="16"/>
              </w:rPr>
              <w:t>challengeResolve</w:t>
            </w:r>
          </w:p>
        </w:tc>
        <w:tc>
          <w:tcPr>
            <w:tcW w:w="3326" w:type="dxa"/>
            <w:vAlign w:val="center"/>
          </w:tcPr>
          <w:p w14:paraId="4923F7DA" w14:textId="77777777" w:rsidR="00580E0B" w:rsidRDefault="00000000">
            <w:pPr>
              <w:spacing w:line="240" w:lineRule="auto" w:before="0" w:after="0"/>
              <w:ind w:firstLine="0"/>
              <w:jc w:val="center"/>
            </w:pPr>
            <w:r>
              <w:rPr>
                <w:rFonts w:eastAsia="方正书宋简体" w:ascii="Times New Roman" w:hAnsi="Times New Roman"/>
                <w:sz w:val="16"/>
              </w:rPr>
              <w:t>113402.00</w:t>
            </w:r>
          </w:p>
        </w:tc>
        <w:tc>
          <w:tcPr>
            <w:tcW w:w="3326" w:type="dxa"/>
            <w:vAlign w:val="center"/>
          </w:tcPr>
          <w:p>
            <w:pPr>
              <w:spacing w:line="240" w:lineRule="auto" w:before="0" w:after="0"/>
              <w:ind w:firstLine="0"/>
            </w:pPr>
            <w:r>
              <w:rPr>
                <w:rFonts w:ascii="Times New Roman" w:hAnsi="Times New Roman" w:eastAsia="方正书宋简体"/>
                <w:sz w:val="16"/>
              </w:rPr>
              <w:t>结算裁决</w:t>
            </w:r>
          </w:p>
        </w:tc>
      </w:tr>
      <w:tr w:rsidR="00580E0B" w14:paraId="5E820782" w14:textId="77777777">
        <w:trPr>
          <w:jc w:val="center"/>
        </w:trPr>
        <w:tc>
          <w:tcPr>
            <w:tcW w:w="3326" w:type="dxa"/>
            <w:vAlign w:val="center"/>
          </w:tcPr>
          <w:p w14:paraId="4A71CB94" w14:textId="77777777" w:rsidR="00580E0B" w:rsidRDefault="00000000">
            <w:pPr>
              <w:spacing w:line="240" w:lineRule="auto" w:before="0" w:after="0"/>
              <w:ind w:firstLine="0"/>
              <w:jc w:val="center"/>
            </w:pPr>
            <w:r>
              <w:rPr>
                <w:rFonts w:eastAsia="方正书宋简体" w:ascii="Times New Roman" w:hAnsi="Times New Roman"/>
                <w:sz w:val="16"/>
              </w:rPr>
              <w:t>challengeFinalize</w:t>
            </w:r>
          </w:p>
        </w:tc>
        <w:tc>
          <w:tcPr>
            <w:tcW w:w="3326" w:type="dxa"/>
            <w:vAlign w:val="center"/>
          </w:tcPr>
          <w:p w14:paraId="0A9BC3E9" w14:textId="77777777" w:rsidR="00580E0B" w:rsidRDefault="00000000">
            <w:pPr>
              <w:spacing w:line="240" w:lineRule="auto" w:before="0" w:after="0"/>
              <w:ind w:firstLine="0"/>
              <w:jc w:val="center"/>
            </w:pPr>
            <w:r>
              <w:rPr>
                <w:rFonts w:eastAsia="方正书宋简体" w:ascii="Times New Roman" w:hAnsi="Times New Roman"/>
                <w:sz w:val="16"/>
              </w:rPr>
              <w:t>33477.00</w:t>
            </w:r>
          </w:p>
        </w:tc>
        <w:tc>
          <w:tcPr>
            <w:tcW w:w="3326" w:type="dxa"/>
            <w:vAlign w:val="center"/>
          </w:tcPr>
          <w:p>
            <w:pPr>
              <w:spacing w:line="240" w:lineRule="auto" w:before="0" w:after="0"/>
              <w:ind w:firstLine="0"/>
            </w:pPr>
            <w:r>
              <w:rPr>
                <w:rFonts w:ascii="Times New Roman" w:hAnsi="Times New Roman" w:eastAsia="方正书宋简体"/>
                <w:sz w:val="16"/>
              </w:rPr>
              <w:t>最终确认</w:t>
            </w:r>
          </w:p>
        </w:tc>
      </w:tr>
    </w:tbl>
    <w:p w14:paraId="6BFE7165" w14:textId="77777777" w:rsidR="00580E0B" w:rsidRDefault="00000000">
      <w:pPr>
        <w:spacing w:line="264" w:lineRule="auto" w:before="0" w:after="0"/>
        <w:ind w:firstLine="408"/>
      </w:pPr>
      <w:r>
        <w:rPr>
          <w:rFonts w:ascii="Times New Roman" w:hAnsi="Times New Roman" w:eastAsia="方正书宋简体"/>
          <w:sz w:val="20"/>
        </w:rPr>
        <w:t>实验脚本可生成成本网格、挑战网格、故障场景和汇总文件，Hardhat 测试提供合约层可重复验证。</w:t>
      </w:r>
    </w:p>
    <w:p w14:paraId="7F176977" w14:textId="77777777" w:rsidR="00580E0B" w:rsidRDefault="00000000">
      <w:pPr>
        <w:spacing w:line="264" w:lineRule="auto" w:before="0" w:after="0"/>
        <w:ind w:firstLine="408"/>
      </w:pPr>
      <w:r>
        <w:rPr>
          <w:rFonts w:ascii="Times New Roman" w:hAnsi="Times New Roman" w:eastAsia="方正书宋简体"/>
          <w:sz w:val="20"/>
        </w:rPr>
        <w:t>实验结果表明，紧凑提交隔离负载增长，DA 感知模型揭示批处理与路径选择的成本差异，恢复机制将超时检测转化为可继续推进的仲裁流程，Solidity 与 Sepolia 证据说明该机制具有链上对应物。</w:t>
      </w:r>
    </w:p>
    <w:p w14:paraId="4035FFAE" w14:textId="77777777" w:rsidR="00580E0B" w:rsidRDefault="00000000">
      <w:pPr>
        <w:spacing w:before="0" w:after="0" w:line="240" w:lineRule="auto"/>
        <w:ind w:firstLine="0"/>
        <w:jc w:val="left"/>
      </w:pPr>
      <w:r>
        <w:rPr>
          <w:rFonts w:ascii="黑体" w:hAnsi="黑体" w:eastAsia="黑体"/>
          <w:b/>
          <w:sz w:val="23"/>
        </w:rPr>
        <w:t>6  讨论与局限性</w:t>
      </w:r>
    </w:p>
    <w:p w14:paraId="729E7D04" w14:textId="77777777" w:rsidR="00580E0B" w:rsidRDefault="00000000">
      <w:pPr>
        <w:spacing w:line="264" w:lineRule="auto" w:before="0" w:after="0"/>
        <w:ind w:firstLine="408"/>
      </w:pPr>
      <w:r>
        <w:rPr>
          <w:rFonts w:ascii="Times New Roman" w:hAnsi="Times New Roman" w:eastAsia="方正书宋简体"/>
          <w:sz w:val="20"/>
        </w:rPr>
        <w:t>本文结论应理解为机制层研究原型结论，局限性集中体现在执行环境、DA 网络、成本估算和链上实现四方面。</w:t>
      </w:r>
    </w:p>
    <w:p w14:paraId="452EF53E" w14:textId="77777777" w:rsidR="00580E0B" w:rsidRDefault="00000000">
      <w:pPr>
        <w:spacing w:before="0" w:after="0" w:line="240" w:lineRule="auto"/>
        <w:ind w:firstLine="0"/>
        <w:jc w:val="left"/>
      </w:pPr>
      <w:r>
        <w:rPr>
          <w:rFonts w:ascii="黑体" w:hAnsi="黑体" w:eastAsia="黑体"/>
          <w:b/>
          <w:sz w:val="23"/>
        </w:rPr>
        <w:t>6.1  局限性</w:t>
      </w:r>
    </w:p>
    <w:p w14:paraId="35832FDA" w14:textId="77777777" w:rsidR="00580E0B" w:rsidRDefault="00000000">
      <w:pPr>
        <w:spacing w:line="264" w:lineRule="auto" w:before="0" w:after="0"/>
        <w:ind w:firstLine="408"/>
      </w:pPr>
      <w:r>
        <w:rPr>
          <w:rFonts w:ascii="Times New Roman" w:hAnsi="Times New Roman" w:eastAsia="方正书宋简体"/>
          <w:sz w:val="20"/>
        </w:rPr>
        <w:t>当前系统使用模拟 TEE，不证明真实硬件安全或远程证明供应链安全；可验证 DA 注册表不证明真实 DA 网络经济安全；配置化成本模型不代表主网费用；Hardhat 和 Sepolia 只说明合约对应物与测试网可部署性，不代表生产可用性。</w:t>
      </w:r>
    </w:p>
    <w:p w14:paraId="502E679C" w14:textId="77777777" w:rsidR="00580E0B" w:rsidRDefault="00000000">
      <w:pPr>
        <w:spacing w:before="0" w:after="0" w:line="240" w:lineRule="auto"/>
        <w:ind w:firstLine="0"/>
        <w:jc w:val="left"/>
      </w:pPr>
      <w:r>
        <w:rPr>
          <w:rFonts w:ascii="黑体" w:hAnsi="黑体" w:eastAsia="黑体"/>
          <w:b/>
          <w:sz w:val="23"/>
        </w:rPr>
        <w:t>6.2  相关工作</w:t>
      </w:r>
    </w:p>
    <w:p w14:paraId="1F499DA5" w14:textId="77777777" w:rsidR="00580E0B" w:rsidRDefault="00000000">
      <w:pPr>
        <w:spacing w:line="264" w:lineRule="auto" w:before="0" w:after="0"/>
        <w:ind w:firstLine="408"/>
      </w:pPr>
      <w:r>
        <w:rPr>
          <w:rFonts w:ascii="Times New Roman" w:hAnsi="Times New Roman" w:eastAsia="方正书宋简体"/>
          <w:sz w:val="20"/>
        </w:rPr>
        <w:t>TEE-Rollup 相关工作利用异构 TEE 降低 Rollup 验证成本，并尝试结合 TEE 快速路径与异常挑战；本文沿用该方向，但聚焦超时恢复和证据绑定。</w:t>
      </w:r>
    </w:p>
    <w:p w14:paraId="663191D7" w14:textId="77777777" w:rsidR="00580E0B" w:rsidRDefault="00000000">
      <w:pPr>
        <w:spacing w:line="264" w:lineRule="auto" w:before="0" w:after="0"/>
        <w:ind w:firstLine="408"/>
      </w:pPr>
      <w:r>
        <w:rPr>
          <w:rFonts w:ascii="Times New Roman" w:hAnsi="Times New Roman" w:eastAsia="方正书宋简体"/>
          <w:sz w:val="20"/>
        </w:rPr>
        <w:t>opML 和动态欺诈证明研究乐观欺诈证明、二分定位、单步仲裁和挑战窗口调整；本文借鉴交互式争议定位思想，但将重点放在 Hybrid TEE-Rollup 原型中的异常仲裁连续性。</w:t>
      </w:r>
    </w:p>
    <w:p w14:paraId="3097E9DF" w14:textId="77777777" w:rsidR="00580E0B" w:rsidRDefault="00000000">
      <w:pPr>
        <w:spacing w:line="264" w:lineRule="auto" w:before="0" w:after="0"/>
        <w:ind w:firstLine="408"/>
      </w:pPr>
      <w:r>
        <w:rPr>
          <w:rFonts w:eastAsia="方正书宋简体" w:ascii="Times New Roman" w:hAnsi="Times New Roman"/>
          <w:sz w:val="20"/>
        </w:rPr>
        <w:t>LazyLedger</w:t>
      </w:r>
      <w:r>
        <w:rPr>
          <w:rFonts w:eastAsia="方正书宋简体" w:ascii="Times New Roman" w:hAnsi="Times New Roman"/>
          <w:sz w:val="20"/>
        </w:rPr>
        <w:t>、模块化</w:t>
      </w:r>
      <w:r>
        <w:rPr>
          <w:rFonts w:eastAsia="方正书宋简体" w:ascii="Times New Roman" w:hAnsi="Times New Roman"/>
          <w:sz w:val="20"/>
        </w:rPr>
        <w:t xml:space="preserve"> DA </w:t>
      </w:r>
      <w:r>
        <w:rPr>
          <w:rFonts w:eastAsia="方正书宋简体" w:ascii="Times New Roman" w:hAnsi="Times New Roman"/>
          <w:sz w:val="20"/>
        </w:rPr>
        <w:t>以及轻客户端相关工作强调数据可用性与执行验证解耦。本文使用可验证</w:t>
      </w:r>
      <w:r>
        <w:rPr>
          <w:rFonts w:eastAsia="方正书宋简体" w:ascii="Times New Roman" w:hAnsi="Times New Roman"/>
          <w:sz w:val="20"/>
        </w:rPr>
        <w:t xml:space="preserve"> DA </w:t>
      </w:r>
      <w:r>
        <w:rPr>
          <w:rFonts w:eastAsia="方正书宋简体" w:ascii="Times New Roman" w:hAnsi="Times New Roman"/>
          <w:sz w:val="20"/>
        </w:rPr>
        <w:t>注册表和配置化建模分析紧凑提交加数据可用性验证的成本趋势。</w:t>
      </w:r>
    </w:p>
    <w:p w14:paraId="0D71E6DE" w14:textId="77777777" w:rsidR="00580E0B" w:rsidRDefault="00000000">
      <w:pPr>
        <w:spacing w:before="0" w:after="0" w:line="240" w:lineRule="auto"/>
        <w:ind w:firstLine="0"/>
        <w:jc w:val="left"/>
      </w:pPr>
      <w:r>
        <w:rPr>
          <w:rFonts w:ascii="黑体" w:hAnsi="黑体" w:eastAsia="黑体"/>
          <w:b/>
          <w:sz w:val="23"/>
        </w:rPr>
        <w:t>6.3  结论与未来工作</w:t>
      </w:r>
    </w:p>
    <w:p w14:paraId="65B294A9" w14:textId="77777777" w:rsidR="00580E0B" w:rsidRDefault="00000000">
      <w:pPr>
        <w:spacing w:line="264" w:lineRule="auto" w:before="0" w:after="0"/>
        <w:ind w:firstLine="408"/>
      </w:pPr>
      <w:r>
        <w:rPr>
          <w:rFonts w:ascii="Times New Roman" w:hAnsi="Times New Roman" w:eastAsia="方正书宋简体"/>
          <w:sz w:val="20"/>
        </w:rPr>
        <w:t>本文提出可恢复挑战机制、携带证据的紧凑提交机制和数据可用性感知成本模型。实验显示，紧凑提交平均约 406 字节；负载 8192、批大小 1000 时，模块化 DA 采样路径较全链上调用数据下降 96.33%；超时恢复路径将挑战成功率由 0% 提升至 100%。</w:t>
      </w:r>
    </w:p>
    <w:p w14:paraId="0EFDF236" w14:textId="77777777" w:rsidR="00580E0B" w:rsidRDefault="00000000">
      <w:pPr>
        <w:spacing w:line="264" w:lineRule="auto" w:before="0" w:after="0"/>
        <w:ind w:firstLine="408"/>
      </w:pPr>
      <w:r>
        <w:rPr>
          <w:rFonts w:ascii="Times New Roman" w:hAnsi="Times New Roman" w:eastAsia="方正书宋简体"/>
          <w:sz w:val="20"/>
        </w:rPr>
        <w:t>本地 EVM 结果显示 challengeStep 平均 gas 为 93807，challengeRecover 平均 gas 为 156891，恢复开销比约为 1.67；Sepolia 部署进一步说明原型具有测试网可部署性。</w:t>
      </w:r>
    </w:p>
    <w:p w14:paraId="3F41BACA" w14:textId="77777777" w:rsidR="00580E0B" w:rsidRDefault="00000000">
      <w:pPr>
        <w:spacing w:line="264" w:lineRule="auto" w:before="0" w:after="0"/>
        <w:ind w:firstLine="408"/>
      </w:pPr>
      <w:r>
        <w:rPr>
          <w:rFonts w:ascii="Times New Roman" w:hAnsi="Times New Roman" w:eastAsia="方正书宋简体"/>
          <w:sz w:val="20"/>
        </w:rPr>
        <w:t>未来工作包括在真实 TEE/DA 环境中重新测量成本和活性，加强重放证据的链上可验证性，完善故障到罚没策略，并补齐并发挑战和恢复频率限制。</w:t>
      </w:r>
    </w:p>
    <w:p w14:paraId="57A7A190" w14:textId="77777777" w:rsidR="00580E0B" w:rsidRDefault="00000000">
      <w:pPr>
        <w:spacing w:line="240" w:lineRule="auto" w:before="0" w:after="0"/>
        <w:ind w:firstLine="0"/>
        <w:jc w:val="left"/>
      </w:pPr>
      <w:r>
        <w:rPr>
          <w:rFonts w:eastAsia="黑体" w:ascii="黑体" w:hAnsi="黑体"/>
          <w:b/>
          <w:sz w:val="23"/>
        </w:rPr>
        <w:t>参考文献</w:t>
      </w:r>
    </w:p>
    <w:p w14:paraId="54EDE468" w14:textId="77777777" w:rsidR="00580E0B" w:rsidRDefault="00000000">
      <w:pPr>
        <w:spacing w:line="288" w:lineRule="auto" w:before="0" w:after="0"/>
        <w:ind w:left="368" w:hanging="368"/>
        <w:jc w:val="left"/>
      </w:pPr>
      <w:r>
        <w:rPr>
          <w:rFonts w:ascii="Times New Roman" w:hAnsi="Times New Roman" w:eastAsia="方正书宋简体"/>
          <w:b w:val="0"/>
          <w:sz w:val="18"/>
        </w:rPr>
        <w:t>[1] WEN X, FENG Q, LYU H, et al. TEEROLLUP: efficient Rollup design using heterogeneous TEE[EB/OL]. arXiv:2409.14647, 2024. https://arxiv.org/abs/2409.14647.</w:t>
      </w:r>
    </w:p>
    <w:p w14:paraId="4560547B" w14:textId="77777777" w:rsidR="00580E0B" w:rsidRDefault="00000000">
      <w:pPr>
        <w:spacing w:line="288" w:lineRule="auto" w:before="0" w:after="0"/>
        <w:ind w:left="368" w:hanging="368"/>
        <w:jc w:val="left"/>
      </w:pPr>
      <w:r>
        <w:rPr>
          <w:rFonts w:ascii="Times New Roman" w:hAnsi="Times New Roman" w:eastAsia="方正书宋简体"/>
          <w:b w:val="0"/>
          <w:sz w:val="18"/>
        </w:rPr>
        <w:t>[2] BUTERIN V. An incomplete guide to Rollups[EB/OL]. 2021 [2026-06-15]. https://vitalik.ca/general/2021/01/05/rollup.html.</w:t>
      </w:r>
    </w:p>
    <w:p w14:paraId="1B95BF56" w14:textId="77777777" w:rsidR="00580E0B" w:rsidRDefault="00000000">
      <w:pPr>
        <w:spacing w:line="288" w:lineRule="auto" w:before="0" w:after="0"/>
        <w:ind w:left="368" w:hanging="368"/>
        <w:jc w:val="left"/>
      </w:pPr>
      <w:r>
        <w:rPr>
          <w:rFonts w:ascii="Times New Roman" w:hAnsi="Times New Roman" w:eastAsia="方正书宋简体"/>
          <w:b w:val="0"/>
          <w:sz w:val="18"/>
        </w:rPr>
        <w:t>[3] RISC ZERO. RISC Zero zkVM documentation[EB/OL]. 2024 [2026-06-15]. https://dev.risczero.com/.</w:t>
      </w:r>
    </w:p>
    <w:p w14:paraId="5ADA191D" w14:textId="77777777" w:rsidR="00580E0B" w:rsidRDefault="00000000">
      <w:pPr>
        <w:spacing w:line="288" w:lineRule="auto" w:before="0" w:after="0"/>
        <w:ind w:left="368" w:hanging="368"/>
        <w:jc w:val="left"/>
      </w:pPr>
      <w:r>
        <w:rPr>
          <w:rFonts w:ascii="Times New Roman" w:hAnsi="Times New Roman" w:eastAsia="方正书宋简体"/>
          <w:b w:val="0"/>
          <w:sz w:val="18"/>
        </w:rPr>
        <w:t>[4] SUCCINCT LABS. SP1: a performant, 100% open-source zkVM[EB/OL]. 2024 [2026-06-15]. https://docs.succinct.xyz/.</w:t>
      </w:r>
    </w:p>
    <w:p w14:paraId="7C024353" w14:textId="77777777" w:rsidR="00580E0B" w:rsidRDefault="00000000">
      <w:pPr>
        <w:spacing w:line="288" w:lineRule="auto" w:before="0" w:after="0"/>
        <w:ind w:left="368" w:hanging="368"/>
        <w:jc w:val="left"/>
      </w:pPr>
      <w:r>
        <w:rPr>
          <w:rFonts w:ascii="Times New Roman" w:hAnsi="Times New Roman" w:eastAsia="方正书宋简体"/>
          <w:b w:val="0"/>
          <w:sz w:val="18"/>
        </w:rPr>
        <w:t>[5] ETHEREUM FOUNDATION. Optimistic Rollups[EB/OL]. 2024 [2026-06-15]. https://ethereum.org/en/developers/docs/scaling/optimistic-rollups/.</w:t>
      </w:r>
    </w:p>
    <w:p w14:paraId="7DDDC687" w14:textId="77777777" w:rsidR="00580E0B" w:rsidRDefault="00000000">
      <w:pPr>
        <w:spacing w:line="288" w:lineRule="auto" w:before="0" w:after="0"/>
        <w:ind w:left="368" w:hanging="368"/>
        <w:jc w:val="left"/>
      </w:pPr>
      <w:r>
        <w:rPr>
          <w:rFonts w:ascii="Times New Roman" w:hAnsi="Times New Roman" w:eastAsia="方正书宋简体"/>
          <w:b w:val="0"/>
          <w:sz w:val="18"/>
        </w:rPr>
        <w:t>[6] OFFCHAIN LABS. Arbitrum: a next-generation Layer 2 for Ethereum[EB/OL]. 2021 [2026-06-15]. https://github.com/OffchainLabs/arbitrum.</w:t>
      </w:r>
    </w:p>
    <w:p w14:paraId="40162127" w14:textId="77777777" w:rsidR="00580E0B" w:rsidRDefault="00000000">
      <w:pPr>
        <w:spacing w:line="288" w:lineRule="auto" w:before="0" w:after="0"/>
        <w:ind w:left="368" w:hanging="368"/>
        <w:jc w:val="left"/>
      </w:pPr>
      <w:r>
        <w:rPr>
          <w:rFonts w:ascii="Times New Roman" w:hAnsi="Times New Roman" w:eastAsia="方正书宋简体"/>
          <w:b w:val="0"/>
          <w:sz w:val="18"/>
        </w:rPr>
        <w:t>[7] ARBITRUM FOUNDATION. Arbitrum Nitro technical documentation[EB/OL]. 2024 [2026-06-15]. https://docs.arbitrum.io/.</w:t>
      </w:r>
    </w:p>
    <w:p w14:paraId="2C02B59A" w14:textId="77777777" w:rsidR="00580E0B" w:rsidRDefault="00000000">
      <w:pPr>
        <w:spacing w:line="288" w:lineRule="auto" w:before="0" w:after="0"/>
        <w:ind w:left="368" w:hanging="368"/>
        <w:jc w:val="left"/>
      </w:pPr>
      <w:r>
        <w:rPr>
          <w:rFonts w:ascii="Times New Roman" w:hAnsi="Times New Roman" w:eastAsia="方正书宋简体"/>
          <w:b w:val="0"/>
          <w:sz w:val="18"/>
        </w:rPr>
        <w:t>[8] OP LABS. Optimism documentation: fault proofs and dispute games[EB/OL]. 2024 [2026-06-15]. https://docs.optimism.io/.</w:t>
      </w:r>
    </w:p>
    <w:p w14:paraId="7EFDA604" w14:textId="77777777" w:rsidR="00580E0B" w:rsidRDefault="00000000">
      <w:pPr>
        <w:spacing w:line="288" w:lineRule="auto" w:before="0" w:after="0"/>
        <w:ind w:left="368" w:hanging="368"/>
        <w:jc w:val="left"/>
      </w:pPr>
      <w:r>
        <w:rPr>
          <w:rFonts w:ascii="Times New Roman" w:hAnsi="Times New Roman" w:eastAsia="方正书宋简体"/>
          <w:b w:val="0"/>
          <w:sz w:val="18"/>
        </w:rPr>
        <w:t>[9] GOLDWASSER S, MICALI S, RACKOFF R. The knowledge complexity of interactive proof systems[J]. SIAM Journal on Computing, 1989, 18(1): 186-208.</w:t>
      </w:r>
    </w:p>
    <w:p w14:paraId="63D6D5D2" w14:textId="77777777" w:rsidR="00580E0B" w:rsidRDefault="00000000">
      <w:pPr>
        <w:spacing w:line="288" w:lineRule="auto" w:before="0" w:after="0"/>
        <w:ind w:left="368" w:hanging="368"/>
        <w:jc w:val="left"/>
      </w:pPr>
      <w:r>
        <w:rPr>
          <w:rFonts w:ascii="Times New Roman" w:hAnsi="Times New Roman" w:eastAsia="方正书宋简体"/>
          <w:b w:val="0"/>
          <w:sz w:val="18"/>
        </w:rPr>
        <w:t>[10] PICCO G, FORTUGNO A. Dynamic fraud proof[EB/OL]. arXiv:2502.10321, 2025. https://arxiv.org/abs/2502.10321.</w:t>
      </w:r>
    </w:p>
    <w:p w14:paraId="43D5C88F" w14:textId="77777777" w:rsidR="00580E0B" w:rsidRDefault="00000000">
      <w:pPr>
        <w:spacing w:line="288" w:lineRule="auto" w:before="0" w:after="0"/>
        <w:ind w:left="368" w:hanging="368"/>
        <w:jc w:val="left"/>
      </w:pPr>
      <w:r>
        <w:rPr>
          <w:rFonts w:ascii="Times New Roman" w:hAnsi="Times New Roman" w:eastAsia="方正书宋简体"/>
          <w:b w:val="0"/>
          <w:sz w:val="18"/>
        </w:rPr>
        <w:t>[11] AL-BASSAM M. LazyLedger: a distributed data availability ledger with client-side smart contracts[EB/OL]. arXiv:1905.09274, 2019. https://arxiv.org/abs/1905.09274.</w:t>
      </w:r>
    </w:p>
    <w:p w14:paraId="7B7BE5AB" w14:textId="77777777" w:rsidR="00580E0B" w:rsidRDefault="00000000">
      <w:pPr>
        <w:spacing w:line="288" w:lineRule="auto" w:before="0" w:after="0"/>
        <w:ind w:left="368" w:hanging="368"/>
        <w:jc w:val="left"/>
      </w:pPr>
      <w:r>
        <w:rPr>
          <w:rFonts w:ascii="Times New Roman" w:hAnsi="Times New Roman" w:eastAsia="方正书宋简体"/>
          <w:b w:val="0"/>
          <w:sz w:val="18"/>
        </w:rPr>
        <w:t>[12] TAS E N, TSE D, YANG L, et al. Light clients for lazy blockchains[EB/OL]. arXiv:2203.15968, 2022. https://arxiv.org/abs/2203.15968.</w:t>
      </w:r>
    </w:p>
    <w:p w14:paraId="5B26DB83" w14:textId="77777777" w:rsidR="00580E0B" w:rsidRDefault="00000000">
      <w:pPr>
        <w:spacing w:line="288" w:lineRule="auto" w:before="0" w:after="0"/>
        <w:ind w:left="368" w:hanging="368"/>
        <w:jc w:val="left"/>
      </w:pPr>
      <w:r>
        <w:rPr>
          <w:rFonts w:ascii="Times New Roman" w:hAnsi="Times New Roman" w:eastAsia="方正书宋简体"/>
          <w:b w:val="0"/>
          <w:sz w:val="18"/>
        </w:rPr>
        <w:t>[13] EIGENLABS. EigenDA documentation[EB/OL]. 2024 [2026-06-15]. https://docs.eigencloud.xyz/products/eigenda/.</w:t>
      </w:r>
    </w:p>
    <w:p w14:paraId="7CC01D4F" w14:textId="77777777" w:rsidR="00580E0B" w:rsidRDefault="00000000">
      <w:pPr>
        <w:spacing w:line="288" w:lineRule="auto" w:before="0" w:after="0"/>
        <w:ind w:left="368" w:hanging="368"/>
        <w:jc w:val="left"/>
      </w:pPr>
      <w:r>
        <w:rPr>
          <w:rFonts w:ascii="Times New Roman" w:hAnsi="Times New Roman" w:eastAsia="方正书宋简体"/>
          <w:b w:val="0"/>
          <w:sz w:val="18"/>
        </w:rPr>
        <w:t>[14] CELESTIA. Celestia: modular blockchain network[EB/OL]. 2024 [2026-06-15]. https://docs.celestia.org/.</w:t>
      </w:r>
    </w:p>
    <w:p w14:paraId="71314F0A" w14:textId="77777777" w:rsidR="00580E0B" w:rsidRDefault="00000000">
      <w:pPr>
        <w:spacing w:line="288" w:lineRule="auto" w:before="0" w:after="0"/>
        <w:ind w:left="368" w:hanging="368"/>
        <w:jc w:val="left"/>
      </w:pPr>
      <w:r>
        <w:rPr>
          <w:rFonts w:ascii="Times New Roman" w:hAnsi="Times New Roman" w:eastAsia="方正书宋简体"/>
          <w:b w:val="0"/>
          <w:sz w:val="18"/>
        </w:rPr>
        <w:t>[15] INTEL CORPORATION. Intel Software Guard Extensions developer guide[EB/OL]. 2024 [2026-06-15]. https://www.intel.com/content/www/us/en/developer/tools/software-guard-extensions/overview.html.</w:t>
      </w:r>
    </w:p>
    <w:p w14:paraId="0BB22FD7" w14:textId="77777777" w:rsidR="00580E0B" w:rsidRDefault="00000000">
      <w:pPr>
        <w:spacing w:line="288" w:lineRule="auto" w:before="0" w:after="0"/>
        <w:ind w:left="368" w:hanging="368"/>
        <w:jc w:val="left"/>
      </w:pPr>
      <w:r>
        <w:rPr>
          <w:rFonts w:ascii="Times New Roman" w:hAnsi="Times New Roman" w:eastAsia="方正书宋简体"/>
          <w:b w:val="0"/>
          <w:sz w:val="18"/>
        </w:rPr>
        <w:t>[16] INTEL CORPORATION. Intel Trust Domain Extensions architecture specification[EB/OL]. 2024 [2026-06-15]. https://www.intel.com/content/www/us/en/developer/articles/technical/intel-trust-domain-extensions.html.</w:t>
      </w:r>
    </w:p>
    <w:p w14:paraId="4DE212A9" w14:textId="77777777" w:rsidR="00580E0B" w:rsidRDefault="00000000">
      <w:pPr>
        <w:spacing w:line="288" w:lineRule="auto" w:before="0" w:after="0"/>
        <w:ind w:left="368" w:hanging="368"/>
        <w:jc w:val="left"/>
      </w:pPr>
      <w:r>
        <w:rPr>
          <w:rFonts w:ascii="Times New Roman" w:hAnsi="Times New Roman" w:eastAsia="方正书宋简体"/>
          <w:b w:val="0"/>
          <w:sz w:val="18"/>
        </w:rPr>
        <w:t>[17] CARTESI. Cartesi Rollups documentation[EB/OL]. 2024 [2026-06-15]. https://docs.cartesi.io/cartesi-rollups/.</w:t>
      </w:r>
    </w:p>
    <w:p w14:paraId="74F2C923" w14:textId="77777777" w:rsidR="00580E0B" w:rsidRDefault="00000000">
      <w:pPr>
        <w:spacing w:line="288" w:lineRule="auto" w:before="0" w:after="0"/>
        <w:ind w:left="368" w:hanging="368"/>
        <w:jc w:val="left"/>
      </w:pPr>
      <w:r>
        <w:rPr>
          <w:rFonts w:ascii="Times New Roman" w:hAnsi="Times New Roman" w:eastAsia="方正书宋简体"/>
          <w:b w:val="0"/>
          <w:sz w:val="18"/>
        </w:rPr>
        <w:t>[18] CANETTI R. Universally composable security: a new paradigm for cryptographic protocols[EB/OL]. 2000 [2026-06-15]. https://eprint.iacr.org/2000/067.</w:t>
      </w:r>
    </w:p>
    <w:p w14:paraId="211B4B90" w14:textId="77777777" w:rsidR="00580E0B" w:rsidRDefault="00000000">
      <w:pPr>
        <w:spacing w:line="288" w:lineRule="auto" w:before="0" w:after="0"/>
        <w:ind w:left="368" w:hanging="368"/>
        <w:jc w:val="left"/>
      </w:pPr>
      <w:r>
        <w:rPr>
          <w:rFonts w:ascii="Times New Roman" w:hAnsi="Times New Roman" w:eastAsia="方正书宋简体"/>
          <w:b w:val="0"/>
          <w:sz w:val="18"/>
        </w:rPr>
        <w:t>[19] ETHEREUM FOUNDATION. EIP-4844: shard blob transactions[EB/OL]. 2024 [2026-06-15]. https://eips.ethereum.org/EIPS/eip-4844.</w:t>
      </w:r>
    </w:p>
    <w:sectPr w:rsidR="00580E0B">
      <w:headerReference w:type="default" r:id="rId57"/>
      <w:footerReference w:type="default" r:id="rId58"/>
      <w:type w:val="continuous"/>
      <w:pgSz w:w="11906" w:h="16838"/>
      <w:pgMar w:top="1814" w:right="794" w:bottom="454" w:left="794" w:header="680" w:footer="454" w:gutter="0"/>
      <w:cols w:num="2" w:space="425"/>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F77C9" w14:textId="77777777" w:rsidR="00D84DFB" w:rsidRDefault="00D84DFB">
      <w:pPr>
        <w:spacing w:line="240" w:lineRule="auto"/>
      </w:pPr>
      <w:r>
        <w:separator/>
      </w:r>
    </w:p>
  </w:endnote>
  <w:endnote w:type="continuationSeparator" w:id="0">
    <w:p w14:paraId="44E08FE0" w14:textId="77777777" w:rsidR="00D84DFB" w:rsidRDefault="00D84D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微软雅黑"/>
    <w:charset w:val="86"/>
    <w:family w:val="script"/>
    <w:pitch w:val="default"/>
    <w:sig w:usb0="00000001" w:usb1="080E0000" w:usb2="00000000" w:usb3="00000000" w:csb0="00040000" w:csb1="00000000"/>
  </w:font>
  <w:font w:name="方正大标宋简体">
    <w:altName w:val="汉仪书宋二KW"/>
    <w:charset w:val="86"/>
    <w:family w:val="script"/>
    <w:pitch w:val="default"/>
    <w:sig w:usb0="00000000" w:usb1="00000000" w:usb2="00000010" w:usb3="00000000" w:csb0="00040001" w:csb1="00000000"/>
  </w:font>
  <w:font w:name="方正楷体简体">
    <w:altName w:val="汉仪楷体简"/>
    <w:charset w:val="86"/>
    <w:family w:val="script"/>
    <w:pitch w:val="default"/>
    <w:sig w:usb0="00000000" w:usb1="00000000" w:usb2="00000010" w:usb3="00000000" w:csb0="00040000" w:csb1="00000000"/>
  </w:font>
  <w:font w:name="FangSong_GB2312">
    <w:altName w:val="仿宋-简"/>
    <w:panose1 w:val="02010609060101010101"/>
    <w:charset w:val="86"/>
    <w:family w:val="modern"/>
    <w:pitch w:val="default"/>
    <w:sig w:usb0="00000000" w:usb1="00000000" w:usb2="00000010" w:usb3="00000000" w:csb0="00040000" w:csb1="00000000"/>
  </w:font>
  <w:font w:name="方正小标宋简体">
    <w:altName w:val="汉仪书宋二KW"/>
    <w:charset w:val="86"/>
    <w:family w:val="script"/>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KaiTi_GB2312">
    <w:altName w:val="汉仪楷体简"/>
    <w:panose1 w:val="02010609060101010101"/>
    <w:charset w:val="86"/>
    <w:family w:val="modern"/>
    <w:pitch w:val="default"/>
    <w:sig w:usb0="00000000" w:usb1="00000000" w:usb2="00000010" w:usb3="00000000" w:csb0="00040000" w:csb1="00000000"/>
  </w:font>
  <w:font w:name="Lucida Sans Unicode">
    <w:altName w:val="苹方-简"/>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LT Std 55">
    <w:altName w:val="苹方-简"/>
    <w:charset w:val="86"/>
    <w:family w:val="swiss"/>
    <w:pitch w:val="default"/>
    <w:sig w:usb0="00000000" w:usb1="00000000" w:usb2="00000010" w:usb3="00000000" w:csb0="00040000" w:csb1="00000000"/>
  </w:font>
  <w:font w:name="·s²Ó©úÅé">
    <w:altName w:val="苹方-简"/>
    <w:charset w:val="88"/>
    <w:family w:val="auto"/>
    <w:pitch w:val="default"/>
    <w:sig w:usb0="00000000" w:usb1="00000000" w:usb2="00000010" w:usb3="00000000" w:csb0="0010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17E78" w14:textId="77777777" w:rsidR="00580E0B" w:rsidRDefault="00000000">
    <w:pPr>
      <w:spacing w:line="200" w:lineRule="exact"/>
      <w:ind w:firstLine="0"/>
      <w:jc w:val="center"/>
    </w:pPr>
    <w:r>
      <w:fldChar w:fldCharType="begin"/>
    </w:r>
    <w:r>
      <w:instrText xml:space="preserve"> PAGE </w:instrText>
    </w:r>
    <w:r w:rsidR="00A179AD">
      <w:fldChar w:fldCharType="separate"/>
    </w:r>
    <w:r w:rsidR="00A179AD">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E6D7D" w14:textId="77777777" w:rsidR="00580E0B" w:rsidRDefault="00000000">
    <w:pPr>
      <w:spacing w:line="200" w:lineRule="exact"/>
      <w:ind w:firstLine="0"/>
      <w:jc w:val="center"/>
    </w:pPr>
    <w:r>
      <w:fldChar w:fldCharType="begin"/>
    </w:r>
    <w:r>
      <w:instrText xml:space="preserve"> PAGE </w:instrTex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A62D6" w14:textId="77777777" w:rsidR="00580E0B" w:rsidRDefault="00000000">
    <w:pPr>
      <w:spacing w:line="200" w:lineRule="exact"/>
      <w:ind w:firstLine="0"/>
      <w:jc w:val="center"/>
    </w:pPr>
    <w:r>
      <w:fldChar w:fldCharType="begin"/>
    </w:r>
    <w:r>
      <w:instrText xml:space="preserve"> PAGE </w:instrTex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FBA17" w14:textId="77777777" w:rsidR="00580E0B" w:rsidRDefault="00000000">
    <w:pPr>
      <w:spacing w:line="200" w:lineRule="exact"/>
      <w:ind w:firstLine="0"/>
      <w:jc w:val="center"/>
    </w:pPr>
    <w:r>
      <w:fldChar w:fldCharType="begin"/>
    </w:r>
    <w:r>
      <w:instrText xml:space="preserve"> PAGE </w:instrTex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AF2EE" w14:textId="77777777" w:rsidR="00580E0B" w:rsidRDefault="00000000">
    <w:pPr>
      <w:spacing w:line="200" w:lineRule="exact"/>
      <w:ind w:firstLine="0"/>
      <w:jc w:val="center"/>
    </w:pPr>
    <w:r>
      <w:fldChar w:fldCharType="begin"/>
    </w:r>
    <w:r>
      <w:instrText xml:space="preserve"> PAGE </w:instrTex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069D5" w14:textId="77777777" w:rsidR="00580E0B" w:rsidRDefault="00000000">
    <w:pPr>
      <w:spacing w:line="200" w:lineRule="exact"/>
      <w:ind w:firstLine="0"/>
      <w:jc w:val="center"/>
    </w:pPr>
    <w:r>
      <w:fldChar w:fldCharType="begin"/>
    </w:r>
    <w:r>
      <w:instrText xml:space="preserve"> PAGE </w:instrTex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FD86A" w14:textId="77777777" w:rsidR="00580E0B" w:rsidRDefault="00000000">
    <w:pPr>
      <w:spacing w:line="200" w:lineRule="exact"/>
      <w:ind w:firstLine="0"/>
      <w:jc w:val="center"/>
    </w:pPr>
    <w:r>
      <w:fldChar w:fldCharType="begin"/>
    </w:r>
    <w:r>
      <w:instrText xml:space="preserve"> PAGE </w:instrText>
    </w:r>
    <w:r w:rsidR="00A179AD">
      <w:fldChar w:fldCharType="separate"/>
    </w:r>
    <w:r w:rsidR="00A179AD">
      <w:rPr>
        <w:noProof/>
      </w:rPr>
      <w:t>3</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47C5" w14:textId="77777777" w:rsidR="00580E0B" w:rsidRDefault="00000000">
    <w:pPr>
      <w:spacing w:line="200" w:lineRule="exact"/>
      <w:ind w:firstLine="0"/>
      <w:jc w:val="center"/>
    </w:pPr>
    <w:r>
      <w:fldChar w:fldCharType="begin"/>
    </w:r>
    <w:r>
      <w:instrText xml:space="preserve"> PAGE </w:instrTex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65D40" w14:textId="77777777" w:rsidR="00580E0B" w:rsidRDefault="00000000">
    <w:pPr>
      <w:spacing w:line="200" w:lineRule="exact"/>
      <w:ind w:firstLine="0"/>
      <w:jc w:val="center"/>
    </w:pPr>
    <w:r>
      <w:fldChar w:fldCharType="begin"/>
    </w:r>
    <w:r>
      <w:instrText xml:space="preserve"> PAGE </w:instrTex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A1C68" w14:textId="26C92211" w:rsidR="00580E0B" w:rsidRDefault="00000000">
    <w:pPr>
      <w:spacing w:line="200" w:lineRule="exact"/>
      <w:ind w:firstLine="0"/>
      <w:jc w:val="center"/>
    </w:pPr>
    <w:r>
      <w:fldChar w:fldCharType="begin"/>
    </w:r>
    <w:r>
      <w:instrText xml:space="preserve"> PAGE </w:instrText>
    </w:r>
    <w:r w:rsidR="00A179AD">
      <w:fldChar w:fldCharType="separate"/>
    </w:r>
    <w:r w:rsidR="00A179AD">
      <w:rPr>
        <w:noProof/>
      </w:rPr>
      <w:t>5</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BF124" w14:textId="77777777" w:rsidR="00580E0B" w:rsidRDefault="00000000">
    <w:pPr>
      <w:spacing w:line="200" w:lineRule="exact"/>
      <w:ind w:firstLine="0"/>
      <w:jc w:val="center"/>
    </w:pPr>
    <w:r>
      <w:fldChar w:fldCharType="begin"/>
    </w:r>
    <w:r>
      <w:instrText xml:space="preserve"> PAGE </w:instrTex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8FE3" w14:textId="04685DD3" w:rsidR="00580E0B" w:rsidRDefault="00000000">
    <w:pPr>
      <w:spacing w:line="200" w:lineRule="exact"/>
      <w:ind w:firstLine="0"/>
      <w:jc w:val="center"/>
    </w:pPr>
    <w:r>
      <w:fldChar w:fldCharType="begin"/>
    </w:r>
    <w:r>
      <w:instrText xml:space="preserve"> PAGE </w:instrText>
    </w:r>
    <w:r w:rsidR="00A179AD">
      <w:fldChar w:fldCharType="separate"/>
    </w:r>
    <w:r w:rsidR="00A179AD">
      <w:rPr>
        <w:noProof/>
      </w:rPr>
      <w:t>7</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35CB7" w14:textId="77777777" w:rsidR="00580E0B" w:rsidRDefault="00000000">
    <w:pPr>
      <w:spacing w:line="200" w:lineRule="exact"/>
      <w:ind w:firstLine="0"/>
      <w:jc w:val="center"/>
    </w:pPr>
    <w:r>
      <w:fldChar w:fldCharType="begin"/>
    </w:r>
    <w:r>
      <w:instrText xml:space="preserve"> PAGE </w:instrTex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6E24D" w14:textId="77777777" w:rsidR="00580E0B" w:rsidRDefault="00000000">
    <w:pPr>
      <w:spacing w:line="200" w:lineRule="exact"/>
      <w:ind w:firstLine="0"/>
      <w:jc w:val="center"/>
    </w:pPr>
    <w:r>
      <w:fldChar w:fldCharType="begin"/>
    </w:r>
    <w:r>
      <w:instrText xml:space="preserve"> PAGE </w:instrTex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35D2E" w14:textId="77777777" w:rsidR="00580E0B" w:rsidRDefault="00000000">
    <w:pPr>
      <w:spacing w:line="200" w:lineRule="exact"/>
      <w:ind w:firstLine="0"/>
      <w:jc w:val="center"/>
    </w:pPr>
    <w:r>
      <w:fldChar w:fldCharType="begin"/>
    </w:r>
    <w:r>
      <w:instrText xml:space="preserve"> PAGE </w:instrTex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A79ED" w14:textId="77777777" w:rsidR="00580E0B" w:rsidRDefault="00000000">
    <w:pPr>
      <w:spacing w:line="200" w:lineRule="exact"/>
      <w:ind w:firstLine="0"/>
      <w:jc w:val="center"/>
    </w:pPr>
    <w:r>
      <w:fldChar w:fldCharType="begin"/>
    </w:r>
    <w:r>
      <w:instrText xml:space="preserve"> PAGE </w:instrTex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41BE4" w14:textId="77777777" w:rsidR="00580E0B" w:rsidRDefault="00000000">
    <w:pPr>
      <w:spacing w:line="200" w:lineRule="exact"/>
      <w:ind w:firstLine="0"/>
      <w:jc w:val="center"/>
    </w:pPr>
    <w:r>
      <w:fldChar w:fldCharType="begin"/>
    </w:r>
    <w:r>
      <w:instrText xml:space="preserve"> PAGE </w:instrTex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A158E" w14:textId="77777777" w:rsidR="00580E0B" w:rsidRDefault="00000000">
    <w:pPr>
      <w:spacing w:line="200" w:lineRule="exact"/>
      <w:ind w:firstLine="0"/>
      <w:jc w:val="center"/>
    </w:pPr>
    <w:r>
      <w:fldChar w:fldCharType="begin"/>
    </w:r>
    <w:r>
      <w:instrText xml:space="preserve"> PAGE </w:instrTex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05283" w14:textId="74814C31" w:rsidR="00580E0B" w:rsidRDefault="00000000">
    <w:pPr>
      <w:spacing w:line="200" w:lineRule="exact"/>
      <w:ind w:firstLine="0"/>
      <w:jc w:val="center"/>
    </w:pPr>
    <w:r>
      <w:fldChar w:fldCharType="begin"/>
    </w:r>
    <w:r>
      <w:instrText xml:space="preserve"> PAGE </w:instrText>
    </w:r>
    <w:r w:rsidR="00A179AD">
      <w:fldChar w:fldCharType="separate"/>
    </w:r>
    <w:r w:rsidR="00A179AD">
      <w:rPr>
        <w:noProof/>
      </w:rPr>
      <w:t>9</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53892" w14:textId="13E9E968" w:rsidR="00580E0B" w:rsidRDefault="00000000">
    <w:pPr>
      <w:spacing w:line="200" w:lineRule="exact"/>
      <w:ind w:firstLine="0"/>
      <w:jc w:val="center"/>
    </w:pPr>
    <w:r>
      <w:fldChar w:fldCharType="begin"/>
    </w:r>
    <w:r>
      <w:instrText xml:space="preserve"> PAGE </w:instrText>
    </w:r>
    <w:r w:rsidR="00C57F4C">
      <w:fldChar w:fldCharType="separate"/>
    </w:r>
    <w:r w:rsidR="00C57F4C">
      <w:rPr>
        <w:noProof/>
      </w:rPr>
      <w:t>9</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6BC02" w14:textId="77777777" w:rsidR="00580E0B" w:rsidRDefault="00000000">
    <w:pPr>
      <w:spacing w:line="200" w:lineRule="exact"/>
      <w:ind w:firstLine="0"/>
      <w:jc w:val="center"/>
    </w:pPr>
    <w:r>
      <w:fldChar w:fldCharType="begin"/>
    </w:r>
    <w:r>
      <w:instrText xml:space="preserve"> PAGE </w:instrTex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305FF" w14:textId="77777777" w:rsidR="00580E0B" w:rsidRDefault="00000000">
    <w:pPr>
      <w:spacing w:line="200" w:lineRule="exact"/>
      <w:ind w:firstLine="0"/>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488C8" w14:textId="77777777" w:rsidR="00D84DFB" w:rsidRDefault="00D84DFB">
      <w:r>
        <w:separator/>
      </w:r>
    </w:p>
  </w:footnote>
  <w:footnote w:type="continuationSeparator" w:id="0">
    <w:p w14:paraId="790157A1" w14:textId="77777777" w:rsidR="00D84DFB" w:rsidRDefault="00D84D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A8DE9" w14:textId="77777777" w:rsidR="00580E0B" w:rsidRDefault="00000000">
    <w:pPr>
      <w:spacing w:line="200" w:lineRule="exact"/>
      <w:ind w:firstLine="0"/>
      <w:jc w:val="center"/>
    </w:pPr>
    <w:r>
      <w:rPr>
        <w:rFonts w:eastAsia="宋体"/>
        <w:sz w:val="18"/>
      </w:rPr>
      <w:t>计算机科学与探索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BE54F" w14:textId="77777777" w:rsidR="00580E0B" w:rsidRDefault="00000000">
    <w:pPr>
      <w:spacing w:line="200" w:lineRule="exact"/>
      <w:ind w:firstLine="0"/>
      <w:jc w:val="center"/>
    </w:pPr>
    <w:r>
      <w:rPr>
        <w:rFonts w:eastAsia="宋体"/>
        <w:sz w:val="18"/>
      </w:rPr>
      <w:t>计算机科学与探索</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70923" w14:textId="77777777" w:rsidR="00580E0B" w:rsidRDefault="00000000">
    <w:pPr>
      <w:spacing w:line="200" w:lineRule="exact"/>
      <w:ind w:firstLine="0"/>
      <w:jc w:val="center"/>
    </w:pPr>
    <w:r>
      <w:rPr>
        <w:rFonts w:eastAsia="宋体"/>
        <w:sz w:val="18"/>
      </w:rPr>
      <w:t>计算机科学与探索</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10085" w14:textId="77777777" w:rsidR="00580E0B" w:rsidRDefault="00000000">
    <w:pPr>
      <w:spacing w:line="200" w:lineRule="exact"/>
      <w:ind w:firstLine="0"/>
      <w:jc w:val="center"/>
    </w:pPr>
    <w:r>
      <w:rPr>
        <w:rFonts w:eastAsia="宋体"/>
        <w:sz w:val="18"/>
      </w:rPr>
      <w:t>计算机科学与探索</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83FA" w14:textId="77777777" w:rsidR="00580E0B" w:rsidRDefault="00000000">
    <w:pPr>
      <w:spacing w:line="200" w:lineRule="exact"/>
      <w:ind w:firstLine="0"/>
      <w:jc w:val="center"/>
    </w:pPr>
    <w:r>
      <w:rPr>
        <w:rFonts w:eastAsia="宋体"/>
        <w:sz w:val="18"/>
      </w:rPr>
      <w:t>计算机科学与探索</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7D112" w14:textId="77777777" w:rsidR="00580E0B" w:rsidRDefault="00000000">
    <w:pPr>
      <w:spacing w:line="200" w:lineRule="exact"/>
      <w:ind w:firstLine="0"/>
      <w:jc w:val="center"/>
    </w:pPr>
    <w:r>
      <w:rPr>
        <w:rFonts w:eastAsia="宋体"/>
        <w:sz w:val="18"/>
      </w:rPr>
      <w:t>计算机科学与探索</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51C06" w14:textId="77777777" w:rsidR="00580E0B" w:rsidRDefault="00000000">
    <w:pPr>
      <w:spacing w:line="200" w:lineRule="exact"/>
      <w:ind w:firstLine="0"/>
      <w:jc w:val="center"/>
    </w:pPr>
    <w:r>
      <w:rPr>
        <w:rFonts w:eastAsia="宋体"/>
        <w:sz w:val="18"/>
      </w:rPr>
      <w:t>计算机科学与探索</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EB09F" w14:textId="77777777" w:rsidR="00580E0B" w:rsidRDefault="00000000">
    <w:pPr>
      <w:spacing w:line="200" w:lineRule="exact"/>
      <w:ind w:firstLine="0"/>
      <w:jc w:val="center"/>
    </w:pPr>
    <w:r>
      <w:rPr>
        <w:rFonts w:eastAsia="宋体"/>
        <w:sz w:val="18"/>
      </w:rPr>
      <w:t>计算机科学与探索</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FBE55" w14:textId="77777777" w:rsidR="00580E0B" w:rsidRDefault="00000000">
    <w:pPr>
      <w:spacing w:line="200" w:lineRule="exact"/>
      <w:ind w:firstLine="0"/>
      <w:jc w:val="center"/>
    </w:pPr>
    <w:r>
      <w:rPr>
        <w:rFonts w:eastAsia="宋体"/>
        <w:sz w:val="18"/>
      </w:rPr>
      <w:t>计算机科学与探索</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BB968" w14:textId="77777777" w:rsidR="00580E0B" w:rsidRDefault="00000000">
    <w:pPr>
      <w:spacing w:line="200" w:lineRule="exact"/>
      <w:ind w:firstLine="0"/>
      <w:jc w:val="center"/>
    </w:pPr>
    <w:r>
      <w:rPr>
        <w:rFonts w:eastAsia="宋体"/>
        <w:sz w:val="18"/>
      </w:rPr>
      <w:t>计算机科学与探索</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27631" w14:textId="77777777" w:rsidR="00580E0B" w:rsidRDefault="00000000">
    <w:pPr>
      <w:spacing w:line="200" w:lineRule="exact"/>
      <w:ind w:firstLine="0"/>
      <w:jc w:val="center"/>
    </w:pPr>
    <w:r>
      <w:rPr>
        <w:rFonts w:eastAsia="宋体"/>
        <w:sz w:val="18"/>
      </w:rPr>
      <w:t>计算机科学与探索</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C4D4" w14:textId="77777777" w:rsidR="00580E0B" w:rsidRDefault="00000000">
    <w:pPr>
      <w:spacing w:line="200" w:lineRule="exact"/>
      <w:ind w:firstLine="0"/>
      <w:jc w:val="center"/>
    </w:pPr>
    <w:r>
      <w:rPr>
        <w:rFonts w:eastAsia="宋体"/>
        <w:sz w:val="18"/>
      </w:rPr>
      <w:t>计算机科学与探索</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A7B9D" w14:textId="77777777" w:rsidR="00580E0B" w:rsidRDefault="00000000">
    <w:pPr>
      <w:spacing w:line="200" w:lineRule="exact"/>
      <w:ind w:firstLine="0"/>
      <w:jc w:val="center"/>
    </w:pPr>
    <w:r>
      <w:rPr>
        <w:rFonts w:eastAsia="宋体"/>
        <w:sz w:val="18"/>
      </w:rPr>
      <w:t>计算机科学与探索</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BDE58" w14:textId="77777777" w:rsidR="00580E0B" w:rsidRDefault="00000000">
    <w:pPr>
      <w:spacing w:line="200" w:lineRule="exact"/>
      <w:ind w:firstLine="0"/>
      <w:jc w:val="center"/>
    </w:pPr>
    <w:r>
      <w:rPr>
        <w:rFonts w:eastAsia="宋体"/>
        <w:sz w:val="18"/>
      </w:rPr>
      <w:t>计算机科学与探索</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45CDE" w14:textId="77777777" w:rsidR="00580E0B" w:rsidRDefault="00000000">
    <w:pPr>
      <w:spacing w:line="200" w:lineRule="exact"/>
      <w:ind w:firstLine="0"/>
      <w:jc w:val="center"/>
    </w:pPr>
    <w:r>
      <w:rPr>
        <w:rFonts w:eastAsia="宋体"/>
        <w:sz w:val="18"/>
      </w:rPr>
      <w:t>计算机科学与探索</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171F2" w14:textId="77777777" w:rsidR="00580E0B" w:rsidRDefault="00000000">
    <w:pPr>
      <w:spacing w:line="200" w:lineRule="exact"/>
      <w:ind w:firstLine="0"/>
      <w:jc w:val="center"/>
    </w:pPr>
    <w:r>
      <w:rPr>
        <w:rFonts w:eastAsia="宋体"/>
        <w:sz w:val="18"/>
      </w:rPr>
      <w:t>计算机科学与探索</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27C0A" w14:textId="77777777" w:rsidR="00580E0B" w:rsidRDefault="00000000">
    <w:pPr>
      <w:spacing w:line="200" w:lineRule="exact"/>
      <w:ind w:firstLine="0"/>
      <w:jc w:val="center"/>
    </w:pPr>
    <w:r>
      <w:rPr>
        <w:rFonts w:eastAsia="宋体"/>
        <w:sz w:val="18"/>
      </w:rPr>
      <w:t>计算机科学与探索</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86ED5" w14:textId="77777777" w:rsidR="00580E0B" w:rsidRDefault="00000000">
    <w:pPr>
      <w:spacing w:line="200" w:lineRule="exact"/>
      <w:ind w:firstLine="0"/>
      <w:jc w:val="center"/>
    </w:pPr>
    <w:r>
      <w:rPr>
        <w:rFonts w:eastAsia="宋体"/>
        <w:sz w:val="18"/>
      </w:rPr>
      <w:t>计算机科学与探索</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39E1C" w14:textId="77777777" w:rsidR="00580E0B" w:rsidRDefault="00000000">
    <w:pPr>
      <w:spacing w:line="200" w:lineRule="exact"/>
      <w:ind w:firstLine="0"/>
      <w:jc w:val="center"/>
    </w:pPr>
    <w:r>
      <w:rPr>
        <w:rFonts w:eastAsia="宋体"/>
        <w:sz w:val="18"/>
      </w:rPr>
      <w:t>计算机科学与探索</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EB7C7" w14:textId="77777777" w:rsidR="00580E0B" w:rsidRDefault="00000000">
    <w:pPr>
      <w:spacing w:line="200" w:lineRule="exact"/>
      <w:ind w:firstLine="0"/>
      <w:jc w:val="center"/>
    </w:pPr>
    <w:r>
      <w:rPr>
        <w:rFonts w:eastAsia="宋体"/>
        <w:sz w:val="18"/>
      </w:rPr>
      <w:t>计算机科学与探索</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24434" w14:textId="77777777" w:rsidR="00580E0B" w:rsidRDefault="00000000">
    <w:pPr>
      <w:spacing w:line="200" w:lineRule="exact"/>
      <w:ind w:firstLine="0"/>
      <w:jc w:val="center"/>
    </w:pPr>
    <w:r>
      <w:rPr>
        <w:rFonts w:eastAsia="宋体"/>
        <w:sz w:val="18"/>
      </w:rPr>
      <w:t>计算机科学与探索</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0F008" w14:textId="77777777" w:rsidR="00580E0B" w:rsidRDefault="00000000">
    <w:pPr>
      <w:spacing w:line="200" w:lineRule="exact"/>
      <w:ind w:firstLine="0"/>
      <w:jc w:val="center"/>
    </w:pPr>
    <w:r>
      <w:rPr>
        <w:rFonts w:eastAsia="宋体"/>
        <w:sz w:val="18"/>
      </w:rPr>
      <w:t>计算机科学与探索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B0F7A"/>
    <w:multiLevelType w:val="multilevel"/>
    <w:tmpl w:val="664B0F7A"/>
    <w:lvl w:ilvl="0">
      <w:start w:val="1"/>
      <w:numFmt w:val="decimal"/>
      <w:pStyle w:val="a"/>
      <w:lvlText w:val="[%1]"/>
      <w:lvlJc w:val="right"/>
      <w:pPr>
        <w:tabs>
          <w:tab w:val="left" w:pos="397"/>
        </w:tabs>
        <w:ind w:left="397" w:hanging="113"/>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77A67DC1"/>
    <w:multiLevelType w:val="multilevel"/>
    <w:tmpl w:val="77A67DC1"/>
    <w:lvl w:ilvl="0">
      <w:start w:val="1"/>
      <w:numFmt w:val="decimal"/>
      <w:lvlText w:val="(%1)"/>
      <w:lvlJc w:val="left"/>
      <w:pPr>
        <w:tabs>
          <w:tab w:val="left" w:pos="420"/>
        </w:tabs>
        <w:ind w:left="420" w:hanging="420"/>
      </w:pPr>
      <w:rPr>
        <w:rFonts w:hint="eastAsia"/>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304749445">
    <w:abstractNumId w:val="0"/>
  </w:num>
  <w:num w:numId="2" w16cid:durableId="552623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autoHyphenation/>
  <w:hyphenationZone w:val="357"/>
  <w:doNotHyphenateCaps/>
  <w:evenAndOddHeaders/>
  <w:drawingGridHorizontalSpacing w:val="112"/>
  <w:drawingGridVerticalSpacing w:val="299"/>
  <w:displayHorizontalDrawingGridEvery w:val="0"/>
  <w:doNotShadeFormData/>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U1N2EzZmI0M2VhY2ZhMDRmMDZmODU0Y2Q2NDUwMWUifQ=="/>
  </w:docVars>
  <w:rsids>
    <w:rsidRoot w:val="00DD7751"/>
    <w:rsid w:val="00005CFD"/>
    <w:rsid w:val="00011807"/>
    <w:rsid w:val="00030EC8"/>
    <w:rsid w:val="00062942"/>
    <w:rsid w:val="00065AF5"/>
    <w:rsid w:val="00092FDB"/>
    <w:rsid w:val="000A7933"/>
    <w:rsid w:val="000B33B2"/>
    <w:rsid w:val="000E4AB0"/>
    <w:rsid w:val="000F47BB"/>
    <w:rsid w:val="00102E71"/>
    <w:rsid w:val="00104933"/>
    <w:rsid w:val="00124A00"/>
    <w:rsid w:val="00125ECE"/>
    <w:rsid w:val="00126DFB"/>
    <w:rsid w:val="00127C36"/>
    <w:rsid w:val="001325E7"/>
    <w:rsid w:val="0013393F"/>
    <w:rsid w:val="00140C1F"/>
    <w:rsid w:val="00171B26"/>
    <w:rsid w:val="00175948"/>
    <w:rsid w:val="001823F5"/>
    <w:rsid w:val="00187620"/>
    <w:rsid w:val="001A3230"/>
    <w:rsid w:val="001D1514"/>
    <w:rsid w:val="001E2B0D"/>
    <w:rsid w:val="001E7A55"/>
    <w:rsid w:val="002046FE"/>
    <w:rsid w:val="00207568"/>
    <w:rsid w:val="00262D7B"/>
    <w:rsid w:val="00274B15"/>
    <w:rsid w:val="00281282"/>
    <w:rsid w:val="00285662"/>
    <w:rsid w:val="002909D7"/>
    <w:rsid w:val="002929B9"/>
    <w:rsid w:val="002A5AAF"/>
    <w:rsid w:val="002A6809"/>
    <w:rsid w:val="002B05AD"/>
    <w:rsid w:val="002F1962"/>
    <w:rsid w:val="00311726"/>
    <w:rsid w:val="00316198"/>
    <w:rsid w:val="00321B34"/>
    <w:rsid w:val="00325FE7"/>
    <w:rsid w:val="0034661D"/>
    <w:rsid w:val="00363096"/>
    <w:rsid w:val="0037513A"/>
    <w:rsid w:val="00391529"/>
    <w:rsid w:val="003A3B03"/>
    <w:rsid w:val="003A7A49"/>
    <w:rsid w:val="003B2B4A"/>
    <w:rsid w:val="003C0413"/>
    <w:rsid w:val="003D283B"/>
    <w:rsid w:val="003F4D96"/>
    <w:rsid w:val="00410857"/>
    <w:rsid w:val="00425EF8"/>
    <w:rsid w:val="00427D2F"/>
    <w:rsid w:val="00430C21"/>
    <w:rsid w:val="00443352"/>
    <w:rsid w:val="004517D9"/>
    <w:rsid w:val="004712CA"/>
    <w:rsid w:val="00471CCD"/>
    <w:rsid w:val="004734DC"/>
    <w:rsid w:val="00492674"/>
    <w:rsid w:val="00496EA3"/>
    <w:rsid w:val="004A3F07"/>
    <w:rsid w:val="004A5E16"/>
    <w:rsid w:val="004D0745"/>
    <w:rsid w:val="004E3926"/>
    <w:rsid w:val="005020CC"/>
    <w:rsid w:val="00504539"/>
    <w:rsid w:val="00512470"/>
    <w:rsid w:val="00521C56"/>
    <w:rsid w:val="00541BE8"/>
    <w:rsid w:val="00561FB4"/>
    <w:rsid w:val="005656AE"/>
    <w:rsid w:val="00580E0B"/>
    <w:rsid w:val="0058691B"/>
    <w:rsid w:val="00593843"/>
    <w:rsid w:val="005A4FC7"/>
    <w:rsid w:val="005A5381"/>
    <w:rsid w:val="005B36C3"/>
    <w:rsid w:val="005D527B"/>
    <w:rsid w:val="005E0C60"/>
    <w:rsid w:val="005E5E46"/>
    <w:rsid w:val="005F3271"/>
    <w:rsid w:val="0061442D"/>
    <w:rsid w:val="0061493A"/>
    <w:rsid w:val="00627866"/>
    <w:rsid w:val="00630FC2"/>
    <w:rsid w:val="00646934"/>
    <w:rsid w:val="00647BF1"/>
    <w:rsid w:val="00672075"/>
    <w:rsid w:val="00682CEF"/>
    <w:rsid w:val="00687DD2"/>
    <w:rsid w:val="00692B1C"/>
    <w:rsid w:val="0069568D"/>
    <w:rsid w:val="0069734B"/>
    <w:rsid w:val="006A2B22"/>
    <w:rsid w:val="006B0F74"/>
    <w:rsid w:val="006B76C8"/>
    <w:rsid w:val="006C0A28"/>
    <w:rsid w:val="006C5969"/>
    <w:rsid w:val="006E5593"/>
    <w:rsid w:val="006E660F"/>
    <w:rsid w:val="006F0041"/>
    <w:rsid w:val="006F0A71"/>
    <w:rsid w:val="006F24B8"/>
    <w:rsid w:val="006F38E5"/>
    <w:rsid w:val="007007E1"/>
    <w:rsid w:val="00706FC3"/>
    <w:rsid w:val="00710883"/>
    <w:rsid w:val="0071098E"/>
    <w:rsid w:val="007165B6"/>
    <w:rsid w:val="00717396"/>
    <w:rsid w:val="00720303"/>
    <w:rsid w:val="007301C6"/>
    <w:rsid w:val="00737C66"/>
    <w:rsid w:val="00742E57"/>
    <w:rsid w:val="00752567"/>
    <w:rsid w:val="007852FB"/>
    <w:rsid w:val="00795AD4"/>
    <w:rsid w:val="007A57FD"/>
    <w:rsid w:val="007D3B77"/>
    <w:rsid w:val="007F243C"/>
    <w:rsid w:val="007F5FD4"/>
    <w:rsid w:val="00807051"/>
    <w:rsid w:val="00811E54"/>
    <w:rsid w:val="00821102"/>
    <w:rsid w:val="00836F37"/>
    <w:rsid w:val="008415B3"/>
    <w:rsid w:val="0084726E"/>
    <w:rsid w:val="00852397"/>
    <w:rsid w:val="00855A85"/>
    <w:rsid w:val="008717C2"/>
    <w:rsid w:val="00880E03"/>
    <w:rsid w:val="008A101C"/>
    <w:rsid w:val="008A33BB"/>
    <w:rsid w:val="008A618D"/>
    <w:rsid w:val="008B5EE6"/>
    <w:rsid w:val="008C48D2"/>
    <w:rsid w:val="008E29E7"/>
    <w:rsid w:val="008E311A"/>
    <w:rsid w:val="008F3E45"/>
    <w:rsid w:val="009129E6"/>
    <w:rsid w:val="00927BA4"/>
    <w:rsid w:val="00930393"/>
    <w:rsid w:val="0094671C"/>
    <w:rsid w:val="0095163F"/>
    <w:rsid w:val="00953B6D"/>
    <w:rsid w:val="00954AA2"/>
    <w:rsid w:val="00957851"/>
    <w:rsid w:val="009601A2"/>
    <w:rsid w:val="009603F3"/>
    <w:rsid w:val="00971BF5"/>
    <w:rsid w:val="009C00A6"/>
    <w:rsid w:val="009C219A"/>
    <w:rsid w:val="009C3A4D"/>
    <w:rsid w:val="009D1581"/>
    <w:rsid w:val="009D173E"/>
    <w:rsid w:val="009E12B4"/>
    <w:rsid w:val="009F1E94"/>
    <w:rsid w:val="00A1228C"/>
    <w:rsid w:val="00A179AD"/>
    <w:rsid w:val="00A22196"/>
    <w:rsid w:val="00A32381"/>
    <w:rsid w:val="00A528BC"/>
    <w:rsid w:val="00A5456A"/>
    <w:rsid w:val="00A704A8"/>
    <w:rsid w:val="00A81F18"/>
    <w:rsid w:val="00A844BF"/>
    <w:rsid w:val="00AC548C"/>
    <w:rsid w:val="00AD7D5F"/>
    <w:rsid w:val="00AF7E14"/>
    <w:rsid w:val="00B0017D"/>
    <w:rsid w:val="00B02A2B"/>
    <w:rsid w:val="00B30964"/>
    <w:rsid w:val="00B3126B"/>
    <w:rsid w:val="00B46DC9"/>
    <w:rsid w:val="00B47A48"/>
    <w:rsid w:val="00B50E6B"/>
    <w:rsid w:val="00B534DA"/>
    <w:rsid w:val="00B579CE"/>
    <w:rsid w:val="00B61B28"/>
    <w:rsid w:val="00B66F58"/>
    <w:rsid w:val="00B77187"/>
    <w:rsid w:val="00B877FB"/>
    <w:rsid w:val="00BA5026"/>
    <w:rsid w:val="00BB289C"/>
    <w:rsid w:val="00BB53E8"/>
    <w:rsid w:val="00BE1306"/>
    <w:rsid w:val="00C132F9"/>
    <w:rsid w:val="00C31B06"/>
    <w:rsid w:val="00C36DE8"/>
    <w:rsid w:val="00C51506"/>
    <w:rsid w:val="00C53E3B"/>
    <w:rsid w:val="00C55DE3"/>
    <w:rsid w:val="00C57F4C"/>
    <w:rsid w:val="00C72274"/>
    <w:rsid w:val="00C80585"/>
    <w:rsid w:val="00CA6AF4"/>
    <w:rsid w:val="00CA7590"/>
    <w:rsid w:val="00CB44BA"/>
    <w:rsid w:val="00CB7F98"/>
    <w:rsid w:val="00CC26FE"/>
    <w:rsid w:val="00CC7279"/>
    <w:rsid w:val="00CD0EAC"/>
    <w:rsid w:val="00CD3C10"/>
    <w:rsid w:val="00D075AE"/>
    <w:rsid w:val="00D36EB5"/>
    <w:rsid w:val="00D437E0"/>
    <w:rsid w:val="00D64354"/>
    <w:rsid w:val="00D84DFB"/>
    <w:rsid w:val="00DA2D6C"/>
    <w:rsid w:val="00DB19E1"/>
    <w:rsid w:val="00DC3E70"/>
    <w:rsid w:val="00DD2F86"/>
    <w:rsid w:val="00DD7751"/>
    <w:rsid w:val="00DE6BF6"/>
    <w:rsid w:val="00DF2B27"/>
    <w:rsid w:val="00E0715C"/>
    <w:rsid w:val="00E44206"/>
    <w:rsid w:val="00E4780A"/>
    <w:rsid w:val="00E5183C"/>
    <w:rsid w:val="00E52E8E"/>
    <w:rsid w:val="00E55C67"/>
    <w:rsid w:val="00E7519C"/>
    <w:rsid w:val="00E80626"/>
    <w:rsid w:val="00E81A59"/>
    <w:rsid w:val="00E853A2"/>
    <w:rsid w:val="00EB266D"/>
    <w:rsid w:val="00EC32C7"/>
    <w:rsid w:val="00EC4832"/>
    <w:rsid w:val="00EC7F09"/>
    <w:rsid w:val="00EE3BFC"/>
    <w:rsid w:val="00EF4CA9"/>
    <w:rsid w:val="00F07032"/>
    <w:rsid w:val="00F12ECA"/>
    <w:rsid w:val="00F13829"/>
    <w:rsid w:val="00F2476D"/>
    <w:rsid w:val="00F80FA6"/>
    <w:rsid w:val="00FA0D8D"/>
    <w:rsid w:val="00FB04E1"/>
    <w:rsid w:val="00FB2D25"/>
    <w:rsid w:val="00FC5A98"/>
    <w:rsid w:val="00FD7C86"/>
    <w:rsid w:val="00FE3965"/>
    <w:rsid w:val="155760AC"/>
    <w:rsid w:val="69915C8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8B80E98"/>
  <w15:docId w15:val="{0F4ECAD9-E48D-4D56-B78E-AD7A2959F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uiPriority="99" w:qFormat="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FangSong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qFormat/>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qFormat/>
    <w:pPr>
      <w:tabs>
        <w:tab w:val="center" w:pos="4153"/>
        <w:tab w:val="right" w:pos="8306"/>
      </w:tabs>
      <w:jc w:val="left"/>
    </w:pPr>
    <w:rPr>
      <w:sz w:val="18"/>
      <w:szCs w:val="18"/>
    </w:rPr>
  </w:style>
  <w:style w:type="paragraph" w:styleId="ad">
    <w:name w:val="header"/>
    <w:basedOn w:val="a0"/>
    <w:link w:val="ae"/>
    <w:qFormat/>
    <w:pPr>
      <w:tabs>
        <w:tab w:val="center" w:pos="4153"/>
        <w:tab w:val="right" w:pos="8306"/>
      </w:tabs>
      <w:jc w:val="center"/>
    </w:pPr>
    <w:rPr>
      <w:snapToGrid/>
      <w:sz w:val="18"/>
      <w:szCs w:val="18"/>
    </w:rPr>
  </w:style>
  <w:style w:type="paragraph" w:styleId="af">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0">
    <w:name w:val="footnote text"/>
    <w:basedOn w:val="a0"/>
    <w:uiPriority w:val="99"/>
    <w:qFormat/>
    <w:pPr>
      <w:jc w:val="left"/>
    </w:pPr>
    <w:rPr>
      <w:sz w:val="18"/>
      <w:szCs w:val="18"/>
    </w:rPr>
  </w:style>
  <w:style w:type="paragraph" w:styleId="af1">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2">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3">
    <w:name w:val="annotation subject"/>
    <w:basedOn w:val="a7"/>
    <w:next w:val="a7"/>
    <w:semiHidden/>
    <w:qFormat/>
    <w:rPr>
      <w:b/>
      <w:bCs/>
    </w:rPr>
  </w:style>
  <w:style w:type="table" w:styleId="af4">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Simple 1"/>
    <w:basedOn w:val="a2"/>
    <w:qFormat/>
    <w:pPr>
      <w:widowControl w:val="0"/>
      <w:snapToGrid w:val="0"/>
      <w:spacing w:line="264" w:lineRule="auto"/>
      <w:ind w:firstLine="51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character" w:styleId="af5">
    <w:name w:val="Strong"/>
    <w:qFormat/>
    <w:rPr>
      <w:b/>
      <w:bCs/>
    </w:rPr>
  </w:style>
  <w:style w:type="character" w:styleId="af6">
    <w:name w:val="page number"/>
    <w:basedOn w:val="a1"/>
    <w:qFormat/>
  </w:style>
  <w:style w:type="character" w:styleId="af7">
    <w:name w:val="FollowedHyperlink"/>
    <w:rPr>
      <w:color w:val="800080"/>
      <w:u w:val="single"/>
    </w:rPr>
  </w:style>
  <w:style w:type="character" w:styleId="af8">
    <w:name w:val="Emphasis"/>
    <w:qFormat/>
    <w:rPr>
      <w:i/>
      <w:iCs/>
    </w:rPr>
  </w:style>
  <w:style w:type="character" w:styleId="HTML">
    <w:name w:val="HTML Typewriter"/>
    <w:qFormat/>
    <w:rPr>
      <w:rFonts w:ascii="宋体" w:eastAsia="宋体" w:hAnsi="宋体" w:cs="宋体"/>
      <w:sz w:val="24"/>
      <w:szCs w:val="24"/>
    </w:rPr>
  </w:style>
  <w:style w:type="character" w:styleId="af9">
    <w:name w:val="Hyperlink"/>
    <w:rPr>
      <w:color w:val="0000FF"/>
      <w:u w:val="single"/>
    </w:rPr>
  </w:style>
  <w:style w:type="character" w:styleId="afa">
    <w:name w:val="annotation reference"/>
    <w:semiHidden/>
    <w:qFormat/>
    <w:rPr>
      <w:sz w:val="21"/>
      <w:szCs w:val="21"/>
    </w:rPr>
  </w:style>
  <w:style w:type="character" w:styleId="afb">
    <w:name w:val="footnote reference"/>
    <w:semiHidden/>
    <w:qFormat/>
    <w:rPr>
      <w:vertAlign w:val="superscript"/>
    </w:rPr>
  </w:style>
  <w:style w:type="paragraph" w:customStyle="1" w:styleId="11">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pPr>
      <w:spacing w:line="280" w:lineRule="exact"/>
      <w:ind w:left="227" w:hanging="227"/>
    </w:pPr>
    <w:rPr>
      <w:spacing w:val="0"/>
      <w:sz w:val="21"/>
      <w:szCs w:val="18"/>
    </w:rPr>
  </w:style>
  <w:style w:type="paragraph" w:customStyle="1" w:styleId="40">
    <w:name w:val="样式4"/>
    <w:basedOn w:val="a0"/>
    <w:pPr>
      <w:spacing w:before="200" w:after="80" w:line="336" w:lineRule="auto"/>
      <w:ind w:firstLine="0"/>
    </w:pPr>
    <w:rPr>
      <w:spacing w:val="0"/>
      <w:sz w:val="21"/>
      <w:szCs w:val="18"/>
    </w:rPr>
  </w:style>
  <w:style w:type="character" w:customStyle="1" w:styleId="javascript">
    <w:name w:val="javascript"/>
    <w:basedOn w:val="a1"/>
  </w:style>
  <w:style w:type="paragraph" w:customStyle="1" w:styleId="100">
    <w:name w:val="标题10"/>
    <w:basedOn w:val="a0"/>
    <w:pPr>
      <w:spacing w:before="80" w:after="80"/>
    </w:pPr>
    <w:rPr>
      <w:rFonts w:eastAsia="KaiTi_GB2312"/>
      <w:color w:val="000000"/>
      <w:spacing w:val="10"/>
      <w:szCs w:val="21"/>
    </w:rPr>
  </w:style>
  <w:style w:type="paragraph" w:customStyle="1" w:styleId="a">
    <w:name w:val="参考文献"/>
    <w:basedOn w:val="a0"/>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pPr>
      <w:widowControl w:val="0"/>
      <w:autoSpaceDE w:val="0"/>
      <w:autoSpaceDN w:val="0"/>
      <w:adjustRightInd w:val="0"/>
    </w:pPr>
    <w:rPr>
      <w:color w:val="000000"/>
      <w:sz w:val="24"/>
      <w:szCs w:val="24"/>
    </w:rPr>
  </w:style>
  <w:style w:type="character" w:customStyle="1" w:styleId="wbr1">
    <w:name w:val="wbr1"/>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c">
    <w:name w:val="毕业论文正文"/>
    <w:basedOn w:val="a0"/>
    <w:pPr>
      <w:snapToGrid/>
      <w:spacing w:line="360" w:lineRule="exact"/>
      <w:ind w:firstLineChars="200" w:firstLine="200"/>
    </w:pPr>
    <w:rPr>
      <w:rFonts w:eastAsia="宋体"/>
      <w:snapToGrid/>
      <w:spacing w:val="0"/>
      <w:sz w:val="21"/>
      <w:szCs w:val="21"/>
    </w:rPr>
  </w:style>
  <w:style w:type="paragraph" w:customStyle="1" w:styleId="afd">
    <w:name w:val="毕业论文图名表头"/>
    <w:basedOn w:val="a0"/>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e">
    <w:name w:val="a"/>
    <w:basedOn w:val="a1"/>
    <w:qFormat/>
  </w:style>
  <w:style w:type="character" w:customStyle="1" w:styleId="aff1">
    <w:name w:val="aff1"/>
    <w:rPr>
      <w:rFonts w:ascii="Verdana" w:hAnsi="Verdana" w:hint="default"/>
      <w:color w:val="000000"/>
      <w:sz w:val="15"/>
      <w:szCs w:val="15"/>
    </w:rPr>
  </w:style>
  <w:style w:type="character" w:customStyle="1" w:styleId="itemfirstlastodd">
    <w:name w:val="item first last odd"/>
    <w:basedOn w:val="a1"/>
    <w:qFormat/>
  </w:style>
  <w:style w:type="character" w:customStyle="1" w:styleId="2Char">
    <w:name w:val="标题 2 Char"/>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rPr>
      <w:kern w:val="2"/>
      <w:sz w:val="18"/>
      <w:szCs w:val="18"/>
    </w:rPr>
  </w:style>
  <w:style w:type="character" w:customStyle="1" w:styleId="3Char">
    <w:name w:val="标题 3 Char"/>
    <w:rPr>
      <w:rFonts w:ascii="宋体" w:eastAsia="FangSong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rPr>
      <w:kern w:val="2"/>
      <w:sz w:val="21"/>
      <w:szCs w:val="24"/>
    </w:rPr>
  </w:style>
  <w:style w:type="character" w:customStyle="1" w:styleId="Char5">
    <w:name w:val="批注框文本 Char"/>
    <w:rPr>
      <w:kern w:val="2"/>
      <w:sz w:val="18"/>
      <w:szCs w:val="18"/>
    </w:rPr>
  </w:style>
  <w:style w:type="character" w:customStyle="1" w:styleId="s1magstyle5magstyle8">
    <w:name w:val="s1 mag_style5  mag_style8"/>
    <w:basedOn w:val="a1"/>
  </w:style>
  <w:style w:type="character" w:customStyle="1" w:styleId="s5magstyle5">
    <w:name w:val="s5 mag_style5"/>
    <w:basedOn w:val="a1"/>
    <w:qFormat/>
  </w:style>
  <w:style w:type="character" w:customStyle="1" w:styleId="doi13">
    <w:name w:val="doi13"/>
    <w:basedOn w:val="a1"/>
  </w:style>
  <w:style w:type="paragraph" w:styleId="aff">
    <w:name w:val="No Spacing"/>
    <w:qFormat/>
    <w:pPr>
      <w:widowControl w:val="0"/>
      <w:jc w:val="both"/>
    </w:pPr>
    <w:rPr>
      <w:rFonts w:ascii="Calibri" w:hAnsi="Calibri"/>
      <w:kern w:val="2"/>
      <w:sz w:val="21"/>
      <w:szCs w:val="22"/>
    </w:rPr>
  </w:style>
  <w:style w:type="paragraph" w:styleId="aff0">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rPr>
      <w:rFonts w:ascii="宋体" w:eastAsia="宋体" w:hAnsi="宋体" w:cs="宋体"/>
      <w:b/>
      <w:bCs/>
      <w:kern w:val="36"/>
      <w:sz w:val="48"/>
      <w:szCs w:val="48"/>
    </w:rPr>
  </w:style>
  <w:style w:type="character" w:customStyle="1" w:styleId="journal8">
    <w:name w:val="journal8"/>
    <w:rPr>
      <w:i/>
      <w:iCs/>
    </w:rPr>
  </w:style>
  <w:style w:type="character" w:customStyle="1" w:styleId="jnumber1">
    <w:name w:val="jnumber1"/>
    <w:rPr>
      <w:b/>
      <w:bCs/>
    </w:rPr>
  </w:style>
  <w:style w:type="character" w:customStyle="1" w:styleId="atl">
    <w:name w:val="atl"/>
    <w:basedOn w:val="a1"/>
  </w:style>
  <w:style w:type="character" w:customStyle="1" w:styleId="jtl">
    <w:name w:val="jtl"/>
    <w:basedOn w:val="a1"/>
  </w:style>
  <w:style w:type="character" w:customStyle="1" w:styleId="vid">
    <w:name w:val="vid"/>
    <w:basedOn w:val="a1"/>
  </w:style>
  <w:style w:type="character" w:customStyle="1" w:styleId="cite-month-year">
    <w:name w:val="cite-month-year"/>
    <w:basedOn w:val="a1"/>
    <w:qFormat/>
  </w:style>
  <w:style w:type="character" w:customStyle="1" w:styleId="atl3">
    <w:name w:val="atl3"/>
    <w:basedOn w:val="a1"/>
  </w:style>
  <w:style w:type="character" w:customStyle="1" w:styleId="jtl1">
    <w:name w:val="jtl1"/>
    <w:rPr>
      <w:i/>
      <w:iCs/>
    </w:rPr>
  </w:style>
  <w:style w:type="character" w:customStyle="1" w:styleId="vid1">
    <w:name w:val="vid1"/>
    <w:qFormat/>
    <w:rPr>
      <w:b/>
      <w:bCs/>
    </w:rPr>
  </w:style>
  <w:style w:type="character" w:customStyle="1" w:styleId="articletext">
    <w:name w:val="articletext"/>
    <w:basedOn w:val="a1"/>
  </w:style>
  <w:style w:type="character" w:customStyle="1" w:styleId="hit">
    <w:name w:val="hit"/>
    <w:basedOn w:val="a1"/>
  </w:style>
  <w:style w:type="paragraph" w:customStyle="1" w:styleId="details3">
    <w:name w:val="details3"/>
    <w:basedOn w:val="a0"/>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rPr>
      <w:i/>
      <w:iCs/>
    </w:rPr>
  </w:style>
  <w:style w:type="character" w:customStyle="1" w:styleId="journalnumber">
    <w:name w:val="journalnumber"/>
    <w:rPr>
      <w:b/>
      <w:bCs/>
    </w:rPr>
  </w:style>
  <w:style w:type="character" w:customStyle="1" w:styleId="atl1">
    <w:name w:val="atl1"/>
    <w:basedOn w:val="a1"/>
    <w:qFormat/>
  </w:style>
  <w:style w:type="character" w:customStyle="1" w:styleId="style21">
    <w:name w:val="style21"/>
    <w:qFormat/>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uiPriority w:val="99"/>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style>
  <w:style w:type="character" w:customStyle="1" w:styleId="pages">
    <w:name w:val="pages"/>
    <w:basedOn w:val="a1"/>
  </w:style>
  <w:style w:type="character" w:customStyle="1" w:styleId="style141">
    <w:name w:val="style141"/>
    <w:rPr>
      <w:color w:val="000000"/>
      <w:sz w:val="14"/>
      <w:szCs w:val="14"/>
    </w:rPr>
  </w:style>
  <w:style w:type="character" w:customStyle="1" w:styleId="magstyle5">
    <w:name w:val="mag_style5"/>
    <w:basedOn w:val="a1"/>
  </w:style>
  <w:style w:type="paragraph" w:customStyle="1" w:styleId="Pa54">
    <w:name w:val="Pa54"/>
    <w:basedOn w:val="Default"/>
    <w:next w:val="Default"/>
    <w:pPr>
      <w:spacing w:after="80" w:line="201" w:lineRule="atLeast"/>
    </w:pPr>
    <w:rPr>
      <w:rFonts w:ascii="Univers LT Std 55" w:eastAsia="Univers LT Std 55"/>
      <w:color w:val="auto"/>
    </w:rPr>
  </w:style>
  <w:style w:type="character" w:customStyle="1" w:styleId="A20">
    <w:name w:val="A2"/>
    <w:qFormat/>
    <w:rPr>
      <w:rFonts w:cs="Univers LT Std 55"/>
      <w:color w:val="221E1F"/>
      <w:sz w:val="16"/>
      <w:szCs w:val="16"/>
    </w:rPr>
  </w:style>
  <w:style w:type="character" w:customStyle="1" w:styleId="highlight1">
    <w:name w:val="highlight1"/>
    <w:qFormat/>
    <w:rPr>
      <w:sz w:val="21"/>
      <w:szCs w:val="21"/>
    </w:rPr>
  </w:style>
  <w:style w:type="character" w:customStyle="1" w:styleId="newtitle1">
    <w:name w:val="newtitle1"/>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rPr>
      <w:sz w:val="22"/>
      <w:szCs w:val="22"/>
    </w:rPr>
  </w:style>
  <w:style w:type="paragraph" w:customStyle="1" w:styleId="220">
    <w:name w:val="标题 22"/>
    <w:basedOn w:val="a0"/>
    <w:qFormat/>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2">
    <w:name w:val="脚注文本1"/>
    <w:basedOn w:val="af0"/>
    <w:qFormat/>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2">
    <w:name w:val="单位"/>
    <w:qFormat/>
    <w:pPr>
      <w:ind w:left="70" w:hangingChars="70" w:hanging="70"/>
      <w:jc w:val="both"/>
    </w:pPr>
    <w:rPr>
      <w:sz w:val="17"/>
    </w:rPr>
  </w:style>
  <w:style w:type="paragraph" w:customStyle="1" w:styleId="DepartCorrespond">
    <w:name w:val="Depart.Correspond"/>
    <w:basedOn w:val="aff2"/>
    <w:qFormat/>
    <w:pPr>
      <w:ind w:left="66" w:hangingChars="66" w:hanging="66"/>
    </w:pPr>
    <w:rPr>
      <w:iCs/>
      <w:sz w:val="16"/>
    </w:rPr>
  </w:style>
  <w:style w:type="paragraph" w:customStyle="1" w:styleId="13">
    <w:name w:val="日期1"/>
    <w:basedOn w:val="DepartCorrespond"/>
    <w:next w:val="a0"/>
    <w:pPr>
      <w:spacing w:after="240"/>
    </w:pPr>
    <w:rPr>
      <w:sz w:val="18"/>
    </w:rPr>
  </w:style>
  <w:style w:type="paragraph" w:customStyle="1" w:styleId="aff3">
    <w:name w:val="首页页眉"/>
    <w:basedOn w:val="ad"/>
    <w:pPr>
      <w:pBdr>
        <w:bottom w:val="double" w:sz="6" w:space="1" w:color="auto"/>
      </w:pBdr>
      <w:tabs>
        <w:tab w:val="clear" w:pos="4153"/>
        <w:tab w:val="clear" w:pos="8306"/>
      </w:tabs>
      <w:overflowPunct w:val="0"/>
      <w:spacing w:line="240" w:lineRule="auto"/>
      <w:ind w:firstLine="0"/>
      <w:jc w:val="both"/>
    </w:pPr>
    <w:rPr>
      <w:rFonts w:eastAsia="宋体"/>
      <w:spacing w:val="0"/>
      <w:szCs w:val="20"/>
    </w:rPr>
  </w:style>
  <w:style w:type="paragraph" w:customStyle="1" w:styleId="Keywords">
    <w:name w:val="Key words"/>
    <w:basedOn w:val="a0"/>
    <w:next w:val="a0"/>
    <w:pPr>
      <w:tabs>
        <w:tab w:val="left" w:pos="1176"/>
      </w:tabs>
      <w:overflowPunct w:val="0"/>
      <w:adjustRightInd w:val="0"/>
      <w:snapToGrid/>
      <w:spacing w:after="290" w:line="240" w:lineRule="auto"/>
      <w:ind w:left="632" w:hangingChars="632" w:hanging="632"/>
    </w:pPr>
    <w:rPr>
      <w:rFonts w:eastAsia="KaiTi_GB2312"/>
      <w:spacing w:val="0"/>
      <w:sz w:val="18"/>
      <w:szCs w:val="20"/>
    </w:rPr>
  </w:style>
  <w:style w:type="paragraph" w:customStyle="1" w:styleId="aff4">
    <w:name w:val="关键词"/>
    <w:basedOn w:val="a0"/>
    <w:next w:val="aff5"/>
    <w:qFormat/>
    <w:pPr>
      <w:tabs>
        <w:tab w:val="left" w:pos="798"/>
      </w:tabs>
      <w:overflowPunct w:val="0"/>
      <w:adjustRightInd w:val="0"/>
      <w:snapToGrid/>
      <w:spacing w:line="240" w:lineRule="auto"/>
      <w:ind w:left="429" w:hangingChars="429" w:hanging="429"/>
    </w:pPr>
    <w:rPr>
      <w:rFonts w:eastAsia="KaiTi_GB2312"/>
      <w:spacing w:val="0"/>
      <w:sz w:val="18"/>
      <w:szCs w:val="20"/>
    </w:rPr>
  </w:style>
  <w:style w:type="paragraph" w:customStyle="1" w:styleId="aff5">
    <w:name w:val="分类号"/>
    <w:basedOn w:val="13"/>
    <w:next w:val="a8"/>
    <w:pPr>
      <w:tabs>
        <w:tab w:val="left" w:pos="1233"/>
      </w:tabs>
      <w:spacing w:after="320"/>
      <w:ind w:left="0" w:firstLineChars="0" w:firstLine="0"/>
    </w:pPr>
    <w:rPr>
      <w:rFonts w:eastAsia="黑体"/>
    </w:rPr>
  </w:style>
  <w:style w:type="paragraph" w:customStyle="1" w:styleId="14">
    <w:name w:val="标题1"/>
    <w:basedOn w:val="a0"/>
    <w:next w:val="Name"/>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qFormat/>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pPr>
      <w:tabs>
        <w:tab w:val="left" w:pos="419"/>
      </w:tabs>
      <w:spacing w:line="260" w:lineRule="exact"/>
      <w:ind w:left="419" w:hanging="79"/>
      <w:jc w:val="both"/>
    </w:pPr>
    <w:rPr>
      <w:sz w:val="15"/>
    </w:rPr>
  </w:style>
  <w:style w:type="character" w:customStyle="1" w:styleId="style541">
    <w:name w:val="style541"/>
    <w:rPr>
      <w:color w:val="000000"/>
    </w:rPr>
  </w:style>
  <w:style w:type="character" w:customStyle="1" w:styleId="mediumb-text">
    <w:name w:val="mediumb-text"/>
    <w:basedOn w:val="a1"/>
  </w:style>
  <w:style w:type="paragraph" w:customStyle="1" w:styleId="15">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qFormat/>
    <w:rPr>
      <w:rFonts w:eastAsia="黑体"/>
      <w:kern w:val="2"/>
      <w:sz w:val="36"/>
    </w:rPr>
  </w:style>
  <w:style w:type="character" w:customStyle="1" w:styleId="CharChar2">
    <w:name w:val="Char Char2"/>
    <w:qFormat/>
    <w:rPr>
      <w:kern w:val="2"/>
      <w:sz w:val="18"/>
    </w:rPr>
  </w:style>
  <w:style w:type="character" w:customStyle="1" w:styleId="CharChar3">
    <w:name w:val="Char Char3"/>
    <w:qFormat/>
    <w:rPr>
      <w:rFonts w:eastAsia="·s²Ó©úÅé"/>
      <w:sz w:val="18"/>
    </w:rPr>
  </w:style>
  <w:style w:type="character" w:customStyle="1" w:styleId="CharChar">
    <w:name w:val="Char Char"/>
    <w:qFormat/>
    <w:rPr>
      <w:rFonts w:ascii="Calibri" w:hAnsi="Calibri"/>
      <w:kern w:val="2"/>
      <w:sz w:val="18"/>
      <w:szCs w:val="18"/>
    </w:rPr>
  </w:style>
  <w:style w:type="character" w:customStyle="1" w:styleId="shorttext1">
    <w:name w:val="short_text1"/>
    <w:qFormat/>
    <w:rPr>
      <w:sz w:val="20"/>
      <w:szCs w:val="20"/>
    </w:rPr>
  </w:style>
  <w:style w:type="paragraph" w:customStyle="1" w:styleId="tu">
    <w:name w:val="tu"/>
    <w:basedOn w:val="a0"/>
    <w:qFormat/>
    <w:pPr>
      <w:spacing w:before="200" w:after="120"/>
      <w:ind w:firstLine="0"/>
      <w:jc w:val="center"/>
    </w:pPr>
  </w:style>
  <w:style w:type="paragraph" w:customStyle="1" w:styleId="aff6">
    <w:name w:val="英文作者简介"/>
    <w:basedOn w:val="af1"/>
    <w:pPr>
      <w:spacing w:line="336" w:lineRule="auto"/>
      <w:ind w:firstLine="0"/>
    </w:pPr>
    <w:rPr>
      <w:sz w:val="18"/>
    </w:rPr>
  </w:style>
  <w:style w:type="paragraph" w:customStyle="1" w:styleId="aff7">
    <w:name w:val="中文作者简介"/>
    <w:basedOn w:val="af1"/>
    <w:qFormat/>
    <w:pPr>
      <w:ind w:firstLine="0"/>
    </w:pPr>
    <w:rPr>
      <w:sz w:val="18"/>
    </w:rPr>
  </w:style>
  <w:style w:type="paragraph" w:customStyle="1" w:styleId="tus">
    <w:name w:val="tus"/>
    <w:basedOn w:val="a0"/>
    <w:qFormat/>
    <w:pPr>
      <w:spacing w:after="200"/>
      <w:ind w:firstLine="0"/>
      <w:jc w:val="center"/>
    </w:pPr>
    <w:rPr>
      <w:rFonts w:eastAsia="方正小标宋简体"/>
      <w:bCs/>
      <w:sz w:val="20"/>
    </w:rPr>
  </w:style>
  <w:style w:type="paragraph" w:customStyle="1" w:styleId="90">
    <w:name w:val="标题9"/>
    <w:basedOn w:val="a0"/>
    <w:pPr>
      <w:ind w:firstLine="0"/>
    </w:pPr>
    <w:rPr>
      <w:rFonts w:eastAsia="方正小标宋简体"/>
      <w:bCs/>
    </w:rPr>
  </w:style>
  <w:style w:type="paragraph" w:customStyle="1" w:styleId="DecimalAligned">
    <w:name w:val="Decimal Aligned"/>
    <w:basedOn w:val="a0"/>
    <w:uiPriority w:val="40"/>
    <w:qFormat/>
    <w:pPr>
      <w:widowControl/>
      <w:tabs>
        <w:tab w:val="decimal" w:pos="360"/>
      </w:tabs>
      <w:snapToGrid/>
      <w:spacing w:after="200" w:line="276" w:lineRule="auto"/>
      <w:ind w:firstLine="0"/>
      <w:jc w:val="left"/>
    </w:pPr>
    <w:rPr>
      <w:rFonts w:ascii="Calibri" w:eastAsia="宋体" w:hAnsi="Calibri"/>
      <w:snapToGrid/>
      <w:spacing w:val="0"/>
      <w:kern w:val="0"/>
      <w:szCs w:val="22"/>
    </w:rPr>
  </w:style>
  <w:style w:type="character" w:customStyle="1" w:styleId="Style134">
    <w:name w:val="_Style 134"/>
    <w:uiPriority w:val="19"/>
    <w:qFormat/>
    <w:rPr>
      <w:rFonts w:eastAsia="宋体" w:cs="Times New Roman"/>
      <w:i/>
      <w:iCs/>
      <w:color w:val="808080"/>
      <w:szCs w:val="22"/>
      <w:lang w:eastAsia="zh-CN"/>
    </w:rPr>
  </w:style>
  <w:style w:type="table" w:customStyle="1" w:styleId="-11">
    <w:name w:val="浅色底纹 - 强调文字颜色 11"/>
    <w:basedOn w:val="a2"/>
    <w:uiPriority w:val="60"/>
    <w:qFormat/>
    <w:rPr>
      <w:rFonts w:ascii="Calibri" w:hAnsi="Calibri"/>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character" w:customStyle="1" w:styleId="style11">
    <w:name w:val="style11"/>
    <w:rPr>
      <w:color w:val="FF0000"/>
    </w:rPr>
  </w:style>
  <w:style w:type="character" w:customStyle="1" w:styleId="Style137">
    <w:name w:val="_Style 137"/>
    <w:uiPriority w:val="99"/>
    <w:semiHidden/>
    <w:unhideWhenUsed/>
    <w:rPr>
      <w:color w:val="605E5C"/>
      <w:shd w:val="clear" w:color="auto" w:fill="E1DFDD"/>
    </w:rPr>
  </w:style>
  <w:style w:type="character" w:customStyle="1" w:styleId="ae">
    <w:name w:val="页眉 字符"/>
    <w:link w:val="ad"/>
    <w:qFormat/>
    <w:rPr>
      <w:rFonts w:eastAsia="方正书宋简体"/>
      <w:snapToGrid/>
      <w:spacing w:val="2"/>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9.xml"/><Relationship Id="rId39" Type="http://schemas.openxmlformats.org/officeDocument/2006/relationships/header" Target="header13.xml"/><Relationship Id="rId21" Type="http://schemas.openxmlformats.org/officeDocument/2006/relationships/header" Target="header7.xml"/><Relationship Id="rId34" Type="http://schemas.openxmlformats.org/officeDocument/2006/relationships/image" Target="media/image5.png"/><Relationship Id="rId42" Type="http://schemas.openxmlformats.org/officeDocument/2006/relationships/footer" Target="footer14.xml"/><Relationship Id="rId47" Type="http://schemas.openxmlformats.org/officeDocument/2006/relationships/header" Target="header17.xml"/><Relationship Id="rId50" Type="http://schemas.openxmlformats.org/officeDocument/2006/relationships/footer" Target="footer18.xml"/><Relationship Id="rId55" Type="http://schemas.openxmlformats.org/officeDocument/2006/relationships/header" Target="header2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2.png"/><Relationship Id="rId33" Type="http://schemas.openxmlformats.org/officeDocument/2006/relationships/image" Target="media/image4.png"/><Relationship Id="rId38" Type="http://schemas.openxmlformats.org/officeDocument/2006/relationships/footer" Target="footer12.xml"/><Relationship Id="rId46" Type="http://schemas.openxmlformats.org/officeDocument/2006/relationships/footer" Target="footer16.xml"/><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1.png"/><Relationship Id="rId29" Type="http://schemas.openxmlformats.org/officeDocument/2006/relationships/footer" Target="footer10.xml"/><Relationship Id="rId41" Type="http://schemas.openxmlformats.org/officeDocument/2006/relationships/header" Target="header14.xml"/><Relationship Id="rId54" Type="http://schemas.openxmlformats.org/officeDocument/2006/relationships/footer" Target="footer2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image" Target="media/image3.png"/><Relationship Id="rId37" Type="http://schemas.openxmlformats.org/officeDocument/2006/relationships/header" Target="header12.xml"/><Relationship Id="rId40" Type="http://schemas.openxmlformats.org/officeDocument/2006/relationships/footer" Target="footer13.xml"/><Relationship Id="rId45" Type="http://schemas.openxmlformats.org/officeDocument/2006/relationships/header" Target="header16.xml"/><Relationship Id="rId53" Type="http://schemas.openxmlformats.org/officeDocument/2006/relationships/header" Target="header20.xml"/><Relationship Id="rId58" Type="http://schemas.openxmlformats.org/officeDocument/2006/relationships/footer" Target="footer2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image" Target="media/image7.png"/><Relationship Id="rId49" Type="http://schemas.openxmlformats.org/officeDocument/2006/relationships/header" Target="header18.xml"/><Relationship Id="rId57" Type="http://schemas.openxmlformats.org/officeDocument/2006/relationships/header" Target="header22.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1.xml"/><Relationship Id="rId44" Type="http://schemas.openxmlformats.org/officeDocument/2006/relationships/footer" Target="footer15.xml"/><Relationship Id="rId52" Type="http://schemas.openxmlformats.org/officeDocument/2006/relationships/footer" Target="footer19.xml"/><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footer" Target="footer9.xml"/><Relationship Id="rId30" Type="http://schemas.openxmlformats.org/officeDocument/2006/relationships/header" Target="header11.xml"/><Relationship Id="rId35" Type="http://schemas.openxmlformats.org/officeDocument/2006/relationships/image" Target="media/image6.png"/><Relationship Id="rId43" Type="http://schemas.openxmlformats.org/officeDocument/2006/relationships/header" Target="header15.xml"/><Relationship Id="rId48" Type="http://schemas.openxmlformats.org/officeDocument/2006/relationships/footer" Target="footer17.xml"/><Relationship Id="rId56" Type="http://schemas.openxmlformats.org/officeDocument/2006/relationships/footer" Target="footer21.xml"/><Relationship Id="rId8" Type="http://schemas.openxmlformats.org/officeDocument/2006/relationships/header" Target="header1.xml"/><Relationship Id="rId51" Type="http://schemas.openxmlformats.org/officeDocument/2006/relationships/header" Target="header19.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1508;&#31181;&#21333;&#25454;\&#20889;&#20316;&#27169;&#26495;\&#20889;&#20316;&#27169;&#26495;&#65288;&#20013;&#25991;&#65289;-12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写作模板（中文）-1226.dot</Template>
  <TotalTime>194</TotalTime>
  <Pages>10</Pages>
  <Words>3067</Words>
  <Characters>17482</Characters>
  <Application>Microsoft Office Word</Application>
  <DocSecurity>0</DocSecurity>
  <Lines>145</Lines>
  <Paragraphs>41</Paragraphs>
  <ScaleCrop>false</ScaleCrop>
  <Company>scp</Company>
  <LinksUpToDate>false</LinksUpToDate>
  <CharactersWithSpaces>20508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微软用户</dc:creator>
  <cp:lastModifiedBy>帆 杨</cp:lastModifiedBy>
  <cp:revision>13</cp:revision>
  <cp:lastPrinted>2024-12-03T06:07:00Z</cp:lastPrinted>
  <dcterms:created xsi:type="dcterms:W3CDTF">2024-12-03T03:17:00Z</dcterms:created>
  <dcterms:modified xsi:type="dcterms:W3CDTF">2026-06-15T05:58:00Z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2052-12.1.0.24657</vt:lpwstr>
  </property>
  <property fmtid="{D5CDD505-2E9C-101B-9397-08002B2CF9AE}" pid="9" name="ICV">
    <vt:lpwstr>28DEEEA3D73E41E09CF3B3B6F164FFBC_13</vt:lpwstr>
  </property>
  <property fmtid="{D5CDD505-2E9C-101B-9397-08002B2CF9AE}" pid="10" name="KSOTemplateDocerSaveRecord">
    <vt:lpwstr>eyJoZGlkIjoiM2U1N2EzZmI0M2VhY2ZhMDRmMDZmODU0Y2Q2NDUwMWUiLCJ1c2VySWQiOiI5OTkwNTU4ODgifQ==</vt:lpwstr>
  </property>
</Properties>
</file>