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0A8DA" w14:textId="77777777" w:rsidR="007A0384" w:rsidRDefault="007A0384" w:rsidP="007A0384">
      <w:pPr>
        <w:spacing w:after="120" w:line="240" w:lineRule="auto"/>
        <w:jc w:val="center"/>
      </w:pPr>
      <w:r>
        <w:rPr>
          <w:rFonts w:eastAsia="宋体" w:ascii="Times New Roman" w:hAnsi="Times New Roman" w:cs="Times New Roman"/>
          <w:b/>
          <w:color w:val="000000"/>
          <w:sz w:val="24"/>
        </w:rPr>
        <w:t>面向高频</w:t>
      </w:r>
      <w:r>
        <w:rPr>
          <w:rFonts w:eastAsia="宋体" w:ascii="Times New Roman" w:hAnsi="Times New Roman" w:cs="Times New Roman"/>
          <w:b/>
          <w:color w:val="000000"/>
          <w:sz w:val="24"/>
        </w:rPr>
        <w:t xml:space="preserve"> DApp </w:t>
      </w:r>
      <w:r>
        <w:rPr>
          <w:rFonts w:eastAsia="宋体" w:ascii="Times New Roman" w:hAnsi="Times New Roman" w:cs="Times New Roman"/>
          <w:b/>
          <w:color w:val="000000"/>
          <w:sz w:val="24"/>
        </w:rPr>
        <w:t>的</w:t>
      </w:r>
      <w:r>
        <w:rPr>
          <w:rFonts w:eastAsia="宋体" w:ascii="Times New Roman" w:hAnsi="Times New Roman" w:cs="Times New Roman"/>
          <w:b/>
          <w:color w:val="000000"/>
          <w:sz w:val="24"/>
        </w:rPr>
        <w:t xml:space="preserve"> Hybrid TEE-Rollup </w:t>
      </w:r>
      <w:r>
        <w:rPr>
          <w:rFonts w:eastAsia="宋体" w:ascii="Times New Roman" w:hAnsi="Times New Roman" w:cs="Times New Roman"/>
          <w:b/>
          <w:color w:val="000000"/>
          <w:sz w:val="24"/>
        </w:rPr>
        <w:t>可恢复挑战协议与轻量</w:t>
      </w:r>
      <w:r>
        <w:rPr>
          <w:rFonts w:eastAsia="宋体" w:ascii="Times New Roman" w:hAnsi="Times New Roman" w:cs="Times New Roman"/>
          <w:b/>
          <w:color w:val="000000"/>
          <w:sz w:val="24"/>
        </w:rPr>
        <w:t xml:space="preserve"> DA </w:t>
      </w:r>
      <w:r>
        <w:rPr>
          <w:rFonts w:eastAsia="宋体" w:ascii="Times New Roman" w:hAnsi="Times New Roman" w:cs="Times New Roman"/>
          <w:b/>
          <w:color w:val="000000"/>
          <w:sz w:val="24"/>
        </w:rPr>
        <w:t>成本评估</w:t>
      </w:r>
    </w:p>
    <w:p w14:paraId="761A88AF" w14:textId="77777777" w:rsidR="00DE373F" w:rsidRDefault="00000000" w:rsidP="00E8551D">
      <w:pPr>
        <w:spacing w:after="240" w:line="360" w:lineRule="auto" w:before="0"/>
        <w:ind/>
        <w:jc w:val="center"/>
        <w:rPr>
          <w:lang w:eastAsia="zh-CN"/>
        </w:rPr>
      </w:pPr>
      <w:r>
        <w:rPr>
          <w:rFonts w:ascii="Times New Roman" w:hAnsi="Times New Roman" w:eastAsia="宋体" w:cs="Times New Roman"/>
          <w:b w:val="0"/>
          <w:color w:val="000000"/>
          <w:sz w:val="24"/>
          <w:lang w:eastAsia="zh-CN"/>
        </w:rPr>
        <w:t>作者：杨帆</w:t>
      </w:r>
    </w:p>
    <w:p w14:paraId="72FAAB71" w14:textId="77777777" w:rsidR="00DE373F" w:rsidRDefault="00000000">
      <w:pPr>
        <w:spacing w:before="0" w:after="120" w:line="360" w:lineRule="auto"/>
        <w:ind/>
        <w:jc w:val="center"/>
        <w:rPr>
          <w:lang w:eastAsia="zh-CN"/>
        </w:rPr>
      </w:pPr>
      <w:r>
        <w:rPr>
          <w:rFonts w:eastAsia="宋体" w:ascii="Times New Roman" w:hAnsi="Times New Roman" w:cs="Times New Roman"/>
          <w:b/>
          <w:color w:val="000000"/>
          <w:sz w:val="24"/>
          <w:lang w:eastAsia="zh-CN"/>
        </w:rPr>
        <w:t>摘要</w:t>
      </w:r>
    </w:p>
    <w:p w14:paraId="4E01D91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高频去中心化应用（Decentralized Application, DApp）的矛盾并不只在吞吐量。元宇宙状态同步、去中心化社交交互和链上 AI 推理等场景通常具有单次交互价值低、请求频率高、异常处理要求强的特点：系统既要降低交互成本和延迟，又不能在争议出现时丢失公开可验证的仲裁路径。围绕这一矛盾，本文研究 Hybrid TEE-Rollup 中一个范围较窄但关键的问题：当链上仅保存轻量承诺、完整负载位于数据可用性（Data Availability, DA）层，且挑战流程因超时停滞时，协议如何恢复争议、重放证据并完成仲裁结算。为回答这一问题，本文设计并评估可恢复挑战机制、携带证据的紧凑提交以及数据可用性感知成本模型。实验依据包括 Python 原型、本地以太坊虚拟机（Ethereum Virtual Machine, EVM）gas 测量和 Sepolia 测试网部署记录。结果显示，紧凑提交平均约为 406 字节；在负载 8192、批大小 1000 的配置下，紧凑提交结合模块化数据可用性采样相较全链上调用数据的摊销成本估算下降 96.33%；在合成超时场景中，恢复操作使挑战成功率由不可恢复路径的 0% 提升至 100%。这些结果主要用于说明轻量提交、DA 证据绑定和可恢复挑战流程之间的机制闭环，以及超时恢复带来的活性差异和 DA 路径带来的成本趋势；它们不构成真实 TEE 安全性、生产级 DA 安全性或主网费用表现的结论。</w:t>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37F22684" w14:textId="77777777" w:rsidR="000D6ED8" w:rsidRDefault="00000000">
      <w:pPr>
        <w:spacing w:before="0" w:after="0" w:line="360" w:lineRule="auto"/>
        <w:ind/>
        <w:jc w:val="both"/>
        <w:rPr>
          <w:lang w:eastAsia="zh-CN"/>
        </w:rPr>
      </w:pPr>
      <w:r>
        <w:rPr>
          <w:rFonts w:ascii="Times New Roman" w:hAnsi="Times New Roman" w:eastAsia="宋体" w:cs="Times New Roman"/>
          <w:color w:val="000000"/>
          <w:sz w:val="24"/>
          <w:lang w:eastAsia="zh-CN"/>
        </w:rPr>
        <w:t>关键词：</w:t>
      </w:r>
      <w:r>
        <w:rPr>
          <w:rFonts w:ascii="Times New Roman" w:hAnsi="Times New Roman" w:eastAsia="宋体" w:cs="Times New Roman"/>
          <w:color w:val="000000"/>
          <w:sz w:val="24"/>
          <w:lang w:eastAsia="zh-CN"/>
        </w:rPr>
        <w:t>Hybrid TEE-Rollup</w:t>
      </w:r>
      <w:r>
        <w:rPr>
          <w:rFonts w:ascii="Times New Roman" w:hAnsi="Times New Roman" w:eastAsia="宋体" w:cs="Times New Roman"/>
          <w:color w:val="000000"/>
          <w:sz w:val="24"/>
          <w:lang w:eastAsia="zh-CN"/>
        </w:rPr>
        <w:t>；交互式挑战；数据可用性；高频</w:t>
      </w:r>
      <w:r>
        <w:rPr>
          <w:rFonts w:ascii="Times New Roman" w:hAnsi="Times New Roman" w:eastAsia="宋体" w:cs="Times New Roman"/>
          <w:color w:val="000000"/>
          <w:sz w:val="24"/>
          <w:lang w:eastAsia="zh-CN"/>
        </w:rPr>
        <w:t xml:space="preserve"> DApp</w:t>
      </w:r>
      <w:r>
        <w:rPr>
          <w:rFonts w:ascii="Times New Roman" w:hAnsi="Times New Roman" w:eastAsia="宋体" w:cs="Times New Roman"/>
          <w:color w:val="000000"/>
          <w:sz w:val="24"/>
          <w:lang w:eastAsia="zh-CN"/>
        </w:rPr>
        <w:t>；成本摊销；故障恢复</w:t>
      </w:r>
    </w:p>
    <w:p w14:paraId="36372FF9" w14:textId="3C9B171E" w:rsidR="00DE373F" w:rsidRPr="00953EF9" w:rsidRDefault="00000000" w:rsidP="00953EF9">
      <w:pPr>
        <w:pStyle w:val="1"/>
        <w:keepNext/>
        <w:keepLines w:val="0"/>
        <w:spacing w:before="280" w:after="160" w:line="288" w:lineRule="auto"/>
        <w:jc w:val="left"/>
        <w:rPr>
          <w:rFonts w:eastAsia="宋体" w:hint="eastAsia"/>
          <w:lang w:eastAsia="zh-CN"/>
        </w:rPr>
      </w:pPr>
      <w:r>
        <w:rPr>
          <w:rFonts w:ascii="Times New Roman" w:hAnsi="Times New Roman" w:eastAsia="黑体" w:cs="Times New Roman"/>
          <w:b/>
          <w:color w:val="000000"/>
          <w:sz w:val="28"/>
          <w:lang w:eastAsia="zh-CN"/>
        </w:rPr>
        <w:t xml:space="preserve">1 </w:t>
      </w:r>
      <w:r>
        <w:rPr>
          <w:rFonts w:ascii="Times New Roman" w:hAnsi="Times New Roman" w:eastAsia="黑体" w:cs="Times New Roman"/>
          <w:b/>
          <w:color w:val="000000"/>
          <w:sz w:val="28"/>
          <w:lang w:eastAsia="zh-CN"/>
        </w:rPr>
        <w:t>引言</w:t>
      </w:r>
    </w:p>
    <w:p w14:paraId="7E3841B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高频去中心化应用的困难并不只是吞吐量不足。此类应用的单次交互价值通常不高，却要求持续状态更新、低延迟反馈、低链上负担，以及异常场景下的公开可验证仲裁。以链上 AI 推理服务为例，用户连续提交提示，执行者在可信执行环境中生成响应，并向链上提交紧凑提交；完整提示、响应与证明保存在数据可用性层。正常路径需要尽量轻量，但异常路径必须具备足够的可验证性：当响应与数据可用性负载不一致，或挑战在中途超时时，系统不能只停留在异常检测，还需要保证争议能够继续推进到重放与结算。</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F3DF6A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现有路线分别缓解了上述矛盾的一部分，但难以同时满足低成本、低延迟、公开可验证和挑战活性四项要求。全链上执行保留了公开验证能力，却将高频负载、存储和执行成本直接推到链上；完全链下执行降低了延迟和成本，却缺少用户可依赖的公开仲裁路径；纯 TEE 执行可降低正常路径验证成本，但安全性和可用性仍受硬件和宿主影响。Hybrid TEE-Rollup 的优势在于将 TEE 快速路径与链上异常路径结合起来；相应地，风险也集中在异常路径：如果缺少恢复机制和证据入口，系统可能在最需要仲裁时失去协议连续性。</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56729EC" w14:textId="74EE8298" w:rsidR="00E637A5" w:rsidRDefault="00000000" w:rsidP="00953EF9">
      <w:pPr>
        <w:spacing w:after="0" w:line="360" w:lineRule="auto" w:before="0"/>
        <w:ind w:firstLine="420"/>
        <w:jc w:val="both"/>
        <w:rPr>
          <w:lang w:eastAsia="zh-CN"/>
        </w:rPr>
      </w:pPr>
      <w:r>
        <w:rPr>
          <w:rFonts w:ascii="Times New Roman" w:hAnsi="Times New Roman" w:eastAsia="宋体" w:cs="Times New Roman"/>
          <w:color w:val="000000"/>
          <w:sz w:val="24"/>
          <w:lang w:eastAsia="zh-CN"/>
        </w:rPr>
        <w:t>超时后挑战流程卡死并非普通工程异常，而是协议活性与仲裁连续性问题。传统挑战机制可以关注错误是否能够被发现，但对于高频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31BFFA68" w14:textId="0D4E323C" w:rsidR="00E637A5" w:rsidRDefault="00953EF9" w:rsidP="00953EF9">
      <w:pPr>
        <w:spacing w:after="0" w:line="360" w:lineRule="auto" w:before="0"/>
        <w:ind w:firstLine="420"/>
        <w:jc w:val="both"/>
        <w:rPr>
          <w:rFonts w:hint="eastAsia"/>
          <w:lang w:eastAsia="zh-CN"/>
        </w:rPr>
      </w:pPr>
      <w:r w:rsidRPr="00953EF9">
        <w:rPr>
          <w:rFonts w:ascii="Times New Roman" w:hAnsi="Times New Roman" w:eastAsia="宋体" w:cs="Times New Roman"/>
          <w:color w:val="000000"/>
          <w:sz w:val="24"/>
          <w:lang w:eastAsia="zh-CN"/>
        </w:rPr>
        <w:t>实验部分采用合成负载、模拟 TEE、可验证 DA 注册表、本地 EVM gas 实测与 Sepolia 可部署性证据。实验设计与证据边界将在第 7 章和第 8 章集中说明。</w:t>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r w:rsidRPr="00953EF9">
        <w:rPr>
          <w:rFonts w:ascii="Times New Roman" w:hAnsi="Times New Roman" w:eastAsia="宋体" w:cs="Times New Roman"/>
          <w:color w:val="000000"/>
          <w:sz w:val="24"/>
          <w:lang w:eastAsia="zh-CN"/>
        </w:rPr>
      </w:r>
    </w:p>
    <w:p w14:paraId="2CF6400C" w14:textId="77777777" w:rsidR="000D6ED8" w:rsidRDefault="00000000">
      <w:pPr>
        <w:pStyle w:val="21"/>
        <w:keepNext/>
        <w:jc w:val="left"/>
        <w:rPr>
          <w:lang w:eastAsia="zh-CN"/>
        </w:rPr>
      </w:pPr>
      <w:r>
        <w:rPr>
          <w:rFonts w:ascii="Times New Roman" w:hAnsi="Times New Roman" w:eastAsia="黑体" w:cs="Times New Roman"/>
          <w:b/>
          <w:color w:val="000000"/>
          <w:sz w:val="24"/>
          <w:lang w:eastAsia="zh-CN"/>
        </w:rPr>
        <w:t xml:space="preserve">1.1 </w:t>
      </w:r>
      <w:r>
        <w:rPr>
          <w:rFonts w:ascii="Times New Roman" w:hAnsi="Times New Roman" w:eastAsia="黑体" w:cs="Times New Roman"/>
          <w:b/>
          <w:color w:val="000000"/>
          <w:sz w:val="24"/>
          <w:lang w:eastAsia="zh-CN"/>
        </w:rPr>
        <w:t>本文贡献</w:t>
      </w:r>
    </w:p>
    <w:p w14:paraId="7E03E525"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详见第 4 章。</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767AC602"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第二个贡献是携带证据的紧凑提交。该提交将状态根、输出哈希、证明哈希、数据可用性指针与数据可用性根绑定在同一上下文中，使链上对象具备重放准备性、证据可追溯性和面向验证的属性。详见第 5 章。</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5F0B2772" w14:textId="77777777" w:rsidR="00DE373F" w:rsidRDefault="00000000">
      <w:pPr>
        <w:keepNext/>
        <w:spacing w:before="0" w:after="0" w:line="360" w:lineRule="auto"/>
        <w:ind w:firstLine="420"/>
        <w:jc w:val="both"/>
        <w:rPr>
          <w:lang w:eastAsia="zh-CN"/>
        </w:rPr>
      </w:pPr>
      <w:r>
        <w:rPr>
          <w:rFonts w:ascii="Times New Roman" w:hAnsi="Times New Roman" w:eastAsia="宋体" w:cs="Times New Roman"/>
          <w:color w:val="000000"/>
          <w:sz w:val="24"/>
          <w:lang w:eastAsia="zh-CN"/>
        </w:rPr>
        <w:t>第三个贡献是数据可用性感知成本模型。该模型用于分析负载缩放、批处理摊销与 DA 路径选择，帮助系统设计者理解不同工作负载下的成本边界。详见第 6 章。</w:t>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p>
    <w:p w14:paraId="49F52FD5" w14:textId="77777777" w:rsidR="000D6ED8"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1 本文机制推进点与研究作用</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2721"/>
        <w:gridCol w:w="3402"/>
      </w:tblGrid>
      <w:tr w:rsidR="00DE373F" w14:paraId="14912F0A" w14:textId="77777777">
        <w:trPr>
          <w:trHeight w:val="369"/>
          <w:tblHeader w:val="true"/>
          <w:jc w:val="center"/>
          <w:cantSplit/>
        </w:trPr>
        <w:tc>
          <w:tcPr>
            <w:tcW w:w="2268" w:type="dxa"/>
            <w:shd w:val="clear" w:color="auto" w:fill="D9D9D9"/>
            <w:tcMar>
              <w:top w:w="100" w:type="dxa"/>
              <w:left w:w="100" w:type="dxa"/>
              <w:bottom w:w="100" w:type="dxa"/>
              <w:right w:w="100" w:type="dxa"/>
            </w:tcMar>
            <w:vAlign w:val="center"/>
          </w:tcPr>
          <w:p w14:paraId="5E38DC0A" w14:textId="77777777" w:rsidR="0004470E" w:rsidRDefault="00000000">
            <w:pPr>
              <w:spacing w:before="0" w:after="0" w:line="240" w:lineRule="auto"/>
              <w:jc w:val="center"/>
            </w:pPr>
            <w:r>
              <w:rPr>
                <w:rFonts w:ascii="Times New Roman" w:hAnsi="Times New Roman" w:eastAsia="宋体" w:cs="Times New Roman"/>
                <w:b/>
                <w:color w:val="000000"/>
                <w:sz w:val="21"/>
              </w:rPr>
              <w:t>机制推进</w:t>
            </w:r>
          </w:p>
        </w:tc>
        <w:tc>
          <w:tcPr>
            <w:tcW w:w="4082" w:type="dxa"/>
            <w:shd w:val="clear" w:color="auto" w:fill="D9D9D9"/>
            <w:tcMar>
              <w:top w:w="100" w:type="dxa"/>
              <w:left w:w="100" w:type="dxa"/>
              <w:bottom w:w="100" w:type="dxa"/>
              <w:right w:w="100" w:type="dxa"/>
            </w:tcMar>
            <w:vAlign w:val="center"/>
          </w:tcPr>
          <w:p w14:paraId="465E476B" w14:textId="77777777" w:rsidR="0004470E" w:rsidRDefault="00000000">
            <w:pPr>
              <w:spacing w:before="0" w:after="0" w:line="240" w:lineRule="auto"/>
              <w:jc w:val="center"/>
            </w:pPr>
            <w:r>
              <w:rPr>
                <w:rFonts w:ascii="Times New Roman" w:hAnsi="Times New Roman" w:eastAsia="宋体" w:cs="Times New Roman"/>
                <w:b/>
                <w:color w:val="000000"/>
                <w:sz w:val="21"/>
              </w:rPr>
              <w:t>核心作用</w:t>
            </w:r>
          </w:p>
        </w:tc>
        <w:tc>
          <w:tcPr>
            <w:tcW w:w="2721" w:type="dxa"/>
            <w:shd w:val="clear" w:color="auto" w:fill="D9D9D9"/>
            <w:tcMar>
              <w:top w:w="100" w:type="dxa"/>
              <w:left w:w="100" w:type="dxa"/>
              <w:bottom w:w="100" w:type="dxa"/>
              <w:right w:w="100" w:type="dxa"/>
            </w:tcMar>
            <w:vAlign w:val="center"/>
          </w:tcPr>
          <w:p w14:paraId="29E6C145" w14:textId="77777777" w:rsidR="0004470E" w:rsidRDefault="00000000">
            <w:pPr>
              <w:spacing w:before="0" w:after="0" w:line="240" w:lineRule="auto"/>
              <w:jc w:val="center"/>
            </w:pPr>
            <w:r>
              <w:rPr>
                <w:rFonts w:ascii="Times New Roman" w:hAnsi="Times New Roman" w:eastAsia="宋体" w:cs="Times New Roman"/>
                <w:b/>
                <w:color w:val="000000"/>
                <w:sz w:val="21"/>
              </w:rPr>
              <w:t>论文定位</w:t>
            </w:r>
          </w:p>
        </w:tc>
      </w:tr>
      <w:tr w:rsidR="00DE373F" w14:paraId="2772A514" w14:textId="77777777">
        <w:trPr>
          <w:trHeight w:val="369"/>
          <w:jc w:val="center"/>
          <w:cantSplit/>
        </w:trPr>
        <w:tc>
          <w:tcPr>
            <w:tcW w:w="2268" w:type="dxa"/>
            <w:tcMar>
              <w:top w:w="100" w:type="dxa"/>
              <w:left w:w="100" w:type="dxa"/>
              <w:bottom w:w="100" w:type="dxa"/>
              <w:right w:w="100" w:type="dxa"/>
            </w:tcMar>
            <w:vAlign w:val="center"/>
          </w:tcPr>
          <w:p w14:paraId="20C6443D"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可恢复挑战机制</w:t>
            </w:r>
          </w:p>
        </w:tc>
        <w:tc>
          <w:tcPr>
            <w:tcW w:w="4082" w:type="dxa"/>
            <w:tcMar>
              <w:top w:w="100" w:type="dxa"/>
              <w:left w:w="100" w:type="dxa"/>
              <w:bottom w:w="100" w:type="dxa"/>
              <w:right w:w="100" w:type="dxa"/>
            </w:tcMar>
            <w:vAlign w:val="center"/>
          </w:tcPr>
          <w:p w14:paraId="71349513"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在超时或中断后恢复争议流程</w:t>
            </w:r>
          </w:p>
        </w:tc>
        <w:tc>
          <w:tcPr>
            <w:tcW w:w="2721" w:type="dxa"/>
            <w:tcMar>
              <w:top w:w="100" w:type="dxa"/>
              <w:left w:w="100" w:type="dxa"/>
              <w:bottom w:w="100" w:type="dxa"/>
              <w:right w:w="100" w:type="dxa"/>
            </w:tcMar>
            <w:vAlign w:val="center"/>
          </w:tcPr>
          <w:p w14:paraId="0947ED98" w14:textId="77777777" w:rsidR="0004470E" w:rsidRDefault="00000000">
            <w:pPr>
              <w:spacing w:before="0" w:after="0" w:line="240" w:lineRule="auto"/>
              <w:jc w:val="center"/>
            </w:pPr>
            <w:r>
              <w:rPr>
                <w:rFonts w:ascii="Times New Roman" w:hAnsi="Times New Roman" w:eastAsia="宋体" w:cs="Times New Roman"/>
                <w:b w:val="0"/>
                <w:color w:val="000000"/>
                <w:sz w:val="21"/>
              </w:rPr>
              <w:t>提升挑战活性</w:t>
            </w:r>
          </w:p>
        </w:tc>
      </w:tr>
      <w:tr w:rsidR="00DE373F" w14:paraId="6F518E7F" w14:textId="77777777">
        <w:trPr>
          <w:trHeight w:val="369"/>
          <w:jc w:val="center"/>
          <w:cantSplit/>
        </w:trPr>
        <w:tc>
          <w:tcPr>
            <w:tcW w:w="2268" w:type="dxa"/>
            <w:tcMar>
              <w:top w:w="100" w:type="dxa"/>
              <w:left w:w="100" w:type="dxa"/>
              <w:bottom w:w="100" w:type="dxa"/>
              <w:right w:w="100" w:type="dxa"/>
            </w:tcMar>
            <w:vAlign w:val="center"/>
          </w:tcPr>
          <w:p w14:paraId="7433C754"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携带证据的紧凑提交</w:t>
            </w:r>
          </w:p>
        </w:tc>
        <w:tc>
          <w:tcPr>
            <w:tcW w:w="4082" w:type="dxa"/>
            <w:tcMar>
              <w:top w:w="100" w:type="dxa"/>
              <w:left w:w="100" w:type="dxa"/>
              <w:bottom w:w="100" w:type="dxa"/>
              <w:right w:w="100" w:type="dxa"/>
            </w:tcMar>
            <w:vAlign w:val="center"/>
          </w:tcPr>
          <w:p w14:paraId="0172E445"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绑定状态</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输出</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证明</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数据可用性根</w:t>
            </w:r>
          </w:p>
        </w:tc>
        <w:tc>
          <w:tcPr>
            <w:tcW w:w="2721" w:type="dxa"/>
            <w:tcMar>
              <w:top w:w="100" w:type="dxa"/>
              <w:left w:w="100" w:type="dxa"/>
              <w:bottom w:w="100" w:type="dxa"/>
              <w:right w:w="100" w:type="dxa"/>
            </w:tcMar>
            <w:vAlign w:val="center"/>
          </w:tcPr>
          <w:p w14:paraId="2FABDD32" w14:textId="77777777" w:rsidR="0004470E" w:rsidRDefault="00000000">
            <w:pPr>
              <w:spacing w:before="0" w:after="0" w:line="240" w:lineRule="auto"/>
              <w:jc w:val="center"/>
            </w:pPr>
            <w:r>
              <w:rPr>
                <w:rFonts w:ascii="Times New Roman" w:hAnsi="Times New Roman" w:eastAsia="宋体" w:cs="Times New Roman"/>
                <w:b w:val="0"/>
                <w:color w:val="000000"/>
                <w:sz w:val="21"/>
              </w:rPr>
              <w:t>形成最小证据入口</w:t>
            </w:r>
          </w:p>
        </w:tc>
      </w:tr>
      <w:tr w:rsidR="00DE373F" w14:paraId="0CDC1156" w14:textId="77777777">
        <w:trPr>
          <w:trHeight w:val="369"/>
          <w:jc w:val="center"/>
          <w:cantSplit/>
        </w:trPr>
        <w:tc>
          <w:tcPr>
            <w:tcW w:w="2268" w:type="dxa"/>
            <w:tcMar>
              <w:top w:w="100" w:type="dxa"/>
              <w:left w:w="100" w:type="dxa"/>
              <w:bottom w:w="100" w:type="dxa"/>
              <w:right w:w="100" w:type="dxa"/>
            </w:tcMar>
            <w:vAlign w:val="center"/>
          </w:tcPr>
          <w:p w14:paraId="26D4807B" w14:textId="77777777" w:rsidR="0004470E" w:rsidRDefault="00000000">
            <w:pPr>
              <w:spacing w:before="0" w:after="0" w:line="240" w:lineRule="auto"/>
              <w:jc w:val="center"/>
            </w:pPr>
            <w:r>
              <w:rPr>
                <w:rFonts w:ascii="Times New Roman" w:hAnsi="Times New Roman" w:eastAsia="宋体" w:cs="Times New Roman"/>
                <w:b w:val="0"/>
                <w:color w:val="000000"/>
                <w:sz w:val="21"/>
              </w:rPr>
              <w:t>故障分类</w:t>
            </w:r>
          </w:p>
        </w:tc>
        <w:tc>
          <w:tcPr>
            <w:tcW w:w="4082" w:type="dxa"/>
            <w:tcMar>
              <w:top w:w="100" w:type="dxa"/>
              <w:left w:w="100" w:type="dxa"/>
              <w:bottom w:w="100" w:type="dxa"/>
              <w:right w:w="100" w:type="dxa"/>
            </w:tcMar>
            <w:vAlign w:val="center"/>
          </w:tcPr>
          <w:p w14:paraId="4151C4ED"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区分证明、数据可用性、超时、重放和轨迹故障</w:t>
            </w:r>
          </w:p>
        </w:tc>
        <w:tc>
          <w:tcPr>
            <w:tcW w:w="2721" w:type="dxa"/>
            <w:tcMar>
              <w:top w:w="100" w:type="dxa"/>
              <w:left w:w="100" w:type="dxa"/>
              <w:bottom w:w="100" w:type="dxa"/>
              <w:right w:w="100" w:type="dxa"/>
            </w:tcMar>
            <w:vAlign w:val="center"/>
          </w:tcPr>
          <w:p w14:paraId="78FC948E" w14:textId="77777777" w:rsidR="0004470E" w:rsidRDefault="00000000">
            <w:pPr>
              <w:spacing w:before="0" w:after="0" w:line="240" w:lineRule="auto"/>
              <w:jc w:val="center"/>
            </w:pPr>
            <w:r>
              <w:rPr>
                <w:rFonts w:ascii="Times New Roman" w:hAnsi="Times New Roman" w:eastAsia="宋体" w:cs="Times New Roman"/>
                <w:b w:val="0"/>
                <w:color w:val="000000"/>
                <w:sz w:val="21"/>
              </w:rPr>
              <w:t>明确异常责任边界</w:t>
            </w:r>
          </w:p>
        </w:tc>
      </w:tr>
      <w:tr w:rsidR="00DE373F" w14:paraId="64C2C61F" w14:textId="77777777">
        <w:trPr>
          <w:trHeight w:val="369"/>
          <w:jc w:val="center"/>
          <w:cantSplit/>
        </w:trPr>
        <w:tc>
          <w:tcPr>
            <w:tcW w:w="2268" w:type="dxa"/>
            <w:tcMar>
              <w:top w:w="100" w:type="dxa"/>
              <w:left w:w="100" w:type="dxa"/>
              <w:bottom w:w="100" w:type="dxa"/>
              <w:right w:w="100" w:type="dxa"/>
            </w:tcMar>
            <w:vAlign w:val="center"/>
          </w:tcPr>
          <w:p w14:paraId="7191CC8F" w14:textId="77777777" w:rsidR="0004470E" w:rsidRDefault="00000000">
            <w:pPr>
              <w:spacing w:before="0" w:after="0" w:line="240" w:lineRule="auto"/>
              <w:jc w:val="center"/>
            </w:pPr>
            <w:r>
              <w:rPr>
                <w:rFonts w:ascii="Times New Roman" w:hAnsi="Times New Roman" w:eastAsia="宋体" w:cs="Times New Roman"/>
                <w:b w:val="0"/>
                <w:color w:val="000000"/>
                <w:sz w:val="21"/>
              </w:rPr>
              <w:t xml:space="preserve">DA </w:t>
            </w:r>
            <w:r>
              <w:rPr>
                <w:rFonts w:ascii="Times New Roman" w:hAnsi="Times New Roman" w:eastAsia="宋体" w:cs="Times New Roman"/>
                <w:b w:val="0"/>
                <w:color w:val="000000"/>
                <w:sz w:val="21"/>
              </w:rPr>
              <w:t>感知成本摊销</w:t>
            </w:r>
          </w:p>
        </w:tc>
        <w:tc>
          <w:tcPr>
            <w:tcW w:w="4082" w:type="dxa"/>
            <w:tcMar>
              <w:top w:w="100" w:type="dxa"/>
              <w:left w:w="100" w:type="dxa"/>
              <w:bottom w:w="100" w:type="dxa"/>
              <w:right w:w="100" w:type="dxa"/>
            </w:tcMar>
            <w:vAlign w:val="center"/>
          </w:tcPr>
          <w:p w14:paraId="01616C42"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联合负载、批处理和数据可用性路径分析成本</w:t>
            </w:r>
          </w:p>
        </w:tc>
        <w:tc>
          <w:tcPr>
            <w:tcW w:w="2721" w:type="dxa"/>
            <w:tcMar>
              <w:top w:w="100" w:type="dxa"/>
              <w:left w:w="100" w:type="dxa"/>
              <w:bottom w:w="100" w:type="dxa"/>
              <w:right w:w="100" w:type="dxa"/>
            </w:tcMar>
            <w:vAlign w:val="center"/>
          </w:tcPr>
          <w:p w14:paraId="1182DF72"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支撑高频</w:t>
            </w:r>
            <w:r>
              <w:rPr>
                <w:rFonts w:ascii="Times New Roman" w:hAnsi="Times New Roman" w:eastAsia="宋体" w:cs="Times New Roman"/>
                <w:b w:val="0"/>
                <w:color w:val="000000"/>
                <w:sz w:val="21"/>
                <w:lang w:eastAsia="zh-CN"/>
              </w:rPr>
              <w:t xml:space="preserve"> DApp </w:t>
            </w:r>
            <w:r>
              <w:rPr>
                <w:rFonts w:ascii="Times New Roman" w:hAnsi="Times New Roman" w:eastAsia="宋体" w:cs="Times New Roman"/>
                <w:b w:val="0"/>
                <w:color w:val="000000"/>
                <w:sz w:val="21"/>
                <w:lang w:eastAsia="zh-CN"/>
              </w:rPr>
              <w:t>成本论证</w:t>
            </w:r>
          </w:p>
        </w:tc>
      </w:tr>
    </w:tbl>
    <w:p w14:paraId="1F3770F6" w14:textId="77777777" w:rsidR="00E637A5"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2 机制语义对比</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5B772597" w14:textId="77777777" w:rsidR="00E637A5" w:rsidRDefault="00000000">
      <w:pPr>
        <w:keepNext/>
        <w:spacing w:before="120" w:after="60" w:line="240" w:lineRule="auto"/>
        <w:ind/>
        <w:jc w:val="both"/>
        <w:rPr>
          <w:lang w:eastAsia="zh-CN"/>
        </w:rPr>
      </w:pPr>
      <w:r>
        <w:rPr>
          <w:rFonts w:ascii="Times New Roman" w:hAnsi="Times New Roman" w:eastAsia="宋体" w:cs="Times New Roman"/>
          <w:b w:val="0"/>
          <w:color w:val="000000"/>
          <w:sz w:val="21"/>
          <w:lang w:eastAsia="zh-CN"/>
        </w:rPr>
        <w:t>表 2 的作用并非给出能力清单，而是界定本文机制与既有系统的关系：已有系统通常已经具备挑战机制或 TEE 快速路径，本文关注的增量在于超时后的挑战活性、紧凑提交到数据可用性字段级证明的绑定关系，以及面向高频工作负载的成本解释。</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7"/>
        <w:gridCol w:w="1814"/>
        <w:gridCol w:w="1134"/>
        <w:gridCol w:w="1361"/>
        <w:gridCol w:w="1587"/>
      </w:tblGrid>
      <w:tr w:rsidR="00E637A5" w14:paraId="343662D4" w14:textId="77777777">
        <w:trPr>
          <w:trHeight w:val="369"/>
          <w:tblHeader w:val="true"/>
          <w:jc w:val="center"/>
          <w:cantSplit/>
        </w:trPr>
        <w:tc>
          <w:tcPr>
            <w:tcW w:w="1474" w:type="dxa"/>
            <w:shd w:val="clear" w:color="auto" w:fill="D9D9D9"/>
            <w:tcMar>
              <w:top w:w="100" w:type="dxa"/>
              <w:left w:w="100" w:type="dxa"/>
              <w:bottom w:w="100" w:type="dxa"/>
              <w:right w:w="100" w:type="dxa"/>
            </w:tcMar>
            <w:vAlign w:val="center"/>
          </w:tcPr>
          <w:p w14:paraId="04EA0480" w14:textId="77777777" w:rsidR="0004470E" w:rsidRDefault="00000000">
            <w:pPr>
              <w:spacing w:before="0" w:after="0" w:line="240" w:lineRule="auto"/>
              <w:jc w:val="center"/>
            </w:pPr>
            <w:r>
              <w:rPr>
                <w:rFonts w:ascii="Times New Roman" w:hAnsi="Times New Roman" w:eastAsia="宋体" w:cs="Times New Roman"/>
                <w:b/>
                <w:color w:val="000000"/>
                <w:sz w:val="21"/>
              </w:rPr>
              <w:t>系统</w:t>
            </w:r>
          </w:p>
        </w:tc>
        <w:tc>
          <w:tcPr>
            <w:tcW w:w="1927" w:type="dxa"/>
            <w:shd w:val="clear" w:color="auto" w:fill="D9D9D9"/>
            <w:tcMar>
              <w:top w:w="100" w:type="dxa"/>
              <w:left w:w="100" w:type="dxa"/>
              <w:bottom w:w="100" w:type="dxa"/>
              <w:right w:w="100" w:type="dxa"/>
            </w:tcMar>
            <w:vAlign w:val="center"/>
          </w:tcPr>
          <w:p w14:paraId="20BB5288" w14:textId="77777777" w:rsidR="0004470E" w:rsidRDefault="00000000">
            <w:pPr>
              <w:spacing w:before="0" w:after="0" w:line="240" w:lineRule="auto"/>
              <w:jc w:val="center"/>
            </w:pPr>
            <w:r>
              <w:rPr>
                <w:rFonts w:ascii="Times New Roman" w:hAnsi="Times New Roman" w:eastAsia="宋体" w:cs="Times New Roman"/>
                <w:b/>
                <w:color w:val="000000"/>
                <w:sz w:val="21"/>
              </w:rPr>
              <w:t>挑战机制角色</w:t>
            </w:r>
          </w:p>
        </w:tc>
        <w:tc>
          <w:tcPr>
            <w:tcW w:w="1701" w:type="dxa"/>
            <w:shd w:val="clear" w:color="auto" w:fill="D9D9D9"/>
            <w:tcMar>
              <w:top w:w="100" w:type="dxa"/>
              <w:left w:w="100" w:type="dxa"/>
              <w:bottom w:w="100" w:type="dxa"/>
              <w:right w:w="100" w:type="dxa"/>
            </w:tcMar>
            <w:vAlign w:val="center"/>
          </w:tcPr>
          <w:p w14:paraId="4D59EF71" w14:textId="77777777" w:rsidR="0004470E" w:rsidRDefault="00000000">
            <w:pPr>
              <w:spacing w:before="0" w:after="0" w:line="240" w:lineRule="auto"/>
              <w:jc w:val="center"/>
            </w:pPr>
            <w:r>
              <w:rPr>
                <w:rFonts w:ascii="Times New Roman" w:hAnsi="Times New Roman" w:eastAsia="宋体" w:cs="Times New Roman"/>
                <w:b/>
                <w:color w:val="000000"/>
                <w:sz w:val="21"/>
              </w:rPr>
              <w:t>恢复语义</w:t>
            </w:r>
          </w:p>
        </w:tc>
        <w:tc>
          <w:tcPr>
            <w:tcW w:w="1814" w:type="dxa"/>
            <w:shd w:val="clear" w:color="auto" w:fill="D9D9D9"/>
            <w:tcMar>
              <w:top w:w="100" w:type="dxa"/>
              <w:left w:w="100" w:type="dxa"/>
              <w:bottom w:w="100" w:type="dxa"/>
              <w:right w:w="100" w:type="dxa"/>
            </w:tcMar>
            <w:vAlign w:val="center"/>
          </w:tcPr>
          <w:p w14:paraId="0E439932" w14:textId="77777777" w:rsidR="0004470E" w:rsidRDefault="00000000">
            <w:pPr>
              <w:spacing w:before="0" w:after="0" w:line="240" w:lineRule="auto"/>
              <w:jc w:val="center"/>
            </w:pPr>
            <w:r>
              <w:rPr>
                <w:rFonts w:ascii="Times New Roman" w:hAnsi="Times New Roman" w:eastAsia="宋体" w:cs="Times New Roman"/>
                <w:b/>
                <w:color w:val="000000"/>
                <w:sz w:val="21"/>
              </w:rPr>
              <w:t xml:space="preserve">DA </w:t>
            </w:r>
            <w:r>
              <w:rPr>
                <w:rFonts w:ascii="Times New Roman" w:hAnsi="Times New Roman" w:eastAsia="宋体" w:cs="Times New Roman"/>
                <w:b/>
                <w:color w:val="000000"/>
                <w:sz w:val="21"/>
              </w:rPr>
              <w:t>证据绑定</w:t>
            </w:r>
          </w:p>
        </w:tc>
        <w:tc>
          <w:tcPr>
            <w:tcW w:w="1927" w:type="dxa"/>
            <w:shd w:val="clear" w:color="auto" w:fill="D9D9D9"/>
            <w:tcMar>
              <w:top w:w="100" w:type="dxa"/>
              <w:left w:w="100" w:type="dxa"/>
              <w:bottom w:w="100" w:type="dxa"/>
              <w:right w:w="100" w:type="dxa"/>
            </w:tcMar>
            <w:vAlign w:val="center"/>
          </w:tcPr>
          <w:p w14:paraId="5258D028" w14:textId="77777777" w:rsidR="0004470E" w:rsidRDefault="00000000">
            <w:pPr>
              <w:spacing w:before="0" w:after="0" w:line="240" w:lineRule="auto"/>
              <w:jc w:val="center"/>
            </w:pPr>
            <w:r>
              <w:rPr>
                <w:rFonts w:ascii="Times New Roman" w:hAnsi="Times New Roman" w:eastAsia="宋体" w:cs="Times New Roman"/>
                <w:b/>
                <w:color w:val="000000"/>
                <w:sz w:val="21"/>
              </w:rPr>
              <w:t>成本模型作用</w:t>
            </w:r>
          </w:p>
        </w:tc>
      </w:tr>
      <w:tr w:rsidR="00E637A5" w14:paraId="534BDE18" w14:textId="77777777">
        <w:trPr>
          <w:trHeight w:val="369"/>
          <w:jc w:val="center"/>
          <w:cantSplit/>
        </w:trPr>
        <w:tc>
          <w:tcPr>
            <w:tcW w:w="1474" w:type="dxa"/>
            <w:tcMar>
              <w:top w:w="100" w:type="dxa"/>
              <w:left w:w="100" w:type="dxa"/>
              <w:bottom w:w="100" w:type="dxa"/>
              <w:right w:w="100" w:type="dxa"/>
            </w:tcMar>
            <w:vAlign w:val="center"/>
          </w:tcPr>
          <w:p w14:paraId="257A1FC1" w14:textId="77777777" w:rsidR="0004470E" w:rsidRDefault="00000000">
            <w:pPr>
              <w:spacing w:before="0" w:after="0" w:line="240" w:lineRule="auto"/>
              <w:jc w:val="center"/>
            </w:pPr>
            <w:r>
              <w:rPr>
                <w:rFonts w:ascii="Times New Roman" w:hAnsi="Times New Roman" w:eastAsia="宋体" w:cs="Times New Roman"/>
                <w:b w:val="0"/>
                <w:color w:val="000000"/>
                <w:sz w:val="21"/>
              </w:rPr>
              <w:t>Optimism</w:t>
            </w:r>
          </w:p>
        </w:tc>
        <w:tc>
          <w:tcPr>
            <w:tcW w:w="1927" w:type="dxa"/>
            <w:tcMar>
              <w:top w:w="100" w:type="dxa"/>
              <w:left w:w="100" w:type="dxa"/>
              <w:bottom w:w="100" w:type="dxa"/>
              <w:right w:w="100" w:type="dxa"/>
            </w:tcMar>
            <w:vAlign w:val="center"/>
          </w:tcPr>
          <w:p w14:paraId="5921068E" w14:textId="77777777" w:rsidR="0004470E" w:rsidRDefault="00000000">
            <w:pPr>
              <w:spacing w:before="0" w:after="0" w:line="240" w:lineRule="auto"/>
              <w:jc w:val="center"/>
            </w:pPr>
            <w:r>
              <w:rPr>
                <w:rFonts w:ascii="Times New Roman" w:hAnsi="Times New Roman" w:eastAsia="宋体" w:cs="Times New Roman"/>
                <w:b w:val="0"/>
                <w:color w:val="000000"/>
                <w:sz w:val="21"/>
              </w:rPr>
              <w:t>欺诈证明</w:t>
            </w:r>
            <w:r>
              <w:rPr>
                <w:rFonts w:ascii="Times New Roman" w:hAnsi="Times New Roman" w:eastAsia="宋体" w:cs="Times New Roman"/>
                <w:b w:val="0"/>
                <w:color w:val="000000"/>
                <w:sz w:val="21"/>
              </w:rPr>
              <w:t xml:space="preserve"> / </w:t>
            </w:r>
            <w:r>
              <w:rPr>
                <w:rFonts w:ascii="Times New Roman" w:hAnsi="Times New Roman" w:eastAsia="宋体" w:cs="Times New Roman"/>
                <w:b w:val="0"/>
                <w:color w:val="000000"/>
                <w:sz w:val="21"/>
              </w:rPr>
              <w:t>争议博弈</w:t>
            </w:r>
          </w:p>
        </w:tc>
        <w:tc>
          <w:tcPr>
            <w:tcW w:w="1701" w:type="dxa"/>
            <w:tcMar>
              <w:top w:w="100" w:type="dxa"/>
              <w:left w:w="100" w:type="dxa"/>
              <w:bottom w:w="100" w:type="dxa"/>
              <w:right w:w="100" w:type="dxa"/>
            </w:tcMar>
            <w:vAlign w:val="center"/>
          </w:tcPr>
          <w:p w14:paraId="63054E73"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主要依赖挑战窗口假设处理超时</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1814" w:type="dxa"/>
            <w:tcMar>
              <w:top w:w="100" w:type="dxa"/>
              <w:left w:w="100" w:type="dxa"/>
              <w:bottom w:w="100" w:type="dxa"/>
              <w:right w:w="100" w:type="dxa"/>
            </w:tcMar>
            <w:vAlign w:val="center"/>
          </w:tcPr>
          <w:p w14:paraId="5D9F7BF3" w14:textId="77777777" w:rsidR="0004470E" w:rsidRDefault="00000000">
            <w:pPr>
              <w:spacing w:before="0" w:after="0" w:line="240" w:lineRule="auto"/>
              <w:jc w:val="center"/>
            </w:pPr>
            <w:r>
              <w:rPr>
                <w:rFonts w:ascii="Times New Roman" w:hAnsi="Times New Roman" w:eastAsia="宋体" w:cs="Times New Roman"/>
                <w:b w:val="0"/>
                <w:color w:val="000000"/>
                <w:sz w:val="21"/>
              </w:rPr>
              <w:t>非本文比较重点</w:t>
            </w:r>
          </w:p>
        </w:tc>
        <w:tc>
          <w:tcPr>
            <w:tcW w:w="1927" w:type="dxa"/>
            <w:tcMar>
              <w:top w:w="100" w:type="dxa"/>
              <w:left w:w="100" w:type="dxa"/>
              <w:bottom w:w="100" w:type="dxa"/>
              <w:right w:w="100" w:type="dxa"/>
            </w:tcMar>
            <w:vAlign w:val="center"/>
          </w:tcPr>
          <w:p w14:paraId="4A6301E0" w14:textId="77777777" w:rsidR="0004470E" w:rsidRDefault="00000000">
            <w:pPr>
              <w:spacing w:before="0" w:after="0" w:line="240" w:lineRule="auto"/>
              <w:jc w:val="center"/>
            </w:pPr>
            <w:r>
              <w:rPr>
                <w:rFonts w:ascii="Times New Roman" w:hAnsi="Times New Roman" w:eastAsia="宋体" w:cs="Times New Roman"/>
                <w:b w:val="0"/>
                <w:color w:val="000000"/>
                <w:sz w:val="21"/>
              </w:rPr>
              <w:t>本文未建模</w:t>
            </w:r>
          </w:p>
        </w:tc>
      </w:tr>
      <w:tr w:rsidR="00E637A5" w14:paraId="1D2472DF" w14:textId="77777777">
        <w:trPr>
          <w:trHeight w:val="369"/>
          <w:jc w:val="center"/>
          <w:cantSplit/>
        </w:trPr>
        <w:tc>
          <w:tcPr>
            <w:tcW w:w="1474" w:type="dxa"/>
            <w:tcMar>
              <w:top w:w="100" w:type="dxa"/>
              <w:left w:w="100" w:type="dxa"/>
              <w:bottom w:w="100" w:type="dxa"/>
              <w:right w:w="100" w:type="dxa"/>
            </w:tcMar>
            <w:vAlign w:val="center"/>
          </w:tcPr>
          <w:p w14:paraId="209411E4" w14:textId="77777777" w:rsidR="0004470E" w:rsidRDefault="00000000">
            <w:pPr>
              <w:spacing w:before="0" w:after="0" w:line="240" w:lineRule="auto"/>
              <w:jc w:val="center"/>
            </w:pPr>
            <w:r>
              <w:rPr>
                <w:rFonts w:ascii="Times New Roman" w:hAnsi="Times New Roman" w:eastAsia="宋体" w:cs="Times New Roman"/>
                <w:b w:val="0"/>
                <w:color w:val="000000"/>
                <w:sz w:val="21"/>
              </w:rPr>
              <w:t>Arbitrum</w:t>
            </w:r>
          </w:p>
        </w:tc>
        <w:tc>
          <w:tcPr>
            <w:tcW w:w="1927" w:type="dxa"/>
            <w:tcMar>
              <w:top w:w="100" w:type="dxa"/>
              <w:left w:w="100" w:type="dxa"/>
              <w:bottom w:w="100" w:type="dxa"/>
              <w:right w:w="100" w:type="dxa"/>
            </w:tcMar>
            <w:vAlign w:val="center"/>
          </w:tcPr>
          <w:p w14:paraId="6B7F2321" w14:textId="77777777" w:rsidR="0004470E" w:rsidRDefault="00000000">
            <w:pPr>
              <w:spacing w:before="0" w:after="0" w:line="240" w:lineRule="auto"/>
              <w:jc w:val="center"/>
            </w:pPr>
            <w:r>
              <w:rPr>
                <w:rFonts w:ascii="Times New Roman" w:hAnsi="Times New Roman" w:eastAsia="宋体" w:cs="Times New Roman"/>
                <w:b w:val="0"/>
                <w:color w:val="000000"/>
                <w:sz w:val="21"/>
              </w:rPr>
              <w:t>交互式争议定位</w:t>
            </w:r>
          </w:p>
        </w:tc>
        <w:tc>
          <w:tcPr>
            <w:tcW w:w="1701" w:type="dxa"/>
            <w:tcMar>
              <w:top w:w="100" w:type="dxa"/>
              <w:left w:w="100" w:type="dxa"/>
              <w:bottom w:w="100" w:type="dxa"/>
              <w:right w:w="100" w:type="dxa"/>
            </w:tcMar>
            <w:vAlign w:val="center"/>
          </w:tcPr>
          <w:p w14:paraId="077397E3"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协议特定的争议推进机制</w:t>
            </w:r>
          </w:p>
        </w:tc>
        <w:tc>
          <w:tcPr>
            <w:tcW w:w="1814" w:type="dxa"/>
            <w:tcMar>
              <w:top w:w="100" w:type="dxa"/>
              <w:left w:w="100" w:type="dxa"/>
              <w:bottom w:w="100" w:type="dxa"/>
              <w:right w:w="100" w:type="dxa"/>
            </w:tcMar>
            <w:vAlign w:val="center"/>
          </w:tcPr>
          <w:p w14:paraId="78968C58" w14:textId="77777777" w:rsidR="0004470E" w:rsidRDefault="00000000">
            <w:pPr>
              <w:spacing w:before="0" w:after="0" w:line="240" w:lineRule="auto"/>
              <w:jc w:val="center"/>
            </w:pPr>
            <w:r>
              <w:rPr>
                <w:rFonts w:ascii="Times New Roman" w:hAnsi="Times New Roman" w:eastAsia="宋体" w:cs="Times New Roman"/>
                <w:b w:val="0"/>
                <w:color w:val="000000"/>
                <w:sz w:val="21"/>
              </w:rPr>
              <w:t>非本文比较重点</w:t>
            </w:r>
          </w:p>
        </w:tc>
        <w:tc>
          <w:tcPr>
            <w:tcW w:w="1927" w:type="dxa"/>
            <w:tcMar>
              <w:top w:w="100" w:type="dxa"/>
              <w:left w:w="100" w:type="dxa"/>
              <w:bottom w:w="100" w:type="dxa"/>
              <w:right w:w="100" w:type="dxa"/>
            </w:tcMar>
            <w:vAlign w:val="center"/>
          </w:tcPr>
          <w:p w14:paraId="4293049A" w14:textId="77777777" w:rsidR="0004470E" w:rsidRDefault="00000000">
            <w:pPr>
              <w:spacing w:before="0" w:after="0" w:line="240" w:lineRule="auto"/>
              <w:jc w:val="center"/>
            </w:pPr>
            <w:r>
              <w:rPr>
                <w:rFonts w:ascii="Times New Roman" w:hAnsi="Times New Roman" w:eastAsia="宋体" w:cs="Times New Roman"/>
                <w:b w:val="0"/>
                <w:color w:val="000000"/>
                <w:sz w:val="21"/>
              </w:rPr>
              <w:t>本文未建模</w:t>
            </w:r>
          </w:p>
        </w:tc>
      </w:tr>
      <w:tr w:rsidR="00E637A5" w14:paraId="2BBC083E" w14:textId="77777777">
        <w:trPr>
          <w:trHeight w:val="369"/>
          <w:jc w:val="center"/>
          <w:cantSplit/>
        </w:trPr>
        <w:tc>
          <w:tcPr>
            <w:tcW w:w="1474" w:type="dxa"/>
            <w:tcMar>
              <w:top w:w="100" w:type="dxa"/>
              <w:left w:w="100" w:type="dxa"/>
              <w:bottom w:w="100" w:type="dxa"/>
              <w:right w:w="100" w:type="dxa"/>
            </w:tcMar>
            <w:vAlign w:val="center"/>
          </w:tcPr>
          <w:p w14:paraId="1A579035" w14:textId="77777777" w:rsidR="0004470E" w:rsidRDefault="00000000">
            <w:pPr>
              <w:spacing w:before="0" w:after="0" w:line="240" w:lineRule="auto"/>
              <w:jc w:val="center"/>
            </w:pPr>
            <w:r>
              <w:rPr>
                <w:rFonts w:ascii="Times New Roman" w:hAnsi="Times New Roman" w:eastAsia="宋体" w:cs="Times New Roman"/>
                <w:b w:val="0"/>
                <w:color w:val="000000"/>
                <w:sz w:val="21"/>
              </w:rPr>
              <w:t>OTR</w:t>
            </w:r>
          </w:p>
        </w:tc>
        <w:tc>
          <w:tcPr>
            <w:tcW w:w="1927" w:type="dxa"/>
            <w:tcMar>
              <w:top w:w="100" w:type="dxa"/>
              <w:left w:w="100" w:type="dxa"/>
              <w:bottom w:w="100" w:type="dxa"/>
              <w:right w:w="100" w:type="dxa"/>
            </w:tcMar>
            <w:vAlign w:val="center"/>
          </w:tcPr>
          <w:p w14:paraId="2C4407C3"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 xml:space="preserve">TEE </w:t>
            </w:r>
            <w:r>
              <w:rPr>
                <w:rFonts w:ascii="Times New Roman" w:hAnsi="Times New Roman" w:eastAsia="宋体" w:cs="Times New Roman"/>
                <w:b w:val="0"/>
                <w:color w:val="000000"/>
                <w:sz w:val="21"/>
                <w:lang w:eastAsia="zh-CN"/>
              </w:rPr>
              <w:t>辅助的乐观验证</w:t>
            </w:r>
          </w:p>
        </w:tc>
        <w:tc>
          <w:tcPr>
            <w:tcW w:w="1701" w:type="dxa"/>
            <w:tcMar>
              <w:top w:w="100" w:type="dxa"/>
              <w:left w:w="100" w:type="dxa"/>
              <w:bottom w:w="100" w:type="dxa"/>
              <w:right w:w="100" w:type="dxa"/>
            </w:tcMar>
            <w:vAlign w:val="center"/>
          </w:tcPr>
          <w:p w14:paraId="48EA9AC2" w14:textId="77777777" w:rsidR="00494751" w:rsidRDefault="00000000">
            <w:pPr>
              <w:spacing w:before="0" w:after="0" w:line="240" w:lineRule="auto"/>
              <w:jc w:val="center"/>
            </w:pPr>
            <w:r>
              <w:rPr>
                <w:rFonts w:ascii="Times New Roman" w:hAnsi="Times New Roman" w:eastAsia="宋体" w:cs="Times New Roman"/>
                <w:b w:val="0"/>
                <w:color w:val="000000"/>
                <w:sz w:val="21"/>
              </w:rPr>
              <w:t>超时恢复讨论有限</w:t>
            </w:r>
          </w:p>
        </w:tc>
        <w:tc>
          <w:tcPr>
            <w:tcW w:w="1814" w:type="dxa"/>
            <w:tcMar>
              <w:top w:w="100" w:type="dxa"/>
              <w:left w:w="100" w:type="dxa"/>
              <w:bottom w:w="100" w:type="dxa"/>
              <w:right w:w="100" w:type="dxa"/>
            </w:tcMar>
            <w:vAlign w:val="center"/>
          </w:tcPr>
          <w:p w14:paraId="6B3FD2ED" w14:textId="77777777" w:rsidR="00494751" w:rsidRDefault="00000000">
            <w:pPr>
              <w:spacing w:before="0" w:after="0" w:line="240" w:lineRule="auto"/>
              <w:jc w:val="center"/>
            </w:pPr>
            <w:r>
              <w:rPr>
                <w:rFonts w:ascii="Times New Roman" w:hAnsi="Times New Roman" w:eastAsia="宋体" w:cs="Times New Roman"/>
                <w:b w:val="0"/>
                <w:color w:val="000000"/>
                <w:sz w:val="21"/>
              </w:rPr>
              <w:t>部分负载</w:t>
            </w:r>
            <w:r>
              <w:rPr>
                <w:rFonts w:ascii="Times New Roman" w:hAnsi="Times New Roman" w:eastAsia="宋体" w:cs="Times New Roman"/>
                <w:b w:val="0"/>
                <w:color w:val="000000"/>
                <w:sz w:val="21"/>
              </w:rPr>
              <w:t>/</w:t>
            </w:r>
            <w:r>
              <w:rPr>
                <w:rFonts w:ascii="Times New Roman" w:hAnsi="Times New Roman" w:eastAsia="宋体" w:cs="Times New Roman"/>
                <w:b w:val="0"/>
                <w:color w:val="000000"/>
                <w:sz w:val="21"/>
              </w:rPr>
              <w:t>证明关联</w:t>
            </w:r>
          </w:p>
        </w:tc>
        <w:tc>
          <w:tcPr>
            <w:tcW w:w="1927" w:type="dxa"/>
            <w:tcMar>
              <w:top w:w="100" w:type="dxa"/>
              <w:left w:w="100" w:type="dxa"/>
              <w:bottom w:w="100" w:type="dxa"/>
              <w:right w:w="100" w:type="dxa"/>
            </w:tcMar>
            <w:vAlign w:val="center"/>
          </w:tcPr>
          <w:p w14:paraId="0A8BAEC2" w14:textId="77777777" w:rsidR="0004470E" w:rsidRDefault="00000000">
            <w:pPr>
              <w:spacing w:before="0" w:after="0" w:line="240" w:lineRule="auto"/>
              <w:jc w:val="center"/>
            </w:pPr>
            <w:r>
              <w:rPr>
                <w:rFonts w:ascii="Times New Roman" w:hAnsi="Times New Roman" w:eastAsia="宋体" w:cs="Times New Roman"/>
                <w:b w:val="0"/>
                <w:color w:val="000000"/>
                <w:sz w:val="21"/>
              </w:rPr>
              <w:t>本文未建模</w:t>
            </w:r>
          </w:p>
        </w:tc>
      </w:tr>
      <w:tr w:rsidR="00E637A5" w14:paraId="5CF3FC67" w14:textId="77777777">
        <w:trPr>
          <w:trHeight w:val="369"/>
          <w:jc w:val="center"/>
          <w:cantSplit/>
        </w:trPr>
        <w:tc>
          <w:tcPr>
            <w:tcW w:w="1474" w:type="dxa"/>
            <w:tcMar>
              <w:top w:w="100" w:type="dxa"/>
              <w:left w:w="100" w:type="dxa"/>
              <w:bottom w:w="100" w:type="dxa"/>
              <w:right w:w="100" w:type="dxa"/>
            </w:tcMar>
            <w:vAlign w:val="center"/>
          </w:tcPr>
          <w:p w14:paraId="6794FC1A" w14:textId="77777777" w:rsidR="0004470E" w:rsidRDefault="00000000">
            <w:pPr>
              <w:spacing w:before="0" w:after="0" w:line="240" w:lineRule="auto"/>
              <w:jc w:val="center"/>
            </w:pPr>
            <w:r>
              <w:rPr>
                <w:rFonts w:ascii="Times New Roman" w:hAnsi="Times New Roman" w:eastAsia="宋体" w:cs="Times New Roman"/>
                <w:b w:val="0"/>
                <w:color w:val="000000"/>
                <w:sz w:val="21"/>
              </w:rPr>
              <w:t>TEERollup</w:t>
            </w:r>
          </w:p>
        </w:tc>
        <w:tc>
          <w:tcPr>
            <w:tcW w:w="1927" w:type="dxa"/>
            <w:tcMar>
              <w:top w:w="100" w:type="dxa"/>
              <w:left w:w="100" w:type="dxa"/>
              <w:bottom w:w="100" w:type="dxa"/>
              <w:right w:w="100" w:type="dxa"/>
            </w:tcMar>
            <w:vAlign w:val="center"/>
          </w:tcPr>
          <w:p w14:paraId="59985985" w14:textId="77777777" w:rsidR="00494751" w:rsidRDefault="00000000">
            <w:pPr>
              <w:spacing w:before="0" w:after="0" w:line="240" w:lineRule="auto"/>
              <w:jc w:val="center"/>
            </w:pPr>
            <w:r>
              <w:rPr>
                <w:rFonts w:ascii="Times New Roman" w:hAnsi="Times New Roman" w:eastAsia="宋体" w:cs="Times New Roman"/>
                <w:b w:val="0"/>
                <w:color w:val="000000"/>
                <w:sz w:val="21"/>
              </w:rPr>
              <w:t xml:space="preserve">TEE </w:t>
            </w:r>
            <w:r>
              <w:rPr>
                <w:rFonts w:ascii="Times New Roman" w:hAnsi="Times New Roman" w:eastAsia="宋体" w:cs="Times New Roman"/>
                <w:b w:val="0"/>
                <w:color w:val="000000"/>
                <w:sz w:val="21"/>
              </w:rPr>
              <w:t>快速路径与挑战入口</w:t>
            </w:r>
          </w:p>
        </w:tc>
        <w:tc>
          <w:tcPr>
            <w:tcW w:w="1701" w:type="dxa"/>
            <w:tcMar>
              <w:top w:w="100" w:type="dxa"/>
              <w:left w:w="100" w:type="dxa"/>
              <w:bottom w:w="100" w:type="dxa"/>
              <w:right w:w="100" w:type="dxa"/>
            </w:tcMar>
            <w:vAlign w:val="center"/>
          </w:tcPr>
          <w:p w14:paraId="44AF289F"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主要作为系统机制讨论</w:t>
            </w:r>
          </w:p>
        </w:tc>
        <w:tc>
          <w:tcPr>
            <w:tcW w:w="1814" w:type="dxa"/>
            <w:tcMar>
              <w:top w:w="100" w:type="dxa"/>
              <w:left w:w="100" w:type="dxa"/>
              <w:bottom w:w="100" w:type="dxa"/>
              <w:right w:w="100" w:type="dxa"/>
            </w:tcMar>
            <w:vAlign w:val="center"/>
          </w:tcPr>
          <w:p w14:paraId="0EB6256B" w14:textId="77777777" w:rsidR="00494751" w:rsidRDefault="00000000">
            <w:pPr>
              <w:spacing w:before="0" w:after="0" w:line="240" w:lineRule="auto"/>
              <w:jc w:val="center"/>
            </w:pPr>
            <w:r>
              <w:rPr>
                <w:rFonts w:ascii="Times New Roman" w:hAnsi="Times New Roman" w:eastAsia="宋体" w:cs="Times New Roman"/>
                <w:b w:val="0"/>
                <w:color w:val="000000"/>
                <w:sz w:val="21"/>
              </w:rPr>
              <w:t>架构层面讨论</w:t>
            </w:r>
          </w:p>
        </w:tc>
        <w:tc>
          <w:tcPr>
            <w:tcW w:w="1927" w:type="dxa"/>
            <w:tcMar>
              <w:top w:w="100" w:type="dxa"/>
              <w:left w:w="100" w:type="dxa"/>
              <w:bottom w:w="100" w:type="dxa"/>
              <w:right w:w="100" w:type="dxa"/>
            </w:tcMar>
            <w:vAlign w:val="center"/>
          </w:tcPr>
          <w:p w14:paraId="7CC6428C"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未给出轻量数据可用性摊销模型</w:t>
            </w:r>
          </w:p>
        </w:tc>
      </w:tr>
      <w:tr w:rsidR="00E637A5" w14:paraId="6E6AC8D9" w14:textId="77777777">
        <w:trPr>
          <w:trHeight w:val="369"/>
          <w:jc w:val="center"/>
          <w:cantSplit/>
        </w:trPr>
        <w:tc>
          <w:tcPr>
            <w:tcW w:w="1474" w:type="dxa"/>
            <w:tcMar>
              <w:top w:w="100" w:type="dxa"/>
              <w:left w:w="100" w:type="dxa"/>
              <w:bottom w:w="100" w:type="dxa"/>
              <w:right w:w="100" w:type="dxa"/>
            </w:tcMar>
            <w:vAlign w:val="center"/>
          </w:tcPr>
          <w:p w14:paraId="1726EBE3" w14:textId="77777777" w:rsidR="0004470E" w:rsidRDefault="00000000">
            <w:pPr>
              <w:spacing w:before="0" w:after="0" w:line="240" w:lineRule="auto"/>
              <w:jc w:val="center"/>
            </w:pPr>
            <w:r>
              <w:rPr>
                <w:rFonts w:ascii="Times New Roman" w:hAnsi="Times New Roman" w:eastAsia="宋体" w:cs="Times New Roman"/>
                <w:b w:val="0"/>
                <w:color w:val="000000"/>
                <w:sz w:val="21"/>
              </w:rPr>
              <w:t>本文工作</w:t>
            </w:r>
          </w:p>
        </w:tc>
        <w:tc>
          <w:tcPr>
            <w:tcW w:w="1927" w:type="dxa"/>
            <w:tcMar>
              <w:top w:w="100" w:type="dxa"/>
              <w:left w:w="100" w:type="dxa"/>
              <w:bottom w:w="100" w:type="dxa"/>
              <w:right w:w="100" w:type="dxa"/>
            </w:tcMar>
            <w:vAlign w:val="center"/>
          </w:tcPr>
          <w:p w14:paraId="4B342F97" w14:textId="77777777" w:rsidR="00494751" w:rsidRDefault="00000000">
            <w:pPr>
              <w:spacing w:before="0" w:after="0" w:line="240" w:lineRule="auto"/>
              <w:jc w:val="center"/>
            </w:pPr>
            <w:r>
              <w:rPr>
                <w:rFonts w:ascii="Times New Roman" w:hAnsi="Times New Roman" w:eastAsia="宋体" w:cs="Times New Roman"/>
                <w:b w:val="0"/>
                <w:color w:val="000000"/>
                <w:sz w:val="21"/>
              </w:rPr>
              <w:t>可恢复挑战状</w:t>
            </w:r>
            <w:r>
              <w:rPr>
                <w:rFonts w:ascii="Times New Roman" w:hAnsi="Times New Roman" w:eastAsia="宋体" w:cs="Times New Roman"/>
                <w:b w:val="0"/>
                <w:color w:val="000000"/>
                <w:sz w:val="21"/>
              </w:rPr>
              <w:lastRenderedPageBreak/>
              <w:t>态机</w:t>
            </w:r>
          </w:p>
        </w:tc>
        <w:tc>
          <w:tcPr>
            <w:tcW w:w="1701" w:type="dxa"/>
            <w:tcMar>
              <w:top w:w="100" w:type="dxa"/>
              <w:left w:w="100" w:type="dxa"/>
              <w:bottom w:w="100" w:type="dxa"/>
              <w:right w:w="100" w:type="dxa"/>
            </w:tcMar>
            <w:vAlign w:val="center"/>
          </w:tcPr>
          <w:p w14:paraId="2C12A2AD"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lastRenderedPageBreak/>
              <w:t>恢复操作</w:t>
            </w:r>
            <w:r>
              <w:rPr>
                <w:rFonts w:ascii="Times New Roman" w:hAnsi="Times New Roman" w:eastAsia="宋体" w:cs="Times New Roman"/>
                <w:b w:val="0"/>
                <w:color w:val="000000"/>
                <w:sz w:val="21"/>
                <w:lang w:eastAsia="zh-CN"/>
              </w:rPr>
              <w:lastRenderedPageBreak/>
              <w:t>作为保持活性的状态转移</w:t>
            </w:r>
          </w:p>
        </w:tc>
        <w:tc>
          <w:tcPr>
            <w:tcW w:w="1814" w:type="dxa"/>
            <w:tcMar>
              <w:top w:w="100" w:type="dxa"/>
              <w:left w:w="100" w:type="dxa"/>
              <w:bottom w:w="100" w:type="dxa"/>
              <w:right w:w="100" w:type="dxa"/>
            </w:tcMar>
            <w:vAlign w:val="center"/>
          </w:tcPr>
          <w:p w14:paraId="61F7931F"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lastRenderedPageBreak/>
              <w:t>紧凑提交到</w:t>
            </w:r>
            <w:r>
              <w:rPr>
                <w:rFonts w:ascii="Times New Roman" w:hAnsi="Times New Roman" w:eastAsia="宋体" w:cs="Times New Roman"/>
                <w:b w:val="0"/>
                <w:color w:val="000000"/>
                <w:sz w:val="21"/>
                <w:lang w:eastAsia="zh-CN"/>
              </w:rPr>
              <w:lastRenderedPageBreak/>
              <w:t>数据可用性字段级证明的绑定</w:t>
            </w:r>
          </w:p>
        </w:tc>
        <w:tc>
          <w:tcPr>
            <w:tcW w:w="1927" w:type="dxa"/>
            <w:tcMar>
              <w:top w:w="100" w:type="dxa"/>
              <w:left w:w="100" w:type="dxa"/>
              <w:bottom w:w="100" w:type="dxa"/>
              <w:right w:w="100" w:type="dxa"/>
            </w:tcMar>
            <w:vAlign w:val="center"/>
          </w:tcPr>
          <w:p w14:paraId="71D40904"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lastRenderedPageBreak/>
              <w:t>负载</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批处理</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lastRenderedPageBreak/>
              <w:t>路径权衡分析</w:t>
            </w:r>
          </w:p>
        </w:tc>
      </w:tr>
    </w:tbl>
    <w:p w14:paraId="7B6D08AB"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2 </w:t>
      </w:r>
      <w:r>
        <w:rPr>
          <w:rFonts w:ascii="Times New Roman" w:hAnsi="Times New Roman" w:eastAsia="黑体" w:cs="Times New Roman"/>
          <w:b/>
          <w:color w:val="000000"/>
          <w:sz w:val="28"/>
          <w:lang w:eastAsia="zh-CN"/>
        </w:rPr>
        <w:t>背景与威胁模型</w:t>
      </w:r>
    </w:p>
    <w:p w14:paraId="20F289C0"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2.1 </w:t>
      </w:r>
      <w:r>
        <w:rPr>
          <w:rFonts w:ascii="Times New Roman" w:hAnsi="Times New Roman" w:eastAsia="黑体" w:cs="Times New Roman"/>
          <w:b/>
          <w:color w:val="000000"/>
          <w:sz w:val="24"/>
          <w:lang w:eastAsia="zh-CN"/>
        </w:rPr>
        <w:t>汇总、可信执行环境与数据可用性</w:t>
      </w:r>
    </w:p>
    <w:p w14:paraId="139B4785"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汇总的基本思想是将大量执行过程移至链下完成，并将状态承诺、证明或争议入口提交到链上。零知识汇总通过有效性证明保证提交状态的正确性，具有较强的验证属性，但证明生成、验证电路设计和复杂系统实现带来较高成本。乐观汇总假设链下执行结果默认正确，只有在挑战期内出现有效争议时才对结果进行仲裁。乐观汇总的优势是实现门槛相对较低、链上负担较轻；其弱点是争议窗口和交互期间的状态不确定性。</w:t>
      </w:r>
    </w:p>
    <w:p w14:paraId="471378B5"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TEE 远程证明机制为链下执行可信性提供补充接口。可信执行环境可以在隔离环境中执行程序，并对输入、输出、环境标识和 nonce 生成证明，使外部验证者能够确认某一输出来自指定执行环境。然而，TEE 更适合作为降低正常路径验证成本的组件，而不应替代链上挑战、数据可用性和故障追责机制。</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510A84DB"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乐观挑战是汇总系统中处理异常的重要机制。典型流程包括提交状态承诺、开启挑战、交互式缩小争议范围，并在必要时执行单步重放或链上仲裁。对于长执行轨迹，二分定位能够将争议定位复杂度从线性扫描降低到对数轮次；但挑战本身也可能遭遇超时、应答缺失或证据不可用，因此其活性和恢复性需要被纳入协议设计。</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B979BE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数据可用性关注链下或链外数据是否能够被需要的验证者获取。模块化区块链和惰性账本等路线强调将数据可用性从执行验证中解耦，使共识层主要负责数据排序和可用性保证，而执行和验证由独立的汇总或客户端完成。当执行者将完整负载放在数据可用性层而非链上时，关键问题在于链上提交如何与数据可用性条目形成可验证的绑定。</w:t>
      </w:r>
    </w:p>
    <w:p w14:paraId="2243C3CF"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2.2 </w:t>
      </w:r>
      <w:r>
        <w:rPr>
          <w:rFonts w:ascii="Times New Roman" w:hAnsi="Times New Roman" w:eastAsia="黑体" w:cs="Times New Roman"/>
          <w:b/>
          <w:color w:val="000000"/>
          <w:sz w:val="24"/>
          <w:lang w:eastAsia="zh-CN"/>
        </w:rPr>
        <w:t>问题范围与对抗假设</w:t>
      </w:r>
    </w:p>
    <w:p w14:paraId="1CBB911A"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62BA4F0F"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攻击面覆盖提交者、执行环境、数据可用性绑定和挑战流程。本文假设执行者或提交者可能提交错误响应、篡改数据可用性负载、提供无效证明，或在挑战流程中延迟响应；数据可用性层可能出现负载缺失、</w:t>
      </w:r>
      <w:r>
        <w:rPr>
          <w:rFonts w:ascii="Times New Roman" w:hAnsi="Times New Roman" w:eastAsia="宋体" w:cs="Times New Roman"/>
          <w:color w:val="000000"/>
          <w:sz w:val="24"/>
          <w:lang w:eastAsia="zh-CN"/>
        </w:rPr>
        <w:t xml:space="preserve">Merkle </w:t>
      </w:r>
      <w:r>
        <w:rPr>
          <w:rFonts w:ascii="Times New Roman" w:hAnsi="Times New Roman" w:eastAsia="宋体" w:cs="Times New Roman"/>
          <w:color w:val="000000"/>
          <w:sz w:val="24"/>
          <w:lang w:eastAsia="zh-CN"/>
        </w:rPr>
        <w:t>证明损坏或根不一致；挑战流程本身也可能因交互超时而中断。本文不假设执行者在硬件</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层面受到保护，也不假设数据可用性层具有无限可用性。</w:t>
      </w:r>
    </w:p>
    <w:p w14:paraId="2077F0A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范围说明。本文的威胁模型不覆盖真实硬件侧信道、远程证明供应链故障、真实 DA 网络的经济安全、主网最大可提取价值以及拥堵导致的费用波动。该范围限定并不构成生产级声明，而是说明当前原型证据能够支撑的内容：协议状态连续性、证据绑定关系、配置化成本趋势，以及合约层面的对应关系。</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345725D5"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3 </w:t>
      </w:r>
      <w:r>
        <w:rPr>
          <w:rFonts w:ascii="Times New Roman" w:hAnsi="Times New Roman" w:eastAsia="黑体" w:cs="Times New Roman"/>
          <w:b/>
          <w:color w:val="000000"/>
          <w:sz w:val="28"/>
          <w:lang w:eastAsia="zh-CN"/>
        </w:rPr>
        <w:t>系统概览</w:t>
      </w:r>
    </w:p>
    <w:p w14:paraId="0E5331F3"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本节说明上述机制如何组成端到端系统。系统包含三个角色：执行层负责产生正常路径下的响应与远程证明；DA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28AFFB64" w14:textId="77777777" w:rsidR="00DE373F" w:rsidRDefault="00000000">
      <w:pPr>
        <w:keepNext/>
        <w:spacing w:before="120" w:after="0" w:line="240" w:lineRule="auto"/>
        <w:jc w:val="center"/>
      </w:pPr>
      <w:r>
        <w:rPr>
          <w:noProof/>
        </w:rPr>
        <w:lastRenderedPageBreak/>
        <w:drawing>
          <wp:inline distT="0" distB="0" distL="0" distR="0" wp14:anchorId="793B4257" wp14:editId="716CF9D7">
            <wp:extent cx="5166360" cy="2906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166360" cy="2906077"/>
                    </a:xfrm>
                    <a:prstGeom prst="rect">
                      <a:avLst/>
                    </a:prstGeom>
                  </pic:spPr>
                </pic:pic>
              </a:graphicData>
            </a:graphic>
          </wp:inline>
        </w:drawing>
      </w:r>
    </w:p>
    <w:p w14:paraId="024BE314"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1 Hybrid TEE-Rollup 原型系统架构</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34532F23"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76442662"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3.1 </w:t>
      </w:r>
      <w:r>
        <w:rPr>
          <w:rFonts w:ascii="Times New Roman" w:hAnsi="Times New Roman" w:eastAsia="黑体" w:cs="Times New Roman"/>
          <w:b/>
          <w:color w:val="000000"/>
          <w:sz w:val="24"/>
          <w:lang w:eastAsia="zh-CN"/>
        </w:rPr>
        <w:t>执行层与正常路径</w:t>
      </w:r>
    </w:p>
    <w:p w14:paraId="2F817830"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执行层负责处理高频 DApp 请求。当前原型采用确定性模拟模型或可选模型后端生成响应，并使用模拟可信执行环境远程证明对输入哈希、输出哈希、nonce 和执行环境标识进行绑定。远程证明的作用是为链下执行结果提供最小可信摘要，使后续验证层能够检查提交结果是否与声明的执行过程一致。</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4EC8336"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在本文原型中，模拟可信执行环境的作用是建立“链下执行摘要—链上提交—异常挑战”的接口关系。真实 TEE 安全性不在本节展开，而在“讨论与局限性”中集中说明。</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507263D1"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3.2 </w:t>
      </w:r>
      <w:r>
        <w:rPr>
          <w:rFonts w:ascii="Times New Roman" w:hAnsi="Times New Roman" w:eastAsia="黑体" w:cs="Times New Roman"/>
          <w:b/>
          <w:color w:val="000000"/>
          <w:sz w:val="24"/>
          <w:lang w:eastAsia="zh-CN"/>
        </w:rPr>
        <w:t>数据可用性接口</w:t>
      </w:r>
    </w:p>
    <w:p w14:paraId="4F6C216A"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24ACD35"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AAF1ABC"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3.3 </w:t>
      </w:r>
      <w:r>
        <w:rPr>
          <w:rFonts w:ascii="Times New Roman" w:hAnsi="Times New Roman" w:eastAsia="黑体" w:cs="Times New Roman"/>
          <w:b/>
          <w:color w:val="000000"/>
          <w:sz w:val="24"/>
          <w:lang w:eastAsia="zh-CN"/>
        </w:rPr>
        <w:t>验证层与恢复触发</w:t>
      </w:r>
    </w:p>
    <w:p w14:paraId="7AA165C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验证层负责处理异常路径。当前原型实现了挑战打开、响应、步骤、恢复、重放和结算等状态推进。其目标不是将所有执行都搬到链上，而是在出现争议时，通过证据加载、二分定位、单步重放和仲裁结算，将异常状态推进为可解释的结果。</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CCA7F1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F797C94" w14:textId="77777777" w:rsidR="00DE373F" w:rsidRDefault="00000000">
      <w:pPr>
        <w:spacing w:after="0" w:line="360" w:lineRule="auto" w:before="0"/>
        <w:ind w:firstLine="420"/>
        <w:jc w:val="both"/>
      </w:pPr>
      <w:r>
        <w:rPr>
          <w:rFonts w:ascii="Times New Roman" w:hAnsi="Times New Roman" w:eastAsia="宋体" w:cs="Times New Roman"/>
          <w:color w:val="000000"/>
          <w:sz w:val="24"/>
        </w:rPr>
        <w:t>在</w:t>
      </w:r>
      <w:r>
        <w:rPr>
          <w:rFonts w:ascii="Times New Roman" w:hAnsi="Times New Roman" w:eastAsia="宋体" w:cs="Times New Roman"/>
          <w:color w:val="000000"/>
          <w:sz w:val="24"/>
        </w:rPr>
        <w:t xml:space="preserve"> Solidity </w:t>
      </w:r>
      <w:r>
        <w:rPr>
          <w:rFonts w:ascii="Times New Roman" w:hAnsi="Times New Roman" w:eastAsia="宋体" w:cs="Times New Roman"/>
          <w:color w:val="000000"/>
          <w:sz w:val="24"/>
        </w:rPr>
        <w:t>映射中，原型包含</w:t>
      </w:r>
      <w:r>
        <w:rPr>
          <w:rFonts w:ascii="Times New Roman" w:hAnsi="Times New Roman" w:eastAsia="宋体" w:cs="Times New Roman"/>
          <w:color w:val="000000"/>
          <w:sz w:val="24"/>
        </w:rPr>
        <w:t xml:space="preserve"> MockTEEVerifier</w:t>
      </w:r>
      <w:r>
        <w:rPr>
          <w:rFonts w:ascii="Times New Roman" w:hAnsi="Times New Roman" w:eastAsia="宋体" w:cs="Times New Roman"/>
          <w:color w:val="000000"/>
          <w:sz w:val="24"/>
        </w:rPr>
        <w:t>、</w:t>
      </w:r>
      <w:r>
        <w:rPr>
          <w:rFonts w:ascii="Times New Roman" w:hAnsi="Times New Roman" w:eastAsia="宋体" w:cs="Times New Roman"/>
          <w:color w:val="000000"/>
          <w:sz w:val="24"/>
        </w:rPr>
        <w:t>MockDARegistry</w:t>
      </w:r>
      <w:r>
        <w:rPr>
          <w:rFonts w:ascii="Times New Roman" w:hAnsi="Times New Roman" w:eastAsia="宋体" w:cs="Times New Roman"/>
          <w:color w:val="000000"/>
          <w:sz w:val="24"/>
        </w:rPr>
        <w:t>、</w:t>
      </w:r>
      <w:r>
        <w:rPr>
          <w:rFonts w:ascii="Times New Roman" w:hAnsi="Times New Roman" w:eastAsia="宋体" w:cs="Times New Roman"/>
          <w:color w:val="000000"/>
          <w:sz w:val="24"/>
        </w:rPr>
        <w:t xml:space="preserve">MerkleVerifier </w:t>
      </w:r>
      <w:r>
        <w:rPr>
          <w:rFonts w:ascii="Times New Roman" w:hAnsi="Times New Roman" w:eastAsia="宋体" w:cs="Times New Roman"/>
          <w:color w:val="000000"/>
          <w:sz w:val="24"/>
        </w:rPr>
        <w:t>和</w:t>
      </w:r>
      <w:r>
        <w:rPr>
          <w:rFonts w:ascii="Times New Roman" w:hAnsi="Times New Roman" w:eastAsia="宋体" w:cs="Times New Roman"/>
          <w:color w:val="000000"/>
          <w:sz w:val="24"/>
        </w:rPr>
        <w:t xml:space="preserve"> HybridTEERollup </w:t>
      </w:r>
      <w:r>
        <w:rPr>
          <w:rFonts w:ascii="Times New Roman" w:hAnsi="Times New Roman" w:eastAsia="宋体" w:cs="Times New Roman"/>
          <w:color w:val="000000"/>
          <w:sz w:val="24"/>
        </w:rPr>
        <w:t>等合约，用于表达链上状态推进和最小验证逻辑。本地</w:t>
      </w:r>
      <w:r>
        <w:rPr>
          <w:rFonts w:ascii="Times New Roman" w:hAnsi="Times New Roman" w:eastAsia="宋体" w:cs="Times New Roman"/>
          <w:color w:val="000000"/>
          <w:sz w:val="24"/>
        </w:rPr>
        <w:t xml:space="preserve"> EVM </w:t>
      </w:r>
      <w:r>
        <w:rPr>
          <w:rFonts w:ascii="Times New Roman" w:hAnsi="Times New Roman" w:eastAsia="宋体" w:cs="Times New Roman"/>
          <w:color w:val="000000"/>
          <w:sz w:val="24"/>
        </w:rPr>
        <w:t>合约并非</w:t>
      </w:r>
      <w:r>
        <w:rPr>
          <w:rFonts w:ascii="Times New Roman" w:hAnsi="Times New Roman" w:eastAsia="宋体" w:cs="Times New Roman"/>
          <w:color w:val="000000"/>
          <w:sz w:val="24"/>
        </w:rPr>
        <w:t xml:space="preserve"> Python </w:t>
      </w:r>
      <w:r>
        <w:rPr>
          <w:rFonts w:ascii="Times New Roman" w:hAnsi="Times New Roman" w:eastAsia="宋体" w:cs="Times New Roman"/>
          <w:color w:val="000000"/>
          <w:sz w:val="24"/>
        </w:rPr>
        <w:t>原型的逐行移植，而是抽取适合链上表达的提交、验证、挑战、恢复和结算路径。</w:t>
      </w:r>
    </w:p>
    <w:p w14:paraId="12AD0599" w14:textId="77777777" w:rsidR="00E637A5"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4 </w:t>
      </w:r>
      <w:r>
        <w:rPr>
          <w:rFonts w:ascii="Times New Roman" w:hAnsi="Times New Roman" w:eastAsia="黑体" w:cs="Times New Roman"/>
          <w:b/>
          <w:color w:val="000000"/>
          <w:sz w:val="28"/>
          <w:lang w:eastAsia="zh-CN"/>
        </w:rPr>
        <w:t>可恢复挑战协议</w:t>
      </w:r>
    </w:p>
    <w:p w14:paraId="12BC6B2B"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4.1 </w:t>
      </w:r>
      <w:r>
        <w:rPr>
          <w:rFonts w:ascii="Times New Roman" w:hAnsi="Times New Roman" w:eastAsia="黑体" w:cs="Times New Roman"/>
          <w:b/>
          <w:color w:val="000000"/>
          <w:sz w:val="24"/>
          <w:lang w:eastAsia="zh-CN"/>
        </w:rPr>
        <w:t>协议模型与形式化定义</w:t>
      </w:r>
    </w:p>
    <w:p w14:paraId="61680704"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6EE21FB5"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定义</w:t>
      </w:r>
      <w:r>
        <w:rPr>
          <w:rFonts w:ascii="Times New Roman" w:hAnsi="Times New Roman" w:eastAsia="黑体" w:cs="Times New Roman"/>
          <w:b/>
          <w:color w:val="000000"/>
          <w:sz w:val="24"/>
          <w:lang w:eastAsia="zh-CN"/>
        </w:rPr>
        <w:t xml:space="preserve"> 1</w:t>
      </w:r>
      <w:r>
        <w:rPr>
          <w:rFonts w:ascii="Times New Roman" w:hAnsi="Times New Roman" w:eastAsia="黑体" w:cs="Times New Roman"/>
          <w:b/>
          <w:color w:val="000000"/>
          <w:sz w:val="24"/>
          <w:lang w:eastAsia="zh-CN"/>
        </w:rPr>
        <w:t>（挑战会话）</w:t>
      </w:r>
    </w:p>
    <w:p w14:paraId="73E75B3C"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挑战会话定义为：</w:t>
      </w:r>
      <w:r>
        <w:rPr>
          <w:rFonts w:ascii="Times New Roman" w:hAnsi="Times New Roman" w:eastAsia="宋体" w:cs="Times New Roman"/>
          <w:color w:val="000000"/>
          <w:sz w:val="24"/>
          <w:lang w:eastAsia="zh-CN"/>
        </w:rPr>
        <w:t>cs = (id, s, F, T)</w:t>
      </w:r>
      <w:r>
        <w:rPr>
          <w:rFonts w:ascii="Times New Roman" w:hAnsi="Times New Roman" w:eastAsia="宋体" w:cs="Times New Roman"/>
          <w:color w:val="000000"/>
          <w:sz w:val="24"/>
          <w:lang w:eastAsia="zh-CN"/>
        </w:rPr>
        <w:t>。</w:t>
      </w:r>
    </w:p>
    <w:p w14:paraId="0DA4100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其中，id 表示会话标识；s 表示当前状态；F 表示挑战事实（挑战事实集合）；T 表示超时参数。</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6A068592"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定义</w:t>
      </w:r>
      <w:r>
        <w:rPr>
          <w:rFonts w:ascii="Times New Roman" w:hAnsi="Times New Roman" w:eastAsia="黑体" w:cs="Times New Roman"/>
          <w:b/>
          <w:color w:val="000000"/>
          <w:sz w:val="24"/>
          <w:lang w:eastAsia="zh-CN"/>
        </w:rPr>
        <w:t xml:space="preserve"> 2</w:t>
      </w:r>
      <w:r>
        <w:rPr>
          <w:rFonts w:ascii="Times New Roman" w:hAnsi="Times New Roman" w:eastAsia="黑体" w:cs="Times New Roman"/>
          <w:b/>
          <w:color w:val="000000"/>
          <w:sz w:val="24"/>
          <w:lang w:eastAsia="zh-CN"/>
        </w:rPr>
        <w:t>（挑战状态机）</w:t>
      </w:r>
    </w:p>
    <w:p w14:paraId="173F2D6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挑战状态机定义为：</w:t>
      </w:r>
      <w:r>
        <w:rPr>
          <w:rFonts w:ascii="Times New Roman" w:hAnsi="Times New Roman" w:eastAsia="宋体" w:cs="Times New Roman"/>
          <w:color w:val="000000"/>
          <w:sz w:val="24"/>
          <w:lang w:eastAsia="zh-CN"/>
        </w:rPr>
        <w:t xml:space="preserve">M = (S, E, </w:t>
      </w:r>
      <w:r>
        <w:rPr>
          <w:rFonts w:ascii="Times New Roman" w:hAnsi="Times New Roman" w:eastAsia="宋体" w:cs="Times New Roman"/>
          <w:color w:val="000000"/>
          <w:sz w:val="24"/>
        </w:rPr>
        <w:t>δ</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w:t>
      </w:r>
    </w:p>
    <w:p w14:paraId="6DBC6E99"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其中，</w:t>
      </w:r>
      <w:r>
        <w:rPr>
          <w:rFonts w:ascii="Times New Roman" w:hAnsi="Times New Roman" w:eastAsia="宋体" w:cs="Times New Roman"/>
          <w:color w:val="000000"/>
          <w:sz w:val="24"/>
          <w:lang w:eastAsia="zh-CN"/>
        </w:rPr>
        <w:t xml:space="preserve">S </w:t>
      </w:r>
      <w:r>
        <w:rPr>
          <w:rFonts w:ascii="Times New Roman" w:hAnsi="Times New Roman" w:eastAsia="宋体" w:cs="Times New Roman"/>
          <w:color w:val="000000"/>
          <w:sz w:val="24"/>
          <w:lang w:eastAsia="zh-CN"/>
        </w:rPr>
        <w:t>为状态集合；</w:t>
      </w:r>
      <w:r>
        <w:rPr>
          <w:rFonts w:ascii="Times New Roman" w:hAnsi="Times New Roman" w:eastAsia="宋体" w:cs="Times New Roman"/>
          <w:color w:val="000000"/>
          <w:sz w:val="24"/>
          <w:lang w:eastAsia="zh-CN"/>
        </w:rPr>
        <w:t xml:space="preserve">E </w:t>
      </w:r>
      <w:r>
        <w:rPr>
          <w:rFonts w:ascii="Times New Roman" w:hAnsi="Times New Roman" w:eastAsia="宋体" w:cs="Times New Roman"/>
          <w:color w:val="000000"/>
          <w:sz w:val="24"/>
          <w:lang w:eastAsia="zh-CN"/>
        </w:rPr>
        <w:t>为事件集合；</w:t>
      </w:r>
      <w:r>
        <w:rPr>
          <w:rFonts w:ascii="Times New Roman" w:hAnsi="Times New Roman" w:eastAsia="宋体" w:cs="Times New Roman"/>
          <w:color w:val="000000"/>
          <w:sz w:val="24"/>
        </w:rPr>
        <w:t>δ</w:t>
      </w:r>
      <w:r>
        <w:rPr>
          <w:rFonts w:ascii="Times New Roman" w:hAnsi="Times New Roman" w:eastAsia="宋体" w:cs="Times New Roman"/>
          <w:color w:val="000000"/>
          <w:sz w:val="24"/>
          <w:lang w:eastAsia="zh-CN"/>
        </w:rPr>
        <w:t xml:space="preserve">: S × E → S </w:t>
      </w:r>
      <w:r>
        <w:rPr>
          <w:rFonts w:ascii="Times New Roman" w:hAnsi="Times New Roman" w:eastAsia="宋体" w:cs="Times New Roman"/>
          <w:color w:val="000000"/>
          <w:sz w:val="24"/>
          <w:lang w:eastAsia="zh-CN"/>
        </w:rPr>
        <w:t>为状态转移函数。</w:t>
      </w:r>
    </w:p>
    <w:p w14:paraId="70EBE2A8" w14:textId="77777777" w:rsidR="00E637A5" w:rsidRDefault="00000000">
      <w:pPr>
        <w:pStyle w:val="31"/>
        <w:keepNext/>
        <w:keepLines w:val="0"/>
        <w:spacing w:before="160" w:after="80" w:line="288" w:lineRule="auto"/>
        <w:jc w:val="left"/>
      </w:pPr>
      <w:r>
        <w:rPr>
          <w:rFonts w:ascii="Times New Roman" w:hAnsi="Times New Roman" w:eastAsia="黑体" w:cs="Times New Roman"/>
          <w:b/>
          <w:color w:val="000000"/>
          <w:sz w:val="24"/>
        </w:rPr>
        <w:t>定义</w:t>
      </w:r>
      <w:r>
        <w:rPr>
          <w:rFonts w:ascii="Times New Roman" w:hAnsi="Times New Roman" w:eastAsia="黑体" w:cs="Times New Roman"/>
          <w:b/>
          <w:color w:val="000000"/>
          <w:sz w:val="24"/>
        </w:rPr>
        <w:t xml:space="preserve"> 3</w:t>
      </w:r>
      <w:r>
        <w:rPr>
          <w:rFonts w:ascii="Times New Roman" w:hAnsi="Times New Roman" w:eastAsia="黑体" w:cs="Times New Roman"/>
          <w:b/>
          <w:color w:val="000000"/>
          <w:sz w:val="24"/>
        </w:rPr>
        <w:t>（恢复函数）</w:t>
      </w:r>
    </w:p>
    <w:p w14:paraId="246349A2" w14:textId="77777777" w:rsidR="00E637A5" w:rsidRDefault="00000000">
      <w:pPr>
        <w:spacing w:after="0" w:line="360" w:lineRule="auto" w:before="0"/>
        <w:ind w:firstLine="420"/>
        <w:jc w:val="both"/>
      </w:pPr>
      <w:r>
        <w:rPr>
          <w:rFonts w:ascii="Times New Roman" w:hAnsi="Times New Roman" w:eastAsia="宋体" w:cs="Times New Roman"/>
          <w:color w:val="000000"/>
          <w:sz w:val="24"/>
        </w:rPr>
        <w:t>恢复函数定义为：</w:t>
      </w:r>
      <w:r>
        <w:rPr>
          <w:rFonts w:ascii="Times New Roman" w:hAnsi="Times New Roman" w:eastAsia="宋体" w:cs="Times New Roman"/>
          <w:color w:val="000000"/>
          <w:sz w:val="24"/>
        </w:rPr>
        <w:t>Recover(cs) = cs'</w:t>
      </w:r>
      <w:r>
        <w:rPr>
          <w:rFonts w:ascii="Times New Roman" w:hAnsi="Times New Roman" w:eastAsia="宋体" w:cs="Times New Roman"/>
          <w:color w:val="000000"/>
          <w:sz w:val="24"/>
        </w:rPr>
        <w:t>。</w:t>
      </w:r>
    </w:p>
    <w:p w14:paraId="100C9669" w14:textId="77777777" w:rsidR="00E637A5" w:rsidRDefault="00000000">
      <w:pPr>
        <w:spacing w:after="0" w:line="360" w:lineRule="auto" w:before="0"/>
        <w:ind w:firstLine="420"/>
        <w:jc w:val="both"/>
      </w:pPr>
      <w:r>
        <w:rPr>
          <w:rFonts w:ascii="Times New Roman" w:hAnsi="Times New Roman" w:eastAsia="宋体" w:cs="Times New Roman"/>
          <w:color w:val="000000"/>
          <w:sz w:val="24"/>
        </w:rPr>
        <w:t>恢复仅改变活性相关状态，不改变挑战事实，即满足：F(cs) = F(Recover(cs))。</w:t>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p>
    <w:p w14:paraId="4DF2E35B"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协议性质</w:t>
      </w:r>
    </w:p>
    <w:p w14:paraId="7A08F026"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3F1D6B1"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4.2 </w:t>
      </w:r>
      <w:r>
        <w:rPr>
          <w:rFonts w:ascii="Times New Roman" w:hAnsi="Times New Roman" w:eastAsia="黑体" w:cs="Times New Roman"/>
          <w:b/>
          <w:color w:val="000000"/>
          <w:sz w:val="24"/>
          <w:lang w:eastAsia="zh-CN"/>
        </w:rPr>
        <w:t>超时、恢复、重放与仲裁结算</w:t>
      </w:r>
    </w:p>
    <w:p w14:paraId="2FC62BEE"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可恢复挑战协议的目标，是将挑战从一次性错误检测流程扩展为异常场景下可恢复推进的协议状态机。其基本状态包括</w:t>
      </w:r>
      <w:r>
        <w:rPr>
          <w:rFonts w:ascii="Times New Roman" w:hAnsi="Times New Roman" w:eastAsia="宋体" w:cs="Times New Roman"/>
          <w:color w:val="000000"/>
          <w:sz w:val="24"/>
          <w:lang w:eastAsia="zh-CN"/>
        </w:rPr>
        <w:t xml:space="preserve"> PENDING</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OPEN</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RESPONDED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NARROWING</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RECOVERED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READY_FOR_REPLAY</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REPLAYED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RESOLVED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 xml:space="preserve">SLASHED </w:t>
      </w:r>
      <w:r>
        <w:rPr>
          <w:rFonts w:ascii="Times New Roman" w:hAnsi="Times New Roman" w:eastAsia="宋体" w:cs="Times New Roman"/>
          <w:color w:val="000000"/>
          <w:sz w:val="24"/>
          <w:lang w:eastAsia="zh-CN"/>
        </w:rPr>
        <w:t>和</w:t>
      </w:r>
      <w:r>
        <w:rPr>
          <w:rFonts w:ascii="Times New Roman" w:hAnsi="Times New Roman" w:eastAsia="宋体" w:cs="Times New Roman"/>
          <w:color w:val="000000"/>
          <w:sz w:val="24"/>
          <w:lang w:eastAsia="zh-CN"/>
        </w:rPr>
        <w:t xml:space="preserve"> FINALIZED</w:t>
      </w:r>
      <w:r>
        <w:rPr>
          <w:rFonts w:ascii="Times New Roman" w:hAnsi="Times New Roman" w:eastAsia="宋体" w:cs="Times New Roman"/>
          <w:color w:val="000000"/>
          <w:sz w:val="24"/>
          <w:lang w:eastAsia="zh-CN"/>
        </w:rPr>
        <w:t>。</w:t>
      </w:r>
    </w:p>
    <w:p w14:paraId="609004F4" w14:textId="77777777" w:rsidR="00DE373F" w:rsidRDefault="00000000">
      <w:pPr>
        <w:keepNext/>
        <w:spacing w:before="120" w:after="0" w:line="240" w:lineRule="auto"/>
        <w:jc w:val="center"/>
      </w:pPr>
      <w:r>
        <w:rPr>
          <w:noProof/>
        </w:rPr>
        <w:lastRenderedPageBreak/>
        <w:drawing>
          <wp:inline distT="0" distB="0" distL="0" distR="0" wp14:anchorId="7CB99F38" wp14:editId="781E19C2">
            <wp:extent cx="5166360" cy="2370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5166360" cy="2370446"/>
                    </a:xfrm>
                    <a:prstGeom prst="rect">
                      <a:avLst/>
                    </a:prstGeom>
                  </pic:spPr>
                </pic:pic>
              </a:graphicData>
            </a:graphic>
          </wp:inline>
        </w:drawing>
      </w:r>
    </w:p>
    <w:p w14:paraId="101AE706"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2 可恢复挑战协议流程</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731D979C"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rFonts w:ascii="Times New Roman" w:hAnsi="Times New Roman" w:eastAsia="宋体" w:cs="Times New Roman"/>
          <w:color w:val="000000"/>
          <w:sz w:val="24"/>
          <w:lang w:eastAsia="zh-CN"/>
        </w:rPr>
        <w:t xml:space="preserve"> n </w:t>
      </w:r>
      <w:r>
        <w:rPr>
          <w:rFonts w:ascii="Times New Roman" w:hAnsi="Times New Roman" w:eastAsia="宋体" w:cs="Times New Roman"/>
          <w:color w:val="000000"/>
          <w:sz w:val="24"/>
          <w:lang w:eastAsia="zh-CN"/>
        </w:rPr>
        <w:t>的轨迹，理想情况下定位轮次接近</w:t>
      </w:r>
      <w:r>
        <w:rPr>
          <w:rFonts w:ascii="Times New Roman" w:hAnsi="Times New Roman" w:eastAsia="宋体" w:cs="Times New Roman"/>
          <w:color w:val="000000"/>
          <w:sz w:val="24"/>
          <w:lang w:eastAsia="zh-CN"/>
        </w:rPr>
        <w:t xml:space="preserve"> log2(n)</w:t>
      </w:r>
      <w:r>
        <w:rPr>
          <w:rFonts w:ascii="Times New Roman" w:hAnsi="Times New Roman" w:eastAsia="宋体" w:cs="Times New Roman"/>
          <w:color w:val="000000"/>
          <w:sz w:val="24"/>
          <w:lang w:eastAsia="zh-CN"/>
        </w:rPr>
        <w:t>，从而避免对长执行轨迹进行线性扫描。</w:t>
      </w:r>
    </w:p>
    <w:p w14:paraId="514E31FC"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3FE0633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E4A360E"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2008761A"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4.3 </w:t>
      </w:r>
      <w:r>
        <w:rPr>
          <w:rFonts w:ascii="Times New Roman" w:hAnsi="Times New Roman" w:eastAsia="黑体" w:cs="Times New Roman"/>
          <w:b/>
          <w:color w:val="000000"/>
          <w:sz w:val="24"/>
          <w:lang w:eastAsia="zh-CN"/>
        </w:rPr>
        <w:t>正确性边界与协议性质</w:t>
      </w:r>
    </w:p>
    <w:p w14:paraId="7FA7941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性质一，数据可用性绑定性质。紧凑提交中的</w:t>
      </w:r>
      <w:r>
        <w:rPr>
          <w:rFonts w:ascii="Times New Roman" w:hAnsi="Times New Roman" w:eastAsia="宋体" w:cs="Times New Roman"/>
          <w:color w:val="000000"/>
          <w:sz w:val="24"/>
          <w:lang w:eastAsia="zh-CN"/>
        </w:rPr>
        <w:t xml:space="preserve"> DA Merkle </w:t>
      </w:r>
      <w:r>
        <w:rPr>
          <w:rFonts w:ascii="Times New Roman" w:hAnsi="Times New Roman" w:eastAsia="宋体" w:cs="Times New Roman"/>
          <w:color w:val="000000"/>
          <w:sz w:val="24"/>
          <w:lang w:eastAsia="zh-CN"/>
        </w:rPr>
        <w:t>根与</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条目中的字段级</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证明之间建立了密码学绑定关系，因此提示词、响应或证明字段被替换后，会导致负载哈希、叶哈希或</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证明与链上根不一致。该性质不依赖真实</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网络，只说明当前可验证</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结构能够检测字段篡改，并保证紧凑提交与完整负载之间在证据层面不可脱钩。</w:t>
      </w:r>
    </w:p>
    <w:p w14:paraId="5AE83B19"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A300FB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0D7ACF5" w14:textId="77777777" w:rsidR="00494751" w:rsidRDefault="00000000">
      <w:pPr>
        <w:pStyle w:val="21"/>
        <w:keepNext/>
        <w:jc w:val="left"/>
        <w:rPr>
          <w:lang w:eastAsia="zh-CN"/>
        </w:rPr>
      </w:pPr>
      <w:r>
        <w:rPr>
          <w:rFonts w:ascii="Times New Roman" w:hAnsi="Times New Roman" w:eastAsia="黑体" w:cs="Times New Roman"/>
          <w:b/>
          <w:color w:val="000000"/>
          <w:sz w:val="24"/>
          <w:lang w:eastAsia="zh-CN"/>
        </w:rPr>
        <w:t xml:space="preserve">4.4 </w:t>
      </w:r>
      <w:r>
        <w:rPr>
          <w:rFonts w:ascii="Times New Roman" w:hAnsi="Times New Roman" w:eastAsia="黑体" w:cs="Times New Roman"/>
          <w:b/>
          <w:color w:val="000000"/>
          <w:sz w:val="24"/>
          <w:lang w:eastAsia="zh-CN"/>
        </w:rPr>
        <w:t>协议性质分析</w:t>
      </w:r>
    </w:p>
    <w:p w14:paraId="2D1305CD"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前述讨论已将可恢复挑战机制的核心性质从</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超时后可以重试</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4DD2584C"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（一）挑战事实不变性</w:t>
      </w:r>
    </w:p>
    <w:p w14:paraId="199238BF"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挑战会话在创建时便将一组不可修改的协议事实绑定在会话上下文中，这些事实构成争议的</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内容面</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，包括：</w:t>
      </w:r>
    </w:p>
    <w:p w14:paraId="1997C8C3"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状态根（</w:t>
      </w:r>
      <w:r>
        <w:rPr>
          <w:rFonts w:ascii="Times New Roman" w:hAnsi="Times New Roman" w:eastAsia="宋体" w:cs="Times New Roman"/>
          <w:color w:val="000000"/>
          <w:sz w:val="24"/>
          <w:lang w:eastAsia="zh-CN"/>
        </w:rPr>
        <w:t>State Root</w:t>
      </w:r>
      <w:r>
        <w:rPr>
          <w:rFonts w:ascii="Times New Roman" w:hAnsi="Times New Roman" w:eastAsia="宋体" w:cs="Times New Roman"/>
          <w:color w:val="000000"/>
          <w:sz w:val="24"/>
          <w:lang w:eastAsia="zh-CN"/>
        </w:rPr>
        <w:t>）：约束输入与输出哈希的绑定关系；</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数据可用性根（</w:t>
      </w:r>
      <w:r>
        <w:rPr>
          <w:rFonts w:ascii="Times New Roman" w:hAnsi="Times New Roman" w:eastAsia="宋体" w:cs="Times New Roman"/>
          <w:color w:val="000000"/>
          <w:sz w:val="24"/>
          <w:lang w:eastAsia="zh-CN"/>
        </w:rPr>
        <w:t>DA Merkle Root</w:t>
      </w:r>
      <w:r>
        <w:rPr>
          <w:rFonts w:ascii="Times New Roman" w:hAnsi="Times New Roman" w:eastAsia="宋体" w:cs="Times New Roman"/>
          <w:color w:val="000000"/>
          <w:sz w:val="24"/>
          <w:lang w:eastAsia="zh-CN"/>
        </w:rPr>
        <w:t>）：约束</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层中完整负载的字段级承诺；</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负载哈希（</w:t>
      </w:r>
      <w:r>
        <w:rPr>
          <w:rFonts w:ascii="Times New Roman" w:hAnsi="Times New Roman" w:eastAsia="宋体" w:cs="Times New Roman"/>
          <w:color w:val="000000"/>
          <w:sz w:val="24"/>
          <w:lang w:eastAsia="zh-CN"/>
        </w:rPr>
        <w:t>Payload Hash</w:t>
      </w:r>
      <w:r>
        <w:rPr>
          <w:rFonts w:ascii="Times New Roman" w:hAnsi="Times New Roman" w:eastAsia="宋体" w:cs="Times New Roman"/>
          <w:color w:val="000000"/>
          <w:sz w:val="24"/>
          <w:lang w:eastAsia="zh-CN"/>
        </w:rPr>
        <w:t>）：标识</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层中完整的原始负载；</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执行轨迹（</w:t>
      </w:r>
      <w:r>
        <w:rPr>
          <w:rFonts w:ascii="Times New Roman" w:hAnsi="Times New Roman" w:eastAsia="宋体" w:cs="Times New Roman"/>
          <w:color w:val="000000"/>
          <w:sz w:val="24"/>
          <w:lang w:eastAsia="zh-CN"/>
        </w:rPr>
        <w:t>Execution Trace</w:t>
      </w:r>
      <w:r>
        <w:rPr>
          <w:rFonts w:ascii="Times New Roman" w:hAnsi="Times New Roman" w:eastAsia="宋体" w:cs="Times New Roman"/>
          <w:color w:val="000000"/>
          <w:sz w:val="24"/>
          <w:lang w:eastAsia="zh-CN"/>
        </w:rPr>
        <w:t>）：挑战方与被挑战方各自提交的执行步骤序列；</w:t>
      </w:r>
      <w:r>
        <w:rPr>
          <w:rFonts w:ascii="Times New Roman" w:hAnsi="Times New Roman" w:eastAsia="宋体" w:cs="Times New Roman"/>
          <w:color w:val="000000"/>
          <w:sz w:val="24"/>
          <w:lang w:eastAsia="zh-CN"/>
        </w:rPr>
        <w:br/>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重放证据：二分缩小后定位到的目标步骤与对应的预期哈希和声明哈希；</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不一致证据：验证、响应和</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字段检查中观测到的字段级不一致记录。</w:t>
      </w:r>
    </w:p>
    <w:p w14:paraId="6EFD9E5A" w14:textId="77777777" w:rsidR="00494751" w:rsidRDefault="00000000">
      <w:pPr>
        <w:spacing w:before="0" w:after="0" w:line="360" w:lineRule="auto"/>
        <w:ind w:firstLine="420"/>
        <w:jc w:val="both"/>
      </w:pPr>
      <w:r>
        <w:rPr>
          <w:rFonts w:ascii="Times New Roman" w:hAnsi="Times New Roman" w:eastAsia="宋体" w:cs="Times New Roman"/>
          <w:color w:val="000000"/>
          <w:sz w:val="24"/>
        </w:rPr>
        <w:t>记挑战会话</w:t>
      </w:r>
      <w:r>
        <w:rPr>
          <w:rFonts w:ascii="Times New Roman" w:hAnsi="Times New Roman" w:eastAsia="宋体" w:cs="Times New Roman"/>
          <w:color w:val="000000"/>
          <w:sz w:val="24"/>
        </w:rPr>
        <w:t xml:space="preserve"> cs </w:t>
      </w:r>
      <w:r>
        <w:rPr>
          <w:rFonts w:ascii="Times New Roman" w:hAnsi="Times New Roman" w:eastAsia="宋体" w:cs="Times New Roman"/>
          <w:color w:val="000000"/>
          <w:sz w:val="24"/>
        </w:rPr>
        <w:t>的挑战事实集合为</w:t>
      </w:r>
      <w:r>
        <w:rPr>
          <w:rFonts w:ascii="Times New Roman" w:hAnsi="Times New Roman" w:eastAsia="宋体" w:cs="Times New Roman"/>
          <w:color w:val="000000"/>
          <w:sz w:val="24"/>
        </w:rPr>
        <w:t xml:space="preserve"> Facts(cs)</w:t>
      </w:r>
      <w:r>
        <w:rPr>
          <w:rFonts w:ascii="Times New Roman" w:hAnsi="Times New Roman" w:eastAsia="宋体" w:cs="Times New Roman"/>
          <w:color w:val="000000"/>
          <w:sz w:val="24"/>
        </w:rPr>
        <w:t>，则恢复操作满足</w:t>
      </w:r>
      <w:r>
        <w:rPr>
          <w:rFonts w:ascii="Times New Roman" w:hAnsi="Times New Roman" w:eastAsia="宋体" w:cs="Times New Roman"/>
          <w:color w:val="000000"/>
          <w:sz w:val="24"/>
        </w:rPr>
        <w:t xml:space="preserve"> Facts(cs_before) = Facts(cs_after)</w:t>
      </w:r>
      <w:r>
        <w:rPr>
          <w:rFonts w:ascii="Times New Roman" w:hAnsi="Times New Roman" w:eastAsia="宋体" w:cs="Times New Roman"/>
          <w:color w:val="000000"/>
          <w:sz w:val="24"/>
        </w:rPr>
        <w:t>，即恢复不向挑战会话注入新的状态根、负载哈希、执行轨迹或重放证据。</w:t>
      </w:r>
    </w:p>
    <w:p w14:paraId="12B0E7C5"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rPr>
        <w:t>恢复操作恢复的是流程推进能力，而非修改争议内容本身。</w:t>
      </w:r>
      <w:r>
        <w:rPr>
          <w:rFonts w:ascii="Times New Roman" w:hAnsi="Times New Roman" w:eastAsia="宋体" w:cs="Times New Roman"/>
          <w:color w:val="000000"/>
          <w:sz w:val="24"/>
          <w:lang w:eastAsia="zh-CN"/>
        </w:rPr>
        <w:t>在不可恢复的挑战协议中，超时会使会话不可逆地停滞，已观测到的异常无法进入重放与仲裁。可恢复挑战机制将检测与处理之间的鸿沟打通，同时保证处理过程不脱离原始检测事实。</w:t>
      </w:r>
    </w:p>
    <w:p w14:paraId="27B83AD2" w14:textId="77777777" w:rsidR="00494751" w:rsidRDefault="00000000">
      <w:pPr>
        <w:pStyle w:val="31"/>
        <w:keepNext/>
        <w:jc w:val="left"/>
      </w:pPr>
      <w:r>
        <w:rPr>
          <w:rFonts w:ascii="Times New Roman" w:hAnsi="Times New Roman" w:eastAsia="黑体" w:cs="Times New Roman"/>
          <w:b/>
          <w:color w:val="000000"/>
          <w:sz w:val="24"/>
        </w:rPr>
        <w:t>（二）安全性与活性的分离</w:t>
      </w:r>
    </w:p>
    <w:p w14:paraId="61B5645A"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恢复机制设计中的一个关键考量是安全性与活性的边界划分。恢复操作解决的是活性问题</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当挑战会话因交互超时而停滞时，恢复使其重新获得推进能力；但它不直接改变正确性判断</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一个原本错误的执行结果不会因恢复而变为正确。</w:t>
      </w:r>
    </w:p>
    <w:p w14:paraId="06D7B747"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rFonts w:ascii="Times New Roman" w:hAnsi="Times New Roman" w:eastAsia="宋体" w:cs="Times New Roman"/>
          <w:color w:val="000000"/>
          <w:sz w:val="24"/>
          <w:lang w:eastAsia="zh-CN"/>
        </w:rPr>
        <w:t xml:space="preserve"> DA Merkle </w:t>
      </w:r>
      <w:r>
        <w:rPr>
          <w:rFonts w:ascii="Times New Roman" w:hAnsi="Times New Roman" w:eastAsia="宋体" w:cs="Times New Roman"/>
          <w:color w:val="000000"/>
          <w:sz w:val="24"/>
          <w:lang w:eastAsia="zh-CN"/>
        </w:rPr>
        <w:t>根和</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指针在提交时已锁定。</w:t>
      </w:r>
    </w:p>
    <w:p w14:paraId="1C9EC575"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综合来看，恢复机制恢复的是协议活性，而非重新定义正确性。正确性的最终裁决由重放阶段完成，恢复只保证该裁决环节能够被执行。</w:t>
      </w:r>
    </w:p>
    <w:p w14:paraId="1209E8DB"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（三）仲裁连续性</w:t>
      </w:r>
    </w:p>
    <w:p w14:paraId="2136DAC0"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5072AC46"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传统基于超时的挑战协议可以完成异常检测</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验证者观测到</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能否发现异常</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，仲裁连续性关注</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已发现的异常能否被处理完毕</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。对于高频去中心化应用，未完成的挑战会话会占用状态、延迟结算，使链上对象长期处于不确定状态，直接损害结算确定性。</w:t>
      </w:r>
    </w:p>
    <w:p w14:paraId="5A47DFEE"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可恢复挑战机制通过恢复函数在超时后恢复仲裁流程推进能力：观察节点调用恢复功能使超时会话回到可推进状态，从而继续二分缩小、重放和结算。实验部分（第</w:t>
      </w:r>
      <w:r>
        <w:rPr>
          <w:rFonts w:ascii="Times New Roman" w:hAnsi="Times New Roman" w:eastAsia="宋体" w:cs="Times New Roman"/>
          <w:color w:val="000000"/>
          <w:sz w:val="24"/>
          <w:lang w:eastAsia="zh-CN"/>
        </w:rPr>
        <w:t xml:space="preserve"> 7.3 </w:t>
      </w:r>
      <w:r>
        <w:rPr>
          <w:rFonts w:ascii="Times New Roman" w:hAnsi="Times New Roman" w:eastAsia="宋体" w:cs="Times New Roman"/>
          <w:color w:val="000000"/>
          <w:sz w:val="24"/>
          <w:lang w:eastAsia="zh-CN"/>
        </w:rPr>
        <w:t>节）</w:t>
      </w:r>
      <w:r>
        <w:rPr>
          <w:rFonts w:ascii="Times New Roman" w:hAnsi="Times New Roman" w:eastAsia="宋体" w:cs="Times New Roman"/>
          <w:color w:val="000000"/>
          <w:sz w:val="24"/>
          <w:lang w:eastAsia="zh-CN"/>
        </w:rPr>
        <w:t>在合成超时场景下验证了恢复路径的效果</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在当前原型设定下，恢复机制能够将超时停滞转化为可继续推进的仲裁流程。</w:t>
      </w:r>
    </w:p>
    <w:p w14:paraId="126699E3"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（四）恢复操作正确性与抗滥用边界</w:t>
      </w:r>
    </w:p>
    <w:p w14:paraId="052A4693"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恢复操作的协议安全性可以从两个角度考察：操作本身的正确性边界，以及恶意节点是否可能通过滥用恢复来破坏协议。两者可合并分析。</w:t>
      </w:r>
    </w:p>
    <w:p w14:paraId="41E23637"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恢复操作允许修改的状态：超时计时器、会话推进状态标记和交互窗口。这些字段属于活性层，它们的修改使停滞会话重新获得推进能力。</w:t>
      </w:r>
    </w:p>
    <w:p w14:paraId="1E46BA64"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恢复操作不允许修改的状态：重放证据（预期哈希、声明哈希和目标步骤）、执行轨迹承诺（二分缩小区间信息）、DA 指针、DA Merkle 根、Merkle 证明路径和不一致证据。这些字段属于正确性层，恢复操作不能越过此边界。</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A696313"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580A9416"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协议不变量与保持性质</w:t>
      </w:r>
    </w:p>
    <w:p w14:paraId="28DFF512" w14:textId="77777777" w:rsidR="00494751"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3 协议不变量与保持性质</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41"/>
        <w:gridCol w:w="3041"/>
        <w:gridCol w:w="3041"/>
      </w:tblGrid>
      <w:tr w:rsidR="00494751" w14:paraId="15951A18" w14:textId="77777777">
        <w:trPr>
          <w:tblHeader w:val="true"/>
          <w:cantSplit/>
        </w:trPr>
        <w:tc>
          <w:tcPr>
            <w:tcW w:w="2494" w:type="dxa"/>
            <w:vAlign w:val="center"/>
            <w:shd w:fill="D9D9D9"/>
            <w:tcMar>
              <w:top w:w="100" w:type="dxa"/>
              <w:left w:w="100" w:type="dxa"/>
              <w:bottom w:w="100" w:type="dxa"/>
              <w:right w:w="100" w:type="dxa"/>
            </w:tcMar>
          </w:tcPr>
          <w:p w14:paraId="32C98EA7" w14:textId="77777777" w:rsidR="00494751" w:rsidRDefault="00000000">
            <w:pPr>
              <w:spacing w:before="0" w:after="0" w:line="240" w:lineRule="auto"/>
              <w:jc w:val="center"/>
            </w:pPr>
            <w:r>
              <w:rPr>
                <w:rFonts w:ascii="Times New Roman" w:hAnsi="Times New Roman" w:eastAsia="宋体" w:cs="Times New Roman"/>
                <w:b/>
                <w:color w:val="000000"/>
                <w:sz w:val="21"/>
              </w:rPr>
              <w:t>协议不变量</w:t>
            </w:r>
          </w:p>
        </w:tc>
        <w:tc>
          <w:tcPr>
            <w:tcW w:w="2948" w:type="dxa"/>
            <w:vAlign w:val="center"/>
            <w:shd w:fill="D9D9D9"/>
            <w:tcMar>
              <w:top w:w="100" w:type="dxa"/>
              <w:left w:w="100" w:type="dxa"/>
              <w:bottom w:w="100" w:type="dxa"/>
              <w:right w:w="100" w:type="dxa"/>
            </w:tcMar>
          </w:tcPr>
          <w:p w14:paraId="797271B5" w14:textId="77777777" w:rsidR="00494751" w:rsidRDefault="00000000">
            <w:pPr>
              <w:spacing w:before="0" w:after="0" w:line="240" w:lineRule="auto"/>
              <w:jc w:val="center"/>
            </w:pPr>
            <w:r>
              <w:rPr>
                <w:rFonts w:ascii="Times New Roman" w:hAnsi="Times New Roman" w:eastAsia="宋体" w:cs="Times New Roman"/>
                <w:b/>
                <w:color w:val="000000"/>
                <w:sz w:val="21"/>
              </w:rPr>
              <w:t>含义</w:t>
            </w:r>
          </w:p>
        </w:tc>
        <w:tc>
          <w:tcPr>
            <w:tcW w:w="3402" w:type="dxa"/>
            <w:vAlign w:val="center"/>
            <w:shd w:fill="D9D9D9"/>
            <w:tcMar>
              <w:top w:w="100" w:type="dxa"/>
              <w:left w:w="100" w:type="dxa"/>
              <w:bottom w:w="100" w:type="dxa"/>
              <w:right w:w="100" w:type="dxa"/>
            </w:tcMar>
          </w:tcPr>
          <w:p w14:paraId="3681332D" w14:textId="77777777" w:rsidR="00494751" w:rsidRDefault="00000000">
            <w:pPr>
              <w:spacing w:before="0" w:after="0" w:line="240" w:lineRule="auto"/>
              <w:jc w:val="center"/>
            </w:pPr>
            <w:r>
              <w:rPr>
                <w:rFonts w:ascii="Times New Roman" w:hAnsi="Times New Roman" w:eastAsia="宋体" w:cs="Times New Roman"/>
                <w:b/>
                <w:color w:val="000000"/>
                <w:sz w:val="21"/>
              </w:rPr>
              <w:t>恢复操作下的保持方式</w:t>
            </w:r>
          </w:p>
        </w:tc>
      </w:tr>
      <w:tr w:rsidR="00494751" w14:paraId="79E5DFCA" w14:textId="77777777">
        <w:trPr>
          <w:cantSplit/>
        </w:trPr>
        <w:tc>
          <w:tcPr>
            <w:tcW w:w="2494" w:type="dxa"/>
            <w:vAlign w:val="center"/>
            <w:tcMar>
              <w:top w:w="100" w:type="dxa"/>
              <w:left w:w="100" w:type="dxa"/>
              <w:bottom w:w="100" w:type="dxa"/>
              <w:right w:w="100" w:type="dxa"/>
            </w:tcMar>
          </w:tcPr>
          <w:p w14:paraId="1416CEE8" w14:textId="77777777" w:rsidR="00494751" w:rsidRDefault="00000000">
            <w:pPr>
              <w:spacing w:before="0" w:after="0" w:line="240" w:lineRule="auto"/>
              <w:jc w:val="center"/>
            </w:pPr>
            <w:r>
              <w:rPr>
                <w:rFonts w:ascii="Times New Roman" w:hAnsi="Times New Roman" w:eastAsia="宋体" w:cs="Times New Roman"/>
                <w:b w:val="0"/>
                <w:color w:val="000000"/>
                <w:sz w:val="21"/>
              </w:rPr>
              <w:t>挑战事实完整性</w:t>
            </w:r>
          </w:p>
        </w:tc>
        <w:tc>
          <w:tcPr>
            <w:tcW w:w="2948" w:type="dxa"/>
            <w:vAlign w:val="center"/>
            <w:tcMar>
              <w:top w:w="100" w:type="dxa"/>
              <w:left w:w="100" w:type="dxa"/>
              <w:bottom w:w="100" w:type="dxa"/>
              <w:right w:w="100" w:type="dxa"/>
            </w:tcMar>
          </w:tcPr>
          <w:p w14:paraId="4A0C58FF"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状态根、数据可用性根、负载哈希、执行轨迹、重放证据和不一致证据在会话生命周期内不可修改</w:t>
            </w:r>
          </w:p>
        </w:tc>
        <w:tc>
          <w:tcPr>
            <w:tcW w:w="3402" w:type="dxa"/>
            <w:vAlign w:val="center"/>
            <w:tcMar>
              <w:top w:w="100" w:type="dxa"/>
              <w:left w:w="100" w:type="dxa"/>
              <w:bottom w:w="100" w:type="dxa"/>
              <w:right w:w="100" w:type="dxa"/>
            </w:tcMar>
          </w:tcPr>
          <w:p w14:paraId="56BF09C0"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恢复操作不改变任何挑战事实字段</w:t>
            </w:r>
          </w:p>
        </w:tc>
      </w:tr>
      <w:tr w:rsidR="00494751" w14:paraId="5EB3C224" w14:textId="77777777">
        <w:trPr>
          <w:cantSplit/>
        </w:trPr>
        <w:tc>
          <w:tcPr>
            <w:tcW w:w="2494" w:type="dxa"/>
            <w:vAlign w:val="center"/>
            <w:tcMar>
              <w:top w:w="100" w:type="dxa"/>
              <w:left w:w="100" w:type="dxa"/>
              <w:bottom w:w="100" w:type="dxa"/>
              <w:right w:w="100" w:type="dxa"/>
            </w:tcMar>
          </w:tcPr>
          <w:p w14:paraId="02C74ECF" w14:textId="77777777" w:rsidR="00494751" w:rsidRDefault="00000000">
            <w:pPr>
              <w:spacing w:before="0" w:after="0" w:line="240" w:lineRule="auto"/>
              <w:jc w:val="center"/>
            </w:pPr>
            <w:r>
              <w:rPr>
                <w:rFonts w:ascii="Times New Roman" w:hAnsi="Times New Roman" w:eastAsia="宋体" w:cs="Times New Roman"/>
                <w:b w:val="0"/>
                <w:color w:val="000000"/>
                <w:sz w:val="21"/>
              </w:rPr>
              <w:t>重放正确性</w:t>
            </w:r>
          </w:p>
        </w:tc>
        <w:tc>
          <w:tcPr>
            <w:tcW w:w="2948" w:type="dxa"/>
            <w:vAlign w:val="center"/>
            <w:tcMar>
              <w:top w:w="100" w:type="dxa"/>
              <w:left w:w="100" w:type="dxa"/>
              <w:bottom w:w="100" w:type="dxa"/>
              <w:right w:w="100" w:type="dxa"/>
            </w:tcMar>
          </w:tcPr>
          <w:p w14:paraId="33270995"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重放阶段对预期哈希与声明哈希的一致性检查是裁决正确性的唯一依据</w:t>
            </w:r>
          </w:p>
        </w:tc>
        <w:tc>
          <w:tcPr>
            <w:tcW w:w="3402" w:type="dxa"/>
            <w:vAlign w:val="center"/>
            <w:tcMar>
              <w:top w:w="100" w:type="dxa"/>
              <w:left w:w="100" w:type="dxa"/>
              <w:bottom w:w="100" w:type="dxa"/>
              <w:right w:w="100" w:type="dxa"/>
            </w:tcMar>
          </w:tcPr>
          <w:p w14:paraId="7BA75D50"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恢复操作不修改预期哈希、声明哈希和目标步骤</w:t>
            </w:r>
          </w:p>
        </w:tc>
      </w:tr>
      <w:tr w:rsidR="00494751" w14:paraId="23D042FF" w14:textId="77777777">
        <w:trPr>
          <w:cantSplit/>
        </w:trPr>
        <w:tc>
          <w:tcPr>
            <w:tcW w:w="2494" w:type="dxa"/>
            <w:vAlign w:val="center"/>
            <w:tcMar>
              <w:top w:w="100" w:type="dxa"/>
              <w:left w:w="100" w:type="dxa"/>
              <w:bottom w:w="100" w:type="dxa"/>
              <w:right w:w="100" w:type="dxa"/>
            </w:tcMar>
          </w:tcPr>
          <w:p w14:paraId="312BD77D" w14:textId="77777777" w:rsidR="00494751" w:rsidRDefault="00000000">
            <w:pPr>
              <w:spacing w:before="0" w:after="0" w:line="240" w:lineRule="auto"/>
              <w:jc w:val="center"/>
            </w:pPr>
            <w:r>
              <w:rPr>
                <w:rFonts w:ascii="Times New Roman" w:hAnsi="Times New Roman" w:eastAsia="宋体" w:cs="Times New Roman"/>
                <w:b w:val="0"/>
                <w:color w:val="000000"/>
                <w:sz w:val="21"/>
              </w:rPr>
              <w:t>仲裁连续性</w:t>
            </w:r>
          </w:p>
        </w:tc>
        <w:tc>
          <w:tcPr>
            <w:tcW w:w="2948" w:type="dxa"/>
            <w:vAlign w:val="center"/>
            <w:tcMar>
              <w:top w:w="100" w:type="dxa"/>
              <w:left w:w="100" w:type="dxa"/>
              <w:bottom w:w="100" w:type="dxa"/>
              <w:right w:w="100" w:type="dxa"/>
            </w:tcMar>
          </w:tcPr>
          <w:p w14:paraId="79F6AC46"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在挑战事实已固定、证据可获得且数据可用性证明可检查的可仲裁争议中，协议应避免超时导致的永久停滞，并使争议继续推进至重放、结算或惩罚阶段</w:t>
            </w:r>
          </w:p>
        </w:tc>
        <w:tc>
          <w:tcPr>
            <w:tcW w:w="3402" w:type="dxa"/>
            <w:vAlign w:val="center"/>
            <w:tcMar>
              <w:top w:w="100" w:type="dxa"/>
              <w:left w:w="100" w:type="dxa"/>
              <w:bottom w:w="100" w:type="dxa"/>
              <w:right w:w="100" w:type="dxa"/>
            </w:tcMar>
          </w:tcPr>
          <w:p w14:paraId="073BFFC8"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恢复操作是保持仲裁连续性的核心机制；将超时停滞会话恢复至可推进状态</w:t>
            </w:r>
          </w:p>
        </w:tc>
      </w:tr>
      <w:tr w:rsidR="00494751" w14:paraId="20B34DAE" w14:textId="77777777">
        <w:trPr>
          <w:cantSplit/>
        </w:trPr>
        <w:tc>
          <w:tcPr>
            <w:tcW w:w="2494" w:type="dxa"/>
            <w:vAlign w:val="center"/>
            <w:tcMar>
              <w:top w:w="100" w:type="dxa"/>
              <w:left w:w="100" w:type="dxa"/>
              <w:bottom w:w="100" w:type="dxa"/>
              <w:right w:w="100" w:type="dxa"/>
            </w:tcMar>
          </w:tcPr>
          <w:p w14:paraId="07A6F1FA" w14:textId="77777777" w:rsidR="00494751" w:rsidRDefault="00000000">
            <w:pPr>
              <w:spacing w:before="0" w:after="0" w:line="240" w:lineRule="auto"/>
              <w:jc w:val="center"/>
            </w:pPr>
            <w:r>
              <w:rPr>
                <w:rFonts w:ascii="Times New Roman" w:hAnsi="Times New Roman" w:eastAsia="宋体" w:cs="Times New Roman"/>
                <w:b w:val="0"/>
                <w:color w:val="000000"/>
                <w:sz w:val="21"/>
              </w:rPr>
              <w:t>数据可用性绑定</w:t>
            </w:r>
          </w:p>
        </w:tc>
        <w:tc>
          <w:tcPr>
            <w:tcW w:w="2948" w:type="dxa"/>
            <w:vAlign w:val="center"/>
            <w:tcMar>
              <w:top w:w="100" w:type="dxa"/>
              <w:left w:w="100" w:type="dxa"/>
              <w:bottom w:w="100" w:type="dxa"/>
              <w:right w:w="100" w:type="dxa"/>
            </w:tcMar>
          </w:tcPr>
          <w:p w14:paraId="2A9DC649" w14:textId="77777777" w:rsidR="00494751" w:rsidRDefault="00000000">
            <w:pPr>
              <w:spacing w:before="0" w:after="0" w:line="240" w:lineRule="auto"/>
              <w:jc w:val="center"/>
            </w:pPr>
            <w:r>
              <w:rPr>
                <w:rFonts w:ascii="Times New Roman" w:hAnsi="Times New Roman" w:eastAsia="宋体" w:cs="Times New Roman"/>
                <w:b w:val="0"/>
                <w:color w:val="000000"/>
                <w:sz w:val="21"/>
              </w:rPr>
              <w:t>紧凑提交中的</w:t>
            </w:r>
            <w:r>
              <w:rPr>
                <w:rFonts w:ascii="Times New Roman" w:hAnsi="Times New Roman" w:eastAsia="宋体" w:cs="Times New Roman"/>
                <w:b w:val="0"/>
                <w:color w:val="000000"/>
                <w:sz w:val="21"/>
              </w:rPr>
              <w:t xml:space="preserve"> DA Merkle </w:t>
            </w:r>
            <w:r>
              <w:rPr>
                <w:rFonts w:ascii="Times New Roman" w:hAnsi="Times New Roman" w:eastAsia="宋体" w:cs="Times New Roman"/>
                <w:b w:val="0"/>
                <w:color w:val="000000"/>
                <w:sz w:val="21"/>
              </w:rPr>
              <w:t>根约束</w:t>
            </w:r>
            <w:r>
              <w:rPr>
                <w:rFonts w:ascii="Times New Roman" w:hAnsi="Times New Roman" w:eastAsia="宋体" w:cs="Times New Roman"/>
                <w:b w:val="0"/>
                <w:color w:val="000000"/>
                <w:sz w:val="21"/>
              </w:rPr>
              <w:t xml:space="preserve"> DA </w:t>
            </w:r>
            <w:r>
              <w:rPr>
                <w:rFonts w:ascii="Times New Roman" w:hAnsi="Times New Roman" w:eastAsia="宋体" w:cs="Times New Roman"/>
                <w:b w:val="0"/>
                <w:color w:val="000000"/>
                <w:sz w:val="21"/>
              </w:rPr>
              <w:t>条目的字段级</w:t>
            </w:r>
            <w:r>
              <w:rPr>
                <w:rFonts w:ascii="Times New Roman" w:hAnsi="Times New Roman" w:eastAsia="宋体" w:cs="Times New Roman"/>
                <w:b w:val="0"/>
                <w:color w:val="000000"/>
                <w:sz w:val="21"/>
              </w:rPr>
              <w:lastRenderedPageBreak/>
              <w:t>内容</w:t>
            </w:r>
          </w:p>
        </w:tc>
        <w:tc>
          <w:tcPr>
            <w:tcW w:w="3402" w:type="dxa"/>
            <w:vAlign w:val="center"/>
            <w:tcMar>
              <w:top w:w="100" w:type="dxa"/>
              <w:left w:w="100" w:type="dxa"/>
              <w:bottom w:w="100" w:type="dxa"/>
              <w:right w:w="100" w:type="dxa"/>
            </w:tcMar>
          </w:tcPr>
          <w:p w14:paraId="01CC966C" w14:textId="77777777" w:rsidR="00494751" w:rsidRDefault="00000000">
            <w:pPr>
              <w:spacing w:before="0" w:after="0" w:line="240" w:lineRule="auto"/>
              <w:jc w:val="center"/>
            </w:pPr>
            <w:r>
              <w:rPr>
                <w:rFonts w:ascii="Times New Roman" w:hAnsi="Times New Roman" w:eastAsia="宋体" w:cs="Times New Roman"/>
                <w:b w:val="0"/>
                <w:color w:val="000000"/>
                <w:sz w:val="21"/>
              </w:rPr>
              <w:lastRenderedPageBreak/>
              <w:t>恢复操作不修改</w:t>
            </w:r>
            <w:r>
              <w:rPr>
                <w:rFonts w:ascii="Times New Roman" w:hAnsi="Times New Roman" w:eastAsia="宋体" w:cs="Times New Roman"/>
                <w:b w:val="0"/>
                <w:color w:val="000000"/>
                <w:sz w:val="21"/>
              </w:rPr>
              <w:t xml:space="preserve"> DA </w:t>
            </w:r>
            <w:r>
              <w:rPr>
                <w:rFonts w:ascii="Times New Roman" w:hAnsi="Times New Roman" w:eastAsia="宋体" w:cs="Times New Roman"/>
                <w:b w:val="0"/>
                <w:color w:val="000000"/>
                <w:sz w:val="21"/>
              </w:rPr>
              <w:t>指针或</w:t>
            </w:r>
            <w:r>
              <w:rPr>
                <w:rFonts w:ascii="Times New Roman" w:hAnsi="Times New Roman" w:eastAsia="宋体" w:cs="Times New Roman"/>
                <w:b w:val="0"/>
                <w:color w:val="000000"/>
                <w:sz w:val="21"/>
              </w:rPr>
              <w:t xml:space="preserve"> DA Merkle </w:t>
            </w:r>
            <w:r>
              <w:rPr>
                <w:rFonts w:ascii="Times New Roman" w:hAnsi="Times New Roman" w:eastAsia="宋体" w:cs="Times New Roman"/>
                <w:b w:val="0"/>
                <w:color w:val="000000"/>
                <w:sz w:val="21"/>
              </w:rPr>
              <w:t>根</w:t>
            </w:r>
          </w:p>
        </w:tc>
      </w:tr>
      <w:tr w:rsidR="00494751" w14:paraId="2B4AC9FE" w14:textId="77777777">
        <w:trPr>
          <w:cantSplit/>
        </w:trPr>
        <w:tc>
          <w:tcPr>
            <w:tcW w:w="2494" w:type="dxa"/>
            <w:vAlign w:val="center"/>
            <w:tcMar>
              <w:top w:w="100" w:type="dxa"/>
              <w:left w:w="100" w:type="dxa"/>
              <w:bottom w:w="100" w:type="dxa"/>
              <w:right w:w="100" w:type="dxa"/>
            </w:tcMar>
          </w:tcPr>
          <w:p w14:paraId="19B7D8A5" w14:textId="77777777" w:rsidR="00494751" w:rsidRDefault="00000000">
            <w:pPr>
              <w:spacing w:before="0" w:after="0" w:line="240" w:lineRule="auto"/>
              <w:jc w:val="center"/>
            </w:pPr>
            <w:r>
              <w:rPr>
                <w:rFonts w:ascii="Times New Roman" w:hAnsi="Times New Roman" w:eastAsia="宋体" w:cs="Times New Roman"/>
                <w:b w:val="0"/>
                <w:color w:val="000000"/>
                <w:sz w:val="21"/>
              </w:rPr>
              <w:t>执行轨迹一致性</w:t>
            </w:r>
          </w:p>
        </w:tc>
        <w:tc>
          <w:tcPr>
            <w:tcW w:w="2948" w:type="dxa"/>
            <w:vAlign w:val="center"/>
            <w:tcMar>
              <w:top w:w="100" w:type="dxa"/>
              <w:left w:w="100" w:type="dxa"/>
              <w:bottom w:w="100" w:type="dxa"/>
              <w:right w:w="100" w:type="dxa"/>
            </w:tcMar>
          </w:tcPr>
          <w:p w14:paraId="3CFEE08C"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二分缩小过程中积累的区间信息是重放定位的依据</w:t>
            </w:r>
          </w:p>
        </w:tc>
        <w:tc>
          <w:tcPr>
            <w:tcW w:w="3402" w:type="dxa"/>
            <w:vAlign w:val="center"/>
            <w:tcMar>
              <w:top w:w="100" w:type="dxa"/>
              <w:left w:w="100" w:type="dxa"/>
              <w:bottom w:w="100" w:type="dxa"/>
              <w:right w:w="100" w:type="dxa"/>
            </w:tcMar>
          </w:tcPr>
          <w:p w14:paraId="18F933F4" w14:textId="77777777" w:rsidR="00494751"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恢复操作不重置或重写区间信息</w:t>
            </w:r>
          </w:p>
        </w:tc>
      </w:tr>
    </w:tbl>
    <w:p w14:paraId="6F33F182" w14:textId="77777777" w:rsidR="00494751" w:rsidRPr="001B6DA7"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上述协议性质在实验部分（第</w:t>
      </w:r>
      <w:r>
        <w:rPr>
          <w:rFonts w:ascii="Times New Roman" w:hAnsi="Times New Roman" w:eastAsia="宋体" w:cs="Times New Roman"/>
          <w:color w:val="000000"/>
          <w:sz w:val="24"/>
          <w:lang w:eastAsia="zh-CN"/>
        </w:rPr>
        <w:t xml:space="preserve"> 7.3 </w:t>
      </w:r>
      <w:r>
        <w:rPr>
          <w:rFonts w:ascii="Times New Roman" w:hAnsi="Times New Roman" w:eastAsia="宋体" w:cs="Times New Roman"/>
          <w:color w:val="000000"/>
          <w:sz w:val="24"/>
          <w:lang w:eastAsia="zh-CN"/>
        </w:rPr>
        <w:t>节）通过超时场景下不可恢复与可恢复两条路径的对比进行验证，重点考察超时后争议是否仍能推进至重放与结算。</w:t>
      </w:r>
    </w:p>
    <w:p w14:paraId="36C4F912" w14:textId="77777777" w:rsidR="00E637A5"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5 </w:t>
      </w:r>
      <w:r>
        <w:rPr>
          <w:rFonts w:ascii="Times New Roman" w:hAnsi="Times New Roman" w:eastAsia="黑体" w:cs="Times New Roman"/>
          <w:b/>
          <w:color w:val="000000"/>
          <w:sz w:val="28"/>
          <w:lang w:eastAsia="zh-CN"/>
        </w:rPr>
        <w:t>携带证据的紧凑提交与数据可用性绑定</w:t>
      </w:r>
    </w:p>
    <w:p w14:paraId="3D93F04B"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6F765565"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这种绑定关系使验证者能够从链上提交进入数据可用性证据结构。若响应被篡改，验证者检查响应叶与</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29B6EFF7"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从对抗角度看，提交者可能替换负载字段、隐藏数据可用性条目、提交与证明不一致的输出，或在争议过程中延迟响应。紧凑提交本身并不能解决真实数据可用性网络可用性或真实</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信任问题；其更窄的贡献在于明确链上最小承诺需要绑定哪些证据字段，才能使后续挑战具备重放准备性，而不仅是节省链上字节。</w:t>
      </w:r>
    </w:p>
    <w:p w14:paraId="6A209C56"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6 </w:t>
      </w:r>
      <w:r>
        <w:rPr>
          <w:rFonts w:ascii="Times New Roman" w:hAnsi="Times New Roman" w:eastAsia="黑体" w:cs="Times New Roman"/>
          <w:b/>
          <w:color w:val="000000"/>
          <w:sz w:val="28"/>
          <w:lang w:eastAsia="zh-CN"/>
        </w:rPr>
        <w:t>数据可用性感知成本模型</w:t>
      </w:r>
    </w:p>
    <w:p w14:paraId="001A85A2"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14854B08"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模型比较四类 DA 路径：全链上调用数据、紧凑外部 DA、紧凑类 EIP-4844 方案和紧凑模块化 DA 采样。该比较属于配置化估算，应被理解为研究原型的成本建模工具，而非对真实主网定价的模拟。</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589C27B4"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w:t>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79AC1CA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AD342A6"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7 </w:t>
      </w:r>
      <w:r>
        <w:rPr>
          <w:rFonts w:ascii="Times New Roman" w:hAnsi="Times New Roman" w:eastAsia="黑体" w:cs="Times New Roman"/>
          <w:b/>
          <w:color w:val="000000"/>
          <w:sz w:val="28"/>
          <w:lang w:eastAsia="zh-CN"/>
        </w:rPr>
        <w:t>实验评估</w:t>
      </w:r>
    </w:p>
    <w:p w14:paraId="1990E35F"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实验评估不仅验证原型能否运行，还围绕结果含义组织对比分析。需预先说明：当前实验使用 Python 原型、模拟 TEE、合成负载、可验证 DA 注册表、本地 EVM gas 测量和 Sepolia 测试网部署记录，成本模型为配置化估算而非真实主网定价。这些边界在第 8 章集中讨论，本章聚焦于机制接口验证和趋势对比。RQ1 关注紧凑提交是否在保留证据关联的同时隔离负载增长；RQ2 关注批处理摊销与 DA 路径选择的影响；RQ3 关注恢复机制是否改善超时场景下的挑战活性；RQ4 关注不同故障类型能否被检测、恢复、重放或罚没；RQ5 则关注 Solidity 合约、本地 EVM 实测与 Sepolia 部署能否支撑链上对应物。</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666F71C6" w14:textId="77777777" w:rsidR="00DE373F" w:rsidRDefault="00000000">
      <w:pPr>
        <w:pStyle w:val="ChineseFormula"/>
        <w:spacing w:before="0" w:after="0" w:line="360" w:lineRule="auto"/>
        <w:ind w:firstLine="420"/>
        <w:jc w:val="both"/>
      </w:pPr>
      <w:r>
        <w:rPr>
          <w:rFonts w:ascii="Times New Roman" w:hAnsi="Times New Roman" w:eastAsia="宋体" w:cs="Times New Roman"/>
          <w:color w:val="000000"/>
          <w:sz w:val="24"/>
        </w:rPr>
        <w:t xml:space="preserve">C_total = C_commit + C_DA + p_challenge × C_challenge </w:t>
      </w:r>
      <w:r>
        <w:rPr>
          <w:rFonts w:ascii="Times New Roman" w:hAnsi="Times New Roman" w:eastAsia="宋体" w:cs="Times New Roman"/>
          <w:color w:val="000000"/>
          <w:sz w:val="24"/>
        </w:rPr>
        <w:t>（</w:t>
      </w:r>
      <w:r>
        <w:rPr>
          <w:rFonts w:ascii="Times New Roman" w:hAnsi="Times New Roman" w:eastAsia="宋体" w:cs="Times New Roman"/>
          <w:color w:val="000000"/>
          <w:sz w:val="24"/>
        </w:rPr>
        <w:t>1</w:t>
      </w:r>
      <w:r>
        <w:rPr>
          <w:rFonts w:ascii="Times New Roman" w:hAnsi="Times New Roman" w:eastAsia="宋体" w:cs="Times New Roman"/>
          <w:color w:val="000000"/>
          <w:sz w:val="24"/>
        </w:rPr>
        <w:t>）</w:t>
      </w:r>
    </w:p>
    <w:p w14:paraId="5C6CB6F5" w14:textId="77777777" w:rsidR="00DE373F" w:rsidRDefault="00000000">
      <w:pPr>
        <w:pStyle w:val="ChineseFormula"/>
        <w:spacing w:before="0" w:after="0" w:line="360" w:lineRule="auto"/>
        <w:ind w:firstLine="420"/>
        <w:jc w:val="both"/>
      </w:pPr>
      <w:r>
        <w:rPr>
          <w:rFonts w:ascii="Times New Roman" w:hAnsi="Times New Roman" w:eastAsia="宋体" w:cs="Times New Roman"/>
          <w:color w:val="000000"/>
          <w:sz w:val="24"/>
        </w:rPr>
        <w:t xml:space="preserve">C_amortized = C_total / batch_size </w:t>
      </w:r>
      <w:r>
        <w:rPr>
          <w:rFonts w:ascii="Times New Roman" w:hAnsi="Times New Roman" w:eastAsia="宋体" w:cs="Times New Roman"/>
          <w:color w:val="000000"/>
          <w:sz w:val="24"/>
        </w:rPr>
        <w:t>（</w:t>
      </w:r>
      <w:r>
        <w:rPr>
          <w:rFonts w:ascii="Times New Roman" w:hAnsi="Times New Roman" w:eastAsia="宋体" w:cs="Times New Roman"/>
          <w:color w:val="000000"/>
          <w:sz w:val="24"/>
        </w:rPr>
        <w:t>2</w:t>
      </w:r>
      <w:r>
        <w:rPr>
          <w:rFonts w:ascii="Times New Roman" w:hAnsi="Times New Roman" w:eastAsia="宋体" w:cs="Times New Roman"/>
          <w:color w:val="000000"/>
          <w:sz w:val="24"/>
        </w:rPr>
        <w:t>）</w:t>
      </w:r>
    </w:p>
    <w:p w14:paraId="51B3C2C6"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其中，C_commit 表示链上紧凑提交或完整负载提交成本，C_DA 表示不同 DA 路径下的数据成本，C_challenge 表示争议发生时挑战、恢复、重放和结算成本，p_challenge 表示争议发生概率。该模型用于不同数据可用性配置下的摊销比较，而非真实费用预测。</w:t>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lang w:eastAsia="zh-CN"/>
        </w:rPr>
      </w:r>
    </w:p>
    <w:p w14:paraId="784403BD" w14:textId="77777777" w:rsidR="00DE373F" w:rsidRDefault="00000000">
      <w:pPr>
        <w:pStyle w:val="21"/>
        <w:keepNext/>
        <w:keepLines w:val="0"/>
        <w:spacing w:after="120" w:line="288" w:lineRule="auto"/>
        <w:jc w:val="left"/>
        <w:rPr>
          <w:lang w:eastAsia="zh-CN"/>
        </w:rPr>
      </w:pPr>
      <w:r>
        <w:rPr>
          <w:rFonts w:ascii="Times New Roman" w:eastAsia="黑体" w:hAnsi="Times New Roman" w:cs="Times New Roman"/>
          <w:b/>
          <w:color w:val="000000"/>
          <w:sz w:val="24"/>
          <w:lang w:eastAsia="zh-CN"/>
        </w:rPr>
        <w:t>7.1 RQ1</w:t>
      </w:r>
      <w:r>
        <w:rPr>
          <w:rFonts w:ascii="Times New Roman" w:eastAsia="黑体" w:hAnsi="Times New Roman" w:cs="Times New Roman"/>
          <w:b/>
          <w:color w:val="000000"/>
          <w:sz w:val="24"/>
          <w:lang w:eastAsia="zh-CN"/>
        </w:rPr>
        <w:t>：紧凑提交能否降低链上提交规模</w:t>
      </w:r>
    </w:p>
    <w:p w14:paraId="64505362"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RQ1 </w:t>
      </w:r>
      <w:r>
        <w:rPr>
          <w:rFonts w:ascii="Times New Roman" w:hAnsi="Times New Roman" w:eastAsia="宋体" w:cs="Times New Roman"/>
          <w:color w:val="000000"/>
          <w:sz w:val="24"/>
          <w:lang w:eastAsia="zh-CN"/>
        </w:rPr>
        <w:t>隔离考察提交结构。</w:t>
      </w:r>
      <w:r>
        <w:rPr>
          <w:rFonts w:ascii="Times New Roman" w:hAnsi="Times New Roman" w:eastAsia="宋体" w:cs="Times New Roman"/>
          <w:color w:val="000000"/>
          <w:sz w:val="24"/>
          <w:lang w:eastAsia="zh-CN"/>
        </w:rPr>
        <w:t xml:space="preserve">Python </w:t>
      </w:r>
      <w:r>
        <w:rPr>
          <w:rFonts w:ascii="Times New Roman" w:hAnsi="Times New Roman" w:eastAsia="宋体" w:cs="Times New Roman"/>
          <w:color w:val="000000"/>
          <w:sz w:val="24"/>
          <w:lang w:eastAsia="zh-CN"/>
        </w:rPr>
        <w:t>原型在模拟</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下生成合成账本条目，比较完整负载与紧凑提交的规范</w:t>
      </w:r>
      <w:r>
        <w:rPr>
          <w:rFonts w:ascii="Times New Roman" w:hAnsi="Times New Roman" w:eastAsia="宋体" w:cs="Times New Roman"/>
          <w:color w:val="000000"/>
          <w:sz w:val="24"/>
          <w:lang w:eastAsia="zh-CN"/>
        </w:rPr>
        <w:t xml:space="preserve"> JSON </w:t>
      </w:r>
      <w:r>
        <w:rPr>
          <w:rFonts w:ascii="Times New Roman" w:hAnsi="Times New Roman" w:eastAsia="宋体" w:cs="Times New Roman"/>
          <w:color w:val="000000"/>
          <w:sz w:val="24"/>
          <w:lang w:eastAsia="zh-CN"/>
        </w:rPr>
        <w:t>字节数。度量指标包括完整字节数、紧凑字节数和字节降</w:t>
      </w:r>
      <w:r>
        <w:rPr>
          <w:rFonts w:ascii="Times New Roman" w:hAnsi="Times New Roman" w:eastAsia="宋体" w:cs="Times New Roman"/>
          <w:color w:val="000000"/>
          <w:sz w:val="24"/>
          <w:lang w:eastAsia="zh-CN"/>
        </w:rPr>
        <w:t>幅比例。完整字节数表示完整提示、响应和远程证明都作为负载的一部分时的总字节数；紧凑字节数仅计算提交结构字节数。</w:t>
      </w:r>
    </w:p>
    <w:p w14:paraId="09819D12"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pPr>
        <w:keepNext/>
        <w:spacing w:before="120" w:after="0"/>
        <w:jc w:val="center"/>
      </w:pPr>
      <w:r>
        <w:drawing>
          <wp:inline xmlns:a="http://schemas.openxmlformats.org/drawingml/2006/main" xmlns:pic="http://schemas.openxmlformats.org/drawingml/2006/picture">
            <wp:extent cx="5166360" cy="2175309"/>
            <wp:docPr id="7" name="Picture 7"/>
            <wp:cNvGraphicFramePr>
              <a:graphicFrameLocks noChangeAspect="1"/>
            </wp:cNvGraphicFramePr>
            <a:graphic>
              <a:graphicData uri="http://schemas.openxmlformats.org/drawingml/2006/picture">
                <pic:pic>
                  <pic:nvPicPr>
                    <pic:cNvPr id="0" name="cost_payload_full_vs_compact.png"/>
                    <pic:cNvPicPr/>
                  </pic:nvPicPr>
                  <pic:blipFill>
                    <a:blip r:embed="rId13"/>
                    <a:stretch>
                      <a:fillRect/>
                    </a:stretch>
                  </pic:blipFill>
                  <pic:spPr>
                    <a:xfrm>
                      <a:off x="0" y="0"/>
                      <a:ext cx="5166360" cy="2175309"/>
                    </a:xfrm>
                    <a:prstGeom prst="rect"/>
                  </pic:spPr>
                </pic:pic>
              </a:graphicData>
            </a:graphic>
          </wp:inline>
        </w:drawing>
      </w:r>
    </w:p>
    <w:p w14:paraId="7C2FA3CD"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3 完整负载与紧凑提交的字节规模对比</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4AABE4F6" w14:textId="77777777" w:rsidR="00DE373F" w:rsidRDefault="00000000">
      <w:pPr>
        <w:pStyle w:val="21"/>
        <w:keepNext/>
        <w:keepLines w:val="0"/>
        <w:spacing w:after="120" w:line="288" w:lineRule="auto"/>
        <w:jc w:val="left"/>
        <w:rPr>
          <w:lang w:eastAsia="zh-CN"/>
        </w:rPr>
      </w:pPr>
      <w:r>
        <w:rPr>
          <w:rFonts w:ascii="Times New Roman" w:eastAsia="黑体" w:hAnsi="Times New Roman" w:cs="Times New Roman"/>
          <w:b/>
          <w:color w:val="000000"/>
          <w:sz w:val="24"/>
          <w:lang w:eastAsia="zh-CN"/>
        </w:rPr>
        <w:t>7.2 RQ2</w:t>
      </w:r>
      <w:r>
        <w:rPr>
          <w:rFonts w:ascii="Times New Roman" w:eastAsia="黑体" w:hAnsi="Times New Roman" w:cs="Times New Roman"/>
          <w:b/>
          <w:color w:val="000000"/>
          <w:sz w:val="24"/>
          <w:lang w:eastAsia="zh-CN"/>
        </w:rPr>
        <w:t>：批大小如何影响</w:t>
      </w:r>
      <w:r>
        <w:rPr>
          <w:rFonts w:ascii="Times New Roman" w:eastAsia="黑体" w:hAnsi="Times New Roman" w:cs="Times New Roman"/>
          <w:b/>
          <w:color w:val="000000"/>
          <w:sz w:val="24"/>
          <w:lang w:eastAsia="zh-CN"/>
        </w:rPr>
        <w:t xml:space="preserve"> DA </w:t>
      </w:r>
      <w:r>
        <w:rPr>
          <w:rFonts w:ascii="Times New Roman" w:eastAsia="黑体" w:hAnsi="Times New Roman" w:cs="Times New Roman"/>
          <w:b/>
          <w:color w:val="000000"/>
          <w:sz w:val="24"/>
          <w:lang w:eastAsia="zh-CN"/>
        </w:rPr>
        <w:t>感知摊销成本</w:t>
      </w:r>
    </w:p>
    <w:p w14:paraId="3F7B8403" w14:textId="77777777" w:rsidR="00DE373F" w:rsidRDefault="00000000" w:rsidP="001B6DA7">
      <w:pPr>
        <w:spacing w:after="0" w:line="360" w:lineRule="auto" w:before="0"/>
        <w:ind w:firstLine="420"/>
        <w:jc w:val="both"/>
        <w:rPr>
          <w:lang w:eastAsia="zh-CN"/>
        </w:rPr>
      </w:pPr>
      <w:r>
        <w:rPr>
          <w:rFonts w:ascii="Times New Roman" w:hAnsi="Times New Roman" w:eastAsia="宋体" w:cs="Times New Roman"/>
          <w:color w:val="000000"/>
          <w:sz w:val="24"/>
          <w:lang w:eastAsia="zh-CN"/>
        </w:rPr>
        <w:t>RQ2 关注提交策略在何种条件下会改变高频合成负载的系统可行性。实验比较全链上调用数据、紧凑外部 DA、紧凑类 EIP-4844 方案和紧凑模块化 DA 采样四类路线。主要指标为摊销 gas 用量和降幅比例。</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0844E58"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469482D" w14:textId="77777777" w:rsidR="00DE373F" w:rsidRDefault="00000000">
      <w:pPr>
        <w:keepNext/>
        <w:spacing w:before="120" w:after="0" w:line="240" w:lineRule="auto"/>
        <w:jc w:val="center"/>
      </w:pPr>
      <w:r>
        <w:rPr>
          <w:noProof/>
        </w:rPr>
        <w:lastRenderedPageBreak/>
        <w:drawing>
          <wp:inline distT="0" distB="0" distL="0" distR="0" wp14:anchorId="757D05C9" wp14:editId="5853DA31">
            <wp:extent cx="5166360" cy="2952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8"/>
                    <a:stretch>
                      <a:fillRect/>
                    </a:stretch>
                  </pic:blipFill>
                  <pic:spPr>
                    <a:xfrm>
                      <a:off x="0" y="0"/>
                      <a:ext cx="5166360" cy="2952205"/>
                    </a:xfrm>
                    <a:prstGeom prst="rect">
                      <a:avLst/>
                    </a:prstGeom>
                  </pic:spPr>
                </pic:pic>
              </a:graphicData>
            </a:graphic>
          </wp:inline>
        </w:drawing>
      </w:r>
    </w:p>
    <w:p w14:paraId="26029016"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4 不同数据可用性配置下的摊销 gas 用量趋势</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4B5E5623"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7.3 RQ3：恢复机制能否改善超时场景下的挑战活性</w:t>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p>
    <w:p w14:paraId="7D1B54C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RQ3 </w:t>
      </w:r>
      <w:r>
        <w:rPr>
          <w:rFonts w:ascii="Times New Roman" w:hAnsi="Times New Roman" w:eastAsia="宋体" w:cs="Times New Roman"/>
          <w:color w:val="000000"/>
          <w:sz w:val="24"/>
          <w:lang w:eastAsia="zh-CN"/>
        </w:rPr>
        <w:t>检验本文的核心活性主张。该实验对应第</w:t>
      </w:r>
      <w:r>
        <w:rPr>
          <w:rFonts w:ascii="Times New Roman" w:hAnsi="Times New Roman" w:eastAsia="宋体" w:cs="Times New Roman"/>
          <w:color w:val="000000"/>
          <w:sz w:val="24"/>
          <w:lang w:eastAsia="zh-CN"/>
        </w:rPr>
        <w:t xml:space="preserve"> 4.4 </w:t>
      </w:r>
      <w:r>
        <w:rPr>
          <w:rFonts w:ascii="Times New Roman" w:hAnsi="Times New Roman" w:eastAsia="宋体" w:cs="Times New Roman"/>
          <w:color w:val="000000"/>
          <w:sz w:val="24"/>
          <w:lang w:eastAsia="zh-CN"/>
        </w:rPr>
        <w:t>节定义的仲裁连续性。</w:t>
      </w:r>
      <w:r>
        <w:rPr>
          <w:rFonts w:ascii="Times New Roman" w:hAnsi="Times New Roman" w:eastAsia="宋体" w:cs="Times New Roman"/>
          <w:color w:val="000000"/>
          <w:sz w:val="24"/>
          <w:lang w:eastAsia="zh-CN"/>
        </w:rPr>
        <w:t xml:space="preserve">Python </w:t>
      </w:r>
      <w:r>
        <w:rPr>
          <w:rFonts w:ascii="Times New Roman" w:hAnsi="Times New Roman" w:eastAsia="宋体" w:cs="Times New Roman"/>
          <w:color w:val="000000"/>
          <w:sz w:val="24"/>
          <w:lang w:eastAsia="zh-CN"/>
        </w:rPr>
        <w:t>原型在不可恢复路径与可恢复路径两条路径中使用相同的合成挑战状态机，轨迹步数覆盖</w:t>
      </w:r>
      <w:r>
        <w:rPr>
          <w:rFonts w:ascii="Times New Roman" w:hAnsi="Times New Roman" w:eastAsia="宋体" w:cs="Times New Roman"/>
          <w:color w:val="000000"/>
          <w:sz w:val="24"/>
          <w:lang w:eastAsia="zh-CN"/>
        </w:rPr>
        <w:t xml:space="preserve"> 4 </w:t>
      </w:r>
      <w:r>
        <w:rPr>
          <w:rFonts w:ascii="Times New Roman" w:hAnsi="Times New Roman" w:eastAsia="宋体" w:cs="Times New Roman"/>
          <w:color w:val="000000"/>
          <w:sz w:val="24"/>
          <w:lang w:eastAsia="zh-CN"/>
        </w:rPr>
        <w:t>至</w:t>
      </w:r>
      <w:r>
        <w:rPr>
          <w:rFonts w:ascii="Times New Roman" w:hAnsi="Times New Roman" w:eastAsia="宋体" w:cs="Times New Roman"/>
          <w:color w:val="000000"/>
          <w:sz w:val="24"/>
          <w:lang w:eastAsia="zh-CN"/>
        </w:rPr>
        <w:t xml:space="preserve"> 128</w:t>
      </w:r>
      <w:r>
        <w:rPr>
          <w:rFonts w:ascii="Times New Roman" w:hAnsi="Times New Roman" w:eastAsia="宋体" w:cs="Times New Roman"/>
          <w:color w:val="000000"/>
          <w:sz w:val="24"/>
          <w:lang w:eastAsia="zh-CN"/>
        </w:rPr>
        <w:t>，挑战超时设为</w:t>
      </w:r>
      <w:r>
        <w:rPr>
          <w:rFonts w:ascii="Times New Roman" w:hAnsi="Times New Roman" w:eastAsia="宋体" w:cs="Times New Roman"/>
          <w:color w:val="000000"/>
          <w:sz w:val="24"/>
          <w:lang w:eastAsia="zh-CN"/>
        </w:rPr>
        <w:t xml:space="preserve"> 2 </w:t>
      </w:r>
      <w:r>
        <w:rPr>
          <w:rFonts w:ascii="Times New Roman" w:hAnsi="Times New Roman" w:eastAsia="宋体" w:cs="Times New Roman"/>
          <w:color w:val="000000"/>
          <w:sz w:val="24"/>
          <w:lang w:eastAsia="zh-CN"/>
        </w:rPr>
        <w:t>秒。关键问题是：超时被检测后，会话是否仍能继续进入重放、结算与罚没。</w:t>
      </w:r>
    </w:p>
    <w:p w14:paraId="1C8F5A5D" w14:textId="77777777" w:rsidR="00DE373F" w:rsidRDefault="00000000" w:rsidP="001B6DA7">
      <w:pPr>
        <w:spacing w:after="0" w:line="360" w:lineRule="auto" w:before="0"/>
        <w:ind w:firstLine="420"/>
        <w:jc w:val="both"/>
        <w:rPr>
          <w:lang w:eastAsia="zh-CN"/>
        </w:rPr>
      </w:pPr>
      <w:r>
        <w:rPr>
          <w:rFonts w:ascii="Times New Roman" w:hAnsi="Times New Roman" w:eastAsia="宋体" w:cs="Times New Roman"/>
          <w:color w:val="000000"/>
          <w:sz w:val="24"/>
          <w:lang w:eastAsia="zh-CN"/>
        </w:rPr>
        <w:t>二分定位行为与理论对数趋势一致。更关键的是不可恢复与可恢复路径的对比：在超时不可恢复场景中，检测率达到</w:t>
      </w:r>
      <w:r>
        <w:rPr>
          <w:rFonts w:ascii="Times New Roman" w:hAnsi="Times New Roman" w:eastAsia="宋体" w:cs="Times New Roman"/>
          <w:color w:val="000000"/>
          <w:sz w:val="24"/>
          <w:lang w:eastAsia="zh-CN"/>
        </w:rPr>
        <w:t xml:space="preserve"> 100%</w:t>
      </w:r>
      <w:r>
        <w:rPr>
          <w:rFonts w:ascii="Times New Roman" w:hAnsi="Times New Roman" w:eastAsia="宋体" w:cs="Times New Roman"/>
          <w:color w:val="000000"/>
          <w:sz w:val="24"/>
          <w:lang w:eastAsia="zh-CN"/>
        </w:rPr>
        <w:t>，但挑战成功率和罚没比例均为</w:t>
      </w:r>
      <w:r>
        <w:rPr>
          <w:rFonts w:ascii="Times New Roman" w:hAnsi="Times New Roman" w:eastAsia="宋体" w:cs="Times New Roman"/>
          <w:color w:val="000000"/>
          <w:sz w:val="24"/>
          <w:lang w:eastAsia="zh-CN"/>
        </w:rPr>
        <w:t xml:space="preserve"> 0%</w:t>
      </w:r>
      <w:r>
        <w:rPr>
          <w:rFonts w:ascii="Times New Roman" w:hAnsi="Times New Roman" w:eastAsia="宋体" w:cs="Times New Roman"/>
          <w:color w:val="000000"/>
          <w:sz w:val="24"/>
          <w:lang w:eastAsia="zh-CN"/>
        </w:rPr>
        <w:t>；在超时可恢复场景中，在当前原型合成负载下均可达到</w:t>
      </w:r>
      <w:r>
        <w:rPr>
          <w:rFonts w:ascii="Times New Roman" w:hAnsi="Times New Roman" w:eastAsia="宋体" w:cs="Times New Roman"/>
          <w:color w:val="000000"/>
          <w:sz w:val="24"/>
          <w:lang w:eastAsia="zh-CN"/>
        </w:rPr>
        <w:t xml:space="preserve"> 100%</w:t>
      </w:r>
      <w:r>
        <w:rPr>
          <w:rFonts w:ascii="Times New Roman" w:hAnsi="Times New Roman" w:eastAsia="宋体" w:cs="Times New Roman"/>
          <w:color w:val="000000"/>
          <w:sz w:val="24"/>
          <w:lang w:eastAsia="zh-CN"/>
        </w:rPr>
        <w:t>。该对比说明，超时检测本身并不等价于协议推进。</w:t>
      </w:r>
    </w:p>
    <w:p w14:paraId="428A6B24"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 xml:space="preserve">7.3.1 </w:t>
      </w:r>
      <w:r>
        <w:rPr>
          <w:rFonts w:ascii="Times New Roman" w:hAnsi="Times New Roman" w:eastAsia="黑体" w:cs="Times New Roman"/>
          <w:b/>
          <w:color w:val="000000"/>
          <w:sz w:val="24"/>
          <w:lang w:eastAsia="zh-CN"/>
        </w:rPr>
        <w:t>恢复开销分析</w:t>
      </w:r>
    </w:p>
    <w:p w14:paraId="533D173F"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利用表 5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62C1B91D"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该比例仅表示本地</w:t>
      </w:r>
      <w:r>
        <w:rPr>
          <w:rFonts w:ascii="Times New Roman" w:hAnsi="Times New Roman" w:eastAsia="宋体" w:cs="Times New Roman"/>
          <w:color w:val="000000"/>
          <w:sz w:val="24"/>
          <w:lang w:eastAsia="zh-CN"/>
        </w:rPr>
        <w:t xml:space="preserve"> EVM </w:t>
      </w:r>
      <w:r>
        <w:rPr>
          <w:rFonts w:ascii="Times New Roman" w:hAnsi="Times New Roman" w:eastAsia="宋体" w:cs="Times New Roman"/>
          <w:color w:val="000000"/>
          <w:sz w:val="24"/>
          <w:lang w:eastAsia="zh-CN"/>
        </w:rPr>
        <w:t>中两条合约路径的相对开销。</w:t>
      </w:r>
    </w:p>
    <w:p w14:paraId="3CE78725" w14:textId="77777777" w:rsidR="00DE373F" w:rsidRDefault="00000000">
      <w:pPr>
        <w:keepNext/>
        <w:spacing w:before="120" w:after="0" w:line="240" w:lineRule="auto"/>
        <w:jc w:val="center"/>
      </w:pPr>
      <w:r>
        <w:rPr>
          <w:noProof/>
        </w:rPr>
        <w:lastRenderedPageBreak/>
        <w:drawing>
          <wp:inline distT="0" distB="0" distL="0" distR="0" wp14:anchorId="23E6727A" wp14:editId="5AC282A4">
            <wp:extent cx="5166360" cy="2952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9"/>
                    <a:stretch>
                      <a:fillRect/>
                    </a:stretch>
                  </pic:blipFill>
                  <pic:spPr>
                    <a:xfrm>
                      <a:off x="0" y="0"/>
                      <a:ext cx="5166360" cy="2952205"/>
                    </a:xfrm>
                    <a:prstGeom prst="rect">
                      <a:avLst/>
                    </a:prstGeom>
                  </pic:spPr>
                </pic:pic>
              </a:graphicData>
            </a:graphic>
          </wp:inline>
        </w:drawing>
      </w:r>
    </w:p>
    <w:p w14:paraId="193868B7"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5 二分挑战轮次与轨迹步数的关系</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2415F8E4" w14:textId="77777777" w:rsidR="00DE373F" w:rsidRDefault="00000000">
      <w:pPr>
        <w:keepNext/>
        <w:spacing w:before="120" w:after="0" w:line="240" w:lineRule="auto"/>
        <w:jc w:val="center"/>
      </w:pPr>
      <w:r>
        <w:rPr>
          <w:noProof/>
        </w:rPr>
        <w:drawing>
          <wp:inline distT="0" distB="0" distL="0" distR="0" wp14:anchorId="731AC2FD" wp14:editId="64B755F3">
            <wp:extent cx="5166360" cy="3444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0"/>
                    <a:stretch>
                      <a:fillRect/>
                    </a:stretch>
                  </pic:blipFill>
                  <pic:spPr>
                    <a:xfrm>
                      <a:off x="0" y="0"/>
                      <a:ext cx="5166360" cy="3444240"/>
                    </a:xfrm>
                    <a:prstGeom prst="rect">
                      <a:avLst/>
                    </a:prstGeom>
                  </pic:spPr>
                </pic:pic>
              </a:graphicData>
            </a:graphic>
          </wp:inline>
        </w:drawing>
      </w:r>
    </w:p>
    <w:p w14:paraId="79FA1672"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6 超时恢复对挑战完成率的影响</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0A3C0888"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7.4 RQ4</w:t>
      </w:r>
      <w:r>
        <w:rPr>
          <w:rFonts w:ascii="Times New Roman" w:hAnsi="Times New Roman" w:eastAsia="黑体" w:cs="Times New Roman"/>
          <w:b/>
          <w:color w:val="000000"/>
          <w:sz w:val="24"/>
          <w:lang w:eastAsia="zh-CN"/>
        </w:rPr>
        <w:t>：不同故障场景能否被检测、恢复或惩罚</w:t>
      </w:r>
    </w:p>
    <w:p w14:paraId="3C1FF949"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RQ4 采用面向故障分类的安全评估方式。实验注入八类合成场景，区分其在当前原型中能否被检测、能否恢复推进、能否进入重放以及能否触发罚没。指标为检测率、挑战成功率和罚没比例。</w:t>
      </w:r>
      <w:r>
        <w:rPr>
          <w:rFonts w:ascii="Times New Roman" w:hAnsi="Times New Roman" w:eastAsia="宋体" w:cs="Times New Roman"/>
          <w:color w:val="000000"/>
          <w:sz w:val="24"/>
          <w:lang w:eastAsia="zh-CN"/>
        </w:rPr>
      </w:r>
    </w:p>
    <w:p w14:paraId="6854B24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pPr>
        <w:keepNext/>
        <w:spacing w:before="120" w:after="0"/>
        <w:jc w:val="center"/>
      </w:pPr>
      <w:r>
        <w:drawing>
          <wp:inline xmlns:a="http://schemas.openxmlformats.org/drawingml/2006/main" xmlns:pic="http://schemas.openxmlformats.org/drawingml/2006/picture">
            <wp:extent cx="5166360" cy="2583180"/>
            <wp:docPr id="8" name="Picture 8"/>
            <wp:cNvGraphicFramePr>
              <a:graphicFrameLocks noChangeAspect="1"/>
            </wp:cNvGraphicFramePr>
            <a:graphic>
              <a:graphicData uri="http://schemas.openxmlformats.org/drawingml/2006/picture">
                <pic:pic>
                  <pic:nvPicPr>
                    <pic:cNvPr id="0" name="failure_detection.png"/>
                    <pic:cNvPicPr/>
                  </pic:nvPicPr>
                  <pic:blipFill>
                    <a:blip r:embed="rId14"/>
                    <a:stretch>
                      <a:fillRect/>
                    </a:stretch>
                  </pic:blipFill>
                  <pic:spPr>
                    <a:xfrm>
                      <a:off x="0" y="0"/>
                      <a:ext cx="5166360" cy="2583180"/>
                    </a:xfrm>
                    <a:prstGeom prst="rect"/>
                  </pic:spPr>
                </pic:pic>
              </a:graphicData>
            </a:graphic>
          </wp:inline>
        </w:drawing>
      </w:r>
    </w:p>
    <w:p w14:paraId="6DF052E6"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7 失败场景检测与仲裁结果</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37A93DA3" w14:textId="77777777" w:rsidR="00DE373F"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4 失败场景分类与当前证据边界</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88"/>
        <w:gridCol w:w="2346"/>
        <w:gridCol w:w="2355"/>
        <w:gridCol w:w="2793"/>
      </w:tblGrid>
      <w:tr w:rsidR="00DE373F" w14:paraId="73C8C188" w14:textId="77777777">
        <w:trPr>
          <w:trHeight w:val="369"/>
          <w:tblHeader w:val="true"/>
          <w:jc w:val="center"/>
          <w:cantSplit/>
        </w:trPr>
        <w:tc>
          <w:tcPr>
            <w:tcW w:w="1360" w:type="dxa"/>
            <w:shd w:val="clear" w:color="auto" w:fill="D9D9D9"/>
            <w:tcMar>
              <w:top w:w="100" w:type="dxa"/>
              <w:left w:w="100" w:type="dxa"/>
              <w:bottom w:w="100" w:type="dxa"/>
              <w:right w:w="100" w:type="dxa"/>
            </w:tcMar>
            <w:vAlign w:val="center"/>
          </w:tcPr>
          <w:p w14:paraId="72AE6842" w14:textId="77777777" w:rsidR="0004470E" w:rsidRDefault="00000000">
            <w:pPr>
              <w:spacing w:before="0" w:after="0" w:line="240" w:lineRule="auto"/>
              <w:jc w:val="center"/>
            </w:pPr>
            <w:r>
              <w:rPr>
                <w:rFonts w:ascii="Times New Roman" w:hAnsi="Times New Roman" w:eastAsia="宋体" w:cs="Times New Roman"/>
                <w:b/>
                <w:color w:val="000000"/>
                <w:sz w:val="21"/>
              </w:rPr>
              <w:t>类别</w:t>
            </w:r>
          </w:p>
        </w:tc>
        <w:tc>
          <w:tcPr>
            <w:tcW w:w="2041" w:type="dxa"/>
            <w:shd w:val="clear" w:color="auto" w:fill="D9D9D9"/>
            <w:tcMar>
              <w:top w:w="100" w:type="dxa"/>
              <w:left w:w="100" w:type="dxa"/>
              <w:bottom w:w="100" w:type="dxa"/>
              <w:right w:w="100" w:type="dxa"/>
            </w:tcMar>
            <w:vAlign w:val="center"/>
          </w:tcPr>
          <w:p w14:paraId="27E2A836" w14:textId="77777777" w:rsidR="0004470E" w:rsidRDefault="00000000">
            <w:pPr>
              <w:spacing w:before="0" w:after="0" w:line="240" w:lineRule="auto"/>
              <w:jc w:val="center"/>
            </w:pPr>
            <w:r>
              <w:rPr>
                <w:rFonts w:ascii="Times New Roman" w:hAnsi="Times New Roman" w:eastAsia="宋体" w:cs="Times New Roman"/>
                <w:b/>
                <w:color w:val="000000"/>
                <w:sz w:val="21"/>
              </w:rPr>
              <w:t>场景</w:t>
            </w:r>
          </w:p>
        </w:tc>
        <w:tc>
          <w:tcPr>
            <w:tcW w:w="2381" w:type="dxa"/>
            <w:shd w:val="clear" w:color="auto" w:fill="D9D9D9"/>
            <w:tcMar>
              <w:top w:w="100" w:type="dxa"/>
              <w:left w:w="100" w:type="dxa"/>
              <w:bottom w:w="100" w:type="dxa"/>
              <w:right w:w="100" w:type="dxa"/>
            </w:tcMar>
            <w:vAlign w:val="center"/>
          </w:tcPr>
          <w:p w14:paraId="3D5BD963" w14:textId="77777777" w:rsidR="0004470E" w:rsidRDefault="00000000">
            <w:pPr>
              <w:spacing w:before="0" w:after="0" w:line="240" w:lineRule="auto"/>
              <w:jc w:val="center"/>
            </w:pPr>
            <w:r>
              <w:rPr>
                <w:rFonts w:ascii="Times New Roman" w:hAnsi="Times New Roman" w:eastAsia="宋体" w:cs="Times New Roman"/>
                <w:b/>
                <w:color w:val="000000"/>
                <w:sz w:val="21"/>
              </w:rPr>
              <w:t>当前结果</w:t>
            </w:r>
          </w:p>
        </w:tc>
        <w:tc>
          <w:tcPr>
            <w:tcW w:w="2948" w:type="dxa"/>
            <w:shd w:val="clear" w:color="auto" w:fill="D9D9D9"/>
            <w:tcMar>
              <w:top w:w="100" w:type="dxa"/>
              <w:left w:w="100" w:type="dxa"/>
              <w:bottom w:w="100" w:type="dxa"/>
              <w:right w:w="100" w:type="dxa"/>
            </w:tcMar>
            <w:vAlign w:val="center"/>
          </w:tcPr>
          <w:p w14:paraId="07AF8688" w14:textId="77777777" w:rsidR="0004470E" w:rsidRDefault="00000000">
            <w:pPr>
              <w:spacing w:before="0" w:after="0" w:line="240" w:lineRule="auto"/>
              <w:jc w:val="center"/>
            </w:pPr>
            <w:r>
              <w:rPr>
                <w:rFonts w:ascii="Times New Roman" w:hAnsi="Times New Roman" w:eastAsia="宋体" w:cs="Times New Roman"/>
                <w:b/>
                <w:color w:val="000000"/>
                <w:sz w:val="21"/>
              </w:rPr>
              <w:t>证据边界</w:t>
            </w:r>
          </w:p>
        </w:tc>
      </w:tr>
      <w:tr w:rsidR="00DE373F" w14:paraId="2C080DF5" w14:textId="77777777">
        <w:trPr>
          <w:trHeight w:val="369"/>
          <w:jc w:val="center"/>
          <w:cantSplit/>
        </w:trPr>
        <w:tc>
          <w:tcPr>
            <w:tcW w:w="1360" w:type="dxa"/>
            <w:tcMar>
              <w:top w:w="100" w:type="dxa"/>
              <w:left w:w="100" w:type="dxa"/>
              <w:bottom w:w="100" w:type="dxa"/>
              <w:right w:w="100" w:type="dxa"/>
            </w:tcMar>
            <w:vAlign w:val="center"/>
          </w:tcPr>
          <w:p w14:paraId="77B56C19" w14:textId="77777777" w:rsidR="0004470E" w:rsidRDefault="00000000">
            <w:pPr>
              <w:spacing w:before="0" w:after="0" w:line="240" w:lineRule="auto"/>
              <w:jc w:val="center"/>
            </w:pPr>
            <w:r>
              <w:rPr>
                <w:rFonts w:ascii="Times New Roman" w:hAnsi="Times New Roman" w:eastAsia="宋体" w:cs="Times New Roman"/>
                <w:b w:val="0"/>
                <w:color w:val="000000"/>
                <w:sz w:val="21"/>
              </w:rPr>
              <w:t>正常路径</w:t>
            </w:r>
          </w:p>
        </w:tc>
        <w:tc>
          <w:tcPr>
            <w:tcW w:w="2041" w:type="dxa"/>
            <w:tcMar>
              <w:top w:w="100" w:type="dxa"/>
              <w:left w:w="100" w:type="dxa"/>
              <w:bottom w:w="100" w:type="dxa"/>
              <w:right w:w="100" w:type="dxa"/>
            </w:tcMar>
            <w:vAlign w:val="center"/>
          </w:tcPr>
          <w:p w14:paraId="0600F84B" w14:textId="77777777" w:rsidR="0004470E" w:rsidRDefault="00000000">
            <w:pPr>
              <w:spacing w:before="0" w:after="0" w:line="240" w:lineRule="auto"/>
              <w:jc w:val="center"/>
            </w:pPr>
            <w:r>
              <w:rPr>
                <w:rFonts w:ascii="Times New Roman" w:hAnsi="Times New Roman" w:eastAsia="宋体" w:cs="Times New Roman"/>
                <w:b w:val="0"/>
                <w:color w:val="000000"/>
                <w:sz w:val="21"/>
              </w:rPr>
              <w:t>正常路径</w:t>
            </w:r>
          </w:p>
        </w:tc>
        <w:tc>
          <w:tcPr>
            <w:tcW w:w="2381" w:type="dxa"/>
            <w:tcMar>
              <w:top w:w="100" w:type="dxa"/>
              <w:left w:w="100" w:type="dxa"/>
              <w:bottom w:w="100" w:type="dxa"/>
              <w:right w:w="100" w:type="dxa"/>
            </w:tcMar>
            <w:vAlign w:val="center"/>
          </w:tcPr>
          <w:p w14:paraId="6E41F670" w14:textId="77777777" w:rsidR="0004470E" w:rsidRDefault="00000000">
            <w:pPr>
              <w:spacing w:before="0" w:after="0" w:line="240" w:lineRule="auto"/>
              <w:jc w:val="center"/>
            </w:pPr>
            <w:r>
              <w:rPr>
                <w:rFonts w:ascii="Times New Roman" w:hAnsi="Times New Roman" w:eastAsia="宋体" w:cs="Times New Roman"/>
                <w:b w:val="0"/>
                <w:color w:val="000000"/>
                <w:sz w:val="21"/>
              </w:rPr>
              <w:t>不触发检测或罚没</w:t>
            </w:r>
          </w:p>
        </w:tc>
        <w:tc>
          <w:tcPr>
            <w:tcW w:w="2948" w:type="dxa"/>
            <w:tcMar>
              <w:top w:w="100" w:type="dxa"/>
              <w:left w:w="100" w:type="dxa"/>
              <w:bottom w:w="100" w:type="dxa"/>
              <w:right w:w="100" w:type="dxa"/>
            </w:tcMar>
            <w:vAlign w:val="center"/>
          </w:tcPr>
          <w:p w14:paraId="7398126E" w14:textId="77777777" w:rsidR="0004470E" w:rsidRDefault="00000000">
            <w:pPr>
              <w:spacing w:before="0" w:after="0" w:line="240" w:lineRule="auto"/>
              <w:jc w:val="center"/>
            </w:pPr>
            <w:r>
              <w:rPr>
                <w:rFonts w:ascii="Times New Roman" w:hAnsi="Times New Roman" w:eastAsia="宋体" w:cs="Times New Roman"/>
                <w:b w:val="0"/>
                <w:color w:val="000000"/>
                <w:sz w:val="21"/>
              </w:rPr>
              <w:t>说明正常路径不误报</w:t>
            </w:r>
          </w:p>
        </w:tc>
      </w:tr>
      <w:tr w:rsidR="00DE373F" w14:paraId="50088787" w14:textId="77777777">
        <w:trPr>
          <w:trHeight w:val="369"/>
          <w:jc w:val="center"/>
          <w:cantSplit/>
        </w:trPr>
        <w:tc>
          <w:tcPr>
            <w:tcW w:w="1360" w:type="dxa"/>
            <w:tcMar>
              <w:top w:w="100" w:type="dxa"/>
              <w:left w:w="100" w:type="dxa"/>
              <w:bottom w:w="100" w:type="dxa"/>
              <w:right w:w="100" w:type="dxa"/>
            </w:tcMar>
            <w:vAlign w:val="center"/>
          </w:tcPr>
          <w:p w14:paraId="4C0C3D8E" w14:textId="77777777" w:rsidR="0004470E" w:rsidRDefault="00000000">
            <w:pPr>
              <w:spacing w:before="0" w:after="0" w:line="240" w:lineRule="auto"/>
              <w:jc w:val="center"/>
            </w:pPr>
            <w:r>
              <w:rPr>
                <w:rFonts w:ascii="Times New Roman" w:hAnsi="Times New Roman" w:eastAsia="宋体" w:cs="Times New Roman"/>
                <w:b w:val="0"/>
                <w:color w:val="000000"/>
                <w:sz w:val="21"/>
              </w:rPr>
              <w:t>可检测但未统一惩罚</w:t>
            </w:r>
          </w:p>
        </w:tc>
        <w:tc>
          <w:tcPr>
            <w:tcW w:w="2041" w:type="dxa"/>
            <w:tcMar>
              <w:top w:w="100" w:type="dxa"/>
              <w:left w:w="100" w:type="dxa"/>
              <w:bottom w:w="100" w:type="dxa"/>
              <w:right w:w="100" w:type="dxa"/>
            </w:tcMar>
            <w:vAlign w:val="center"/>
          </w:tcPr>
          <w:p w14:paraId="0CA24A5A"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远程证明无效</w:t>
            </w:r>
            <w:r>
              <w:rPr>
                <w:rFonts w:ascii="Times New Roman" w:hAnsi="Times New Roman" w:eastAsia="宋体" w:cs="Times New Roman"/>
                <w:b w:val="0"/>
                <w:color w:val="000000"/>
                <w:sz w:val="21"/>
                <w:lang w:eastAsia="zh-CN"/>
              </w:rPr>
              <w:t xml:space="preserve">, </w:t>
            </w:r>
            <w:r>
              <w:rPr>
                <w:rFonts w:ascii="Times New Roman" w:hAnsi="Times New Roman" w:eastAsia="宋体" w:cs="Times New Roman"/>
                <w:b w:val="0"/>
                <w:color w:val="000000"/>
                <w:sz w:val="21"/>
                <w:lang w:eastAsia="zh-CN"/>
              </w:rPr>
              <w:t>数据不可用</w:t>
            </w:r>
            <w:r>
              <w:rPr>
                <w:rFonts w:ascii="Times New Roman" w:hAnsi="Times New Roman" w:eastAsia="宋体" w:cs="Times New Roman"/>
                <w:b w:val="0"/>
                <w:color w:val="000000"/>
                <w:sz w:val="21"/>
                <w:lang w:eastAsia="zh-CN"/>
              </w:rPr>
              <w:t xml:space="preserve">, </w:t>
            </w:r>
            <w:r>
              <w:rPr>
                <w:rFonts w:ascii="Times New Roman" w:hAnsi="Times New Roman" w:eastAsia="宋体" w:cs="Times New Roman"/>
                <w:b w:val="0"/>
                <w:color w:val="000000"/>
                <w:sz w:val="21"/>
                <w:lang w:eastAsia="zh-CN"/>
              </w:rPr>
              <w:t>数据可用性证明无效</w:t>
            </w:r>
          </w:p>
        </w:tc>
        <w:tc>
          <w:tcPr>
            <w:tcW w:w="2381" w:type="dxa"/>
            <w:tcMar>
              <w:top w:w="100" w:type="dxa"/>
              <w:left w:w="100" w:type="dxa"/>
              <w:bottom w:w="100" w:type="dxa"/>
              <w:right w:w="100" w:type="dxa"/>
            </w:tcMar>
            <w:vAlign w:val="center"/>
          </w:tcPr>
          <w:p w14:paraId="490B2966"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检测率</w:t>
            </w:r>
            <w:r>
              <w:rPr>
                <w:rFonts w:ascii="Times New Roman" w:hAnsi="Times New Roman" w:eastAsia="宋体" w:cs="Times New Roman"/>
                <w:b w:val="0"/>
                <w:color w:val="000000"/>
                <w:sz w:val="21"/>
                <w:lang w:eastAsia="zh-CN"/>
              </w:rPr>
              <w:t xml:space="preserve"> 100%</w:t>
            </w:r>
            <w:r>
              <w:rPr>
                <w:rFonts w:ascii="Times New Roman" w:hAnsi="Times New Roman" w:eastAsia="宋体" w:cs="Times New Roman"/>
                <w:b w:val="0"/>
                <w:color w:val="000000"/>
                <w:sz w:val="21"/>
                <w:lang w:eastAsia="zh-CN"/>
              </w:rPr>
              <w:t>，挑战成功率和罚没比例为</w:t>
            </w:r>
            <w:r>
              <w:rPr>
                <w:rFonts w:ascii="Times New Roman" w:hAnsi="Times New Roman" w:eastAsia="宋体" w:cs="Times New Roman"/>
                <w:b w:val="0"/>
                <w:color w:val="000000"/>
                <w:sz w:val="21"/>
                <w:lang w:eastAsia="zh-CN"/>
              </w:rPr>
              <w:t xml:space="preserve"> 0%</w:t>
            </w:r>
          </w:p>
        </w:tc>
        <w:tc>
          <w:tcPr>
            <w:tcW w:w="2948" w:type="dxa"/>
            <w:tcMar>
              <w:top w:w="100" w:type="dxa"/>
              <w:left w:w="100" w:type="dxa"/>
              <w:bottom w:w="100" w:type="dxa"/>
              <w:right w:w="100" w:type="dxa"/>
            </w:tcMar>
            <w:vAlign w:val="center"/>
          </w:tcPr>
          <w:p w14:paraId="4C400B91"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说明可检测或拒绝，不说明已统一惩罚</w:t>
            </w:r>
          </w:p>
        </w:tc>
      </w:tr>
      <w:tr w:rsidR="00DE373F" w14:paraId="37B60F12" w14:textId="77777777">
        <w:trPr>
          <w:trHeight w:val="369"/>
          <w:jc w:val="center"/>
          <w:cantSplit/>
        </w:trPr>
        <w:tc>
          <w:tcPr>
            <w:tcW w:w="1360" w:type="dxa"/>
            <w:tcMar>
              <w:top w:w="100" w:type="dxa"/>
              <w:left w:w="100" w:type="dxa"/>
              <w:bottom w:w="100" w:type="dxa"/>
              <w:right w:w="100" w:type="dxa"/>
            </w:tcMar>
            <w:vAlign w:val="center"/>
          </w:tcPr>
          <w:p w14:paraId="72441550" w14:textId="77777777" w:rsidR="0004470E" w:rsidRDefault="00000000">
            <w:pPr>
              <w:spacing w:before="0" w:after="0" w:line="240" w:lineRule="auto"/>
              <w:jc w:val="center"/>
            </w:pPr>
            <w:r>
              <w:rPr>
                <w:rFonts w:ascii="Times New Roman" w:hAnsi="Times New Roman" w:eastAsia="宋体" w:cs="Times New Roman"/>
                <w:b w:val="0"/>
                <w:color w:val="000000"/>
                <w:sz w:val="21"/>
              </w:rPr>
              <w:t>挑战</w:t>
            </w:r>
            <w:r>
              <w:rPr>
                <w:rFonts w:ascii="Times New Roman" w:hAnsi="Times New Roman" w:eastAsia="宋体" w:cs="Times New Roman"/>
                <w:b w:val="0"/>
                <w:color w:val="000000"/>
                <w:sz w:val="21"/>
              </w:rPr>
              <w:t xml:space="preserve"> + </w:t>
            </w:r>
            <w:r>
              <w:rPr>
                <w:rFonts w:ascii="Times New Roman" w:hAnsi="Times New Roman" w:eastAsia="宋体" w:cs="Times New Roman"/>
                <w:b w:val="0"/>
                <w:color w:val="000000"/>
                <w:sz w:val="21"/>
              </w:rPr>
              <w:t>惩罚闭环</w:t>
            </w:r>
          </w:p>
        </w:tc>
        <w:tc>
          <w:tcPr>
            <w:tcW w:w="2041" w:type="dxa"/>
            <w:tcMar>
              <w:top w:w="100" w:type="dxa"/>
              <w:left w:w="100" w:type="dxa"/>
              <w:bottom w:w="100" w:type="dxa"/>
              <w:right w:w="100" w:type="dxa"/>
            </w:tcMar>
            <w:vAlign w:val="center"/>
          </w:tcPr>
          <w:p w14:paraId="38F2A502"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响应篡改</w:t>
            </w:r>
            <w:r>
              <w:rPr>
                <w:rFonts w:ascii="Times New Roman" w:hAnsi="Times New Roman" w:eastAsia="宋体" w:cs="Times New Roman"/>
                <w:b w:val="0"/>
                <w:color w:val="000000"/>
                <w:sz w:val="21"/>
                <w:lang w:eastAsia="zh-CN"/>
              </w:rPr>
              <w:t xml:space="preserve">, </w:t>
            </w:r>
            <w:r>
              <w:rPr>
                <w:rFonts w:ascii="Times New Roman" w:hAnsi="Times New Roman" w:eastAsia="宋体" w:cs="Times New Roman"/>
                <w:b w:val="0"/>
                <w:color w:val="000000"/>
                <w:sz w:val="21"/>
                <w:lang w:eastAsia="zh-CN"/>
              </w:rPr>
              <w:t>轨迹长度不匹配</w:t>
            </w:r>
          </w:p>
        </w:tc>
        <w:tc>
          <w:tcPr>
            <w:tcW w:w="2381" w:type="dxa"/>
            <w:tcMar>
              <w:top w:w="100" w:type="dxa"/>
              <w:left w:w="100" w:type="dxa"/>
              <w:bottom w:w="100" w:type="dxa"/>
              <w:right w:w="100" w:type="dxa"/>
            </w:tcMar>
            <w:vAlign w:val="center"/>
          </w:tcPr>
          <w:p w14:paraId="4FB11CCF"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检测率、挑战成功率和罚没比例均为</w:t>
            </w:r>
            <w:r>
              <w:rPr>
                <w:rFonts w:ascii="Times New Roman" w:hAnsi="Times New Roman" w:eastAsia="宋体" w:cs="Times New Roman"/>
                <w:b w:val="0"/>
                <w:color w:val="000000"/>
                <w:sz w:val="21"/>
                <w:lang w:eastAsia="zh-CN"/>
              </w:rPr>
              <w:t xml:space="preserve"> 100%</w:t>
            </w:r>
          </w:p>
        </w:tc>
        <w:tc>
          <w:tcPr>
            <w:tcW w:w="2948" w:type="dxa"/>
            <w:tcMar>
              <w:top w:w="100" w:type="dxa"/>
              <w:left w:w="100" w:type="dxa"/>
              <w:bottom w:w="100" w:type="dxa"/>
              <w:right w:w="100" w:type="dxa"/>
            </w:tcMar>
            <w:vAlign w:val="center"/>
          </w:tcPr>
          <w:p w14:paraId="58AB1E4B"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说明典型执行异常可进入闭环</w:t>
            </w:r>
          </w:p>
        </w:tc>
      </w:tr>
      <w:tr w:rsidR="00DE373F" w14:paraId="118623EC" w14:textId="77777777">
        <w:trPr>
          <w:trHeight w:val="369"/>
          <w:jc w:val="center"/>
          <w:cantSplit/>
        </w:trPr>
        <w:tc>
          <w:tcPr>
            <w:tcW w:w="1360" w:type="dxa"/>
            <w:tcMar>
              <w:top w:w="100" w:type="dxa"/>
              <w:left w:w="100" w:type="dxa"/>
              <w:bottom w:w="100" w:type="dxa"/>
              <w:right w:w="100" w:type="dxa"/>
            </w:tcMar>
            <w:vAlign w:val="center"/>
          </w:tcPr>
          <w:p w14:paraId="5E6CE7A0" w14:textId="77777777" w:rsidR="0004470E" w:rsidRDefault="00000000">
            <w:pPr>
              <w:spacing w:before="0" w:after="0" w:line="240" w:lineRule="auto"/>
              <w:jc w:val="center"/>
            </w:pPr>
            <w:r>
              <w:rPr>
                <w:rFonts w:ascii="Times New Roman" w:hAnsi="Times New Roman" w:eastAsia="宋体" w:cs="Times New Roman"/>
                <w:b w:val="0"/>
                <w:color w:val="000000"/>
                <w:sz w:val="21"/>
              </w:rPr>
              <w:t>超时活性对比</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c>
          <w:tcPr>
            <w:tcW w:w="2041" w:type="dxa"/>
            <w:tcMar>
              <w:top w:w="100" w:type="dxa"/>
              <w:left w:w="100" w:type="dxa"/>
              <w:bottom w:w="100" w:type="dxa"/>
              <w:right w:w="100" w:type="dxa"/>
            </w:tcMar>
            <w:vAlign w:val="center"/>
          </w:tcPr>
          <w:p w14:paraId="12FEC6E9"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超时不可恢复</w:t>
            </w:r>
            <w:r>
              <w:rPr>
                <w:rFonts w:ascii="Times New Roman" w:hAnsi="Times New Roman" w:eastAsia="宋体" w:cs="Times New Roman"/>
                <w:b w:val="0"/>
                <w:color w:val="000000"/>
                <w:sz w:val="21"/>
                <w:lang w:eastAsia="zh-CN"/>
              </w:rPr>
              <w:t xml:space="preserve"> vs </w:t>
            </w:r>
            <w:r>
              <w:rPr>
                <w:rFonts w:ascii="Times New Roman" w:hAnsi="Times New Roman" w:eastAsia="宋体" w:cs="Times New Roman"/>
                <w:b w:val="0"/>
                <w:color w:val="000000"/>
                <w:sz w:val="21"/>
                <w:lang w:eastAsia="zh-CN"/>
              </w:rPr>
              <w:t>超时可恢复</w:t>
            </w:r>
          </w:p>
        </w:tc>
        <w:tc>
          <w:tcPr>
            <w:tcW w:w="2381" w:type="dxa"/>
            <w:tcMar>
              <w:top w:w="100" w:type="dxa"/>
              <w:left w:w="100" w:type="dxa"/>
              <w:bottom w:w="100" w:type="dxa"/>
              <w:right w:w="100" w:type="dxa"/>
            </w:tcMar>
            <w:vAlign w:val="center"/>
          </w:tcPr>
          <w:p w14:paraId="53218DB1"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不可恢复路径为 0%，恢复后为 100%</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948" w:type="dxa"/>
            <w:tcMar>
              <w:top w:w="100" w:type="dxa"/>
              <w:left w:w="100" w:type="dxa"/>
              <w:bottom w:w="100" w:type="dxa"/>
              <w:right w:w="100" w:type="dxa"/>
            </w:tcMar>
            <w:vAlign w:val="center"/>
          </w:tcPr>
          <w:p w14:paraId="4945B038" w14:textId="77777777" w:rsidR="0004470E"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说明恢复改善仲裁活性</w:t>
            </w:r>
          </w:p>
        </w:tc>
      </w:tr>
    </w:tbl>
    <w:p w14:paraId="621CC476"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7.5 RQ5</w:t>
      </w:r>
      <w:r>
        <w:rPr>
          <w:rFonts w:ascii="Times New Roman" w:hAnsi="Times New Roman" w:eastAsia="黑体" w:cs="Times New Roman"/>
          <w:b/>
          <w:color w:val="000000"/>
          <w:sz w:val="24"/>
          <w:lang w:eastAsia="zh-CN"/>
        </w:rPr>
        <w:t>：</w:t>
      </w:r>
      <w:r>
        <w:rPr>
          <w:rFonts w:ascii="Times New Roman" w:hAnsi="Times New Roman" w:eastAsia="黑体" w:cs="Times New Roman"/>
          <w:b/>
          <w:color w:val="000000"/>
          <w:sz w:val="24"/>
          <w:lang w:eastAsia="zh-CN"/>
        </w:rPr>
        <w:t>Solidity</w:t>
      </w:r>
      <w:r>
        <w:rPr>
          <w:rFonts w:ascii="Times New Roman" w:hAnsi="Times New Roman" w:eastAsia="黑体" w:cs="Times New Roman"/>
          <w:b/>
          <w:color w:val="000000"/>
          <w:sz w:val="24"/>
          <w:lang w:eastAsia="zh-CN"/>
        </w:rPr>
        <w:t>、本地</w:t>
      </w:r>
      <w:r>
        <w:rPr>
          <w:rFonts w:ascii="Times New Roman" w:hAnsi="Times New Roman" w:eastAsia="黑体" w:cs="Times New Roman"/>
          <w:b/>
          <w:color w:val="000000"/>
          <w:sz w:val="24"/>
          <w:lang w:eastAsia="zh-CN"/>
        </w:rPr>
        <w:t xml:space="preserve"> EVM </w:t>
      </w:r>
      <w:r>
        <w:rPr>
          <w:rFonts w:ascii="Times New Roman" w:hAnsi="Times New Roman" w:eastAsia="黑体" w:cs="Times New Roman"/>
          <w:b/>
          <w:color w:val="000000"/>
          <w:sz w:val="24"/>
          <w:lang w:eastAsia="zh-CN"/>
        </w:rPr>
        <w:t>与</w:t>
      </w:r>
      <w:r>
        <w:rPr>
          <w:rFonts w:ascii="Times New Roman" w:hAnsi="Times New Roman" w:eastAsia="黑体" w:cs="Times New Roman"/>
          <w:b/>
          <w:color w:val="000000"/>
          <w:sz w:val="24"/>
          <w:lang w:eastAsia="zh-CN"/>
        </w:rPr>
        <w:t xml:space="preserve"> Sepolia </w:t>
      </w:r>
      <w:r>
        <w:rPr>
          <w:rFonts w:ascii="Times New Roman" w:hAnsi="Times New Roman" w:eastAsia="黑体" w:cs="Times New Roman"/>
          <w:b/>
          <w:color w:val="000000"/>
          <w:sz w:val="24"/>
          <w:lang w:eastAsia="zh-CN"/>
        </w:rPr>
        <w:t>证据能否支撑链上对应物</w:t>
      </w:r>
    </w:p>
    <w:p w14:paraId="04A9D7C2" w14:textId="77777777" w:rsidR="00DE373F" w:rsidRDefault="00DE373F">
      <w:pPr>
        <w:spacing w:after="0" w:line="360" w:lineRule="auto" w:before="0"/>
        <w:ind w:firstLine="420"/>
        <w:jc w:val="both"/>
        <w:rPr>
          <w:lang w:eastAsia="zh-CN"/>
        </w:rPr>
      </w:pPr>
      <w:r>
        <w:rPr>
          <w:rFonts w:ascii="Times New Roman" w:hAnsi="Times New Roman" w:eastAsia="宋体" w:cs="Times New Roman"/>
          <w:color w:val="000000"/>
          <w:sz w:val="24"/>
          <w:lang w:eastAsia="zh-CN"/>
        </w:rPr>
        <w:t>RQ5 评估链上合约对应物。当前项目已将核心路径映射为 Solidity 合约，并在 Hardhat 本地 EVM 测试链上得到 gas 用量基线，见表 5。同一套合约已部署到 Sepolia 测试网，见表 6。这些结果说明原型路径具有合约对应物和公开测试网可部署性，不应被解释为生产可用性。</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23D4A7C" w14:textId="77777777" w:rsidR="000D6ED8"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5 本地 EVM 关键路径平均 gasUsed</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2721"/>
        <w:gridCol w:w="3402"/>
      </w:tblGrid>
      <w:tr w:rsidR="00DE373F" w14:paraId="061E0941" w14:textId="77777777">
        <w:trPr>
          <w:trHeight w:val="369"/>
          <w:tblHeader w:val="true"/>
          <w:jc w:val="center"/>
          <w:cantSplit/>
        </w:trPr>
        <w:tc>
          <w:tcPr>
            <w:tcW w:w="2381" w:type="dxa"/>
            <w:shd w:val="clear" w:color="auto" w:fill="D9D9D9"/>
            <w:tcMar>
              <w:top w:w="100" w:type="dxa"/>
              <w:left w:w="100" w:type="dxa"/>
              <w:bottom w:w="100" w:type="dxa"/>
              <w:right w:w="100" w:type="dxa"/>
            </w:tcMar>
            <w:vAlign w:val="center"/>
          </w:tcPr>
          <w:p w14:paraId="445F5156" w14:textId="77777777" w:rsidR="00DE373F" w:rsidRDefault="00000000">
            <w:pPr>
              <w:spacing w:before="0" w:after="0" w:line="240" w:lineRule="auto"/>
              <w:jc w:val="center"/>
            </w:pPr>
            <w:r>
              <w:rPr>
                <w:rFonts w:ascii="Times New Roman" w:hAnsi="Times New Roman" w:eastAsia="宋体" w:cs="Times New Roman"/>
                <w:b/>
                <w:color w:val="000000"/>
                <w:sz w:val="21"/>
              </w:rPr>
              <w:t>操作</w:t>
            </w:r>
          </w:p>
        </w:tc>
        <w:tc>
          <w:tcPr>
            <w:tcW w:w="1927" w:type="dxa"/>
            <w:shd w:val="clear" w:color="auto" w:fill="D9D9D9"/>
            <w:tcMar>
              <w:top w:w="100" w:type="dxa"/>
              <w:left w:w="100" w:type="dxa"/>
              <w:bottom w:w="100" w:type="dxa"/>
              <w:right w:w="100" w:type="dxa"/>
            </w:tcMar>
            <w:vAlign w:val="center"/>
          </w:tcPr>
          <w:p w14:paraId="17C0255D" w14:textId="77777777" w:rsidR="00DE373F" w:rsidRDefault="00000000">
            <w:pPr>
              <w:spacing w:before="0" w:after="0" w:line="240" w:lineRule="auto"/>
              <w:jc w:val="center"/>
            </w:pPr>
            <w:r>
              <w:rPr>
                <w:rFonts w:ascii="Times New Roman" w:hAnsi="Times New Roman" w:eastAsia="宋体" w:cs="Times New Roman"/>
                <w:b/>
                <w:color w:val="000000"/>
                <w:sz w:val="21"/>
              </w:rPr>
              <w:t>平均</w:t>
            </w:r>
            <w:r>
              <w:rPr>
                <w:rFonts w:ascii="Times New Roman" w:hAnsi="Times New Roman" w:eastAsia="宋体" w:cs="Times New Roman"/>
                <w:b/>
                <w:color w:val="000000"/>
                <w:sz w:val="21"/>
              </w:rPr>
              <w:t xml:space="preserve"> gasUsed</w:t>
            </w:r>
          </w:p>
        </w:tc>
        <w:tc>
          <w:tcPr>
            <w:tcW w:w="4309" w:type="dxa"/>
            <w:shd w:val="clear" w:color="auto" w:fill="D9D9D9"/>
            <w:tcMar>
              <w:top w:w="100" w:type="dxa"/>
              <w:left w:w="100" w:type="dxa"/>
              <w:bottom w:w="100" w:type="dxa"/>
              <w:right w:w="100" w:type="dxa"/>
            </w:tcMar>
            <w:vAlign w:val="center"/>
          </w:tcPr>
          <w:p w14:paraId="41662173" w14:textId="77777777" w:rsidR="00DE373F" w:rsidRDefault="00000000">
            <w:pPr>
              <w:spacing w:before="0" w:after="0" w:line="240" w:lineRule="auto"/>
              <w:jc w:val="center"/>
            </w:pPr>
            <w:r>
              <w:rPr>
                <w:rFonts w:ascii="Times New Roman" w:hAnsi="Times New Roman" w:eastAsia="宋体" w:cs="Times New Roman"/>
                <w:b/>
                <w:color w:val="000000"/>
                <w:sz w:val="21"/>
              </w:rPr>
              <w:t>解释</w:t>
            </w:r>
          </w:p>
        </w:tc>
      </w:tr>
      <w:tr w:rsidR="00DE373F" w14:paraId="6E95EAA3" w14:textId="77777777">
        <w:trPr>
          <w:trHeight w:val="369"/>
          <w:jc w:val="center"/>
          <w:cantSplit/>
        </w:trPr>
        <w:tc>
          <w:tcPr>
            <w:tcW w:w="2381" w:type="dxa"/>
            <w:tcMar>
              <w:top w:w="100" w:type="dxa"/>
              <w:left w:w="100" w:type="dxa"/>
              <w:bottom w:w="100" w:type="dxa"/>
              <w:right w:w="100" w:type="dxa"/>
            </w:tcMar>
            <w:vAlign w:val="center"/>
          </w:tcPr>
          <w:p w14:paraId="4955B93C" w14:textId="77777777" w:rsidR="00DE373F" w:rsidRDefault="00000000">
            <w:pPr>
              <w:spacing w:before="0" w:after="0" w:line="240" w:lineRule="auto"/>
              <w:jc w:val="center"/>
            </w:pPr>
            <w:r>
              <w:rPr>
                <w:rFonts w:ascii="Times New Roman" w:hAnsi="Times New Roman" w:eastAsia="宋体" w:cs="Times New Roman"/>
                <w:b w:val="0"/>
                <w:color w:val="000000"/>
                <w:sz w:val="21"/>
              </w:rPr>
              <w:t>registerDA</w:t>
            </w:r>
          </w:p>
        </w:tc>
        <w:tc>
          <w:tcPr>
            <w:tcW w:w="1927" w:type="dxa"/>
            <w:tcMar>
              <w:top w:w="100" w:type="dxa"/>
              <w:left w:w="100" w:type="dxa"/>
              <w:bottom w:w="100" w:type="dxa"/>
              <w:right w:w="100" w:type="dxa"/>
            </w:tcMar>
            <w:vAlign w:val="center"/>
          </w:tcPr>
          <w:p w14:paraId="78B01C98" w14:textId="77777777" w:rsidR="00DE373F" w:rsidRDefault="00000000">
            <w:pPr>
              <w:spacing w:before="0" w:after="0" w:line="240" w:lineRule="auto"/>
              <w:jc w:val="center"/>
            </w:pPr>
            <w:r>
              <w:rPr>
                <w:rFonts w:ascii="Times New Roman" w:hAnsi="Times New Roman" w:eastAsia="宋体" w:cs="Times New Roman"/>
                <w:b w:val="0"/>
                <w:color w:val="000000"/>
                <w:sz w:val="21"/>
              </w:rPr>
              <w:t>113526.00</w:t>
            </w:r>
          </w:p>
        </w:tc>
        <w:tc>
          <w:tcPr>
            <w:tcW w:w="4309" w:type="dxa"/>
            <w:tcMar>
              <w:top w:w="100" w:type="dxa"/>
              <w:left w:w="100" w:type="dxa"/>
              <w:bottom w:w="100" w:type="dxa"/>
              <w:right w:w="100" w:type="dxa"/>
            </w:tcMar>
            <w:vAlign w:val="center"/>
          </w:tcPr>
          <w:p w14:paraId="1745DF58" w14:textId="77777777" w:rsidR="00DE373F" w:rsidRDefault="00000000">
            <w:pPr>
              <w:spacing w:before="0" w:after="0" w:line="240" w:lineRule="auto"/>
              <w:jc w:val="center"/>
            </w:pPr>
            <w:r>
              <w:rPr>
                <w:rFonts w:ascii="Times New Roman" w:hAnsi="Times New Roman" w:eastAsia="宋体" w:cs="Times New Roman"/>
                <w:b w:val="0"/>
                <w:color w:val="000000"/>
                <w:sz w:val="21"/>
              </w:rPr>
              <w:t>MockDARegistry 记录负载哈希与数据可用性根</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r>
      <w:tr w:rsidR="00DE373F" w14:paraId="3F694037" w14:textId="77777777">
        <w:trPr>
          <w:trHeight w:val="369"/>
          <w:jc w:val="center"/>
          <w:cantSplit/>
        </w:trPr>
        <w:tc>
          <w:tcPr>
            <w:tcW w:w="2381" w:type="dxa"/>
            <w:tcMar>
              <w:top w:w="100" w:type="dxa"/>
              <w:left w:w="100" w:type="dxa"/>
              <w:bottom w:w="100" w:type="dxa"/>
              <w:right w:w="100" w:type="dxa"/>
            </w:tcMar>
            <w:vAlign w:val="center"/>
          </w:tcPr>
          <w:p w14:paraId="08576DD9" w14:textId="77777777" w:rsidR="00DE373F" w:rsidRDefault="00000000">
            <w:pPr>
              <w:spacing w:before="0" w:after="0" w:line="240" w:lineRule="auto"/>
              <w:jc w:val="center"/>
            </w:pPr>
            <w:r>
              <w:rPr>
                <w:rFonts w:ascii="Times New Roman" w:hAnsi="Times New Roman" w:eastAsia="宋体" w:cs="Times New Roman"/>
                <w:b w:val="0"/>
                <w:color w:val="000000"/>
                <w:sz w:val="21"/>
              </w:rPr>
              <w:t>submitRollup</w:t>
            </w:r>
          </w:p>
        </w:tc>
        <w:tc>
          <w:tcPr>
            <w:tcW w:w="1927" w:type="dxa"/>
            <w:tcMar>
              <w:top w:w="100" w:type="dxa"/>
              <w:left w:w="100" w:type="dxa"/>
              <w:bottom w:w="100" w:type="dxa"/>
              <w:right w:w="100" w:type="dxa"/>
            </w:tcMar>
            <w:vAlign w:val="center"/>
          </w:tcPr>
          <w:p w14:paraId="1D1DD069" w14:textId="77777777" w:rsidR="00DE373F" w:rsidRDefault="00000000">
            <w:pPr>
              <w:spacing w:before="0" w:after="0" w:line="240" w:lineRule="auto"/>
              <w:jc w:val="center"/>
            </w:pPr>
            <w:r>
              <w:rPr>
                <w:rFonts w:ascii="Times New Roman" w:hAnsi="Times New Roman" w:eastAsia="宋体" w:cs="Times New Roman"/>
                <w:b w:val="0"/>
                <w:color w:val="000000"/>
                <w:sz w:val="21"/>
              </w:rPr>
              <w:t>299033.67</w:t>
            </w:r>
          </w:p>
        </w:tc>
        <w:tc>
          <w:tcPr>
            <w:tcW w:w="4309" w:type="dxa"/>
            <w:tcMar>
              <w:top w:w="100" w:type="dxa"/>
              <w:left w:w="100" w:type="dxa"/>
              <w:bottom w:w="100" w:type="dxa"/>
              <w:right w:w="100" w:type="dxa"/>
            </w:tcMar>
            <w:vAlign w:val="center"/>
          </w:tcPr>
          <w:p w14:paraId="1BD116ED" w14:textId="77777777" w:rsidR="00DE373F" w:rsidRDefault="00000000">
            <w:pPr>
              <w:spacing w:before="0" w:after="0" w:line="240" w:lineRule="auto"/>
              <w:jc w:val="center"/>
            </w:pPr>
            <w:r>
              <w:rPr>
                <w:rFonts w:ascii="Times New Roman" w:hAnsi="Times New Roman" w:eastAsia="宋体" w:cs="Times New Roman"/>
                <w:b w:val="0"/>
                <w:color w:val="000000"/>
                <w:sz w:val="21"/>
              </w:rPr>
              <w:t>紧凑提交提交路径</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r>
      <w:tr w:rsidR="00DE373F" w14:paraId="2ADEA71C" w14:textId="77777777">
        <w:trPr>
          <w:trHeight w:val="369"/>
          <w:jc w:val="center"/>
          <w:cantSplit/>
        </w:trPr>
        <w:tc>
          <w:tcPr>
            <w:tcW w:w="2381" w:type="dxa"/>
            <w:tcMar>
              <w:top w:w="100" w:type="dxa"/>
              <w:left w:w="100" w:type="dxa"/>
              <w:bottom w:w="100" w:type="dxa"/>
              <w:right w:w="100" w:type="dxa"/>
            </w:tcMar>
            <w:vAlign w:val="center"/>
          </w:tcPr>
          <w:p w14:paraId="43D147B6" w14:textId="77777777" w:rsidR="00DE373F" w:rsidRDefault="00000000">
            <w:pPr>
              <w:spacing w:before="0" w:after="0" w:line="240" w:lineRule="auto"/>
              <w:jc w:val="center"/>
            </w:pPr>
            <w:r>
              <w:rPr>
                <w:rFonts w:ascii="Times New Roman" w:hAnsi="Times New Roman" w:eastAsia="宋体" w:cs="Times New Roman"/>
                <w:b w:val="0"/>
                <w:color w:val="000000"/>
                <w:sz w:val="21"/>
              </w:rPr>
              <w:t>challengeOpen</w:t>
            </w:r>
          </w:p>
        </w:tc>
        <w:tc>
          <w:tcPr>
            <w:tcW w:w="1927" w:type="dxa"/>
            <w:tcMar>
              <w:top w:w="100" w:type="dxa"/>
              <w:left w:w="100" w:type="dxa"/>
              <w:bottom w:w="100" w:type="dxa"/>
              <w:right w:w="100" w:type="dxa"/>
            </w:tcMar>
            <w:vAlign w:val="center"/>
          </w:tcPr>
          <w:p w14:paraId="4EB8E0C4" w14:textId="77777777" w:rsidR="00DE373F" w:rsidRDefault="00000000">
            <w:pPr>
              <w:spacing w:before="0" w:after="0" w:line="240" w:lineRule="auto"/>
              <w:jc w:val="center"/>
            </w:pPr>
            <w:r>
              <w:rPr>
                <w:rFonts w:ascii="Times New Roman" w:hAnsi="Times New Roman" w:eastAsia="宋体" w:cs="Times New Roman"/>
                <w:b w:val="0"/>
                <w:color w:val="000000"/>
                <w:sz w:val="21"/>
              </w:rPr>
              <w:t>283769.00</w:t>
            </w:r>
          </w:p>
        </w:tc>
        <w:tc>
          <w:tcPr>
            <w:tcW w:w="4309" w:type="dxa"/>
            <w:tcMar>
              <w:top w:w="100" w:type="dxa"/>
              <w:left w:w="100" w:type="dxa"/>
              <w:bottom w:w="100" w:type="dxa"/>
              <w:right w:w="100" w:type="dxa"/>
            </w:tcMar>
            <w:vAlign w:val="center"/>
          </w:tcPr>
          <w:p w14:paraId="25939C44" w14:textId="77777777" w:rsidR="00DE373F" w:rsidRDefault="00000000">
            <w:pPr>
              <w:spacing w:before="0" w:after="0" w:line="240" w:lineRule="auto"/>
              <w:jc w:val="center"/>
            </w:pPr>
            <w:r>
              <w:rPr>
                <w:rFonts w:ascii="Times New Roman" w:hAnsi="Times New Roman" w:eastAsia="宋体" w:cs="Times New Roman"/>
                <w:b w:val="0"/>
                <w:color w:val="000000"/>
                <w:sz w:val="21"/>
              </w:rPr>
              <w:t>打开争议并加载证据</w:t>
            </w:r>
          </w:p>
        </w:tc>
      </w:tr>
      <w:tr w:rsidR="00DE373F" w14:paraId="050BF52B" w14:textId="77777777">
        <w:trPr>
          <w:trHeight w:val="369"/>
          <w:jc w:val="center"/>
          <w:cantSplit/>
        </w:trPr>
        <w:tc>
          <w:tcPr>
            <w:tcW w:w="2381" w:type="dxa"/>
            <w:tcMar>
              <w:top w:w="100" w:type="dxa"/>
              <w:left w:w="100" w:type="dxa"/>
              <w:bottom w:w="100" w:type="dxa"/>
              <w:right w:w="100" w:type="dxa"/>
            </w:tcMar>
            <w:vAlign w:val="center"/>
          </w:tcPr>
          <w:p w14:paraId="3ABD9ECF" w14:textId="77777777" w:rsidR="00DE373F" w:rsidRDefault="00000000">
            <w:pPr>
              <w:spacing w:before="0" w:after="0" w:line="240" w:lineRule="auto"/>
              <w:jc w:val="center"/>
            </w:pPr>
            <w:r>
              <w:rPr>
                <w:rFonts w:ascii="Times New Roman" w:hAnsi="Times New Roman" w:eastAsia="宋体" w:cs="Times New Roman"/>
                <w:b w:val="0"/>
                <w:color w:val="000000"/>
                <w:sz w:val="21"/>
              </w:rPr>
              <w:t>challengeRespond</w:t>
            </w:r>
          </w:p>
        </w:tc>
        <w:tc>
          <w:tcPr>
            <w:tcW w:w="1927" w:type="dxa"/>
            <w:tcMar>
              <w:top w:w="100" w:type="dxa"/>
              <w:left w:w="100" w:type="dxa"/>
              <w:bottom w:w="100" w:type="dxa"/>
              <w:right w:w="100" w:type="dxa"/>
            </w:tcMar>
            <w:vAlign w:val="center"/>
          </w:tcPr>
          <w:p w14:paraId="17824989" w14:textId="77777777" w:rsidR="00DE373F" w:rsidRDefault="00000000">
            <w:pPr>
              <w:spacing w:before="0" w:after="0" w:line="240" w:lineRule="auto"/>
              <w:jc w:val="center"/>
            </w:pPr>
            <w:r>
              <w:rPr>
                <w:rFonts w:ascii="Times New Roman" w:hAnsi="Times New Roman" w:eastAsia="宋体" w:cs="Times New Roman"/>
                <w:b w:val="0"/>
                <w:color w:val="000000"/>
                <w:sz w:val="21"/>
              </w:rPr>
              <w:t>65886.00</w:t>
            </w:r>
          </w:p>
        </w:tc>
        <w:tc>
          <w:tcPr>
            <w:tcW w:w="4309" w:type="dxa"/>
            <w:tcMar>
              <w:top w:w="100" w:type="dxa"/>
              <w:left w:w="100" w:type="dxa"/>
              <w:bottom w:w="100" w:type="dxa"/>
              <w:right w:w="100" w:type="dxa"/>
            </w:tcMar>
            <w:vAlign w:val="center"/>
          </w:tcPr>
          <w:p w14:paraId="7C4BDA8B" w14:textId="77777777" w:rsidR="00DE373F" w:rsidRDefault="00000000">
            <w:pPr>
              <w:spacing w:before="0" w:after="0" w:line="240" w:lineRule="auto"/>
              <w:jc w:val="center"/>
            </w:pPr>
            <w:r>
              <w:rPr>
                <w:rFonts w:ascii="Times New Roman" w:hAnsi="Times New Roman" w:eastAsia="宋体" w:cs="Times New Roman"/>
                <w:b w:val="0"/>
                <w:color w:val="000000"/>
                <w:sz w:val="21"/>
              </w:rPr>
              <w:t>被挑战方响应</w:t>
            </w:r>
          </w:p>
        </w:tc>
      </w:tr>
      <w:tr w:rsidR="00DE373F" w14:paraId="01FF3FB2" w14:textId="77777777">
        <w:trPr>
          <w:trHeight w:val="369"/>
          <w:jc w:val="center"/>
          <w:cantSplit/>
        </w:trPr>
        <w:tc>
          <w:tcPr>
            <w:tcW w:w="2381" w:type="dxa"/>
            <w:tcMar>
              <w:top w:w="100" w:type="dxa"/>
              <w:left w:w="100" w:type="dxa"/>
              <w:bottom w:w="100" w:type="dxa"/>
              <w:right w:w="100" w:type="dxa"/>
            </w:tcMar>
            <w:vAlign w:val="center"/>
          </w:tcPr>
          <w:p w14:paraId="36C9310A" w14:textId="77777777" w:rsidR="00DE373F" w:rsidRDefault="00000000">
            <w:pPr>
              <w:spacing w:before="0" w:after="0" w:line="240" w:lineRule="auto"/>
              <w:jc w:val="center"/>
            </w:pPr>
            <w:r>
              <w:rPr>
                <w:rFonts w:ascii="Times New Roman" w:hAnsi="Times New Roman" w:eastAsia="宋体" w:cs="Times New Roman"/>
                <w:b w:val="0"/>
                <w:color w:val="000000"/>
                <w:sz w:val="21"/>
              </w:rPr>
              <w:t>challengeStep</w:t>
            </w:r>
          </w:p>
        </w:tc>
        <w:tc>
          <w:tcPr>
            <w:tcW w:w="1927" w:type="dxa"/>
            <w:tcMar>
              <w:top w:w="100" w:type="dxa"/>
              <w:left w:w="100" w:type="dxa"/>
              <w:bottom w:w="100" w:type="dxa"/>
              <w:right w:w="100" w:type="dxa"/>
            </w:tcMar>
            <w:vAlign w:val="center"/>
          </w:tcPr>
          <w:p w14:paraId="5F6B0BDF" w14:textId="77777777" w:rsidR="00DE373F" w:rsidRDefault="00000000">
            <w:pPr>
              <w:spacing w:before="0" w:after="0" w:line="240" w:lineRule="auto"/>
              <w:jc w:val="center"/>
            </w:pPr>
            <w:r>
              <w:rPr>
                <w:rFonts w:ascii="Times New Roman" w:hAnsi="Times New Roman" w:eastAsia="宋体" w:cs="Times New Roman"/>
                <w:b w:val="0"/>
                <w:color w:val="000000"/>
                <w:sz w:val="21"/>
              </w:rPr>
              <w:t>93807.00</w:t>
            </w:r>
          </w:p>
        </w:tc>
        <w:tc>
          <w:tcPr>
            <w:tcW w:w="4309" w:type="dxa"/>
            <w:tcMar>
              <w:top w:w="100" w:type="dxa"/>
              <w:left w:w="100" w:type="dxa"/>
              <w:bottom w:w="100" w:type="dxa"/>
              <w:right w:w="100" w:type="dxa"/>
            </w:tcMar>
            <w:vAlign w:val="center"/>
          </w:tcPr>
          <w:p w14:paraId="28B34F8B" w14:textId="77777777" w:rsidR="00DE373F" w:rsidRDefault="00000000">
            <w:pPr>
              <w:spacing w:before="0" w:after="0" w:line="240" w:lineRule="auto"/>
              <w:jc w:val="center"/>
            </w:pPr>
            <w:r>
              <w:rPr>
                <w:rFonts w:ascii="Times New Roman" w:hAnsi="Times New Roman" w:eastAsia="宋体" w:cs="Times New Roman"/>
                <w:b w:val="0"/>
                <w:color w:val="000000"/>
                <w:sz w:val="21"/>
              </w:rPr>
              <w:t>二分定位的单轮推进</w:t>
            </w:r>
          </w:p>
        </w:tc>
      </w:tr>
      <w:tr w:rsidR="00DE373F" w14:paraId="4B151B87" w14:textId="77777777">
        <w:trPr>
          <w:trHeight w:val="369"/>
          <w:jc w:val="center"/>
          <w:cantSplit/>
        </w:trPr>
        <w:tc>
          <w:tcPr>
            <w:tcW w:w="2381" w:type="dxa"/>
            <w:tcMar>
              <w:top w:w="100" w:type="dxa"/>
              <w:left w:w="100" w:type="dxa"/>
              <w:bottom w:w="100" w:type="dxa"/>
              <w:right w:w="100" w:type="dxa"/>
            </w:tcMar>
            <w:vAlign w:val="center"/>
          </w:tcPr>
          <w:p w14:paraId="383B4BFB" w14:textId="77777777" w:rsidR="00DE373F" w:rsidRDefault="00000000">
            <w:pPr>
              <w:spacing w:before="0" w:after="0" w:line="240" w:lineRule="auto"/>
              <w:jc w:val="center"/>
            </w:pPr>
            <w:r>
              <w:rPr>
                <w:rFonts w:ascii="Times New Roman" w:hAnsi="Times New Roman" w:eastAsia="宋体" w:cs="Times New Roman"/>
                <w:b w:val="0"/>
                <w:color w:val="000000"/>
                <w:sz w:val="21"/>
              </w:rPr>
              <w:t>challengeRecover</w:t>
            </w:r>
          </w:p>
        </w:tc>
        <w:tc>
          <w:tcPr>
            <w:tcW w:w="1927" w:type="dxa"/>
            <w:tcMar>
              <w:top w:w="100" w:type="dxa"/>
              <w:left w:w="100" w:type="dxa"/>
              <w:bottom w:w="100" w:type="dxa"/>
              <w:right w:w="100" w:type="dxa"/>
            </w:tcMar>
            <w:vAlign w:val="center"/>
          </w:tcPr>
          <w:p w14:paraId="55DEBE7E" w14:textId="77777777" w:rsidR="00DE373F" w:rsidRDefault="00000000">
            <w:pPr>
              <w:spacing w:before="0" w:after="0" w:line="240" w:lineRule="auto"/>
              <w:jc w:val="center"/>
            </w:pPr>
            <w:r>
              <w:rPr>
                <w:rFonts w:ascii="Times New Roman" w:hAnsi="Times New Roman" w:eastAsia="宋体" w:cs="Times New Roman"/>
                <w:b w:val="0"/>
                <w:color w:val="000000"/>
                <w:sz w:val="21"/>
              </w:rPr>
              <w:t>156891.00</w:t>
            </w:r>
          </w:p>
        </w:tc>
        <w:tc>
          <w:tcPr>
            <w:tcW w:w="4309" w:type="dxa"/>
            <w:tcMar>
              <w:top w:w="100" w:type="dxa"/>
              <w:left w:w="100" w:type="dxa"/>
              <w:bottom w:w="100" w:type="dxa"/>
              <w:right w:w="100" w:type="dxa"/>
            </w:tcMar>
            <w:vAlign w:val="center"/>
          </w:tcPr>
          <w:p w14:paraId="5D3EBE3D" w14:textId="77777777" w:rsidR="00DE373F" w:rsidRDefault="00000000">
            <w:pPr>
              <w:spacing w:before="0" w:after="0" w:line="240" w:lineRule="auto"/>
              <w:jc w:val="center"/>
            </w:pPr>
            <w:r>
              <w:rPr>
                <w:rFonts w:ascii="Times New Roman" w:hAnsi="Times New Roman" w:eastAsia="宋体" w:cs="Times New Roman"/>
                <w:b w:val="0"/>
                <w:color w:val="000000"/>
                <w:sz w:val="21"/>
              </w:rPr>
              <w:t>恢复超时会话</w:t>
            </w:r>
          </w:p>
        </w:tc>
      </w:tr>
      <w:tr w:rsidR="00DE373F" w14:paraId="0260BC91" w14:textId="77777777">
        <w:trPr>
          <w:trHeight w:val="369"/>
          <w:jc w:val="center"/>
          <w:cantSplit/>
        </w:trPr>
        <w:tc>
          <w:tcPr>
            <w:tcW w:w="2381" w:type="dxa"/>
            <w:tcMar>
              <w:top w:w="100" w:type="dxa"/>
              <w:left w:w="100" w:type="dxa"/>
              <w:bottom w:w="100" w:type="dxa"/>
              <w:right w:w="100" w:type="dxa"/>
            </w:tcMar>
            <w:vAlign w:val="center"/>
          </w:tcPr>
          <w:p w14:paraId="03CDDD11" w14:textId="77777777" w:rsidR="00DE373F" w:rsidRDefault="00000000">
            <w:pPr>
              <w:spacing w:before="0" w:after="0" w:line="240" w:lineRule="auto"/>
              <w:jc w:val="center"/>
            </w:pPr>
            <w:r>
              <w:rPr>
                <w:rFonts w:ascii="Times New Roman" w:hAnsi="Times New Roman" w:eastAsia="宋体" w:cs="Times New Roman"/>
                <w:b w:val="0"/>
                <w:color w:val="000000"/>
                <w:sz w:val="21"/>
              </w:rPr>
              <w:t>challengeReplay</w:t>
            </w:r>
          </w:p>
        </w:tc>
        <w:tc>
          <w:tcPr>
            <w:tcW w:w="1927" w:type="dxa"/>
            <w:tcMar>
              <w:top w:w="100" w:type="dxa"/>
              <w:left w:w="100" w:type="dxa"/>
              <w:bottom w:w="100" w:type="dxa"/>
              <w:right w:w="100" w:type="dxa"/>
            </w:tcMar>
            <w:vAlign w:val="center"/>
          </w:tcPr>
          <w:p w14:paraId="0BA6928C" w14:textId="77777777" w:rsidR="00DE373F" w:rsidRDefault="00000000">
            <w:pPr>
              <w:spacing w:before="0" w:after="0" w:line="240" w:lineRule="auto"/>
              <w:jc w:val="center"/>
            </w:pPr>
            <w:r>
              <w:rPr>
                <w:rFonts w:ascii="Times New Roman" w:hAnsi="Times New Roman" w:eastAsia="宋体" w:cs="Times New Roman"/>
                <w:b w:val="0"/>
                <w:color w:val="000000"/>
                <w:sz w:val="21"/>
              </w:rPr>
              <w:t>135632.00</w:t>
            </w:r>
          </w:p>
        </w:tc>
        <w:tc>
          <w:tcPr>
            <w:tcW w:w="4309" w:type="dxa"/>
            <w:tcMar>
              <w:top w:w="100" w:type="dxa"/>
              <w:left w:w="100" w:type="dxa"/>
              <w:bottom w:w="100" w:type="dxa"/>
              <w:right w:w="100" w:type="dxa"/>
            </w:tcMar>
            <w:vAlign w:val="center"/>
          </w:tcPr>
          <w:p w14:paraId="1050AF46" w14:textId="77777777" w:rsidR="00DE373F" w:rsidRDefault="00000000">
            <w:pPr>
              <w:spacing w:before="0" w:after="0" w:line="240" w:lineRule="auto"/>
              <w:jc w:val="center"/>
            </w:pPr>
            <w:r>
              <w:rPr>
                <w:rFonts w:ascii="Times New Roman" w:hAnsi="Times New Roman" w:eastAsia="宋体" w:cs="Times New Roman"/>
                <w:b w:val="0"/>
                <w:color w:val="000000"/>
                <w:sz w:val="21"/>
              </w:rPr>
              <w:t>单步重放仲裁</w:t>
            </w:r>
          </w:p>
        </w:tc>
      </w:tr>
      <w:tr w:rsidR="00DE373F" w14:paraId="2B069D3E" w14:textId="77777777">
        <w:trPr>
          <w:trHeight w:val="369"/>
          <w:jc w:val="center"/>
          <w:cantSplit/>
        </w:trPr>
        <w:tc>
          <w:tcPr>
            <w:tcW w:w="2381" w:type="dxa"/>
            <w:tcMar>
              <w:top w:w="100" w:type="dxa"/>
              <w:left w:w="100" w:type="dxa"/>
              <w:bottom w:w="100" w:type="dxa"/>
              <w:right w:w="100" w:type="dxa"/>
            </w:tcMar>
            <w:vAlign w:val="center"/>
          </w:tcPr>
          <w:p w14:paraId="542EB9A0" w14:textId="77777777" w:rsidR="00DE373F" w:rsidRDefault="00000000">
            <w:pPr>
              <w:spacing w:before="0" w:after="0" w:line="240" w:lineRule="auto"/>
              <w:jc w:val="center"/>
            </w:pPr>
            <w:r>
              <w:rPr>
                <w:rFonts w:ascii="Times New Roman" w:hAnsi="Times New Roman" w:eastAsia="宋体" w:cs="Times New Roman"/>
                <w:b w:val="0"/>
                <w:color w:val="000000"/>
                <w:sz w:val="21"/>
              </w:rPr>
              <w:t>challengeResolve</w:t>
            </w:r>
          </w:p>
        </w:tc>
        <w:tc>
          <w:tcPr>
            <w:tcW w:w="1927" w:type="dxa"/>
            <w:tcMar>
              <w:top w:w="100" w:type="dxa"/>
              <w:left w:w="100" w:type="dxa"/>
              <w:bottom w:w="100" w:type="dxa"/>
              <w:right w:w="100" w:type="dxa"/>
            </w:tcMar>
            <w:vAlign w:val="center"/>
          </w:tcPr>
          <w:p w14:paraId="1F941CC0" w14:textId="77777777" w:rsidR="00DE373F" w:rsidRDefault="00000000">
            <w:pPr>
              <w:spacing w:before="0" w:after="0" w:line="240" w:lineRule="auto"/>
              <w:jc w:val="center"/>
            </w:pPr>
            <w:r>
              <w:rPr>
                <w:rFonts w:ascii="Times New Roman" w:hAnsi="Times New Roman" w:eastAsia="宋体" w:cs="Times New Roman"/>
                <w:b w:val="0"/>
                <w:color w:val="000000"/>
                <w:sz w:val="21"/>
              </w:rPr>
              <w:t>113402.00</w:t>
            </w:r>
          </w:p>
        </w:tc>
        <w:tc>
          <w:tcPr>
            <w:tcW w:w="4309" w:type="dxa"/>
            <w:tcMar>
              <w:top w:w="100" w:type="dxa"/>
              <w:left w:w="100" w:type="dxa"/>
              <w:bottom w:w="100" w:type="dxa"/>
              <w:right w:w="100" w:type="dxa"/>
            </w:tcMar>
            <w:vAlign w:val="center"/>
          </w:tcPr>
          <w:p w14:paraId="101FB244" w14:textId="77777777" w:rsidR="00DE373F" w:rsidRDefault="00000000">
            <w:pPr>
              <w:spacing w:before="0" w:after="0" w:line="240" w:lineRule="auto"/>
              <w:jc w:val="center"/>
            </w:pPr>
            <w:r>
              <w:rPr>
                <w:rFonts w:ascii="Times New Roman" w:hAnsi="Times New Roman" w:eastAsia="宋体" w:cs="Times New Roman"/>
                <w:b w:val="0"/>
                <w:color w:val="000000"/>
                <w:sz w:val="21"/>
              </w:rPr>
              <w:t>结算争议结果</w:t>
            </w:r>
          </w:p>
        </w:tc>
      </w:tr>
      <w:tr w:rsidR="00DE373F" w14:paraId="44EBFD6C" w14:textId="77777777">
        <w:trPr>
          <w:trHeight w:val="369"/>
          <w:jc w:val="center"/>
          <w:cantSplit/>
        </w:trPr>
        <w:tc>
          <w:tcPr>
            <w:tcW w:w="2381" w:type="dxa"/>
            <w:tcMar>
              <w:top w:w="100" w:type="dxa"/>
              <w:left w:w="100" w:type="dxa"/>
              <w:bottom w:w="100" w:type="dxa"/>
              <w:right w:w="100" w:type="dxa"/>
            </w:tcMar>
            <w:vAlign w:val="center"/>
          </w:tcPr>
          <w:p w14:paraId="37CB1264" w14:textId="77777777" w:rsidR="00DE373F" w:rsidRDefault="00000000">
            <w:pPr>
              <w:spacing w:before="0" w:after="0" w:line="240" w:lineRule="auto"/>
              <w:jc w:val="center"/>
            </w:pPr>
            <w:r>
              <w:rPr>
                <w:rFonts w:ascii="Times New Roman" w:hAnsi="Times New Roman" w:eastAsia="宋体" w:cs="Times New Roman"/>
                <w:b w:val="0"/>
                <w:color w:val="000000"/>
                <w:sz w:val="21"/>
              </w:rPr>
              <w:t>challengeFinalize</w:t>
            </w:r>
          </w:p>
        </w:tc>
        <w:tc>
          <w:tcPr>
            <w:tcW w:w="1927" w:type="dxa"/>
            <w:tcMar>
              <w:top w:w="100" w:type="dxa"/>
              <w:left w:w="100" w:type="dxa"/>
              <w:bottom w:w="100" w:type="dxa"/>
              <w:right w:w="100" w:type="dxa"/>
            </w:tcMar>
            <w:vAlign w:val="center"/>
          </w:tcPr>
          <w:p w14:paraId="048D4905" w14:textId="77777777" w:rsidR="00DE373F" w:rsidRDefault="00000000">
            <w:pPr>
              <w:spacing w:before="0" w:after="0" w:line="240" w:lineRule="auto"/>
              <w:jc w:val="center"/>
            </w:pPr>
            <w:r>
              <w:rPr>
                <w:rFonts w:ascii="Times New Roman" w:hAnsi="Times New Roman" w:eastAsia="宋体" w:cs="Times New Roman"/>
                <w:b w:val="0"/>
                <w:color w:val="000000"/>
                <w:sz w:val="21"/>
              </w:rPr>
              <w:t>33477.00</w:t>
            </w:r>
          </w:p>
        </w:tc>
        <w:tc>
          <w:tcPr>
            <w:tcW w:w="4309" w:type="dxa"/>
            <w:tcMar>
              <w:top w:w="100" w:type="dxa"/>
              <w:left w:w="100" w:type="dxa"/>
              <w:bottom w:w="100" w:type="dxa"/>
              <w:right w:w="100" w:type="dxa"/>
            </w:tcMar>
            <w:vAlign w:val="center"/>
          </w:tcPr>
          <w:p w14:paraId="3B36EB41" w14:textId="77777777" w:rsidR="00DE373F" w:rsidRDefault="00000000">
            <w:pPr>
              <w:spacing w:before="0" w:after="0" w:line="240" w:lineRule="auto"/>
              <w:jc w:val="center"/>
            </w:pPr>
            <w:r>
              <w:rPr>
                <w:rFonts w:ascii="Times New Roman" w:hAnsi="Times New Roman" w:eastAsia="宋体" w:cs="Times New Roman"/>
                <w:b w:val="0"/>
                <w:color w:val="000000"/>
                <w:sz w:val="21"/>
              </w:rPr>
              <w:t>挑战期后最终确认</w:t>
            </w:r>
          </w:p>
        </w:tc>
      </w:tr>
    </w:tbl>
    <w:p w14:paraId="4BA8CEB9" w14:textId="77777777" w:rsidR="00DE373F"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6 Sepolia 部署信息</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21"/>
        <w:gridCol w:w="5783"/>
      </w:tblGrid>
      <w:tr w:rsidR="00DE373F" w14:paraId="4FEA27F0" w14:textId="77777777">
        <w:trPr>
          <w:trHeight w:val="369"/>
          <w:tblHeader w:val="true"/>
          <w:jc w:val="center"/>
          <w:cantSplit/>
        </w:trPr>
        <w:tc>
          <w:tcPr>
            <w:tcW w:w="2835" w:type="dxa"/>
            <w:shd w:val="clear" w:color="auto" w:fill="D9D9D9"/>
            <w:tcMar>
              <w:top w:w="100" w:type="dxa"/>
              <w:left w:w="100" w:type="dxa"/>
              <w:bottom w:w="100" w:type="dxa"/>
              <w:right w:w="100" w:type="dxa"/>
            </w:tcMar>
            <w:vAlign w:val="center"/>
          </w:tcPr>
          <w:p w14:paraId="260F6CB8" w14:textId="77777777" w:rsidR="00DE373F" w:rsidRDefault="00000000">
            <w:pPr>
              <w:spacing w:before="0" w:after="0" w:line="240" w:lineRule="auto"/>
              <w:jc w:val="center"/>
            </w:pPr>
            <w:r>
              <w:rPr>
                <w:rFonts w:ascii="Times New Roman" w:hAnsi="Times New Roman" w:eastAsia="宋体" w:cs="Times New Roman"/>
                <w:b/>
                <w:color w:val="000000"/>
                <w:sz w:val="21"/>
              </w:rPr>
              <w:t>项目</w:t>
            </w:r>
          </w:p>
        </w:tc>
        <w:tc>
          <w:tcPr>
            <w:tcW w:w="5670" w:type="dxa"/>
            <w:shd w:val="clear" w:color="auto" w:fill="D9D9D9"/>
            <w:tcMar>
              <w:top w:w="100" w:type="dxa"/>
              <w:left w:w="100" w:type="dxa"/>
              <w:bottom w:w="100" w:type="dxa"/>
              <w:right w:w="100" w:type="dxa"/>
            </w:tcMar>
            <w:vAlign w:val="center"/>
          </w:tcPr>
          <w:p w14:paraId="38CA9CB2" w14:textId="77777777" w:rsidR="00DE373F" w:rsidRDefault="00000000">
            <w:pPr>
              <w:spacing w:before="0" w:after="0" w:line="240" w:lineRule="auto"/>
              <w:jc w:val="center"/>
            </w:pPr>
            <w:r>
              <w:rPr>
                <w:rFonts w:ascii="Times New Roman" w:hAnsi="Times New Roman" w:eastAsia="宋体" w:cs="Times New Roman"/>
                <w:b/>
                <w:color w:val="000000"/>
                <w:sz w:val="21"/>
              </w:rPr>
              <w:t>数值</w:t>
            </w:r>
          </w:p>
        </w:tc>
      </w:tr>
      <w:tr w:rsidR="00DE373F" w14:paraId="387FD388" w14:textId="77777777">
        <w:trPr>
          <w:trHeight w:val="369"/>
          <w:jc w:val="center"/>
          <w:cantSplit/>
        </w:trPr>
        <w:tc>
          <w:tcPr>
            <w:tcW w:w="2835" w:type="dxa"/>
            <w:tcMar>
              <w:top w:w="100" w:type="dxa"/>
              <w:left w:w="100" w:type="dxa"/>
              <w:bottom w:w="100" w:type="dxa"/>
              <w:right w:w="100" w:type="dxa"/>
            </w:tcMar>
            <w:vAlign w:val="center"/>
          </w:tcPr>
          <w:p w14:paraId="650B02C5" w14:textId="77777777" w:rsidR="00DE373F" w:rsidRDefault="00000000">
            <w:pPr>
              <w:spacing w:before="0" w:after="0" w:line="240" w:lineRule="auto"/>
              <w:jc w:val="center"/>
            </w:pPr>
            <w:r>
              <w:rPr>
                <w:rFonts w:ascii="Times New Roman" w:hAnsi="Times New Roman" w:eastAsia="宋体" w:cs="Times New Roman"/>
                <w:b w:val="0"/>
                <w:color w:val="000000"/>
                <w:sz w:val="21"/>
              </w:rPr>
              <w:t>Network / Chain ID</w:t>
            </w:r>
          </w:p>
        </w:tc>
        <w:tc>
          <w:tcPr>
            <w:tcW w:w="5670" w:type="dxa"/>
            <w:tcMar>
              <w:top w:w="100" w:type="dxa"/>
              <w:left w:w="100" w:type="dxa"/>
              <w:bottom w:w="100" w:type="dxa"/>
              <w:right w:w="100" w:type="dxa"/>
            </w:tcMar>
            <w:vAlign w:val="center"/>
          </w:tcPr>
          <w:p w14:paraId="72761E93" w14:textId="77777777" w:rsidR="00DE373F" w:rsidRDefault="00000000">
            <w:pPr>
              <w:spacing w:before="0" w:after="0" w:line="240" w:lineRule="auto"/>
              <w:jc w:val="center"/>
            </w:pPr>
            <w:r>
              <w:rPr>
                <w:rFonts w:ascii="Times New Roman" w:hAnsi="Times New Roman" w:eastAsia="宋体" w:cs="Times New Roman"/>
                <w:b w:val="0"/>
                <w:color w:val="000000"/>
                <w:sz w:val="21"/>
              </w:rPr>
              <w:t>Sepolia / 11155111</w:t>
            </w:r>
          </w:p>
        </w:tc>
      </w:tr>
      <w:tr w:rsidR="00DE373F" w14:paraId="6F985AF4" w14:textId="77777777">
        <w:trPr>
          <w:trHeight w:val="369"/>
          <w:jc w:val="center"/>
          <w:cantSplit/>
        </w:trPr>
        <w:tc>
          <w:tcPr>
            <w:tcW w:w="2835" w:type="dxa"/>
            <w:tcMar>
              <w:top w:w="100" w:type="dxa"/>
              <w:left w:w="100" w:type="dxa"/>
              <w:bottom w:w="100" w:type="dxa"/>
              <w:right w:w="100" w:type="dxa"/>
            </w:tcMar>
            <w:vAlign w:val="center"/>
          </w:tcPr>
          <w:p w14:paraId="1AE2D210" w14:textId="77777777" w:rsidR="00DE373F" w:rsidRDefault="00000000">
            <w:pPr>
              <w:spacing w:before="0" w:after="0" w:line="240" w:lineRule="auto"/>
              <w:jc w:val="center"/>
            </w:pPr>
            <w:r>
              <w:rPr>
                <w:rFonts w:ascii="Times New Roman" w:hAnsi="Times New Roman" w:eastAsia="宋体" w:cs="Times New Roman"/>
                <w:b w:val="0"/>
                <w:color w:val="000000"/>
                <w:sz w:val="21"/>
              </w:rPr>
              <w:t>部署区块</w:t>
            </w:r>
          </w:p>
        </w:tc>
        <w:tc>
          <w:tcPr>
            <w:tcW w:w="5670" w:type="dxa"/>
            <w:tcMar>
              <w:top w:w="100" w:type="dxa"/>
              <w:left w:w="100" w:type="dxa"/>
              <w:bottom w:w="100" w:type="dxa"/>
              <w:right w:w="100" w:type="dxa"/>
            </w:tcMar>
            <w:vAlign w:val="center"/>
          </w:tcPr>
          <w:p w14:paraId="0AA1787F" w14:textId="77777777" w:rsidR="00DE373F" w:rsidRDefault="00000000">
            <w:pPr>
              <w:spacing w:before="0" w:after="0" w:line="240" w:lineRule="auto"/>
              <w:jc w:val="center"/>
            </w:pPr>
            <w:r>
              <w:rPr>
                <w:rFonts w:ascii="Times New Roman" w:hAnsi="Times New Roman" w:eastAsia="宋体" w:cs="Times New Roman"/>
                <w:b w:val="0"/>
                <w:color w:val="000000"/>
                <w:sz w:val="21"/>
              </w:rPr>
              <w:t>10825904</w:t>
            </w:r>
          </w:p>
        </w:tc>
      </w:tr>
      <w:tr w:rsidR="00DE373F" w14:paraId="0F17398A" w14:textId="77777777">
        <w:trPr>
          <w:trHeight w:val="369"/>
          <w:jc w:val="center"/>
          <w:cantSplit/>
        </w:trPr>
        <w:tc>
          <w:tcPr>
            <w:tcW w:w="2835" w:type="dxa"/>
            <w:tcMar>
              <w:top w:w="100" w:type="dxa"/>
              <w:left w:w="100" w:type="dxa"/>
              <w:bottom w:w="100" w:type="dxa"/>
              <w:right w:w="100" w:type="dxa"/>
            </w:tcMar>
            <w:vAlign w:val="center"/>
          </w:tcPr>
          <w:p w14:paraId="42E63309" w14:textId="77777777" w:rsidR="00DE373F" w:rsidRDefault="00000000">
            <w:pPr>
              <w:spacing w:before="0" w:after="0" w:line="240" w:lineRule="auto"/>
              <w:jc w:val="center"/>
            </w:pPr>
            <w:r>
              <w:rPr>
                <w:rFonts w:ascii="Times New Roman" w:hAnsi="Times New Roman" w:eastAsia="宋体" w:cs="Times New Roman"/>
                <w:b w:val="0"/>
                <w:color w:val="000000"/>
                <w:sz w:val="21"/>
              </w:rPr>
              <w:t>MockTEEVerifier</w:t>
            </w:r>
          </w:p>
        </w:tc>
        <w:tc>
          <w:tcPr>
            <w:tcW w:w="5670" w:type="dxa"/>
            <w:tcMar>
              <w:top w:w="100" w:type="dxa"/>
              <w:left w:w="100" w:type="dxa"/>
              <w:bottom w:w="100" w:type="dxa"/>
              <w:right w:w="100" w:type="dxa"/>
            </w:tcMar>
            <w:vAlign w:val="center"/>
          </w:tcPr>
          <w:p w14:paraId="1440A56E" w14:textId="77777777" w:rsidR="00DE373F" w:rsidRDefault="00000000">
            <w:pPr>
              <w:spacing w:before="0" w:after="0" w:line="240" w:lineRule="auto"/>
              <w:jc w:val="center"/>
            </w:pPr>
            <w:r>
              <w:rPr>
                <w:rFonts w:ascii="Times New Roman" w:hAnsi="Times New Roman" w:eastAsia="宋体" w:cs="Times New Roman"/>
                <w:b w:val="0"/>
                <w:color w:val="000000"/>
                <w:sz w:val="21"/>
              </w:rPr>
              <w:t>0xC42CB0Cf0D112Bd59E0f212F2DB2002ca50a8b6A</w:t>
            </w:r>
          </w:p>
        </w:tc>
      </w:tr>
      <w:tr w:rsidR="00DE373F" w14:paraId="002551B8" w14:textId="77777777">
        <w:trPr>
          <w:trHeight w:val="369"/>
          <w:jc w:val="center"/>
          <w:cantSplit/>
        </w:trPr>
        <w:tc>
          <w:tcPr>
            <w:tcW w:w="2835" w:type="dxa"/>
            <w:tcMar>
              <w:top w:w="100" w:type="dxa"/>
              <w:left w:w="100" w:type="dxa"/>
              <w:bottom w:w="100" w:type="dxa"/>
              <w:right w:w="100" w:type="dxa"/>
            </w:tcMar>
            <w:vAlign w:val="center"/>
          </w:tcPr>
          <w:p w14:paraId="09072F0A" w14:textId="77777777" w:rsidR="00DE373F" w:rsidRDefault="00000000">
            <w:pPr>
              <w:spacing w:before="0" w:after="0" w:line="240" w:lineRule="auto"/>
              <w:jc w:val="center"/>
            </w:pPr>
            <w:r>
              <w:rPr>
                <w:rFonts w:ascii="Times New Roman" w:hAnsi="Times New Roman" w:eastAsia="宋体" w:cs="Times New Roman"/>
                <w:b w:val="0"/>
                <w:color w:val="000000"/>
                <w:sz w:val="21"/>
              </w:rPr>
              <w:t>MockDARegistry</w:t>
            </w:r>
          </w:p>
        </w:tc>
        <w:tc>
          <w:tcPr>
            <w:tcW w:w="5670" w:type="dxa"/>
            <w:tcMar>
              <w:top w:w="100" w:type="dxa"/>
              <w:left w:w="100" w:type="dxa"/>
              <w:bottom w:w="100" w:type="dxa"/>
              <w:right w:w="100" w:type="dxa"/>
            </w:tcMar>
            <w:vAlign w:val="center"/>
          </w:tcPr>
          <w:p w14:paraId="73A4462E" w14:textId="77777777" w:rsidR="00DE373F" w:rsidRDefault="00000000">
            <w:pPr>
              <w:spacing w:before="0" w:after="0" w:line="240" w:lineRule="auto"/>
              <w:jc w:val="center"/>
            </w:pPr>
            <w:r>
              <w:rPr>
                <w:rFonts w:ascii="Times New Roman" w:hAnsi="Times New Roman" w:eastAsia="宋体" w:cs="Times New Roman"/>
                <w:b w:val="0"/>
                <w:color w:val="000000"/>
                <w:sz w:val="21"/>
              </w:rPr>
              <w:t>0xc42C64a7De05bf3ad4f1c75CbD8E0506F7De99Ff</w:t>
            </w:r>
          </w:p>
        </w:tc>
      </w:tr>
      <w:tr w:rsidR="00DE373F" w14:paraId="080E1F35" w14:textId="77777777">
        <w:trPr>
          <w:trHeight w:val="369"/>
          <w:jc w:val="center"/>
          <w:cantSplit/>
        </w:trPr>
        <w:tc>
          <w:tcPr>
            <w:tcW w:w="2835" w:type="dxa"/>
            <w:tcMar>
              <w:top w:w="100" w:type="dxa"/>
              <w:left w:w="100" w:type="dxa"/>
              <w:bottom w:w="100" w:type="dxa"/>
              <w:right w:w="100" w:type="dxa"/>
            </w:tcMar>
            <w:vAlign w:val="center"/>
          </w:tcPr>
          <w:p w14:paraId="32BCAED3" w14:textId="77777777" w:rsidR="00DE373F" w:rsidRDefault="00000000">
            <w:pPr>
              <w:spacing w:before="0" w:after="0" w:line="240" w:lineRule="auto"/>
              <w:jc w:val="center"/>
            </w:pPr>
            <w:r>
              <w:rPr>
                <w:rFonts w:ascii="Times New Roman" w:hAnsi="Times New Roman" w:eastAsia="宋体" w:cs="Times New Roman"/>
                <w:b w:val="0"/>
                <w:color w:val="000000"/>
                <w:sz w:val="21"/>
              </w:rPr>
              <w:t>HybridTEERollup</w:t>
            </w:r>
          </w:p>
        </w:tc>
        <w:tc>
          <w:tcPr>
            <w:tcW w:w="5670" w:type="dxa"/>
            <w:tcMar>
              <w:top w:w="100" w:type="dxa"/>
              <w:left w:w="100" w:type="dxa"/>
              <w:bottom w:w="100" w:type="dxa"/>
              <w:right w:w="100" w:type="dxa"/>
            </w:tcMar>
            <w:vAlign w:val="center"/>
          </w:tcPr>
          <w:p w14:paraId="0B8BAA3A" w14:textId="77777777" w:rsidR="00DE373F" w:rsidRDefault="00000000">
            <w:pPr>
              <w:spacing w:before="0" w:after="0" w:line="240" w:lineRule="auto"/>
              <w:jc w:val="center"/>
            </w:pPr>
            <w:r>
              <w:rPr>
                <w:rFonts w:ascii="Times New Roman" w:hAnsi="Times New Roman" w:eastAsia="宋体" w:cs="Times New Roman"/>
                <w:b w:val="0"/>
                <w:color w:val="000000"/>
                <w:sz w:val="21"/>
              </w:rPr>
              <w:t>0xB9B72f10bB8aBC1ed090f1B0443Fe57189c497Fd</w:t>
            </w:r>
          </w:p>
        </w:tc>
      </w:tr>
    </w:tbl>
    <w:p w14:paraId="20CFE735" w14:textId="77777777" w:rsidR="00DE373F" w:rsidRDefault="00DE373F">
      <w:pPr>
        <w:spacing w:after="0" w:line="360" w:lineRule="auto" w:before="0"/>
        <w:ind w:firstLine="420"/>
        <w:jc w:val="both"/>
        <w:rPr>
          <w:lang w:eastAsia="zh-CN"/>
        </w:rPr>
      </w:pPr>
      <w:r>
        <w:rPr>
          <w:rFonts w:ascii="Times New Roman" w:hAnsi="Times New Roman" w:eastAsia="宋体" w:cs="Times New Roman"/>
          <w:color w:val="000000"/>
          <w:sz w:val="24"/>
          <w:lang w:eastAsia="zh-CN"/>
        </w:rPr>
        <w:t>实验的可复现性通过以下证据类型支撑：</w:t>
      </w:r>
      <w:r>
        <w:rPr>
          <w:rFonts w:ascii="Times New Roman" w:hAnsi="Times New Roman" w:eastAsia="宋体" w:cs="Times New Roman"/>
          <w:color w:val="000000"/>
          <w:sz w:val="24"/>
          <w:lang w:eastAsia="zh-CN"/>
        </w:rPr>
        <w:t xml:space="preserve">Python </w:t>
      </w:r>
      <w:r>
        <w:rPr>
          <w:rFonts w:ascii="Times New Roman" w:hAnsi="Times New Roman" w:eastAsia="宋体" w:cs="Times New Roman"/>
          <w:color w:val="000000"/>
          <w:sz w:val="24"/>
          <w:lang w:eastAsia="zh-CN"/>
        </w:rPr>
        <w:t>原型脚本可生成完整实验输出；成本实验和挑战实验均使用确定性合成模型，不依赖外部推理服务；</w:t>
      </w:r>
      <w:r>
        <w:rPr>
          <w:rFonts w:ascii="Times New Roman" w:hAnsi="Times New Roman" w:eastAsia="宋体" w:cs="Times New Roman"/>
          <w:color w:val="000000"/>
          <w:sz w:val="24"/>
          <w:lang w:eastAsia="zh-CN"/>
        </w:rPr>
        <w:t xml:space="preserve">Hardhat </w:t>
      </w:r>
      <w:r>
        <w:rPr>
          <w:rFonts w:ascii="Times New Roman" w:hAnsi="Times New Roman" w:eastAsia="宋体" w:cs="Times New Roman"/>
          <w:color w:val="000000"/>
          <w:sz w:val="24"/>
          <w:lang w:eastAsia="zh-CN"/>
        </w:rPr>
        <w:t>测试提供合约层面的可重复验证。所有实验输出文件（成本网格、挑战网格、故障场景、汇总文件）由同一实验脚本生成。</w:t>
      </w:r>
    </w:p>
    <w:p w14:paraId="62E5A382" w14:textId="77777777" w:rsidR="00DE373F" w:rsidRDefault="00000000">
      <w:pPr>
        <w:pStyle w:val="21"/>
        <w:keepNext/>
        <w:keepLines w:val="0"/>
        <w:spacing w:after="120" w:line="288" w:lineRule="auto"/>
        <w:jc w:val="left"/>
      </w:pPr>
      <w:r>
        <w:rPr>
          <w:rFonts w:ascii="Times New Roman" w:hAnsi="Times New Roman" w:eastAsia="黑体" w:cs="Times New Roman"/>
          <w:b/>
          <w:color w:val="000000"/>
          <w:sz w:val="24"/>
        </w:rPr>
        <w:t xml:space="preserve">7.6 </w:t>
      </w:r>
      <w:r>
        <w:rPr>
          <w:rFonts w:ascii="Times New Roman" w:hAnsi="Times New Roman" w:eastAsia="黑体" w:cs="Times New Roman"/>
          <w:b/>
          <w:color w:val="000000"/>
          <w:sz w:val="24"/>
        </w:rPr>
        <w:t>可复现性与证据类型</w:t>
      </w:r>
    </w:p>
    <w:p w14:paraId="1EBEA877" w14:textId="77777777" w:rsidR="00DE373F" w:rsidRDefault="00000000">
      <w:pPr>
        <w:spacing w:after="0" w:line="360" w:lineRule="auto" w:before="0"/>
        <w:ind w:firstLine="420"/>
        <w:jc w:val="both"/>
      </w:pPr>
      <w:r>
        <w:rPr>
          <w:rFonts w:ascii="Times New Roman" w:hAnsi="Times New Roman" w:eastAsia="宋体" w:cs="Times New Roman"/>
          <w:color w:val="000000"/>
          <w:sz w:val="24"/>
        </w:rP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project_code/evm/deployments/sepolia.json。本次版本还保留 comparison_figures 目录和 comparison_experiments.md，用于记录基线对比、面向故障的对比与数据可用性路径权衡的派生图表和说明。</w:t>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color w:val="000000"/>
          <w:sz w:val="24"/>
        </w:rPr>
      </w:r>
    </w:p>
    <w:p w14:paraId="1351A8D6"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复现实验可使用以下命令：</w:t>
      </w:r>
      <w:r>
        <w:rPr>
          <w:rFonts w:ascii="Times New Roman" w:hAnsi="Times New Roman" w:eastAsia="宋体" w:cs="Times New Roman"/>
          <w:color w:val="000000"/>
          <w:sz w:val="24"/>
        </w:rPr>
        <w:t>python -m unittest discover -s tests -v</w:t>
      </w:r>
      <w:r>
        <w:rPr>
          <w:rFonts w:ascii="Times New Roman" w:hAnsi="Times New Roman" w:eastAsia="宋体" w:cs="Times New Roman"/>
          <w:color w:val="000000"/>
          <w:sz w:val="24"/>
        </w:rPr>
        <w:t>；</w:t>
      </w:r>
      <w:r>
        <w:rPr>
          <w:rFonts w:ascii="Times New Roman" w:hAnsi="Times New Roman" w:eastAsia="宋体" w:cs="Times New Roman"/>
          <w:color w:val="000000"/>
          <w:sz w:val="24"/>
        </w:rPr>
        <w:t>python scripts/run_paper_experiments.py --clean --samples 100 --payload-sizes 128,512,2048,8192 --batch-sizes 1,10,100,1000 --trace-steps 4,8,16,32,64,128</w:t>
      </w:r>
      <w:r>
        <w:rPr>
          <w:rFonts w:ascii="Times New Roman" w:hAnsi="Times New Roman" w:eastAsia="宋体" w:cs="Times New Roman"/>
          <w:color w:val="000000"/>
          <w:sz w:val="24"/>
        </w:rPr>
        <w:t>；在</w:t>
      </w:r>
      <w:r>
        <w:rPr>
          <w:rFonts w:ascii="Times New Roman" w:hAnsi="Times New Roman" w:eastAsia="宋体" w:cs="Times New Roman"/>
          <w:color w:val="000000"/>
          <w:sz w:val="24"/>
        </w:rPr>
        <w:t xml:space="preserve"> project_code/evm </w:t>
      </w:r>
      <w:r>
        <w:rPr>
          <w:rFonts w:ascii="Times New Roman" w:hAnsi="Times New Roman" w:eastAsia="宋体" w:cs="Times New Roman"/>
          <w:color w:val="000000"/>
          <w:sz w:val="24"/>
        </w:rPr>
        <w:t>目录下运行</w:t>
      </w:r>
      <w:r>
        <w:rPr>
          <w:rFonts w:ascii="Times New Roman" w:hAnsi="Times New Roman" w:eastAsia="宋体" w:cs="Times New Roman"/>
          <w:color w:val="000000"/>
          <w:sz w:val="24"/>
        </w:rPr>
        <w:t xml:space="preserve"> npm.cmd test </w:t>
      </w:r>
      <w:r>
        <w:rPr>
          <w:rFonts w:ascii="Times New Roman" w:hAnsi="Times New Roman" w:eastAsia="宋体" w:cs="Times New Roman"/>
          <w:color w:val="000000"/>
          <w:sz w:val="24"/>
        </w:rPr>
        <w:t>和</w:t>
      </w:r>
      <w:r>
        <w:rPr>
          <w:rFonts w:ascii="Times New Roman" w:hAnsi="Times New Roman" w:eastAsia="宋体" w:cs="Times New Roman"/>
          <w:color w:val="000000"/>
          <w:sz w:val="24"/>
        </w:rPr>
        <w:t xml:space="preserve"> npm.cmd run measure:gas</w:t>
      </w:r>
      <w:r>
        <w:rPr>
          <w:rFonts w:ascii="Times New Roman" w:hAnsi="Times New Roman" w:eastAsia="宋体" w:cs="Times New Roman"/>
          <w:color w:val="000000"/>
          <w:sz w:val="24"/>
        </w:rPr>
        <w:t>。</w:t>
      </w:r>
      <w:r>
        <w:rPr>
          <w:rFonts w:ascii="Times New Roman" w:hAnsi="Times New Roman" w:eastAsia="宋体" w:cs="Times New Roman"/>
          <w:color w:val="000000"/>
          <w:sz w:val="24"/>
          <w:lang w:eastAsia="zh-CN"/>
        </w:rPr>
        <w:t>上述命令分别对应机制验证、配置化成本趋势和本地</w:t>
      </w:r>
      <w:r>
        <w:rPr>
          <w:rFonts w:ascii="Times New Roman" w:hAnsi="Times New Roman" w:eastAsia="宋体" w:cs="Times New Roman"/>
          <w:color w:val="000000"/>
          <w:sz w:val="24"/>
          <w:lang w:eastAsia="zh-CN"/>
        </w:rPr>
        <w:t xml:space="preserve"> EVM </w:t>
      </w:r>
      <w:r>
        <w:rPr>
          <w:rFonts w:ascii="Times New Roman" w:hAnsi="Times New Roman" w:eastAsia="宋体" w:cs="Times New Roman"/>
          <w:color w:val="000000"/>
          <w:sz w:val="24"/>
          <w:lang w:eastAsia="zh-CN"/>
        </w:rPr>
        <w:t>状态推进基线，不能相互替代。</w:t>
      </w:r>
    </w:p>
    <w:p w14:paraId="3EC6D7C9" w14:textId="77777777" w:rsidR="0004470E"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7.7 </w:t>
      </w:r>
      <w:r>
        <w:rPr>
          <w:rFonts w:ascii="Times New Roman" w:hAnsi="Times New Roman" w:eastAsia="黑体" w:cs="Times New Roman"/>
          <w:b/>
          <w:color w:val="000000"/>
          <w:sz w:val="24"/>
          <w:lang w:eastAsia="zh-CN"/>
        </w:rPr>
        <w:t>对比实验小结</w:t>
      </w:r>
    </w:p>
    <w:p w14:paraId="6D50FCC7" w14:textId="77777777" w:rsidR="0004470E"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上述</w:t>
      </w:r>
      <w:r>
        <w:rPr>
          <w:rFonts w:ascii="Times New Roman" w:hAnsi="Times New Roman" w:eastAsia="宋体" w:cs="Times New Roman"/>
          <w:color w:val="000000"/>
          <w:sz w:val="24"/>
          <w:lang w:eastAsia="zh-CN"/>
        </w:rPr>
        <w:t xml:space="preserve"> RQ1 </w:t>
      </w:r>
      <w:r>
        <w:rPr>
          <w:rFonts w:ascii="Times New Roman" w:hAnsi="Times New Roman" w:eastAsia="宋体" w:cs="Times New Roman"/>
          <w:color w:val="000000"/>
          <w:sz w:val="24"/>
          <w:lang w:eastAsia="zh-CN"/>
        </w:rPr>
        <w:t>至</w:t>
      </w:r>
      <w:r>
        <w:rPr>
          <w:rFonts w:ascii="Times New Roman" w:hAnsi="Times New Roman" w:eastAsia="宋体" w:cs="Times New Roman"/>
          <w:color w:val="000000"/>
          <w:sz w:val="24"/>
          <w:lang w:eastAsia="zh-CN"/>
        </w:rPr>
        <w:t xml:space="preserve"> RQ5 </w:t>
      </w:r>
      <w:r>
        <w:rPr>
          <w:rFonts w:ascii="Times New Roman" w:hAnsi="Times New Roman" w:eastAsia="宋体" w:cs="Times New Roman"/>
          <w:color w:val="000000"/>
          <w:sz w:val="24"/>
          <w:lang w:eastAsia="zh-CN"/>
        </w:rPr>
        <w:t>已经包含了部分对比分析。本节将这些对比集中呈现，避免在不同</w:t>
      </w:r>
      <w:r>
        <w:rPr>
          <w:rFonts w:ascii="Times New Roman" w:hAnsi="Times New Roman" w:eastAsia="宋体" w:cs="Times New Roman"/>
          <w:color w:val="000000"/>
          <w:sz w:val="24"/>
          <w:lang w:eastAsia="zh-CN"/>
        </w:rPr>
        <w:t xml:space="preserve"> RQ </w:t>
      </w:r>
      <w:r>
        <w:rPr>
          <w:rFonts w:ascii="Times New Roman" w:hAnsi="Times New Roman" w:eastAsia="宋体" w:cs="Times New Roman"/>
          <w:color w:val="000000"/>
          <w:sz w:val="24"/>
          <w:lang w:eastAsia="zh-CN"/>
        </w:rPr>
        <w:t>之间重复解释。以下仅列出关键对比维度与结论，详细数据参见对应</w:t>
      </w:r>
      <w:r>
        <w:rPr>
          <w:rFonts w:ascii="Times New Roman" w:hAnsi="Times New Roman" w:eastAsia="宋体" w:cs="Times New Roman"/>
          <w:color w:val="000000"/>
          <w:sz w:val="24"/>
          <w:lang w:eastAsia="zh-CN"/>
        </w:rPr>
        <w:t xml:space="preserve"> RQ </w:t>
      </w:r>
      <w:r>
        <w:rPr>
          <w:rFonts w:ascii="Times New Roman" w:hAnsi="Times New Roman" w:eastAsia="宋体" w:cs="Times New Roman"/>
          <w:color w:val="000000"/>
          <w:sz w:val="24"/>
          <w:lang w:eastAsia="zh-CN"/>
        </w:rPr>
        <w:t>节和表格。</w:t>
      </w:r>
    </w:p>
    <w:p w14:paraId="56FE586D" w14:textId="77777777" w:rsidR="00DD00A7"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7 对比实验小结</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24"/>
        <w:gridCol w:w="1824"/>
        <w:gridCol w:w="1824"/>
        <w:gridCol w:w="1824"/>
        <w:gridCol w:w="1824"/>
      </w:tblGrid>
      <w:tr w:rsidR="00DD00A7" w14:paraId="49468C19" w14:textId="77777777">
        <w:trPr>
          <w:tblHeader w:val="true"/>
          <w:cantSplit/>
        </w:trPr>
        <w:tc>
          <w:tcPr>
            <w:tcW w:w="1701" w:type="dxa"/>
            <w:vAlign w:val="center"/>
            <w:shd w:fill="D9D9D9"/>
            <w:tcMar>
              <w:top w:w="100" w:type="dxa"/>
              <w:left w:w="100" w:type="dxa"/>
              <w:bottom w:w="100" w:type="dxa"/>
              <w:right w:w="100" w:type="dxa"/>
            </w:tcMar>
          </w:tcPr>
          <w:p w14:paraId="76932A6E" w14:textId="77777777" w:rsidR="00DD00A7" w:rsidRDefault="00000000">
            <w:pPr>
              <w:spacing w:before="0" w:after="0" w:line="240" w:lineRule="auto"/>
              <w:jc w:val="center"/>
            </w:pPr>
            <w:r>
              <w:rPr>
                <w:rFonts w:ascii="Times New Roman" w:hAnsi="Times New Roman" w:eastAsia="宋体" w:cs="Times New Roman"/>
                <w:b/>
                <w:color w:val="000000"/>
                <w:sz w:val="21"/>
              </w:rPr>
              <w:t>对比维度</w:t>
            </w:r>
          </w:p>
        </w:tc>
        <w:tc>
          <w:tcPr>
            <w:tcW w:w="1701" w:type="dxa"/>
            <w:vAlign w:val="center"/>
            <w:shd w:fill="D9D9D9"/>
            <w:tcMar>
              <w:top w:w="100" w:type="dxa"/>
              <w:left w:w="100" w:type="dxa"/>
              <w:bottom w:w="100" w:type="dxa"/>
              <w:right w:w="100" w:type="dxa"/>
            </w:tcMar>
          </w:tcPr>
          <w:p w14:paraId="06CFC031" w14:textId="77777777" w:rsidR="00DD00A7" w:rsidRDefault="00000000">
            <w:pPr>
              <w:spacing w:before="0" w:after="0" w:line="240" w:lineRule="auto"/>
              <w:jc w:val="center"/>
            </w:pPr>
            <w:r>
              <w:rPr>
                <w:rFonts w:ascii="Times New Roman" w:hAnsi="Times New Roman" w:eastAsia="宋体" w:cs="Times New Roman"/>
                <w:b/>
                <w:color w:val="000000"/>
                <w:sz w:val="21"/>
              </w:rPr>
              <w:t>对应研究问题</w:t>
            </w:r>
          </w:p>
        </w:tc>
        <w:tc>
          <w:tcPr>
            <w:tcW w:w="1701" w:type="dxa"/>
            <w:vAlign w:val="center"/>
            <w:shd w:fill="D9D9D9"/>
            <w:tcMar>
              <w:top w:w="100" w:type="dxa"/>
              <w:left w:w="100" w:type="dxa"/>
              <w:bottom w:w="100" w:type="dxa"/>
              <w:right w:w="100" w:type="dxa"/>
            </w:tcMar>
          </w:tcPr>
          <w:p w14:paraId="6B0CBF96" w14:textId="77777777" w:rsidR="00DD00A7" w:rsidRDefault="00000000">
            <w:pPr>
              <w:spacing w:before="0" w:after="0" w:line="240" w:lineRule="auto"/>
              <w:jc w:val="center"/>
            </w:pPr>
            <w:r>
              <w:rPr>
                <w:rFonts w:ascii="Times New Roman" w:hAnsi="Times New Roman" w:eastAsia="宋体" w:cs="Times New Roman"/>
                <w:b/>
                <w:color w:val="000000"/>
                <w:sz w:val="21"/>
              </w:rPr>
              <w:t>基线</w:t>
            </w:r>
          </w:p>
        </w:tc>
        <w:tc>
          <w:tcPr>
            <w:tcW w:w="2154" w:type="dxa"/>
            <w:vAlign w:val="center"/>
            <w:shd w:fill="D9D9D9"/>
            <w:tcMar>
              <w:top w:w="100" w:type="dxa"/>
              <w:left w:w="100" w:type="dxa"/>
              <w:bottom w:w="100" w:type="dxa"/>
              <w:right w:w="100" w:type="dxa"/>
            </w:tcMar>
          </w:tcPr>
          <w:p w14:paraId="631EC8A3" w14:textId="77777777" w:rsidR="00DD00A7" w:rsidRDefault="00000000">
            <w:pPr>
              <w:spacing w:before="0" w:after="0" w:line="240" w:lineRule="auto"/>
              <w:jc w:val="center"/>
            </w:pPr>
            <w:r>
              <w:rPr>
                <w:rFonts w:ascii="Times New Roman" w:hAnsi="Times New Roman" w:eastAsia="宋体" w:cs="Times New Roman"/>
                <w:b/>
                <w:color w:val="000000"/>
                <w:sz w:val="21"/>
              </w:rPr>
              <w:t>本文路径</w:t>
            </w:r>
          </w:p>
        </w:tc>
        <w:tc>
          <w:tcPr>
            <w:tcW w:w="1814" w:type="dxa"/>
            <w:vAlign w:val="center"/>
            <w:shd w:fill="D9D9D9"/>
            <w:tcMar>
              <w:top w:w="100" w:type="dxa"/>
              <w:left w:w="100" w:type="dxa"/>
              <w:bottom w:w="100" w:type="dxa"/>
              <w:right w:w="100" w:type="dxa"/>
            </w:tcMar>
          </w:tcPr>
          <w:p w14:paraId="2F040BD4" w14:textId="77777777" w:rsidR="00DD00A7" w:rsidRDefault="00000000">
            <w:pPr>
              <w:spacing w:before="0" w:after="0" w:line="240" w:lineRule="auto"/>
              <w:jc w:val="center"/>
            </w:pPr>
            <w:r>
              <w:rPr>
                <w:rFonts w:ascii="Times New Roman" w:hAnsi="Times New Roman" w:eastAsia="宋体" w:cs="Times New Roman"/>
                <w:b/>
                <w:color w:val="000000"/>
                <w:sz w:val="21"/>
              </w:rPr>
              <w:t>主要观察</w:t>
            </w:r>
          </w:p>
        </w:tc>
      </w:tr>
      <w:tr w:rsidR="00DD00A7" w14:paraId="36D1E7EB" w14:textId="77777777">
        <w:trPr>
          <w:cantSplit/>
        </w:trPr>
        <w:tc>
          <w:tcPr>
            <w:tcW w:w="1701" w:type="dxa"/>
            <w:vAlign w:val="center"/>
            <w:tcMar>
              <w:top w:w="100" w:type="dxa"/>
              <w:left w:w="100" w:type="dxa"/>
              <w:bottom w:w="100" w:type="dxa"/>
              <w:right w:w="100" w:type="dxa"/>
            </w:tcMar>
          </w:tcPr>
          <w:p w14:paraId="32796AE2" w14:textId="77777777" w:rsidR="00DD00A7" w:rsidRDefault="00000000">
            <w:pPr>
              <w:spacing w:before="0" w:after="0" w:line="240" w:lineRule="auto"/>
              <w:jc w:val="center"/>
            </w:pPr>
            <w:r>
              <w:rPr>
                <w:rFonts w:ascii="Times New Roman" w:hAnsi="Times New Roman" w:eastAsia="宋体" w:cs="Times New Roman"/>
                <w:b w:val="0"/>
                <w:color w:val="000000"/>
                <w:sz w:val="21"/>
              </w:rPr>
              <w:t>恢复活性对比</w:t>
            </w:r>
          </w:p>
        </w:tc>
        <w:tc>
          <w:tcPr>
            <w:tcW w:w="1701" w:type="dxa"/>
            <w:vAlign w:val="center"/>
            <w:tcMar>
              <w:top w:w="100" w:type="dxa"/>
              <w:left w:w="100" w:type="dxa"/>
              <w:bottom w:w="100" w:type="dxa"/>
              <w:right w:w="100" w:type="dxa"/>
            </w:tcMar>
          </w:tcPr>
          <w:p w14:paraId="770624BC" w14:textId="77777777" w:rsidR="00DD00A7" w:rsidRDefault="00000000">
            <w:pPr>
              <w:spacing w:before="0" w:after="0" w:line="240" w:lineRule="auto"/>
              <w:jc w:val="center"/>
            </w:pPr>
            <w:r>
              <w:rPr>
                <w:rFonts w:ascii="Times New Roman" w:hAnsi="Times New Roman" w:eastAsia="宋体" w:cs="Times New Roman"/>
                <w:b w:val="0"/>
                <w:color w:val="000000"/>
                <w:sz w:val="21"/>
              </w:rPr>
              <w:t>RQ3</w:t>
            </w:r>
          </w:p>
        </w:tc>
        <w:tc>
          <w:tcPr>
            <w:tcW w:w="1701" w:type="dxa"/>
            <w:vAlign w:val="center"/>
            <w:tcMar>
              <w:top w:w="100" w:type="dxa"/>
              <w:left w:w="100" w:type="dxa"/>
              <w:bottom w:w="100" w:type="dxa"/>
              <w:right w:w="100" w:type="dxa"/>
            </w:tcMar>
          </w:tcPr>
          <w:p w14:paraId="41BC28D2" w14:textId="77777777" w:rsidR="00DD00A7" w:rsidRDefault="00000000">
            <w:pPr>
              <w:spacing w:before="0" w:after="0" w:line="240" w:lineRule="auto"/>
              <w:jc w:val="center"/>
            </w:pPr>
            <w:r>
              <w:rPr>
                <w:rFonts w:ascii="Times New Roman" w:hAnsi="Times New Roman" w:eastAsia="宋体" w:cs="Times New Roman"/>
                <w:b w:val="0"/>
                <w:color w:val="000000"/>
                <w:sz w:val="21"/>
              </w:rPr>
              <w:t>不可恢复路径</w:t>
            </w:r>
          </w:p>
        </w:tc>
        <w:tc>
          <w:tcPr>
            <w:tcW w:w="2154" w:type="dxa"/>
            <w:vAlign w:val="center"/>
            <w:tcMar>
              <w:top w:w="100" w:type="dxa"/>
              <w:left w:w="100" w:type="dxa"/>
              <w:bottom w:w="100" w:type="dxa"/>
              <w:right w:w="100" w:type="dxa"/>
            </w:tcMar>
          </w:tcPr>
          <w:p w14:paraId="6A76E91D" w14:textId="77777777" w:rsidR="00DD00A7" w:rsidRDefault="00000000">
            <w:pPr>
              <w:spacing w:before="0" w:after="0" w:line="240" w:lineRule="auto"/>
              <w:jc w:val="center"/>
            </w:pPr>
            <w:r>
              <w:rPr>
                <w:rFonts w:ascii="Times New Roman" w:hAnsi="Times New Roman" w:eastAsia="宋体" w:cs="Times New Roman"/>
                <w:b w:val="0"/>
                <w:color w:val="000000"/>
                <w:sz w:val="21"/>
              </w:rPr>
              <w:t>可恢复路径</w:t>
            </w:r>
          </w:p>
        </w:tc>
        <w:tc>
          <w:tcPr>
            <w:tcW w:w="1814" w:type="dxa"/>
            <w:vAlign w:val="center"/>
            <w:tcMar>
              <w:top w:w="100" w:type="dxa"/>
              <w:left w:w="100" w:type="dxa"/>
              <w:bottom w:w="100" w:type="dxa"/>
              <w:right w:w="100" w:type="dxa"/>
            </w:tcMar>
          </w:tcPr>
          <w:p w14:paraId="6ED9DBCB" w14:textId="77777777" w:rsidR="00DD00A7"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超时检测不等于协议推进，恢复路径可继续进入重放与结算</w:t>
            </w:r>
          </w:p>
        </w:tc>
      </w:tr>
      <w:tr w:rsidR="00DD00A7" w14:paraId="3E8EFFB1" w14:textId="77777777">
        <w:trPr>
          <w:cantSplit/>
        </w:trPr>
        <w:tc>
          <w:tcPr>
            <w:tcW w:w="1701" w:type="dxa"/>
            <w:vAlign w:val="center"/>
            <w:tcMar>
              <w:top w:w="100" w:type="dxa"/>
              <w:left w:w="100" w:type="dxa"/>
              <w:bottom w:w="100" w:type="dxa"/>
              <w:right w:w="100" w:type="dxa"/>
            </w:tcMar>
          </w:tcPr>
          <w:p w14:paraId="2DBAEEE0" w14:textId="77777777" w:rsidR="00DD00A7" w:rsidRDefault="00000000">
            <w:pPr>
              <w:spacing w:before="0" w:after="0" w:line="240" w:lineRule="auto"/>
              <w:jc w:val="center"/>
            </w:pPr>
            <w:r>
              <w:rPr>
                <w:rFonts w:ascii="Times New Roman" w:hAnsi="Times New Roman" w:eastAsia="宋体" w:cs="Times New Roman"/>
                <w:b w:val="0"/>
                <w:color w:val="000000"/>
                <w:sz w:val="21"/>
              </w:rPr>
              <w:t>提交规模对比</w:t>
            </w:r>
          </w:p>
        </w:tc>
        <w:tc>
          <w:tcPr>
            <w:tcW w:w="1701" w:type="dxa"/>
            <w:vAlign w:val="center"/>
            <w:tcMar>
              <w:top w:w="100" w:type="dxa"/>
              <w:left w:w="100" w:type="dxa"/>
              <w:bottom w:w="100" w:type="dxa"/>
              <w:right w:w="100" w:type="dxa"/>
            </w:tcMar>
          </w:tcPr>
          <w:p w14:paraId="776ACC4E" w14:textId="77777777" w:rsidR="00DD00A7" w:rsidRDefault="00000000">
            <w:pPr>
              <w:spacing w:before="0" w:after="0" w:line="240" w:lineRule="auto"/>
              <w:jc w:val="center"/>
            </w:pPr>
            <w:r>
              <w:rPr>
                <w:rFonts w:ascii="Times New Roman" w:hAnsi="Times New Roman" w:eastAsia="宋体" w:cs="Times New Roman"/>
                <w:b w:val="0"/>
                <w:color w:val="000000"/>
                <w:sz w:val="21"/>
              </w:rPr>
              <w:t>RQ1</w:t>
            </w:r>
          </w:p>
        </w:tc>
        <w:tc>
          <w:tcPr>
            <w:tcW w:w="1701" w:type="dxa"/>
            <w:vAlign w:val="center"/>
            <w:tcMar>
              <w:top w:w="100" w:type="dxa"/>
              <w:left w:w="100" w:type="dxa"/>
              <w:bottom w:w="100" w:type="dxa"/>
              <w:right w:w="100" w:type="dxa"/>
            </w:tcMar>
          </w:tcPr>
          <w:p w14:paraId="572CD0BC" w14:textId="77777777" w:rsidR="00DD00A7" w:rsidRDefault="00000000">
            <w:pPr>
              <w:spacing w:before="0" w:after="0" w:line="240" w:lineRule="auto"/>
              <w:jc w:val="center"/>
            </w:pPr>
            <w:r>
              <w:rPr>
                <w:rFonts w:ascii="Times New Roman" w:hAnsi="Times New Roman" w:eastAsia="宋体" w:cs="Times New Roman"/>
                <w:b w:val="0"/>
                <w:color w:val="000000"/>
                <w:sz w:val="21"/>
              </w:rPr>
              <w:t>完整负载</w:t>
            </w:r>
          </w:p>
        </w:tc>
        <w:tc>
          <w:tcPr>
            <w:tcW w:w="2154" w:type="dxa"/>
            <w:vAlign w:val="center"/>
            <w:tcMar>
              <w:top w:w="100" w:type="dxa"/>
              <w:left w:w="100" w:type="dxa"/>
              <w:bottom w:w="100" w:type="dxa"/>
              <w:right w:w="100" w:type="dxa"/>
            </w:tcMar>
          </w:tcPr>
          <w:p w14:paraId="6D5094A3" w14:textId="77777777" w:rsidR="00DD00A7" w:rsidRDefault="00000000">
            <w:pPr>
              <w:spacing w:before="0" w:after="0" w:line="240" w:lineRule="auto"/>
              <w:jc w:val="center"/>
            </w:pPr>
            <w:r>
              <w:rPr>
                <w:rFonts w:ascii="Times New Roman" w:hAnsi="Times New Roman" w:eastAsia="宋体" w:cs="Times New Roman"/>
                <w:b w:val="0"/>
                <w:color w:val="000000"/>
                <w:sz w:val="21"/>
              </w:rPr>
              <w:t>紧凑提交</w:t>
            </w:r>
          </w:p>
        </w:tc>
        <w:tc>
          <w:tcPr>
            <w:tcW w:w="1814" w:type="dxa"/>
            <w:vAlign w:val="center"/>
            <w:tcMar>
              <w:top w:w="100" w:type="dxa"/>
              <w:left w:w="100" w:type="dxa"/>
              <w:bottom w:w="100" w:type="dxa"/>
              <w:right w:w="100" w:type="dxa"/>
            </w:tcMar>
          </w:tcPr>
          <w:p w14:paraId="476310F9" w14:textId="77777777" w:rsidR="00DD00A7"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紧凑提交隔离负载增长并保留异常路径所需证据入口</w:t>
            </w:r>
          </w:p>
        </w:tc>
      </w:tr>
      <w:tr w:rsidR="00DD00A7" w14:paraId="2A7944CA" w14:textId="77777777">
        <w:trPr>
          <w:cantSplit/>
        </w:trPr>
        <w:tc>
          <w:tcPr>
            <w:tcW w:w="1701" w:type="dxa"/>
            <w:vAlign w:val="center"/>
            <w:tcMar>
              <w:top w:w="100" w:type="dxa"/>
              <w:left w:w="100" w:type="dxa"/>
              <w:bottom w:w="100" w:type="dxa"/>
              <w:right w:w="100" w:type="dxa"/>
            </w:tcMar>
          </w:tcPr>
          <w:p w14:paraId="0EF3FDF9" w14:textId="77777777" w:rsidR="00DD00A7" w:rsidRDefault="00000000">
            <w:pPr>
              <w:spacing w:before="0" w:after="0" w:line="240" w:lineRule="auto"/>
              <w:jc w:val="center"/>
            </w:pPr>
            <w:r>
              <w:rPr>
                <w:rFonts w:ascii="Times New Roman" w:hAnsi="Times New Roman" w:eastAsia="宋体" w:cs="Times New Roman"/>
                <w:b w:val="0"/>
                <w:color w:val="000000"/>
                <w:sz w:val="21"/>
              </w:rPr>
              <w:t>故障分类对比</w:t>
            </w:r>
          </w:p>
        </w:tc>
        <w:tc>
          <w:tcPr>
            <w:tcW w:w="1701" w:type="dxa"/>
            <w:vAlign w:val="center"/>
            <w:tcMar>
              <w:top w:w="100" w:type="dxa"/>
              <w:left w:w="100" w:type="dxa"/>
              <w:bottom w:w="100" w:type="dxa"/>
              <w:right w:w="100" w:type="dxa"/>
            </w:tcMar>
          </w:tcPr>
          <w:p w14:paraId="4162F6AC" w14:textId="77777777" w:rsidR="00DD00A7" w:rsidRDefault="00000000">
            <w:pPr>
              <w:spacing w:before="0" w:after="0" w:line="240" w:lineRule="auto"/>
              <w:jc w:val="center"/>
            </w:pPr>
            <w:r>
              <w:rPr>
                <w:rFonts w:ascii="Times New Roman" w:hAnsi="Times New Roman" w:eastAsia="宋体" w:cs="Times New Roman"/>
                <w:b w:val="0"/>
                <w:color w:val="000000"/>
                <w:sz w:val="21"/>
              </w:rPr>
              <w:t>RQ4</w:t>
            </w:r>
          </w:p>
        </w:tc>
        <w:tc>
          <w:tcPr>
            <w:tcW w:w="1701" w:type="dxa"/>
            <w:vAlign w:val="center"/>
            <w:tcMar>
              <w:top w:w="100" w:type="dxa"/>
              <w:left w:w="100" w:type="dxa"/>
              <w:bottom w:w="100" w:type="dxa"/>
              <w:right w:w="100" w:type="dxa"/>
            </w:tcMar>
          </w:tcPr>
          <w:p w14:paraId="0C9E0DB0" w14:textId="77777777" w:rsidR="00DD00A7" w:rsidRDefault="00000000">
            <w:pPr>
              <w:spacing w:before="0" w:after="0" w:line="240" w:lineRule="auto"/>
              <w:jc w:val="center"/>
            </w:pPr>
            <w:r>
              <w:rPr>
                <w:rFonts w:ascii="Times New Roman" w:hAnsi="Times New Roman" w:eastAsia="宋体" w:cs="Times New Roman"/>
                <w:b w:val="0"/>
                <w:color w:val="000000"/>
                <w:sz w:val="21"/>
              </w:rPr>
              <w:t>单一成功</w:t>
            </w:r>
            <w:r>
              <w:rPr>
                <w:rFonts w:ascii="Times New Roman" w:hAnsi="Times New Roman" w:eastAsia="宋体" w:cs="Times New Roman"/>
                <w:b w:val="0"/>
                <w:color w:val="000000"/>
                <w:sz w:val="21"/>
              </w:rPr>
              <w:t>/</w:t>
            </w:r>
            <w:r>
              <w:rPr>
                <w:rFonts w:ascii="Times New Roman" w:hAnsi="Times New Roman" w:eastAsia="宋体" w:cs="Times New Roman"/>
                <w:b w:val="0"/>
                <w:color w:val="000000"/>
                <w:sz w:val="21"/>
              </w:rPr>
              <w:t>失败</w:t>
            </w:r>
            <w:r>
              <w:rPr>
                <w:rFonts w:ascii="Times New Roman" w:hAnsi="Times New Roman" w:eastAsia="宋体" w:cs="Times New Roman"/>
                <w:b w:val="0"/>
                <w:color w:val="000000"/>
                <w:sz w:val="21"/>
              </w:rPr>
              <w:lastRenderedPageBreak/>
              <w:t>判断</w:t>
            </w:r>
          </w:p>
        </w:tc>
        <w:tc>
          <w:tcPr>
            <w:tcW w:w="2154" w:type="dxa"/>
            <w:vAlign w:val="center"/>
            <w:tcMar>
              <w:top w:w="100" w:type="dxa"/>
              <w:left w:w="100" w:type="dxa"/>
              <w:bottom w:w="100" w:type="dxa"/>
              <w:right w:w="100" w:type="dxa"/>
            </w:tcMar>
          </w:tcPr>
          <w:p w14:paraId="267FCD50" w14:textId="77777777" w:rsidR="00DD00A7" w:rsidRDefault="00000000">
            <w:pPr>
              <w:spacing w:before="0" w:after="0" w:line="240" w:lineRule="auto"/>
              <w:jc w:val="center"/>
            </w:pPr>
            <w:r>
              <w:rPr>
                <w:rFonts w:ascii="Times New Roman" w:hAnsi="Times New Roman" w:eastAsia="宋体" w:cs="Times New Roman"/>
                <w:b w:val="0"/>
                <w:color w:val="000000"/>
                <w:sz w:val="21"/>
              </w:rPr>
              <w:lastRenderedPageBreak/>
              <w:t>故障分类处理</w:t>
            </w:r>
          </w:p>
        </w:tc>
        <w:tc>
          <w:tcPr>
            <w:tcW w:w="1814" w:type="dxa"/>
            <w:vAlign w:val="center"/>
            <w:tcMar>
              <w:top w:w="100" w:type="dxa"/>
              <w:left w:w="100" w:type="dxa"/>
              <w:bottom w:w="100" w:type="dxa"/>
              <w:right w:w="100" w:type="dxa"/>
            </w:tcMar>
          </w:tcPr>
          <w:p w14:paraId="0FF44EA2" w14:textId="77777777" w:rsidR="00DD00A7"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不同故障对应</w:t>
            </w:r>
            <w:r>
              <w:rPr>
                <w:rFonts w:ascii="Times New Roman" w:hAnsi="Times New Roman" w:eastAsia="宋体" w:cs="Times New Roman"/>
                <w:b w:val="0"/>
                <w:color w:val="000000"/>
                <w:sz w:val="21"/>
                <w:lang w:eastAsia="zh-CN"/>
              </w:rPr>
              <w:lastRenderedPageBreak/>
              <w:t>检测、拒绝、重放或罚没等不同协议能力</w:t>
            </w:r>
          </w:p>
        </w:tc>
      </w:tr>
      <w:tr w:rsidR="00DD00A7" w14:paraId="60A55C71" w14:textId="77777777">
        <w:trPr>
          <w:cantSplit/>
        </w:trPr>
        <w:tc>
          <w:tcPr>
            <w:tcW w:w="1701" w:type="dxa"/>
            <w:vAlign w:val="center"/>
            <w:tcMar>
              <w:top w:w="100" w:type="dxa"/>
              <w:left w:w="100" w:type="dxa"/>
              <w:bottom w:w="100" w:type="dxa"/>
              <w:right w:w="100" w:type="dxa"/>
            </w:tcMar>
          </w:tcPr>
          <w:p w14:paraId="0950CC1B" w14:textId="77777777" w:rsidR="00DD00A7" w:rsidRDefault="00000000">
            <w:pPr>
              <w:spacing w:before="0" w:after="0" w:line="240" w:lineRule="auto"/>
              <w:jc w:val="center"/>
            </w:pPr>
            <w:r>
              <w:rPr>
                <w:rFonts w:ascii="Times New Roman" w:hAnsi="Times New Roman" w:eastAsia="宋体" w:cs="Times New Roman"/>
                <w:b w:val="0"/>
                <w:color w:val="000000"/>
                <w:sz w:val="21"/>
              </w:rPr>
              <w:lastRenderedPageBreak/>
              <w:t>数据可用性路径对比</w:t>
            </w:r>
          </w:p>
        </w:tc>
        <w:tc>
          <w:tcPr>
            <w:tcW w:w="1701" w:type="dxa"/>
            <w:vAlign w:val="center"/>
            <w:tcMar>
              <w:top w:w="100" w:type="dxa"/>
              <w:left w:w="100" w:type="dxa"/>
              <w:bottom w:w="100" w:type="dxa"/>
              <w:right w:w="100" w:type="dxa"/>
            </w:tcMar>
          </w:tcPr>
          <w:p w14:paraId="7BB2EFA9" w14:textId="77777777" w:rsidR="00DD00A7" w:rsidRDefault="00000000">
            <w:pPr>
              <w:spacing w:before="0" w:after="0" w:line="240" w:lineRule="auto"/>
              <w:jc w:val="center"/>
            </w:pPr>
            <w:r>
              <w:rPr>
                <w:rFonts w:ascii="Times New Roman" w:hAnsi="Times New Roman" w:eastAsia="宋体" w:cs="Times New Roman"/>
                <w:b w:val="0"/>
                <w:color w:val="000000"/>
                <w:sz w:val="21"/>
              </w:rPr>
              <w:t>RQ2</w:t>
            </w:r>
          </w:p>
        </w:tc>
        <w:tc>
          <w:tcPr>
            <w:tcW w:w="1701" w:type="dxa"/>
            <w:vAlign w:val="center"/>
            <w:tcMar>
              <w:top w:w="100" w:type="dxa"/>
              <w:left w:w="100" w:type="dxa"/>
              <w:bottom w:w="100" w:type="dxa"/>
              <w:right w:w="100" w:type="dxa"/>
            </w:tcMar>
          </w:tcPr>
          <w:p w14:paraId="1AA12E04" w14:textId="77777777" w:rsidR="00DD00A7" w:rsidRDefault="00000000">
            <w:pPr>
              <w:spacing w:before="0" w:after="0" w:line="240" w:lineRule="auto"/>
              <w:jc w:val="center"/>
            </w:pPr>
            <w:r>
              <w:rPr>
                <w:rFonts w:ascii="Times New Roman" w:hAnsi="Times New Roman" w:eastAsia="宋体" w:cs="Times New Roman"/>
                <w:b w:val="0"/>
                <w:color w:val="000000"/>
                <w:sz w:val="21"/>
              </w:rPr>
              <w:t>全链上调用数据</w:t>
            </w:r>
          </w:p>
        </w:tc>
        <w:tc>
          <w:tcPr>
            <w:tcW w:w="2154" w:type="dxa"/>
            <w:vAlign w:val="center"/>
            <w:tcMar>
              <w:top w:w="100" w:type="dxa"/>
              <w:left w:w="100" w:type="dxa"/>
              <w:bottom w:w="100" w:type="dxa"/>
              <w:right w:w="100" w:type="dxa"/>
            </w:tcMar>
          </w:tcPr>
          <w:p w14:paraId="346F209A" w14:textId="77777777" w:rsidR="00DD00A7"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紧凑提交</w:t>
            </w:r>
            <w:r>
              <w:rPr>
                <w:rFonts w:ascii="Times New Roman" w:hAnsi="Times New Roman" w:eastAsia="宋体" w:cs="Times New Roman"/>
                <w:b w:val="0"/>
                <w:color w:val="000000"/>
                <w:sz w:val="21"/>
                <w:lang w:eastAsia="zh-CN"/>
              </w:rPr>
              <w:t xml:space="preserve"> + </w:t>
            </w:r>
            <w:r>
              <w:rPr>
                <w:rFonts w:ascii="Times New Roman" w:hAnsi="Times New Roman" w:eastAsia="宋体" w:cs="Times New Roman"/>
                <w:b w:val="0"/>
                <w:color w:val="000000"/>
                <w:sz w:val="21"/>
                <w:lang w:eastAsia="zh-CN"/>
              </w:rPr>
              <w:t>数据可用性路径</w:t>
            </w:r>
          </w:p>
        </w:tc>
        <w:tc>
          <w:tcPr>
            <w:tcW w:w="1814" w:type="dxa"/>
            <w:vAlign w:val="center"/>
            <w:tcMar>
              <w:top w:w="100" w:type="dxa"/>
              <w:left w:w="100" w:type="dxa"/>
              <w:bottom w:w="100" w:type="dxa"/>
              <w:right w:w="100" w:type="dxa"/>
            </w:tcMar>
          </w:tcPr>
          <w:p w14:paraId="264282EC" w14:textId="77777777" w:rsidR="00DD00A7"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成本边界受负载大小、批大小和数据可用性依赖共同影响</w:t>
            </w:r>
          </w:p>
        </w:tc>
      </w:tr>
    </w:tbl>
    <w:p w14:paraId="42D84A8B" w14:textId="77777777" w:rsidR="00DD00A7"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上述对比说明，本文机制的主要作用不是单一降低成本或提高检测率，而是将轻量提交、证据绑定与可恢复仲裁路径组合起来，使高频场景下的异常处理具有可推进性。</w:t>
      </w:r>
    </w:p>
    <w:p w14:paraId="0225B0CD"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8 </w:t>
      </w:r>
      <w:r>
        <w:rPr>
          <w:rFonts w:ascii="Times New Roman" w:hAnsi="Times New Roman" w:eastAsia="黑体" w:cs="Times New Roman"/>
          <w:b/>
          <w:color w:val="000000"/>
          <w:sz w:val="28"/>
          <w:lang w:eastAsia="zh-CN"/>
        </w:rPr>
        <w:t>讨论与局限性</w:t>
      </w:r>
    </w:p>
    <w:p w14:paraId="7AFC57C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本文结论应理解为机制层研究原型结论。下面先从执行环境、数据可用性、成本估算和链上实现四个方面集中说明证据边界，随后单列相关工作，以避免将实验边界与文献定位混写。</w:t>
      </w:r>
    </w:p>
    <w:p w14:paraId="5CFDAC28"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8.1 </w:t>
      </w:r>
      <w:r>
        <w:rPr>
          <w:rFonts w:ascii="Times New Roman" w:hAnsi="Times New Roman" w:eastAsia="黑体" w:cs="Times New Roman"/>
          <w:b/>
          <w:color w:val="000000"/>
          <w:sz w:val="24"/>
          <w:lang w:eastAsia="zh-CN"/>
        </w:rPr>
        <w:t>执行环境边界</w:t>
      </w:r>
    </w:p>
    <w:p w14:paraId="0AC26EC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当前系统使用模拟</w:t>
      </w:r>
      <w:r>
        <w:rPr>
          <w:rFonts w:ascii="Times New Roman" w:hAnsi="Times New Roman" w:eastAsia="宋体" w:cs="Times New Roman"/>
          <w:color w:val="000000"/>
          <w:sz w:val="24"/>
          <w:lang w:eastAsia="zh-CN"/>
        </w:rPr>
        <w:t xml:space="preserve"> TEE</w:t>
      </w:r>
      <w:r>
        <w:rPr>
          <w:rFonts w:ascii="Times New Roman" w:hAnsi="Times New Roman" w:eastAsia="宋体" w:cs="Times New Roman"/>
          <w:color w:val="000000"/>
          <w:sz w:val="24"/>
          <w:lang w:eastAsia="zh-CN"/>
        </w:rPr>
        <w:t>，远程证明仅建模输入与输出的绑定关系。不覆盖真实硬件侧信道攻击、远程证明格式兼容性、宿主输入输出操控和供应链信任。因此，本文实验验证的是机制接口能否跑通，而非硬件安全强度。</w:t>
      </w:r>
    </w:p>
    <w:p w14:paraId="601F64A9"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8.2 </w:t>
      </w:r>
      <w:r>
        <w:rPr>
          <w:rFonts w:ascii="Times New Roman" w:hAnsi="Times New Roman" w:eastAsia="黑体" w:cs="Times New Roman"/>
          <w:b/>
          <w:color w:val="000000"/>
          <w:sz w:val="24"/>
          <w:lang w:eastAsia="zh-CN"/>
        </w:rPr>
        <w:t>数据可用性边界</w:t>
      </w:r>
    </w:p>
    <w:p w14:paraId="2F6587FA"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当前使用可验证数据可用性注册表，实现了数据可用性根、负载哈希、字段级</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证明和可用性状态记录。未接入</w:t>
      </w:r>
      <w:r>
        <w:rPr>
          <w:rFonts w:ascii="Times New Roman" w:hAnsi="Times New Roman" w:eastAsia="宋体" w:cs="Times New Roman"/>
          <w:color w:val="000000"/>
          <w:sz w:val="24"/>
          <w:lang w:eastAsia="zh-CN"/>
        </w:rPr>
        <w:t xml:space="preserve"> Celestia</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 xml:space="preserve">EigenDA </w:t>
      </w:r>
      <w:r>
        <w:rPr>
          <w:rFonts w:ascii="Times New Roman" w:hAnsi="Times New Roman" w:eastAsia="宋体" w:cs="Times New Roman"/>
          <w:color w:val="000000"/>
          <w:sz w:val="24"/>
          <w:lang w:eastAsia="zh-CN"/>
        </w:rPr>
        <w:t>或其他真实数据可用性网络，因而不证明真实数据可用性经济安全或大规模采样下的可用性保证。</w:t>
      </w:r>
    </w:p>
    <w:p w14:paraId="2DA81669" w14:textId="77777777" w:rsidR="00DE373F" w:rsidRDefault="00000000">
      <w:pPr>
        <w:pStyle w:val="21"/>
        <w:keepNext/>
        <w:spacing w:line="360" w:lineRule="auto"/>
        <w:ind/>
        <w:jc w:val="left"/>
        <w:rPr>
          <w:lang w:eastAsia="zh-CN"/>
        </w:rPr>
      </w:pPr>
      <w:r>
        <w:rPr>
          <w:rFonts w:ascii="Times New Roman" w:hAnsi="Times New Roman" w:eastAsia="黑体" w:cs="Times New Roman"/>
          <w:b/>
          <w:color w:val="000000"/>
          <w:sz w:val="24"/>
          <w:lang w:eastAsia="zh-CN"/>
        </w:rPr>
        <w:t xml:space="preserve">8.3 </w:t>
      </w:r>
      <w:r>
        <w:rPr>
          <w:rFonts w:ascii="Times New Roman" w:hAnsi="Times New Roman" w:eastAsia="黑体" w:cs="Times New Roman"/>
          <w:b/>
          <w:color w:val="000000"/>
          <w:sz w:val="24"/>
          <w:lang w:eastAsia="zh-CN"/>
        </w:rPr>
        <w:t>成本模型边界</w:t>
      </w:r>
    </w:p>
    <w:p w14:paraId="2470751D"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当前成本模型为配置化估算。全链上调用数据、紧凑模块化数据可用性采样等路线下的 gas 估算来自预设参数而非主网交易回执或真实数据可用性网络定价。96.33% 等降幅比例是给定配置下的趋势结果，不模拟主网拥堵费率、blob 基础费率和交易调度延迟。</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949B181"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8.4 </w:t>
      </w:r>
      <w:r>
        <w:rPr>
          <w:rFonts w:ascii="Times New Roman" w:hAnsi="Times New Roman" w:eastAsia="黑体" w:cs="Times New Roman"/>
          <w:b/>
          <w:color w:val="000000"/>
          <w:sz w:val="24"/>
          <w:lang w:eastAsia="zh-CN"/>
        </w:rPr>
        <w:t>链上实现边界</w:t>
      </w:r>
    </w:p>
    <w:p w14:paraId="6B2B5EC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Hardhat 本地 EVM gas 基线说明 Solidity 原型的提交、挑战、恢复、重放和结算路径具有合约对应物。Sepolia 部署说明核心合约具有公开测试网可部署性。两者均不代表主网性能、审计就绪性或生产可用性。</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79DFEBFB" w14:textId="77777777" w:rsidR="000D6ED8"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当前原型尚未测量多并发挑战会话、恢复队列增长、重放队列延迟和调度竞争；并发恢复与重放调度仍属于后续工作。</w:t>
      </w:r>
    </w:p>
    <w:p w14:paraId="1E6CE769" w14:textId="77777777" w:rsidR="00E637A5" w:rsidRDefault="00000000">
      <w:pPr>
        <w:pStyle w:val="21"/>
        <w:keepNext/>
        <w:spacing w:line="360" w:lineRule="auto"/>
        <w:ind/>
        <w:jc w:val="left"/>
        <w:rPr>
          <w:lang w:eastAsia="zh-CN"/>
        </w:rPr>
      </w:pPr>
      <w:r>
        <w:rPr>
          <w:rFonts w:ascii="Times New Roman" w:hAnsi="Times New Roman" w:eastAsia="黑体" w:cs="Times New Roman"/>
          <w:b/>
          <w:color w:val="000000"/>
          <w:sz w:val="24"/>
          <w:lang w:eastAsia="zh-CN"/>
        </w:rPr>
        <w:t xml:space="preserve">8.5 </w:t>
      </w:r>
      <w:r>
        <w:rPr>
          <w:rFonts w:ascii="Times New Roman" w:hAnsi="Times New Roman" w:eastAsia="黑体" w:cs="Times New Roman"/>
          <w:b/>
          <w:color w:val="000000"/>
          <w:sz w:val="24"/>
          <w:lang w:eastAsia="zh-CN"/>
        </w:rPr>
        <w:t>相关工作</w:t>
      </w:r>
    </w:p>
    <w:p w14:paraId="52F657EC"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TEEROLLUP </w:t>
      </w:r>
      <w:r>
        <w:rPr>
          <w:rFonts w:ascii="Times New Roman" w:hAnsi="Times New Roman" w:eastAsia="宋体" w:cs="Times New Roman"/>
          <w:color w:val="000000"/>
          <w:sz w:val="24"/>
          <w:lang w:eastAsia="zh-CN"/>
        </w:rPr>
        <w:t>提出了利用异构</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降低汇总验证成本的系统设计。本文受其思路启发，但聚焦异常场景下的挑战恢复和紧凑提交的证据绑定。</w:t>
      </w:r>
    </w:p>
    <w:p w14:paraId="4F97DC1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opML 等工作研究如何通过乐观欺诈证明支持机器学习或大模型计算，通常包含二分定位、单步仲裁和链上虚拟机验证。本文借鉴交互式争议定位思想，但没有实现完整 FPVM 或真实 ML 执行证明，而是将二分重放用于 Hybrid TEE-Rollup 原型中的异常仲裁。</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FE332A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Dynamic Fraud Proof 关注如何缩短无争议场景下的最终性，并在发现争议时动态延迟结算。该方向强调挑战窗口和验证者参与机制的动态调整。本文不提出完整动态最终性协议，而是在更小范围内研究超时后挑战会话如何恢复推进。</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6ABFA3A"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LazyLedger、模块化 DA 以及轻客户端相关工作强调数据可用性与执行验证解耦。本文使用可验证 DA 注册表和配置化建模说明紧凑提交加数据可用性验证的成本趋势，但不证明真实 DA 经济安全或大规模采样可用性保证。</w:t>
      </w:r>
    </w:p>
    <w:p w14:paraId="5EAB3592" w14:textId="77777777" w:rsidR="00DE373F"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8 相关工作与本文工作的对照</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4750" w:type="pct"/>
        <w:tblLayout w:type="autofit"/>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3"/>
        <w:gridCol w:w="2342"/>
        <w:gridCol w:w="2347"/>
        <w:gridCol w:w="2790"/>
      </w:tblGrid>
      <w:tr w:rsidR="00DE373F" w14:paraId="2FE2DED5" w14:textId="77777777">
        <w:trPr>
          <w:trHeight w:val="369"/>
          <w:tblHeader w:val="true"/>
          <w:jc w:val="center"/>
          <w:cantSplit/>
        </w:trPr>
        <w:tc>
          <w:tcPr>
            <w:tcW w:w="1927" w:type="dxa"/>
            <w:shd w:val="clear" w:color="auto" w:fill="D9D9D9"/>
            <w:tcMar>
              <w:top w:w="100" w:type="dxa"/>
              <w:left w:w="100" w:type="dxa"/>
              <w:bottom w:w="100" w:type="dxa"/>
              <w:right w:w="100" w:type="dxa"/>
            </w:tcMar>
            <w:vAlign w:val="center"/>
          </w:tcPr>
          <w:p w14:paraId="69330C36" w14:textId="77777777" w:rsidR="00DE373F" w:rsidRDefault="00000000">
            <w:pPr>
              <w:spacing w:before="0" w:after="0" w:line="240" w:lineRule="auto"/>
              <w:jc w:val="center"/>
            </w:pPr>
            <w:r>
              <w:rPr>
                <w:rFonts w:ascii="Times New Roman" w:hAnsi="Times New Roman" w:eastAsia="宋体" w:cs="Times New Roman"/>
                <w:b/>
                <w:color w:val="000000"/>
                <w:sz w:val="21"/>
              </w:rPr>
              <w:t>方向</w:t>
            </w:r>
            <w:r>
              <w:rPr>
                <w:rFonts w:ascii="Times New Roman" w:hAnsi="Times New Roman" w:eastAsia="宋体" w:cs="Times New Roman"/>
                <w:b/>
                <w:color w:val="000000"/>
                <w:sz w:val="21"/>
              </w:rPr>
              <w:t xml:space="preserve"> / </w:t>
            </w:r>
            <w:r>
              <w:rPr>
                <w:rFonts w:ascii="Times New Roman" w:hAnsi="Times New Roman" w:eastAsia="宋体" w:cs="Times New Roman"/>
                <w:b/>
                <w:color w:val="000000"/>
                <w:sz w:val="21"/>
              </w:rPr>
              <w:t>工作</w:t>
            </w:r>
          </w:p>
        </w:tc>
        <w:tc>
          <w:tcPr>
            <w:tcW w:w="2324" w:type="dxa"/>
            <w:shd w:val="clear" w:color="auto" w:fill="D9D9D9"/>
            <w:tcMar>
              <w:top w:w="100" w:type="dxa"/>
              <w:left w:w="100" w:type="dxa"/>
              <w:bottom w:w="100" w:type="dxa"/>
              <w:right w:w="100" w:type="dxa"/>
            </w:tcMar>
            <w:vAlign w:val="center"/>
          </w:tcPr>
          <w:p w14:paraId="66685C37" w14:textId="77777777" w:rsidR="00DE373F" w:rsidRDefault="00000000">
            <w:pPr>
              <w:spacing w:before="0" w:after="0" w:line="240" w:lineRule="auto"/>
              <w:jc w:val="center"/>
            </w:pPr>
            <w:r>
              <w:rPr>
                <w:rFonts w:ascii="Times New Roman" w:hAnsi="Times New Roman" w:eastAsia="宋体" w:cs="Times New Roman"/>
                <w:b/>
                <w:color w:val="000000"/>
                <w:sz w:val="21"/>
              </w:rPr>
              <w:t>核心关注</w:t>
            </w:r>
          </w:p>
        </w:tc>
        <w:tc>
          <w:tcPr>
            <w:tcW w:w="2608" w:type="dxa"/>
            <w:shd w:val="clear" w:color="auto" w:fill="D9D9D9"/>
            <w:tcMar>
              <w:top w:w="100" w:type="dxa"/>
              <w:left w:w="100" w:type="dxa"/>
              <w:bottom w:w="100" w:type="dxa"/>
              <w:right w:w="100" w:type="dxa"/>
            </w:tcMar>
            <w:vAlign w:val="center"/>
          </w:tcPr>
          <w:p w14:paraId="4CA699B3" w14:textId="77777777" w:rsidR="00DE373F" w:rsidRDefault="00000000">
            <w:pPr>
              <w:spacing w:before="0" w:after="0" w:line="240" w:lineRule="auto"/>
              <w:jc w:val="center"/>
            </w:pPr>
            <w:r>
              <w:rPr>
                <w:rFonts w:ascii="Times New Roman" w:hAnsi="Times New Roman" w:eastAsia="宋体" w:cs="Times New Roman"/>
                <w:b/>
                <w:color w:val="000000"/>
                <w:sz w:val="21"/>
              </w:rPr>
              <w:t>与本文关系</w:t>
            </w:r>
          </w:p>
        </w:tc>
        <w:tc>
          <w:tcPr>
            <w:tcW w:w="2324" w:type="dxa"/>
            <w:shd w:val="clear" w:color="auto" w:fill="D9D9D9"/>
            <w:tcMar>
              <w:top w:w="100" w:type="dxa"/>
              <w:left w:w="100" w:type="dxa"/>
              <w:bottom w:w="100" w:type="dxa"/>
              <w:right w:w="100" w:type="dxa"/>
            </w:tcMar>
            <w:vAlign w:val="center"/>
          </w:tcPr>
          <w:p w14:paraId="2E633B33" w14:textId="77777777" w:rsidR="00DE373F" w:rsidRDefault="00000000">
            <w:pPr>
              <w:spacing w:before="0" w:after="0" w:line="240" w:lineRule="auto"/>
              <w:jc w:val="center"/>
              <w:rPr>
                <w:lang w:eastAsia="zh-CN"/>
              </w:rPr>
            </w:pPr>
            <w:r>
              <w:rPr>
                <w:rFonts w:ascii="Times New Roman" w:hAnsi="Times New Roman" w:eastAsia="宋体" w:cs="Times New Roman"/>
                <w:b/>
                <w:color w:val="000000"/>
                <w:sz w:val="21"/>
                <w:lang w:eastAsia="zh-CN"/>
              </w:rPr>
              <w:t>本文不声称覆盖的部分</w:t>
            </w:r>
          </w:p>
        </w:tc>
      </w:tr>
      <w:tr w:rsidR="00DE373F" w14:paraId="2F28092E" w14:textId="77777777">
        <w:trPr>
          <w:trHeight w:val="369"/>
          <w:jc w:val="center"/>
          <w:cantSplit/>
        </w:trPr>
        <w:tc>
          <w:tcPr>
            <w:tcW w:w="1927" w:type="dxa"/>
            <w:tcMar>
              <w:top w:w="100" w:type="dxa"/>
              <w:left w:w="100" w:type="dxa"/>
              <w:bottom w:w="100" w:type="dxa"/>
              <w:right w:w="100" w:type="dxa"/>
            </w:tcMar>
            <w:vAlign w:val="center"/>
          </w:tcPr>
          <w:p w14:paraId="2D8B59E9" w14:textId="77777777" w:rsidR="00DE373F" w:rsidRDefault="00000000">
            <w:pPr>
              <w:spacing w:before="0" w:after="0" w:line="240" w:lineRule="auto"/>
              <w:jc w:val="center"/>
            </w:pPr>
            <w:r>
              <w:rPr>
                <w:rFonts w:ascii="Times New Roman" w:hAnsi="Times New Roman" w:eastAsia="宋体" w:cs="Times New Roman"/>
                <w:b w:val="0"/>
                <w:color w:val="000000"/>
                <w:sz w:val="21"/>
              </w:rPr>
              <w:t>TEEROLLUP / Hybrid TEE-Rollup</w:t>
            </w:r>
          </w:p>
        </w:tc>
        <w:tc>
          <w:tcPr>
            <w:tcW w:w="2324" w:type="dxa"/>
            <w:tcMar>
              <w:top w:w="100" w:type="dxa"/>
              <w:left w:w="100" w:type="dxa"/>
              <w:bottom w:w="100" w:type="dxa"/>
              <w:right w:w="100" w:type="dxa"/>
            </w:tcMar>
            <w:vAlign w:val="center"/>
          </w:tcPr>
          <w:p w14:paraId="560512E4" w14:textId="77777777" w:rsidR="00DE373F" w:rsidRDefault="00000000">
            <w:pPr>
              <w:spacing w:before="0" w:after="0" w:line="240" w:lineRule="auto"/>
              <w:jc w:val="center"/>
            </w:pPr>
            <w:r>
              <w:rPr>
                <w:rFonts w:ascii="Times New Roman" w:hAnsi="Times New Roman" w:eastAsia="宋体" w:cs="Times New Roman"/>
                <w:b w:val="0"/>
                <w:color w:val="000000"/>
                <w:sz w:val="21"/>
              </w:rPr>
              <w:t>利用异构 TEE 降低 Rollup 验证成本，并保留挑战和 DA 惩罚机制</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c>
          <w:tcPr>
            <w:tcW w:w="2608" w:type="dxa"/>
            <w:tcMar>
              <w:top w:w="100" w:type="dxa"/>
              <w:left w:w="100" w:type="dxa"/>
              <w:bottom w:w="100" w:type="dxa"/>
              <w:right w:w="100" w:type="dxa"/>
            </w:tcMar>
            <w:vAlign w:val="center"/>
          </w:tcPr>
          <w:p>
            <w:pPr>
              <w:spacing w:before="0" w:after="0"/>
              <w:jc w:val="center"/>
            </w:pPr>
            <w:r>
              <w:t>本文沿用 Hybrid TEE-Rollup 的研究方向，聚焦可恢复挑战路径与携带证据的紧凑提交</w:t>
            </w:r>
          </w:p>
        </w:tc>
        <w:tc>
          <w:tcPr>
            <w:tcW w:w="2324" w:type="dxa"/>
            <w:tcMar>
              <w:top w:w="100" w:type="dxa"/>
              <w:left w:w="100" w:type="dxa"/>
              <w:bottom w:w="100" w:type="dxa"/>
              <w:right w:w="100" w:type="dxa"/>
            </w:tcMar>
            <w:vAlign w:val="center"/>
          </w:tcPr>
          <w:p>
            <w:pPr>
              <w:spacing w:before="0" w:after="0"/>
              <w:jc w:val="center"/>
            </w:pPr>
            <w:r>
              <w:t>不实现完整 TEE 委员会、生产级提现流程或完整经济安全</w:t>
            </w:r>
          </w:p>
        </w:tc>
      </w:tr>
      <w:tr w:rsidR="00DE373F" w14:paraId="54ED6D33" w14:textId="77777777">
        <w:trPr>
          <w:trHeight w:val="369"/>
          <w:jc w:val="center"/>
          <w:cantSplit/>
        </w:trPr>
        <w:tc>
          <w:tcPr>
            <w:tcW w:w="1927" w:type="dxa"/>
            <w:tcMar>
              <w:top w:w="100" w:type="dxa"/>
              <w:left w:w="100" w:type="dxa"/>
              <w:bottom w:w="100" w:type="dxa"/>
              <w:right w:w="100" w:type="dxa"/>
            </w:tcMar>
            <w:vAlign w:val="center"/>
          </w:tcPr>
          <w:p w14:paraId="2DF4F876"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乐观</w:t>
            </w:r>
            <w:r>
              <w:rPr>
                <w:rFonts w:ascii="Times New Roman" w:hAnsi="Times New Roman" w:eastAsia="宋体" w:cs="Times New Roman"/>
                <w:b w:val="0"/>
                <w:color w:val="000000"/>
                <w:sz w:val="21"/>
                <w:lang w:eastAsia="zh-CN"/>
              </w:rPr>
              <w:t xml:space="preserve"> TEE </w:t>
            </w:r>
            <w:r>
              <w:rPr>
                <w:rFonts w:ascii="Times New Roman" w:hAnsi="Times New Roman" w:eastAsia="宋体" w:cs="Times New Roman"/>
                <w:b w:val="0"/>
                <w:color w:val="000000"/>
                <w:sz w:val="21"/>
                <w:lang w:eastAsia="zh-CN"/>
              </w:rPr>
              <w:t>汇总</w:t>
            </w:r>
            <w:r>
              <w:rPr>
                <w:rFonts w:ascii="Times New Roman" w:hAnsi="Times New Roman" w:eastAsia="宋体" w:cs="Times New Roman"/>
                <w:b w:val="0"/>
                <w:color w:val="000000"/>
                <w:sz w:val="21"/>
                <w:lang w:eastAsia="zh-CN"/>
              </w:rPr>
              <w:t xml:space="preserve"> / OTR</w:t>
            </w:r>
          </w:p>
        </w:tc>
        <w:tc>
          <w:tcPr>
            <w:tcW w:w="2324" w:type="dxa"/>
            <w:tcMar>
              <w:top w:w="100" w:type="dxa"/>
              <w:left w:w="100" w:type="dxa"/>
              <w:bottom w:w="100" w:type="dxa"/>
              <w:right w:w="100" w:type="dxa"/>
            </w:tcMar>
            <w:vAlign w:val="center"/>
          </w:tcPr>
          <w:p w14:paraId="29EC9D09"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将 TEE 快速执行与乐观验证结合</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608" w:type="dxa"/>
            <w:tcMar>
              <w:top w:w="100" w:type="dxa"/>
              <w:left w:w="100" w:type="dxa"/>
              <w:bottom w:w="100" w:type="dxa"/>
              <w:right w:w="100" w:type="dxa"/>
            </w:tcMar>
            <w:vAlign w:val="center"/>
          </w:tcPr>
          <w:p w14:paraId="755137C3"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本文同样采用</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正常路径低成本、异常路径挑战</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的思想</w:t>
            </w:r>
          </w:p>
        </w:tc>
        <w:tc>
          <w:tcPr>
            <w:tcW w:w="2324" w:type="dxa"/>
            <w:tcMar>
              <w:top w:w="100" w:type="dxa"/>
              <w:left w:w="100" w:type="dxa"/>
              <w:bottom w:w="100" w:type="dxa"/>
              <w:right w:w="100" w:type="dxa"/>
            </w:tcMar>
            <w:vAlign w:val="center"/>
          </w:tcPr>
          <w:p>
            <w:pPr>
              <w:spacing w:before="0" w:after="0"/>
              <w:jc w:val="center"/>
            </w:pPr>
            <w:r>
              <w:t>不证明真实 TEE 远程证明机制安全或链上生成式 AI 生产服务可用性</w:t>
            </w:r>
          </w:p>
        </w:tc>
      </w:tr>
      <w:tr w:rsidR="00DE373F" w14:paraId="1399922A" w14:textId="77777777">
        <w:trPr>
          <w:trHeight w:val="369"/>
          <w:jc w:val="center"/>
          <w:cantSplit/>
        </w:trPr>
        <w:tc>
          <w:tcPr>
            <w:tcW w:w="1927" w:type="dxa"/>
            <w:tcMar>
              <w:top w:w="100" w:type="dxa"/>
              <w:left w:w="100" w:type="dxa"/>
              <w:bottom w:w="100" w:type="dxa"/>
              <w:right w:w="100" w:type="dxa"/>
            </w:tcMar>
            <w:vAlign w:val="center"/>
          </w:tcPr>
          <w:p w14:paraId="33831C63" w14:textId="77777777" w:rsidR="00DE373F" w:rsidRDefault="00000000">
            <w:pPr>
              <w:spacing w:before="0" w:after="0" w:line="240" w:lineRule="auto"/>
              <w:jc w:val="center"/>
            </w:pPr>
            <w:r>
              <w:rPr>
                <w:rFonts w:ascii="Times New Roman" w:hAnsi="Times New Roman" w:eastAsia="宋体" w:cs="Times New Roman"/>
                <w:b w:val="0"/>
                <w:color w:val="000000"/>
                <w:sz w:val="21"/>
              </w:rPr>
              <w:t xml:space="preserve">opML / optimistic ML </w:t>
            </w:r>
            <w:r>
              <w:rPr>
                <w:rFonts w:ascii="Times New Roman" w:hAnsi="Times New Roman" w:eastAsia="宋体" w:cs="Times New Roman"/>
                <w:b w:val="0"/>
                <w:color w:val="000000"/>
                <w:sz w:val="21"/>
              </w:rPr>
              <w:t>欺诈证明</w:t>
            </w:r>
          </w:p>
        </w:tc>
        <w:tc>
          <w:tcPr>
            <w:tcW w:w="2324" w:type="dxa"/>
            <w:tcMar>
              <w:top w:w="100" w:type="dxa"/>
              <w:left w:w="100" w:type="dxa"/>
              <w:bottom w:w="100" w:type="dxa"/>
              <w:right w:w="100" w:type="dxa"/>
            </w:tcMar>
            <w:vAlign w:val="center"/>
          </w:tcPr>
          <w:p w14:paraId="47E4DA28"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通过二分定位和单步证明验证</w:t>
            </w:r>
            <w:r>
              <w:rPr>
                <w:rFonts w:ascii="Times New Roman" w:hAnsi="Times New Roman" w:eastAsia="宋体" w:cs="Times New Roman"/>
                <w:b w:val="0"/>
                <w:color w:val="000000"/>
                <w:sz w:val="21"/>
                <w:lang w:eastAsia="zh-CN"/>
              </w:rPr>
              <w:t xml:space="preserve"> ML </w:t>
            </w:r>
            <w:r>
              <w:rPr>
                <w:rFonts w:ascii="Times New Roman" w:hAnsi="Times New Roman" w:eastAsia="宋体" w:cs="Times New Roman"/>
                <w:b w:val="0"/>
                <w:color w:val="000000"/>
                <w:sz w:val="21"/>
                <w:lang w:eastAsia="zh-CN"/>
              </w:rPr>
              <w:t>或复杂计算</w:t>
            </w:r>
          </w:p>
        </w:tc>
        <w:tc>
          <w:tcPr>
            <w:tcW w:w="2608" w:type="dxa"/>
            <w:tcMar>
              <w:top w:w="100" w:type="dxa"/>
              <w:left w:w="100" w:type="dxa"/>
              <w:bottom w:w="100" w:type="dxa"/>
              <w:right w:w="100" w:type="dxa"/>
            </w:tcMar>
            <w:vAlign w:val="center"/>
          </w:tcPr>
          <w:p w14:paraId="3192025B"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本文借鉴二分重放的争议定位结构</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100" w:type="dxa"/>
              <w:left w:w="100" w:type="dxa"/>
              <w:bottom w:w="100" w:type="dxa"/>
              <w:right w:w="100" w:type="dxa"/>
            </w:tcMar>
            <w:vAlign w:val="center"/>
          </w:tcPr>
          <w:p w14:paraId="49711E05"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不实现完整</w:t>
            </w:r>
            <w:r>
              <w:rPr>
                <w:rFonts w:ascii="Times New Roman" w:hAnsi="Times New Roman" w:eastAsia="宋体" w:cs="Times New Roman"/>
                <w:b w:val="0"/>
                <w:color w:val="000000"/>
                <w:sz w:val="21"/>
                <w:lang w:eastAsia="zh-CN"/>
              </w:rPr>
              <w:t xml:space="preserve"> FPVM</w:t>
            </w:r>
            <w:r>
              <w:rPr>
                <w:rFonts w:ascii="Times New Roman" w:hAnsi="Times New Roman" w:eastAsia="宋体" w:cs="Times New Roman"/>
                <w:b w:val="0"/>
                <w:color w:val="000000"/>
                <w:sz w:val="21"/>
                <w:lang w:eastAsia="zh-CN"/>
              </w:rPr>
              <w:t>、真实模型推理单步证明或链上</w:t>
            </w:r>
            <w:r>
              <w:rPr>
                <w:rFonts w:ascii="Times New Roman" w:hAnsi="Times New Roman" w:eastAsia="宋体" w:cs="Times New Roman"/>
                <w:b w:val="0"/>
                <w:color w:val="000000"/>
                <w:sz w:val="21"/>
                <w:lang w:eastAsia="zh-CN"/>
              </w:rPr>
              <w:t xml:space="preserve"> ML </w:t>
            </w:r>
            <w:r>
              <w:rPr>
                <w:rFonts w:ascii="Times New Roman" w:hAnsi="Times New Roman" w:eastAsia="宋体" w:cs="Times New Roman"/>
                <w:b w:val="0"/>
                <w:color w:val="000000"/>
                <w:sz w:val="21"/>
                <w:lang w:eastAsia="zh-CN"/>
              </w:rPr>
              <w:t>执行环境</w:t>
            </w:r>
          </w:p>
        </w:tc>
      </w:tr>
      <w:tr w:rsidR="00DE373F" w14:paraId="0313F14D" w14:textId="77777777">
        <w:trPr>
          <w:trHeight w:val="369"/>
          <w:jc w:val="center"/>
          <w:cantSplit/>
        </w:trPr>
        <w:tc>
          <w:tcPr>
            <w:tcW w:w="1927" w:type="dxa"/>
            <w:tcMar>
              <w:top w:w="100" w:type="dxa"/>
              <w:left w:w="100" w:type="dxa"/>
              <w:bottom w:w="100" w:type="dxa"/>
              <w:right w:w="100" w:type="dxa"/>
            </w:tcMar>
            <w:vAlign w:val="center"/>
          </w:tcPr>
          <w:p w14:paraId="058921C3" w14:textId="77777777" w:rsidR="00DE373F" w:rsidRDefault="00000000">
            <w:pPr>
              <w:spacing w:before="0" w:after="0" w:line="240" w:lineRule="auto"/>
              <w:jc w:val="center"/>
            </w:pPr>
            <w:r>
              <w:rPr>
                <w:rFonts w:ascii="Times New Roman" w:hAnsi="Times New Roman" w:eastAsia="宋体" w:cs="Times New Roman"/>
                <w:b w:val="0"/>
                <w:color w:val="000000"/>
                <w:sz w:val="21"/>
              </w:rPr>
              <w:t xml:space="preserve">Dynamic </w:t>
            </w:r>
            <w:r>
              <w:rPr>
                <w:rFonts w:ascii="Times New Roman" w:hAnsi="Times New Roman" w:eastAsia="宋体" w:cs="Times New Roman"/>
                <w:b w:val="0"/>
                <w:color w:val="000000"/>
                <w:sz w:val="21"/>
              </w:rPr>
              <w:t>欺诈证明</w:t>
            </w:r>
          </w:p>
        </w:tc>
        <w:tc>
          <w:tcPr>
            <w:tcW w:w="2324" w:type="dxa"/>
            <w:tcMar>
              <w:top w:w="100" w:type="dxa"/>
              <w:left w:w="100" w:type="dxa"/>
              <w:bottom w:w="100" w:type="dxa"/>
              <w:right w:w="100" w:type="dxa"/>
            </w:tcMar>
            <w:vAlign w:val="center"/>
          </w:tcPr>
          <w:p w14:paraId="78E0FAC5"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动态调整争议窗口和最终性，以缩短无争议路径延迟</w:t>
            </w:r>
          </w:p>
        </w:tc>
        <w:tc>
          <w:tcPr>
            <w:tcW w:w="2608" w:type="dxa"/>
            <w:tcMar>
              <w:top w:w="100" w:type="dxa"/>
              <w:left w:w="100" w:type="dxa"/>
              <w:bottom w:w="100" w:type="dxa"/>
              <w:right w:w="100" w:type="dxa"/>
            </w:tcMar>
            <w:vAlign w:val="center"/>
          </w:tcPr>
          <w:p w14:paraId="6A015BF6"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本文关注超时后会话恢复，是更窄的挑战活性问题</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100" w:type="dxa"/>
              <w:left w:w="100" w:type="dxa"/>
              <w:bottom w:w="100" w:type="dxa"/>
              <w:right w:w="100" w:type="dxa"/>
            </w:tcMar>
            <w:vAlign w:val="center"/>
          </w:tcPr>
          <w:p w14:paraId="5131EB12"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不提出完整动态最终性协议</w:t>
            </w:r>
          </w:p>
        </w:tc>
      </w:tr>
      <w:tr w:rsidR="00DE373F" w14:paraId="0A9B7B98" w14:textId="77777777">
        <w:trPr>
          <w:trHeight w:val="369"/>
          <w:jc w:val="center"/>
          <w:cantSplit/>
        </w:trPr>
        <w:tc>
          <w:tcPr>
            <w:tcW w:w="1927" w:type="dxa"/>
            <w:tcMar>
              <w:top w:w="100" w:type="dxa"/>
              <w:left w:w="100" w:type="dxa"/>
              <w:bottom w:w="100" w:type="dxa"/>
              <w:right w:w="100" w:type="dxa"/>
            </w:tcMar>
            <w:vAlign w:val="center"/>
          </w:tcPr>
          <w:p w14:paraId="2F1CCFB2" w14:textId="77777777" w:rsidR="00DE373F" w:rsidRDefault="00000000">
            <w:pPr>
              <w:spacing w:before="0" w:after="0" w:line="240" w:lineRule="auto"/>
              <w:jc w:val="center"/>
            </w:pPr>
            <w:r>
              <w:rPr>
                <w:rFonts w:ascii="Times New Roman" w:hAnsi="Times New Roman" w:eastAsia="宋体" w:cs="Times New Roman"/>
                <w:b w:val="0"/>
                <w:color w:val="000000"/>
                <w:sz w:val="21"/>
              </w:rPr>
              <w:t xml:space="preserve">LazyLedger / </w:t>
            </w:r>
            <w:r>
              <w:rPr>
                <w:rFonts w:ascii="Times New Roman" w:hAnsi="Times New Roman" w:eastAsia="宋体" w:cs="Times New Roman"/>
                <w:b w:val="0"/>
                <w:color w:val="000000"/>
                <w:sz w:val="21"/>
              </w:rPr>
              <w:t>模块化</w:t>
            </w:r>
            <w:r>
              <w:rPr>
                <w:rFonts w:ascii="Times New Roman" w:hAnsi="Times New Roman" w:eastAsia="宋体" w:cs="Times New Roman"/>
                <w:b w:val="0"/>
                <w:color w:val="000000"/>
                <w:sz w:val="21"/>
              </w:rPr>
              <w:t xml:space="preserve"> DA</w:t>
            </w:r>
          </w:p>
        </w:tc>
        <w:tc>
          <w:tcPr>
            <w:tcW w:w="2324" w:type="dxa"/>
            <w:tcMar>
              <w:top w:w="100" w:type="dxa"/>
              <w:left w:w="100" w:type="dxa"/>
              <w:bottom w:w="100" w:type="dxa"/>
              <w:right w:w="100" w:type="dxa"/>
            </w:tcMar>
            <w:vAlign w:val="center"/>
          </w:tcPr>
          <w:p w14:paraId="7F58A665"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将</w:t>
            </w:r>
            <w:r>
              <w:rPr>
                <w:rFonts w:ascii="Times New Roman" w:hAnsi="Times New Roman" w:eastAsia="宋体" w:cs="Times New Roman"/>
                <w:b w:val="0"/>
                <w:color w:val="000000"/>
                <w:sz w:val="21"/>
                <w:lang w:eastAsia="zh-CN"/>
              </w:rPr>
              <w:t xml:space="preserve"> DA </w:t>
            </w:r>
            <w:r>
              <w:rPr>
                <w:rFonts w:ascii="Times New Roman" w:hAnsi="Times New Roman" w:eastAsia="宋体" w:cs="Times New Roman"/>
                <w:b w:val="0"/>
                <w:color w:val="000000"/>
                <w:sz w:val="21"/>
                <w:lang w:eastAsia="zh-CN"/>
              </w:rPr>
              <w:t>与执行验证解耦，支持数据可用性抽样</w:t>
            </w:r>
          </w:p>
        </w:tc>
        <w:tc>
          <w:tcPr>
            <w:tcW w:w="2608" w:type="dxa"/>
            <w:tcMar>
              <w:top w:w="100" w:type="dxa"/>
              <w:left w:w="100" w:type="dxa"/>
              <w:bottom w:w="100" w:type="dxa"/>
              <w:right w:w="100" w:type="dxa"/>
            </w:tcMar>
            <w:vAlign w:val="center"/>
          </w:tcPr>
          <w:p>
            <w:pPr>
              <w:spacing w:before="0" w:after="0"/>
              <w:jc w:val="center"/>
            </w:pPr>
            <w:r>
              <w:t>本文用可验证 DA 与数据可用性配置说明紧凑提交需要绑定 DA 证据</w:t>
            </w:r>
          </w:p>
        </w:tc>
        <w:tc>
          <w:tcPr>
            <w:tcW w:w="2324" w:type="dxa"/>
            <w:tcMar>
              <w:top w:w="100" w:type="dxa"/>
              <w:left w:w="100" w:type="dxa"/>
              <w:bottom w:w="100" w:type="dxa"/>
              <w:right w:w="100" w:type="dxa"/>
            </w:tcMar>
            <w:vAlign w:val="center"/>
          </w:tcPr>
          <w:p>
            <w:pPr>
              <w:spacing w:before="0" w:after="0"/>
              <w:jc w:val="center"/>
            </w:pPr>
            <w:r>
              <w:t>不接入真实 DA 网络，也不证明 DAS 经济安全</w:t>
            </w:r>
          </w:p>
        </w:tc>
      </w:tr>
      <w:tr w:rsidR="00DE373F" w14:paraId="40E3EE8C" w14:textId="77777777">
        <w:trPr>
          <w:trHeight w:val="369"/>
          <w:jc w:val="center"/>
          <w:cantSplit/>
        </w:trPr>
        <w:tc>
          <w:tcPr>
            <w:tcW w:w="1927" w:type="dxa"/>
            <w:tcMar>
              <w:top w:w="100" w:type="dxa"/>
              <w:left w:w="100" w:type="dxa"/>
              <w:bottom w:w="100" w:type="dxa"/>
              <w:right w:w="100" w:type="dxa"/>
            </w:tcMar>
            <w:vAlign w:val="center"/>
          </w:tcPr>
          <w:p w14:paraId="09E1231B" w14:textId="77777777" w:rsidR="00DE373F" w:rsidRDefault="00000000">
            <w:pPr>
              <w:spacing w:before="0" w:after="0" w:line="240" w:lineRule="auto"/>
              <w:jc w:val="center"/>
            </w:pPr>
            <w:r>
              <w:rPr>
                <w:rFonts w:ascii="Times New Roman" w:hAnsi="Times New Roman" w:eastAsia="宋体" w:cs="Times New Roman"/>
                <w:b w:val="0"/>
                <w:color w:val="000000"/>
                <w:sz w:val="21"/>
              </w:rPr>
              <w:t>轻客户端</w:t>
            </w:r>
            <w:r>
              <w:rPr>
                <w:rFonts w:ascii="Times New Roman" w:hAnsi="Times New Roman" w:eastAsia="宋体" w:cs="Times New Roman"/>
                <w:b w:val="0"/>
                <w:color w:val="000000"/>
                <w:sz w:val="21"/>
              </w:rPr>
              <w:t xml:space="preserve"> for Lazy Blockchains</w:t>
            </w:r>
          </w:p>
        </w:tc>
        <w:tc>
          <w:tcPr>
            <w:tcW w:w="2324" w:type="dxa"/>
            <w:tcMar>
              <w:top w:w="100" w:type="dxa"/>
              <w:left w:w="100" w:type="dxa"/>
              <w:bottom w:w="100" w:type="dxa"/>
              <w:right w:w="100" w:type="dxa"/>
            </w:tcMar>
            <w:vAlign w:val="center"/>
          </w:tcPr>
          <w:p w14:paraId="1D0C6EB8"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面向轻客户端的数据可用性抽样与验证</w:t>
            </w:r>
          </w:p>
        </w:tc>
        <w:tc>
          <w:tcPr>
            <w:tcW w:w="2608" w:type="dxa"/>
            <w:tcMar>
              <w:top w:w="100" w:type="dxa"/>
              <w:left w:w="100" w:type="dxa"/>
              <w:bottom w:w="100" w:type="dxa"/>
              <w:right w:w="100" w:type="dxa"/>
            </w:tcMar>
            <w:vAlign w:val="center"/>
          </w:tcPr>
          <w:p w14:paraId="01004D42"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本文借鉴</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轻量验证者需要可检查数据承诺</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的思想</w:t>
            </w:r>
          </w:p>
        </w:tc>
        <w:tc>
          <w:tcPr>
            <w:tcW w:w="2324" w:type="dxa"/>
            <w:tcMar>
              <w:top w:w="100" w:type="dxa"/>
              <w:left w:w="100" w:type="dxa"/>
              <w:bottom w:w="100" w:type="dxa"/>
              <w:right w:w="100" w:type="dxa"/>
            </w:tcMar>
            <w:vAlign w:val="center"/>
          </w:tcPr>
          <w:p w14:paraId="03A08A3D"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不实现真实轻客户端协议</w:t>
            </w:r>
          </w:p>
        </w:tc>
      </w:tr>
      <w:tr w:rsidR="00DE373F" w14:paraId="65EA7DCB" w14:textId="77777777">
        <w:trPr>
          <w:trHeight w:val="369"/>
          <w:jc w:val="center"/>
          <w:cantSplit/>
        </w:trPr>
        <w:tc>
          <w:tcPr>
            <w:tcW w:w="1927" w:type="dxa"/>
            <w:tcMar>
              <w:top w:w="100" w:type="dxa"/>
              <w:left w:w="100" w:type="dxa"/>
              <w:bottom w:w="100" w:type="dxa"/>
              <w:right w:w="100" w:type="dxa"/>
            </w:tcMar>
            <w:vAlign w:val="center"/>
          </w:tcPr>
          <w:p w14:paraId="03435287" w14:textId="77777777" w:rsidR="00DE373F" w:rsidRDefault="00000000">
            <w:pPr>
              <w:spacing w:before="0" w:after="0" w:line="240" w:lineRule="auto"/>
              <w:jc w:val="center"/>
            </w:pPr>
            <w:r>
              <w:rPr>
                <w:rFonts w:ascii="Times New Roman" w:hAnsi="Times New Roman" w:eastAsia="宋体" w:cs="Times New Roman"/>
                <w:b w:val="0"/>
                <w:color w:val="000000"/>
                <w:sz w:val="21"/>
              </w:rPr>
              <w:t xml:space="preserve">EIP-4844 / blob </w:t>
            </w:r>
            <w:r>
              <w:rPr>
                <w:rFonts w:ascii="Times New Roman" w:hAnsi="Times New Roman" w:eastAsia="宋体" w:cs="Times New Roman"/>
                <w:b w:val="0"/>
                <w:color w:val="000000"/>
                <w:sz w:val="21"/>
              </w:rPr>
              <w:t>数据</w:t>
            </w:r>
          </w:p>
        </w:tc>
        <w:tc>
          <w:tcPr>
            <w:tcW w:w="2324" w:type="dxa"/>
            <w:tcMar>
              <w:top w:w="100" w:type="dxa"/>
              <w:left w:w="100" w:type="dxa"/>
              <w:bottom w:w="100" w:type="dxa"/>
              <w:right w:w="100" w:type="dxa"/>
            </w:tcMar>
            <w:vAlign w:val="center"/>
          </w:tcPr>
          <w:p w14:paraId="48C1BB37" w14:textId="77777777" w:rsidR="00DE373F" w:rsidRDefault="00000000">
            <w:pPr>
              <w:spacing w:before="0" w:after="0" w:line="240" w:lineRule="auto"/>
              <w:jc w:val="center"/>
            </w:pPr>
            <w:r>
              <w:rPr>
                <w:rFonts w:ascii="Times New Roman" w:hAnsi="Times New Roman" w:eastAsia="宋体" w:cs="Times New Roman"/>
                <w:b w:val="0"/>
                <w:color w:val="000000"/>
                <w:sz w:val="21"/>
              </w:rPr>
              <w:t>降低</w:t>
            </w:r>
            <w:r>
              <w:rPr>
                <w:rFonts w:ascii="Times New Roman" w:hAnsi="Times New Roman" w:eastAsia="宋体" w:cs="Times New Roman"/>
                <w:b w:val="0"/>
                <w:color w:val="000000"/>
                <w:sz w:val="21"/>
              </w:rPr>
              <w:t xml:space="preserve"> Rollup </w:t>
            </w:r>
            <w:r>
              <w:rPr>
                <w:rFonts w:ascii="Times New Roman" w:hAnsi="Times New Roman" w:eastAsia="宋体" w:cs="Times New Roman"/>
                <w:b w:val="0"/>
                <w:color w:val="000000"/>
                <w:sz w:val="21"/>
              </w:rPr>
              <w:t>数据发布成本，提供</w:t>
            </w:r>
            <w:r>
              <w:rPr>
                <w:rFonts w:ascii="Times New Roman" w:hAnsi="Times New Roman" w:eastAsia="宋体" w:cs="Times New Roman"/>
                <w:b w:val="0"/>
                <w:color w:val="000000"/>
                <w:sz w:val="21"/>
              </w:rPr>
              <w:t xml:space="preserve"> blob </w:t>
            </w:r>
            <w:r>
              <w:rPr>
                <w:rFonts w:ascii="Times New Roman" w:hAnsi="Times New Roman" w:eastAsia="宋体" w:cs="Times New Roman"/>
                <w:b w:val="0"/>
                <w:color w:val="000000"/>
                <w:sz w:val="21"/>
              </w:rPr>
              <w:t>数据市场</w:t>
            </w:r>
          </w:p>
        </w:tc>
        <w:tc>
          <w:tcPr>
            <w:tcW w:w="2608" w:type="dxa"/>
            <w:tcMar>
              <w:top w:w="100" w:type="dxa"/>
              <w:left w:w="100" w:type="dxa"/>
              <w:bottom w:w="100" w:type="dxa"/>
              <w:right w:w="100" w:type="dxa"/>
            </w:tcMar>
            <w:vAlign w:val="center"/>
          </w:tcPr>
          <w:p w14:paraId="4B381356"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本文将类 EIP-4844 方案作为配置化成本配置</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100" w:type="dxa"/>
              <w:left w:w="100" w:type="dxa"/>
              <w:bottom w:w="100" w:type="dxa"/>
              <w:right w:w="100" w:type="dxa"/>
            </w:tcMar>
            <w:vAlign w:val="center"/>
          </w:tcPr>
          <w:p w14:paraId="414A995E" w14:textId="77777777" w:rsidR="00DE373F" w:rsidRDefault="00000000">
            <w:pPr>
              <w:spacing w:before="0" w:after="0" w:line="240" w:lineRule="auto"/>
              <w:jc w:val="center"/>
              <w:rPr>
                <w:lang w:eastAsia="zh-CN"/>
              </w:rPr>
            </w:pPr>
            <w:r>
              <w:rPr>
                <w:rFonts w:ascii="Times New Roman" w:hAnsi="Times New Roman" w:eastAsia="宋体" w:cs="Times New Roman"/>
                <w:b w:val="0"/>
                <w:color w:val="000000"/>
                <w:sz w:val="21"/>
                <w:lang w:eastAsia="zh-CN"/>
              </w:rPr>
              <w:t>不模拟真实</w:t>
            </w:r>
            <w:r>
              <w:rPr>
                <w:rFonts w:ascii="Times New Roman" w:hAnsi="Times New Roman" w:eastAsia="宋体" w:cs="Times New Roman"/>
                <w:b w:val="0"/>
                <w:color w:val="000000"/>
                <w:sz w:val="21"/>
                <w:lang w:eastAsia="zh-CN"/>
              </w:rPr>
              <w:t xml:space="preserve"> blob </w:t>
            </w:r>
            <w:r>
              <w:rPr>
                <w:rFonts w:ascii="Times New Roman" w:hAnsi="Times New Roman" w:eastAsia="宋体" w:cs="Times New Roman"/>
                <w:b w:val="0"/>
                <w:color w:val="000000"/>
                <w:sz w:val="21"/>
                <w:lang w:eastAsia="zh-CN"/>
              </w:rPr>
              <w:t>基础费率、主网拥堵或</w:t>
            </w:r>
            <w:r>
              <w:rPr>
                <w:rFonts w:ascii="Times New Roman" w:hAnsi="Times New Roman" w:eastAsia="宋体" w:cs="Times New Roman"/>
                <w:b w:val="0"/>
                <w:color w:val="000000"/>
                <w:sz w:val="21"/>
                <w:lang w:eastAsia="zh-CN"/>
              </w:rPr>
              <w:t xml:space="preserve"> blob </w:t>
            </w:r>
            <w:r>
              <w:rPr>
                <w:rFonts w:ascii="Times New Roman" w:hAnsi="Times New Roman" w:eastAsia="宋体" w:cs="Times New Roman"/>
                <w:b w:val="0"/>
                <w:color w:val="000000"/>
                <w:sz w:val="21"/>
                <w:lang w:eastAsia="zh-CN"/>
              </w:rPr>
              <w:t>生命周期</w:t>
            </w:r>
          </w:p>
        </w:tc>
      </w:tr>
    </w:tbl>
    <w:p w14:paraId="4E810B04"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从对照可以看出，已有工作已经提供 TEE-Rollup、乐观欺诈证明和模块化数据可用性等主要路线；本文将可恢复挑战路径、数据可用性绑定紧凑提交和轻量成本模型放入同一个可运行研究原型中，并分别用 Python、Hardhat 与 Sepolia 证据说明机制可行性、链上对应物和可部署性边界。</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7906927"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8.6 </w:t>
      </w:r>
      <w:r>
        <w:rPr>
          <w:rFonts w:ascii="Times New Roman" w:hAnsi="Times New Roman" w:eastAsia="黑体" w:cs="Times New Roman"/>
          <w:b/>
          <w:color w:val="000000"/>
          <w:sz w:val="24"/>
          <w:lang w:eastAsia="zh-CN"/>
        </w:rPr>
        <w:t>小结与未来方向</w:t>
      </w:r>
    </w:p>
    <w:p w14:paraId="0A1EC8B3"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高频去中心化应用的核心困难在于低成本交互与异常可验证之间的持续权衡。本文在已有 Hybrid TEE-Rollup 思路下回答了一个更窄的问题：能否在不重做完整汇总系统的前提下，让轻量提交、数据可用性证据和可恢复挑战形成可运行的研究原型。现有证据给出了谨慎但有意义的回答：Python 原型跑通了紧凑提交、数据可用性证明、挑战、恢复、重放与结算；对比型实验区分了检测与完成、压缩与证据绑定；本地 EVM和 Sepolia 证据说明协议路径具有合约对应物。</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5A063219"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从理论层面看，本文的主要价值在于将挑战恢复从工程操作提升为具有协议语义的独立机制，提出并论证了仲裁连续性这一协议性质。本文通过协议性质分析（第</w:t>
      </w:r>
      <w:r>
        <w:rPr>
          <w:rFonts w:ascii="Times New Roman" w:hAnsi="Times New Roman" w:eastAsia="宋体" w:cs="Times New Roman"/>
          <w:color w:val="000000"/>
          <w:sz w:val="24"/>
          <w:lang w:eastAsia="zh-CN"/>
        </w:rPr>
        <w:t xml:space="preserve"> 4.4 </w:t>
      </w:r>
      <w:r>
        <w:rPr>
          <w:rFonts w:ascii="Times New Roman" w:hAnsi="Times New Roman" w:eastAsia="宋体" w:cs="Times New Roman"/>
          <w:color w:val="000000"/>
          <w:sz w:val="24"/>
          <w:lang w:eastAsia="zh-CN"/>
        </w:rPr>
        <w:t>节）系统化了挑战事实不变性、安全性与活性的分离、仲裁连续性和恢复操作正确性四项性质，为后续将该机制推广到更复杂的汇总协议栈提供了理论参照。</w:t>
      </w:r>
    </w:p>
    <w:p w14:paraId="3ABCD654"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后续研究可以沿两个方向推进：一是在真实</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和数据可用性环境中重新测量成本、活性和异常处理边界；二是加强重放证据的链上可验证性，完善故障到罚没策略，补齐并发挑战和恢复频率限制等工程机制。</w:t>
      </w:r>
    </w:p>
    <w:p w14:paraId="2F164A04" w14:textId="77777777" w:rsidR="00E637A5" w:rsidRDefault="00000000">
      <w:pPr>
        <w:pStyle w:val="ChineseReference"/>
        <w:spacing w:after="0" w:line="240" w:lineRule="auto"/>
      </w:pPr>
      <w:r>
        <w:rPr>
          <w:rFonts w:ascii="Times New Roman" w:hAnsi="Times New Roman" w:eastAsia="宋体" w:cs="Times New Roman"/>
          <w:color w:val="000000"/>
          <w:sz w:val="21"/>
        </w:rPr>
        <w:t>[1] WEN X, FENG Q, LYU H, et al. TEEROLLUP: Efficient Rollup Design Using Heterogeneous TEE[EB/OL]. arXiv:2409.14647, 2024.</w:t>
      </w:r>
    </w:p>
    <w:p w14:paraId="05224A22" w14:textId="77777777" w:rsidR="00E637A5" w:rsidRDefault="00000000">
      <w:pPr>
        <w:pStyle w:val="ChineseReference"/>
        <w:spacing w:after="0" w:line="240" w:lineRule="auto"/>
      </w:pPr>
      <w:r>
        <w:rPr>
          <w:rFonts w:ascii="Times New Roman" w:hAnsi="Times New Roman" w:eastAsia="宋体" w:cs="Times New Roman"/>
          <w:color w:val="000000"/>
          <w:sz w:val="21"/>
        </w:rPr>
        <w:t>[2] PICCO G, FORTUGNO A. Dynamic Fraud Proof[EB/OL]. arXiv:2502.10321, 2025.</w:t>
      </w:r>
    </w:p>
    <w:p w14:paraId="0F82BA32" w14:textId="77777777" w:rsidR="00E637A5" w:rsidRDefault="00000000">
      <w:pPr>
        <w:pStyle w:val="ChineseReference"/>
        <w:spacing w:after="0" w:line="240" w:lineRule="auto"/>
      </w:pPr>
      <w:r>
        <w:rPr>
          <w:rFonts w:ascii="Times New Roman" w:hAnsi="Times New Roman" w:eastAsia="宋体" w:cs="Times New Roman"/>
          <w:color w:val="000000"/>
          <w:sz w:val="21"/>
        </w:rPr>
        <w:t>[3] AL-BASSAM M. LazyLedger: A Distributed Data Availability Ledger with Client-Side Smart Contracts[EB/OL]. arXiv:1905.09274, 2019.</w:t>
      </w:r>
    </w:p>
    <w:p w14:paraId="252DBA5A" w14:textId="77777777" w:rsidR="00E637A5" w:rsidRDefault="00000000">
      <w:pPr>
        <w:pStyle w:val="ChineseReference"/>
        <w:spacing w:after="0" w:line="240" w:lineRule="auto"/>
      </w:pPr>
      <w:r>
        <w:rPr>
          <w:rFonts w:ascii="Times New Roman" w:hAnsi="Times New Roman" w:eastAsia="宋体" w:cs="Times New Roman"/>
          <w:color w:val="000000"/>
          <w:sz w:val="21"/>
        </w:rPr>
        <w:t>[4] TAS E N, TSE D, YANG L, et al. Light Clients for Lazy Blockchains[EB/OL]. arXiv:2203.15968, 2022.</w:t>
      </w:r>
    </w:p>
    <w:p w14:paraId="6652CC49" w14:textId="77777777" w:rsidR="00E637A5" w:rsidRDefault="00000000">
      <w:pPr>
        <w:pStyle w:val="ChineseReference"/>
        <w:spacing w:after="0" w:line="240" w:lineRule="auto"/>
      </w:pPr>
      <w:r>
        <w:rPr>
          <w:rFonts w:ascii="Times New Roman" w:hAnsi="Times New Roman" w:eastAsia="宋体" w:cs="Times New Roman"/>
          <w:color w:val="000000"/>
          <w:sz w:val="21"/>
        </w:rPr>
        <w:t>[5] Ethereum Foundation. EIP-4844: Shard Blob Transactions[EB/OL]. 2024.</w:t>
      </w:r>
    </w:p>
    <w:p w14:paraId="1173F233" w14:textId="77777777" w:rsidR="00E637A5" w:rsidRDefault="00000000">
      <w:pPr>
        <w:pStyle w:val="ChineseReference"/>
        <w:spacing w:after="0" w:line="240" w:lineRule="auto"/>
      </w:pPr>
      <w:r>
        <w:rPr>
          <w:rFonts w:ascii="Times New Roman" w:hAnsi="Times New Roman" w:eastAsia="宋体" w:cs="Times New Roman"/>
          <w:color w:val="000000"/>
          <w:sz w:val="21"/>
        </w:rPr>
        <w:t>[6] Ethereum Foundation. Optimistic Rollups[EB/OL]. Ethereum Documentation, 2024.</w:t>
      </w:r>
    </w:p>
    <w:p w14:paraId="281F54A9" w14:textId="77777777" w:rsidR="00E637A5" w:rsidRDefault="00000000">
      <w:pPr>
        <w:pStyle w:val="ChineseReference"/>
        <w:spacing w:after="0" w:line="240" w:lineRule="auto"/>
      </w:pPr>
      <w:r>
        <w:rPr>
          <w:rFonts w:ascii="Times New Roman" w:hAnsi="Times New Roman" w:eastAsia="宋体" w:cs="Times New Roman"/>
          <w:color w:val="000000"/>
          <w:sz w:val="21"/>
        </w:rPr>
        <w:t>[7] Buterin V. An Incomplete Guide to Rollups[EB/OL]. 2021.</w:t>
      </w:r>
    </w:p>
    <w:p w14:paraId="54FFB1D5" w14:textId="77777777" w:rsidR="00E637A5" w:rsidRDefault="00000000">
      <w:pPr>
        <w:pStyle w:val="ChineseReference"/>
        <w:spacing w:after="0" w:line="240" w:lineRule="auto"/>
      </w:pPr>
      <w:r>
        <w:rPr>
          <w:rFonts w:ascii="Times New Roman" w:hAnsi="Times New Roman" w:eastAsia="宋体" w:cs="Times New Roman"/>
          <w:color w:val="000000"/>
          <w:sz w:val="21"/>
        </w:rPr>
        <w:t>[8] Intel Corporation. Intel Software Guard Extensions (Intel SGX) Developer Guide[EB/OL]. 2024.</w:t>
      </w:r>
    </w:p>
    <w:p w14:paraId="70561B6E" w14:textId="77777777" w:rsidR="00E637A5" w:rsidRDefault="00000000">
      <w:pPr>
        <w:pStyle w:val="ChineseReference"/>
        <w:spacing w:after="0" w:line="240" w:lineRule="auto"/>
      </w:pPr>
      <w:r>
        <w:rPr>
          <w:rFonts w:ascii="Times New Roman" w:hAnsi="Times New Roman" w:eastAsia="宋体" w:cs="Times New Roman"/>
          <w:color w:val="000000"/>
          <w:sz w:val="21"/>
        </w:rPr>
        <w:t>[9] Intel Corporation. Intel Trust Domain Extensions (Intel TDX) Architecture Specification[EB/OL]. 2024.</w:t>
      </w:r>
    </w:p>
    <w:p w14:paraId="3267501C" w14:textId="77777777" w:rsidR="00E637A5" w:rsidRDefault="00000000">
      <w:pPr>
        <w:pStyle w:val="ChineseReference"/>
        <w:spacing w:after="0" w:line="240" w:lineRule="auto"/>
      </w:pPr>
      <w:r>
        <w:rPr>
          <w:rFonts w:ascii="Times New Roman" w:hAnsi="Times New Roman" w:eastAsia="宋体" w:cs="Times New Roman"/>
          <w:color w:val="000000"/>
          <w:sz w:val="21"/>
        </w:rPr>
        <w:t>[10] Offchain Labs. Arbitrum: A Next-Generation Layer 2 for Ethereum[EB/OL]. 2021.</w:t>
      </w:r>
    </w:p>
    <w:p w14:paraId="40791378" w14:textId="77777777" w:rsidR="00E637A5" w:rsidRDefault="00000000">
      <w:pPr>
        <w:pStyle w:val="ChineseReference"/>
        <w:spacing w:after="0" w:line="240" w:lineRule="auto"/>
      </w:pPr>
      <w:r>
        <w:rPr>
          <w:rFonts w:ascii="Times New Roman" w:hAnsi="Times New Roman" w:eastAsia="宋体" w:cs="Times New Roman"/>
          <w:color w:val="000000"/>
          <w:sz w:val="21"/>
        </w:rPr>
        <w:t>[11] Cartesi. Cartesi Rollups Documentation[EB/OL]. 2024.</w:t>
      </w:r>
    </w:p>
    <w:p w14:paraId="7FECBF80" w14:textId="77777777" w:rsidR="00E637A5" w:rsidRDefault="00000000">
      <w:pPr>
        <w:pStyle w:val="ChineseReference"/>
        <w:spacing w:after="0" w:line="240" w:lineRule="auto"/>
      </w:pPr>
      <w:r>
        <w:rPr>
          <w:rFonts w:ascii="Times New Roman" w:hAnsi="Times New Roman" w:eastAsia="宋体" w:cs="Times New Roman"/>
          <w:color w:val="000000"/>
          <w:sz w:val="21"/>
        </w:rPr>
        <w:t>[12] EigenLayer. EigenDA Documentation[EB/OL]. 2024.</w:t>
      </w:r>
    </w:p>
    <w:p w14:paraId="387B9AB2" w14:textId="77777777" w:rsidR="00E637A5" w:rsidRDefault="00000000">
      <w:pPr>
        <w:pStyle w:val="ChineseReference"/>
        <w:spacing w:after="0" w:line="240" w:lineRule="auto"/>
      </w:pPr>
      <w:r>
        <w:rPr>
          <w:rFonts w:ascii="Times New Roman" w:hAnsi="Times New Roman" w:eastAsia="宋体" w:cs="Times New Roman"/>
          <w:color w:val="000000"/>
          <w:sz w:val="21"/>
        </w:rPr>
        <w:t>[13] Celestia. Celestia: Modular Blockchain Network[EB/OL]. 2024.</w:t>
      </w:r>
    </w:p>
    <w:p w14:paraId="78EA689D" w14:textId="77777777" w:rsidR="00DE373F" w:rsidRDefault="00000000">
      <w:pPr>
        <w:pStyle w:val="ChineseReference"/>
        <w:spacing w:after="0" w:line="240" w:lineRule="auto"/>
      </w:pPr>
      <w:r>
        <w:rPr>
          <w:rFonts w:ascii="Times New Roman" w:hAnsi="Times New Roman" w:eastAsia="宋体" w:cs="Times New Roman"/>
          <w:color w:val="000000"/>
          <w:sz w:val="21"/>
        </w:rPr>
        <w:t>[14] RISC Zero. RISC Zero zkVM Documentation[EB/OL]. 2024.</w:t>
      </w:r>
    </w:p>
    <w:p w14:paraId="53BC59F4" w14:textId="77777777" w:rsidR="00DE373F" w:rsidRDefault="00000000">
      <w:pPr>
        <w:pStyle w:val="ChineseReference"/>
        <w:spacing w:after="0" w:line="240" w:lineRule="auto"/>
      </w:pPr>
      <w:r>
        <w:rPr>
          <w:rFonts w:ascii="Times New Roman" w:hAnsi="Times New Roman" w:eastAsia="宋体" w:cs="Times New Roman"/>
          <w:color w:val="000000"/>
          <w:sz w:val="21"/>
        </w:rPr>
        <w:t>[15] Succinct Labs. SP1: A Performant, 100% Open-Source zkVM[EB/OL]. 2024.</w:t>
      </w:r>
    </w:p>
    <w:p w14:paraId="7BD3B67C" w14:textId="77777777" w:rsidR="00DE373F" w:rsidRDefault="00000000">
      <w:pPr>
        <w:pStyle w:val="ChineseReference"/>
        <w:spacing w:after="0" w:line="240" w:lineRule="auto"/>
      </w:pPr>
      <w:r>
        <w:rPr>
          <w:rFonts w:ascii="Times New Roman" w:hAnsi="Times New Roman" w:eastAsia="宋体" w:cs="Times New Roman"/>
          <w:color w:val="000000"/>
          <w:sz w:val="21"/>
        </w:rPr>
        <w:t>[16] Arbitrum Foundation. Arbitrum Nitro Technical Documentation[EB/OL]. 2024.</w:t>
      </w:r>
    </w:p>
    <w:p w14:paraId="040CB2E1" w14:textId="77777777" w:rsidR="00DE373F" w:rsidRDefault="00000000">
      <w:pPr>
        <w:pStyle w:val="ChineseReference"/>
        <w:spacing w:after="0" w:line="240" w:lineRule="auto"/>
      </w:pPr>
      <w:r>
        <w:rPr>
          <w:rFonts w:ascii="Times New Roman" w:hAnsi="Times New Roman" w:eastAsia="宋体" w:cs="Times New Roman"/>
          <w:color w:val="000000"/>
          <w:sz w:val="21"/>
        </w:rPr>
        <w:t>[17] OP Labs. Optimism Documentation: Fault Proofs and Dispute Games[EB/OL]. 2024.</w:t>
      </w:r>
    </w:p>
    <w:p w14:paraId="763710B7" w14:textId="77777777" w:rsidR="00DE373F" w:rsidRDefault="00000000">
      <w:pPr>
        <w:pStyle w:val="ChineseReference"/>
        <w:spacing w:after="0" w:line="240" w:lineRule="auto"/>
      </w:pPr>
      <w:r>
        <w:rPr>
          <w:rFonts w:ascii="Times New Roman" w:hAnsi="Times New Roman" w:eastAsia="宋体" w:cs="Times New Roman"/>
          <w:color w:val="000000"/>
          <w:sz w:val="21"/>
        </w:rPr>
        <w:t>[18] Canetti R, et al. Universally Composable Security: A New Paradigm for Cryptographic Protocols[EB/OL]. 2000.</w:t>
      </w:r>
    </w:p>
    <w:p w14:paraId="3989386A" w14:textId="77777777" w:rsidR="00DE373F" w:rsidRDefault="00000000">
      <w:pPr>
        <w:pStyle w:val="ChineseReference"/>
        <w:spacing w:after="0" w:line="240" w:lineRule="auto"/>
      </w:pPr>
      <w:r>
        <w:rPr>
          <w:rFonts w:ascii="Times New Roman" w:hAnsi="Times New Roman" w:eastAsia="宋体" w:cs="Times New Roman"/>
          <w:color w:val="000000"/>
          <w:sz w:val="21"/>
        </w:rPr>
        <w:t>[19] Goldwasser S, Micali S, Rackoff R. The Knowledge Complexity of Interactive Proof Systems[J]. SIAM Journal on Computing, 1989, 18(1): 186-208.</w:t>
      </w:r>
    </w:p>
    <w:p w14:paraId="6045FEC4" w14:textId="77777777" w:rsidR="00DE373F" w:rsidRDefault="00000000">
      <w:pPr>
        <w:pStyle w:val="ChineseReference"/>
        <w:spacing w:after="0" w:line="240" w:lineRule="auto"/>
      </w:pPr>
      <w:r>
        <w:rPr>
          <w:rFonts w:ascii="Times New Roman" w:hAnsi="Times New Roman" w:eastAsia="宋体" w:cs="Times New Roman"/>
          <w:color w:val="000000"/>
          <w:sz w:val="21"/>
        </w:rPr>
        <w:t>[20] NIST. Recommendation for Key Management: Part 1 - General (Rev. 5)[EB/OL]. 2020.</w:t>
      </w:r>
    </w:p>
    <w:sectPr w:rsidR="00DE373F" w:rsidSect="00034616">
      <w:type w:val="continuous"/>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0E"/>
    <w:rsid w:val="00051E5B"/>
    <w:rsid w:val="0006063C"/>
    <w:rsid w:val="000D6ED8"/>
    <w:rsid w:val="0015074B"/>
    <w:rsid w:val="001B6DA7"/>
    <w:rsid w:val="0029639D"/>
    <w:rsid w:val="00312B1D"/>
    <w:rsid w:val="00326F90"/>
    <w:rsid w:val="00383A32"/>
    <w:rsid w:val="003C4679"/>
    <w:rsid w:val="00494751"/>
    <w:rsid w:val="0058342B"/>
    <w:rsid w:val="007A0384"/>
    <w:rsid w:val="00887B57"/>
    <w:rsid w:val="00953EF9"/>
    <w:rsid w:val="0096204A"/>
    <w:rsid w:val="00AA1D8D"/>
    <w:rsid w:val="00B109D6"/>
    <w:rsid w:val="00B27C5B"/>
    <w:rsid w:val="00B45B28"/>
    <w:rsid w:val="00B47730"/>
    <w:rsid w:val="00CB0664"/>
    <w:rsid w:val="00DD00A7"/>
    <w:rsid w:val="00DE373F"/>
    <w:rsid w:val="00E637A5"/>
    <w:rsid w:val="00E8551D"/>
    <w:rsid w:val="00ED5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B4FF6"/>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before="0" w:after="0"/>
      <w:ind w:firstLine="420"/>
    </w:pPr>
    <w:rPr>
      <w:rFonts w:ascii="Times New Roman" w:eastAsia="宋体" w:hAnsi="Times New Roman" w:cs="Times New Roman"/>
      <w:b w:val="0"/>
      <w:color w:val="000000"/>
      <w:sz w:val="24"/>
    </w:rPr>
  </w:style>
  <w:style w:type="paragraph" w:styleId="1">
    <w:name w:val="heading 1"/>
    <w:basedOn w:val="a1"/>
    <w:next w:val="a1"/>
    <w:link w:val="10"/>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黑体" w:cs="Times New Roman"/>
      <w:b/>
      <w:bCs/>
      <w:color w:val="000000"/>
      <w:sz w:val="28"/>
      <w:szCs w:val="28"/>
    </w:rPr>
  </w:style>
  <w:style w:type="paragraph" w:styleId="21">
    <w:name w:val="heading 2"/>
    <w:basedOn w:val="a1"/>
    <w:next w:val="a1"/>
    <w:link w:val="22"/>
    <w:uiPriority w:val="9"/>
    <w:unhideWhenUsed/>
    <w:qFormat/>
    <w:rsid w:val="00FC693F"/>
    <w:pPr>
      <w:keepNext/>
      <w:keepLines/>
      <w:spacing w:before="120" w:after="60" w:line="240" w:lineRule="auto"/>
      <w:jc w:val="left"/>
      <w:outlineLvl w:val="1"/>
    </w:pPr>
    <w:rPr>
      <w:rFonts w:asciiTheme="majorHAnsi" w:eastAsiaTheme="majorEastAsia" w:hAnsiTheme="majorHAnsi" w:cstheme="majorBidi" w:ascii="Times New Roman" w:hAnsi="Times New Roman" w:eastAsia="黑体" w:cs="Times New Roman"/>
      <w:b/>
      <w:bCs/>
      <w:color w:val="000000"/>
      <w:sz w:val="24"/>
      <w:szCs w:val="26"/>
    </w:rPr>
  </w:style>
  <w:style w:type="paragraph" w:styleId="31">
    <w:name w:val="heading 3"/>
    <w:basedOn w:val="a1"/>
    <w:next w:val="a1"/>
    <w:link w:val="32"/>
    <w:uiPriority w:val="9"/>
    <w:unhideWhenUsed/>
    <w:qFormat/>
    <w:rsid w:val="00FC693F"/>
    <w:pPr>
      <w:keepNext/>
      <w:keepLines/>
      <w:spacing w:before="60" w:after="60" w:line="240" w:lineRule="auto"/>
      <w:jc w:val="left"/>
      <w:outlineLvl w:val="2"/>
    </w:pPr>
    <w:rPr>
      <w:rFonts w:asciiTheme="majorHAnsi" w:eastAsiaTheme="majorEastAsia" w:hAnsiTheme="majorHAnsi" w:cstheme="majorBidi" w:ascii="Times New Roman" w:hAnsi="Times New Roman" w:eastAsia="黑体" w:cs="Times New Roman"/>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FigureCaption">
    <w:name w:val="Chinese Figure Caption"/>
    <w:pPr>
      <w:keepLines/>
      <w:spacing w:before="60" w:after="120" w:line="240" w:lineRule="auto"/>
      <w:jc w:val="center"/>
    </w:pPr>
    <w:rPr>
      <w:rFonts w:ascii="Times New Roman" w:hAnsi="Times New Roman" w:eastAsia="宋体" w:cs="Times New Roman"/>
      <w:b w:val="0"/>
      <w:color w:val="000000"/>
      <w:sz w:val="21"/>
    </w:rPr>
  </w:style>
  <w:style w:type="paragraph" w:customStyle="1" w:styleId="ChineseTableCaption">
    <w:name w:val="Chinese Table Caption"/>
    <w:pPr>
      <w:keepNext/>
      <w:keepLines/>
      <w:spacing w:before="120" w:after="60" w:line="240" w:lineRule="auto"/>
      <w:jc w:val="center"/>
    </w:pPr>
    <w:rPr>
      <w:rFonts w:ascii="Times New Roman" w:hAnsi="Times New Roman" w:eastAsia="宋体" w:cs="Times New Roman"/>
      <w:b w:val="0"/>
      <w:color w:val="000000"/>
      <w:sz w:val="21"/>
    </w:rPr>
  </w:style>
  <w:style w:type="paragraph" w:customStyle="1" w:styleId="ChineseFormula">
    <w:name w:val="Chinese Formula"/>
    <w:pPr>
      <w:spacing w:line="240" w:lineRule="auto"/>
      <w:jc w:val="center"/>
    </w:pPr>
    <w:rPr>
      <w:rFonts w:ascii="Times New Roman" w:hAnsi="Times New Roman" w:eastAsia="宋体" w:cs="Times New Roman"/>
      <w:b w:val="0"/>
      <w:color w:val="000000"/>
      <w:sz w:val="24"/>
    </w:rPr>
  </w:style>
  <w:style w:type="paragraph" w:customStyle="1" w:styleId="ChineseReference">
    <w:name w:val="Chinese Reference"/>
    <w:pPr>
      <w:spacing w:line="240" w:lineRule="auto" w:after="0"/>
      <w:ind w:left="420" w:hanging="420"/>
    </w:pPr>
    <w:rPr>
      <w:rFonts w:ascii="Times New Roman" w:hAnsi="Times New Roman" w:eastAsia="宋体" w:cs="Times New Roman"/>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9</cp:revision>
  <cp:lastPrinted>2026-05-28T08:30:00Z</cp:lastPrinted>
  <dcterms:created xsi:type="dcterms:W3CDTF">2013-12-23T23:15:00Z</dcterms:created>
  <dcterms:modified xsi:type="dcterms:W3CDTF">2026-06-11T06:06:00Z</dcterms:modified>
  <cp:category/>
</cp:coreProperties>
</file>