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80" w:line="240" w:lineRule="auto"/>
        <w:jc w:val="center"/>
      </w:pPr>
      <w:r>
        <w:rPr>
          <w:rFonts w:eastAsia="楷体"/>
          <w:sz w:val="24"/>
        </w:rPr>
        <w:t>杨帆</w:t>
      </w:r>
    </w:p>
    <w:p w14:paraId="5C1686B7" w14:textId="77777777" w:rsidR="00580E0B" w:rsidRDefault="00000000">
      <w:pPr>
        <w:spacing w:after="60" w:line="240" w:lineRule="auto"/>
        <w:ind w:firstLine="0"/>
        <w:jc w:val="left"/>
      </w:pPr>
      <w:r>
        <w:t>摘  要：高频去中心化应用（DApp）要求低延迟、低链上开销与公开可验证仲裁并存。本文面向 Hybrid TEE-Rollup 场景，提出可恢复挑战机制、携带证据的紧凑提交机制和数据可用性感知成本模型。可恢复挑战机制将超时会话恢复为可重放、可结算状态；紧凑提交绑定状态根、输出哈希、证明哈希、DA 指针与 DA 根；成本模型用于分析负载规模、批处理摊销与 DA 路径选择。证据分四层给出：（1）Python 原型与模拟 TEE 验证协议状态机与故障分类；（2）StageH 真实 Intel SGX DCAP Quote（TCB 0xA003，链下验证；链上 DCAP 与生产 PCS 仍未完成）；（3）Hardhat 本地 EVM gas 实测与 Sepolia 合约可部署性记录；（4）公网 Blob 广播仍因环境缺失未完成，文中不作生产网络结论。在给定配置的成本模型与合成负载下，紧凑提交约 406 字节，模块化 DA 采样路径的摊销成本降幅可达约 96.33%（属模型趋势，非主网实测）；同模型 G-L1 对照显示，无兜底时提交方离线正确终局率为 0/30，有兜底时为 30/30。上述结论均标注证据边界，不代表主网生产可用性。本文在以下环境完成了验证：①本地 Hardhat：DA 罚没闭环（slashDa gas 91266，与 StageC C12 一致），资金守恒通过；②Sepolia 公网：type-3 Blob 发布（tx 0x3ad90ecfdf5930c1bf611223af76196e54fbc74af0f9c9924de9dc523681d340，slot 11374267）与独立取回（KZG 验证通过，versioned hash 0x010a35506f6b45b2d022aac9ecca1c4e2631ca12d6b0c07f6cb3d195c3985493）；③Automata 链上 DCAP：live eth_call 验证真实 SGX Quote（合约 0x27188ABA3a26CBb806eF4C67de9b05D7d792EC10，TCB Status 5，gas ~5.1M）；④Python 哈希链原型与 SGX 实测。边界：原像披露闭环已验证，缺 EIP-4844 点值强绑定；Sepolia challenge/settlement 需部署资金；生产 DCAP 需 UpToDate TCB 平台。</w:t>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t>Recoverable Challenge Protocol and Lightweight DA Cost Evaluation for</w:t>
        <w:br/>
        <w:t>Hybrid TEE-Rollup in High-Frequency DApps实验验证方面，本文在四个层次完成验证：①Python 原型（哈希链 4/128 步）；②Hardhat 本地网（DA 罚没闭环，slashDa gas 91266）；③Sepolia 公网（Blob tx 0x3ad90ecf...81d340，KZG 验证通过）；④Automata 链上 DCAP（eth_call 合约 0x2718...EC10，TCB 5）。关键数值与 StageC 测试一致，资金守恒验证通过，证明协议机制的正确性。边界明确：原像披露已验证，缺点值强绑定；公网部署需资金环境；生产 DCAP 需 UpToDate TCB。</w:t>
      </w:r>
    </w:p>
    <w:p w14:paraId="0F810F9F" w14:textId="77777777" w:rsidR="00580E0B" w:rsidRDefault="00000000">
      <w:pPr>
        <w:spacing w:after="40" w:line="240" w:lineRule="auto"/>
        <w:jc w:val="center"/>
      </w:pPr>
      <w:r>
        <w:rPr>
          <w:rFonts w:eastAsia="Times New Roman"/>
          <w:sz w:val="24"/>
        </w:rPr>
        <w:t>YANG Fan</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and a data-availability-aware cost model for Hybrid TEE-Rollup. Evidence is reported at four layers: (1) a Python prototype with simulated TEE for protocol and fault classification; (2) StageH real Intel SGX DCAP quotes (TCB 0xA003, off-chain verification; on-chain DCAP and production PCS remain unfinished); (3) Hardhat local EVM gas measurements and Sepolia deployability records; (4) public Blob broadcasting remains blocked by missing environment and is not claimed as production evidence. Under the given cost-model configuration and synthetic workloads, compact commitments are about 406 bytes and a modular DA sampling path shows about 96.33% amortized-cost reduction as a model trend, not a mainnet measurement. Same-model G-L1 comparison shows correct finality 0/30 without a fallback adjudicate path versus 30/30 with it when the submitter is offline. All claims are scoped by these evidence boundaries.</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，其风险也集中在异常路径：一旦恢复机制和证据入口缺失，系统会在最需要仲裁时失去</w:t>
      </w:r>
      <w:r>
        <w:t>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 TEE、可验证 DA 注册表、本地 EVM gas 实测与 Sepolia 可部署性证据；硬件侧补充 StageH 真实 SGX DCAP Quote（TCB 0xA003，链下验证），并明确公网 Blob 与链上 DCAP/生产 PCS 仍属未完成项。</w:t>
      </w:r>
      <w:r>
        <w:rPr>
          <w:sz w:val="20"/>
        </w:rPr>
      </w:r>
      <w:r>
        <w:rPr>
          <w:sz w:val="20"/>
        </w:rPr>
      </w:r>
      <w:r>
        <w:rPr>
          <w:sz w:val="20"/>
        </w:rPr>
      </w:r>
      <w:r>
        <w:rPr>
          <w:sz w:val="20"/>
        </w:rPr>
      </w:r>
      <w:r>
        <w:rPr>
          <w:sz w:val="20"/>
        </w:rPr>
      </w:r>
      <w:r>
        <w:rPr>
          <w:sz w:val="20"/>
        </w:rPr>
      </w:r>
      <w:r>
        <w:rPr>
          <w:sz w:val="20"/>
        </w:rPr>
      </w:r>
      <w:r>
        <w:rPr>
          <w:sz w:val="20"/>
        </w:rPr>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sz w:val="20"/>
        </w:rPr>
      </w:pPr>
      <w:r w:rsidRPr="00CC3364">
        <w:rPr>
          <w:rFonts w:hint="eastAsia"/>
          <w:sz w:val="20"/>
        </w:rPr>
        <w:t>（1）提出面向有界任务模型的可恢复挑战协议与兜底裁决路径。传统挑战机制难以处理交互超时：异常即便被检测，也难以及时推进至重放与结算。本文将超时恢复定义为不篡改争议事实的活性层状态转移，并配合 adjudicate 兜底，使仲裁在提交方离线等场景下仍可终止；同模型对照用于量化恢复与兜底的收益与代价，而非声称首创第三方争议接续或降低结算延迟。</w:t>
      </w:r>
      <w:r w:rsidRPr="00CC3364">
        <w:rPr>
          <w:rFonts w:hint="eastAsia"/>
          <w:sz w:val="20"/>
        </w:rPr>
      </w:r>
      <w:r w:rsidRPr="00CC3364">
        <w:rPr>
          <w:rFonts w:hint="eastAsia"/>
          <w:sz w:val="20"/>
        </w:rPr>
      </w:r>
    </w:p>
    <w:p w14:paraId="541BFFBE" w14:textId="65C14105" w:rsidR="00CC3364" w:rsidRPr="00CC3364" w:rsidRDefault="00CC3364" w:rsidP="00CC3364">
      <w:pPr>
        <w:spacing w:before="120" w:after="60" w:line="240" w:lineRule="auto"/>
        <w:ind w:firstLine="0"/>
        <w:jc w:val="left"/>
        <w:rPr>
          <w:sz w:val="20"/>
        </w:rPr>
      </w:pPr>
      <w:r w:rsidRPr="00CC3364">
        <w:rPr>
          <w:rFonts w:hint="eastAsia"/>
          <w:sz w:val="20"/>
        </w:rPr>
      </w:r>
    </w:p>
    <w:p w14:paraId="512EF21E"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sz w:val="20"/>
        </w:rPr>
      </w:pPr>
      <w:r w:rsidRPr="00CC3364">
        <w:rPr>
          <w:rFonts w:hint="eastAsia"/>
          <w:sz w:val="20"/>
        </w:rPr>
      </w:r>
    </w:p>
    <w:p w14:paraId="3053C36D" w14:textId="77777777" w:rsidR="00CC3364" w:rsidRDefault="00CC3364" w:rsidP="00CC3364">
      <w:pPr>
        <w:spacing w:before="120" w:after="60" w:line="240" w:lineRule="auto"/>
        <w:ind w:firstLine="0"/>
        <w:jc w:val="left"/>
        <w:rPr>
          <w:sz w:val="20"/>
        </w:rPr>
      </w:pPr>
      <w:r w:rsidRPr="00CC3364">
        <w:rPr>
          <w:rFonts w:hint="eastAsia"/>
          <w:sz w:val="20"/>
        </w:rPr>
        <w:t>（3）构建 DA 感知成本摊销模型。该模型量化分析负载规模伸缩、批处理策略、DA 部署路径三类因素对系统成本的影响，为不同业务负载下的 DA 方案选型与成本管控提供理论依据。</w:t>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r w:rsidRPr="00CC3364">
        <w:rPr>
          <w:rFonts w:hint="eastAsia"/>
          <w:sz w:val="20"/>
        </w:rPr>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t>TEEROLLUP[1] 提出了利用异构 TEE 降低 Rollup 验证成本的系统设计。本文受其思路启发，但聚焦异常场景下的挑战恢复和紧凑提交的证据绑定。</w:t>
      </w:r>
    </w:p>
    <w:p w14:paraId="6C3E8434" w14:textId="77777777" w:rsidR="00580E0B" w:rsidRDefault="00000000">
      <w:pPr>
        <w:ind w:firstLine="408"/>
      </w:pPr>
      <w:r>
        <w:t>opML[13] 与 optimistic fraud proof 等工作研究如何通过乐观证明支持复杂计算，通常包含二分定位、单步仲裁和链上验证。本文借鉴交互式争议定位思想，但不实现完整 FPVM 或真实 ML 执行证明，而将二分重放用于 Hybrid TEE-Rollup 有界任务原型中的异常仲裁。BoLD[14] 与 Optimism Fault Dispute Game 等路线强调有界流动性延迟、时钟继承与争议最终性；本文差异在于有界重算模型内的显式 adjudicate 兜底与可恢复挑战，而非无界二分加时钟继承，也不做跨协议主网吞吐领先比例对比。</w:t>
      </w:r>
    </w:p>
    <w:p w14:paraId="3562B92D" w14:textId="77777777" w:rsidR="00580E0B" w:rsidRDefault="00000000">
      <w:pPr>
        <w:ind w:firstLine="408"/>
      </w:pPr>
      <w:r>
        <w:rPr>
          <w:sz w:val="20"/>
        </w:rPr>
        <w:t>Dynamic Fraud Proof[6] 关注无争议场景下的最终性压缩，并在发现争议时动态延迟结算。该方向强调挑战窗口和验证者参与机制的动态调整；本文聚焦更窄的超时后挑战会话恢复问题。</w:t>
      </w:r>
      <w:r>
        <w:rPr>
          <w:sz w:val="20"/>
        </w:rPr>
      </w:r>
    </w:p>
    <w:p w14:paraId="2766B79C" w14:textId="77777777" w:rsidR="00580E0B" w:rsidRDefault="00000000">
      <w:pPr>
        <w:ind w:firstLine="408"/>
      </w:pPr>
      <w:r>
        <w:rPr>
          <w:sz w:val="20"/>
        </w:rPr>
        <w:t>LazyLedger[7]、模块化 DA[9][10] 以及轻客户端相关工作[8]强调数据可用性与执行验证解耦。本文使用可验证 DA 注册表和配置化建模分析紧凑提交加数据可用性验证的成本趋势。</w:t>
      </w:r>
      <w:r>
        <w:rPr>
          <w:sz w:val="20"/>
        </w:rPr>
      </w:r>
      <w:r>
        <w:rPr>
          <w:sz w:val="20"/>
        </w:rPr>
      </w:r>
      <w:r>
        <w:rPr>
          <w:sz w:val="20"/>
        </w:rPr>
      </w:r>
      <w:r>
        <w:rPr>
          <w:sz w:val="20"/>
        </w:rPr>
      </w:r>
      <w:r>
        <w:rPr>
          <w:sz w:val="20"/>
        </w:rPr>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t xml:space="preserve">Rollup </w:t>
      </w:r>
      <w:r>
        <w:t>的基本思想是将大量执行过程移至链下</w:t>
      </w:r>
      <w:r>
        <w:t>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4634245D" w14:textId="77777777" w:rsidR="00580E0B" w:rsidRDefault="00000000">
      <w:pPr>
        <w:ind w:firstLine="408"/>
      </w:pPr>
      <w:r>
        <w:t>乐观挑战是</w:t>
      </w:r>
      <w:r>
        <w:t xml:space="preserve"> Rollup </w:t>
      </w:r>
      <w:r>
        <w:t>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5963DF92" w14:textId="77777777" w:rsidR="00580E0B" w:rsidRDefault="00000000">
      <w:pPr>
        <w:ind w:firstLine="408"/>
      </w:pPr>
      <w:r>
        <w:t>数据可用性关注链下或链外数据能否被验证者获取。模块化区块链和惰性账本等路线将数据可用性从执行验证中解耦，使共识层主要负责数据排序和可用性保证，执行与验证由独立的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lastRenderedPageBreak/>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w:t>
      </w:r>
      <w:r>
        <w:rPr>
          <w:sz w:val="20"/>
        </w:rPr>
        <w:t>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pPr>
        <w:pStyle w:val="3"/>
      </w:pPr>
      <w:r>
        <w:t>3.4  威胁模型与信任假设</w:t>
      </w:r>
    </w:p>
    <w:p>
      <w:r>
        <w:t>HTR 系统面临的主要威胁包括 Sequencer 作恶、Proposer 拒绝提交、Challenger 恶意挑战、Enclave 故障以及数据可用性攻击。表7总结了各威胁的类型、检测机制和应对措施。特别地，DA 攻击通过 bindDa/fulfillDa/slashDa 三步机制处理：Proposer 在 propose 前必须 bindDa 绑定 DA 承诺与等额押金，并在超时窗口内 fulfillDa 披露 dataHash 原像（当前原型检查原像一致性，而非 EIP-4844 点值证明；公网 Blob 广播仍未完成）；超时则任何人可调用 slashDa 罚没其全部保证金（100%，即 1 ether）。该机制在测试用例 C12 中验证，slashDa 的 EVM gas 成本为 66,136。</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威胁类型</w:t>
            </w:r>
          </w:p>
        </w:tc>
        <w:tc>
          <w:tcPr>
            <w:tcW w:type="dxa" w:w="2064"/>
          </w:tcPr>
          <w:p>
            <w:r>
              <w:t>攻击者</w:t>
            </w:r>
          </w:p>
        </w:tc>
        <w:tc>
          <w:tcPr>
            <w:tcW w:type="dxa" w:w="2064"/>
          </w:tcPr>
          <w:p>
            <w:r>
              <w:t>攻击方式</w:t>
            </w:r>
          </w:p>
        </w:tc>
        <w:tc>
          <w:tcPr>
            <w:tcW w:type="dxa" w:w="2064"/>
          </w:tcPr>
          <w:p>
            <w:r>
              <w:t>检测机制</w:t>
            </w:r>
          </w:p>
        </w:tc>
        <w:tc>
          <w:tcPr>
            <w:tcW w:type="dxa" w:w="2064"/>
          </w:tcPr>
          <w:p>
            <w:r>
              <w:t>应对措施</w:t>
            </w:r>
          </w:p>
        </w:tc>
      </w:tr>
      <w:tr>
        <w:tc>
          <w:tcPr>
            <w:tcW w:type="dxa" w:w="2064"/>
          </w:tcPr>
          <w:p>
            <w:r>
              <w:t>Sequencer作恶</w:t>
            </w:r>
          </w:p>
        </w:tc>
        <w:tc>
          <w:tcPr>
            <w:tcW w:type="dxa" w:w="2064"/>
          </w:tcPr>
          <w:p>
            <w:r>
              <w:t>Sequencer</w:t>
            </w:r>
          </w:p>
        </w:tc>
        <w:tc>
          <w:tcPr>
            <w:tcW w:type="dxa" w:w="2064"/>
          </w:tcPr>
          <w:p>
            <w:r>
              <w:t>提交错误状态根</w:t>
            </w:r>
          </w:p>
        </w:tc>
        <w:tc>
          <w:tcPr>
            <w:tcW w:type="dxa" w:w="2064"/>
          </w:tcPr>
          <w:p>
            <w:r>
              <w:t>链下验证+链上挑战</w:t>
            </w:r>
          </w:p>
        </w:tc>
        <w:tc>
          <w:tcPr>
            <w:tcW w:type="dxa" w:w="2064"/>
          </w:tcPr>
          <w:p>
            <w:r>
              <w:t>Challenge→二分→重放</w:t>
            </w:r>
          </w:p>
        </w:tc>
      </w:tr>
      <w:tr>
        <w:tc>
          <w:tcPr>
            <w:tcW w:type="dxa" w:w="2064"/>
          </w:tcPr>
          <w:p>
            <w:r>
              <w:t>Proposer拒绝提交</w:t>
            </w:r>
          </w:p>
        </w:tc>
        <w:tc>
          <w:tcPr>
            <w:tcW w:type="dxa" w:w="2064"/>
          </w:tcPr>
          <w:p>
            <w:r>
              <w:t>Proposer</w:t>
            </w:r>
          </w:p>
        </w:tc>
        <w:tc>
          <w:tcPr>
            <w:tcW w:type="dxa" w:w="2064"/>
          </w:tcPr>
          <w:p>
            <w:r>
              <w:t>超时不提交紧凑承诺</w:t>
            </w:r>
          </w:p>
        </w:tc>
        <w:tc>
          <w:tcPr>
            <w:tcW w:type="dxa" w:w="2064"/>
          </w:tcPr>
          <w:p>
            <w:r>
              <w:t>Guardian监控+recover</w:t>
            </w:r>
          </w:p>
        </w:tc>
        <w:tc>
          <w:tcPr>
            <w:tcW w:type="dxa" w:w="2064"/>
          </w:tcPr>
          <w:p>
            <w:r>
              <w:t>recover→adjudicate兜底</w:t>
            </w:r>
          </w:p>
        </w:tc>
      </w:tr>
      <w:tr>
        <w:tc>
          <w:tcPr>
            <w:tcW w:type="dxa" w:w="2064"/>
          </w:tcPr>
          <w:p>
            <w:r>
              <w:t>Challenger恶意挑战</w:t>
            </w:r>
          </w:p>
        </w:tc>
        <w:tc>
          <w:tcPr>
            <w:tcW w:type="dxa" w:w="2064"/>
          </w:tcPr>
          <w:p>
            <w:r>
              <w:t>Challenger</w:t>
            </w:r>
          </w:p>
        </w:tc>
        <w:tc>
          <w:tcPr>
            <w:tcW w:type="dxa" w:w="2064"/>
          </w:tcPr>
          <w:p>
            <w:r>
              <w:t>虚假挑战消耗资源</w:t>
            </w:r>
          </w:p>
        </w:tc>
        <w:tc>
          <w:tcPr>
            <w:tcW w:type="dxa" w:w="2064"/>
          </w:tcPr>
          <w:p>
            <w:r>
              <w:t>保证金机制</w:t>
            </w:r>
          </w:p>
        </w:tc>
        <w:tc>
          <w:tcPr>
            <w:tcW w:type="dxa" w:w="2064"/>
          </w:tcPr>
          <w:p>
            <w:r>
              <w:t>挑战失败罚没保证金</w:t>
            </w:r>
          </w:p>
        </w:tc>
      </w:tr>
      <w:tr>
        <w:tc>
          <w:tcPr>
            <w:tcW w:type="dxa" w:w="2064"/>
          </w:tcPr>
          <w:p>
            <w:r>
              <w:t>Enclave故障</w:t>
            </w:r>
          </w:p>
        </w:tc>
        <w:tc>
          <w:tcPr>
            <w:tcW w:type="dxa" w:w="2064"/>
          </w:tcPr>
          <w:p>
            <w:r>
              <w:t>TEE平台</w:t>
            </w:r>
          </w:p>
        </w:tc>
        <w:tc>
          <w:tcPr>
            <w:tcW w:type="dxa" w:w="2064"/>
          </w:tcPr>
          <w:p>
            <w:r>
              <w:t>Quote伪造/MRENCLAVE篡改</w:t>
            </w:r>
          </w:p>
        </w:tc>
        <w:tc>
          <w:tcPr>
            <w:tcW w:type="dxa" w:w="2064"/>
          </w:tcPr>
          <w:p>
            <w:r>
              <w:t>链下DCAP验证+链上白名单</w:t>
            </w:r>
          </w:p>
        </w:tc>
        <w:tc>
          <w:tcPr>
            <w:tcW w:type="dxa" w:w="2064"/>
          </w:tcPr>
          <w:p>
            <w:r>
              <w:t>reject无效Quote</w:t>
            </w:r>
          </w:p>
        </w:tc>
      </w:tr>
      <w:tr>
        <w:tc>
          <w:tcPr>
            <w:tcW w:type="dxa" w:w="2064"/>
          </w:tcPr>
          <w:p>
            <w:r>
              <w:t>DA攻击</w:t>
            </w:r>
          </w:p>
        </w:tc>
        <w:tc>
          <w:tcPr>
            <w:tcW w:type="dxa" w:w="2064"/>
          </w:tcPr>
          <w:p>
            <w:r>
              <w:t>Proposer</w:t>
            </w:r>
          </w:p>
        </w:tc>
        <w:tc>
          <w:tcPr>
            <w:tcW w:type="dxa" w:w="2064"/>
          </w:tcPr>
          <w:p>
            <w:r>
              <w:t>bindDa后不fulfillDa</w:t>
            </w:r>
          </w:p>
        </w:tc>
        <w:tc>
          <w:tcPr>
            <w:tcW w:type="dxa" w:w="2064"/>
          </w:tcPr>
          <w:p>
            <w:r>
              <w:t>Blob承诺验证+超时检测</w:t>
            </w:r>
          </w:p>
        </w:tc>
        <w:tc>
          <w:tcPr>
            <w:tcW w:type="dxa" w:w="2064"/>
          </w:tcPr>
          <w:p>
            <w:r>
              <w:t>slashDa罚没100% (1 ether)</w:t>
            </w:r>
          </w:p>
        </w:tc>
      </w:tr>
      <w:tr>
        <w:tc>
          <w:tcPr>
            <w:tcW w:type="dxa" w:w="2064"/>
          </w:tcPr>
          <w:p>
            <w:r>
              <w:t>重放攻击</w:t>
            </w:r>
          </w:p>
        </w:tc>
        <w:tc>
          <w:tcPr>
            <w:tcW w:type="dxa" w:w="2064"/>
          </w:tcPr>
          <w:p>
            <w:r>
              <w:t>Attacker</w:t>
            </w:r>
          </w:p>
        </w:tc>
        <w:tc>
          <w:tcPr>
            <w:tcW w:type="dxa" w:w="2064"/>
          </w:tcPr>
          <w:p>
            <w:r>
              <w:t>重复提交旧承诺</w:t>
            </w:r>
          </w:p>
        </w:tc>
        <w:tc>
          <w:tcPr>
            <w:tcW w:type="dxa" w:w="2064"/>
          </w:tcPr>
          <w:p>
            <w:r>
              <w:t>nonce递增检查</w:t>
            </w:r>
          </w:p>
        </w:tc>
        <w:tc>
          <w:tcPr>
            <w:tcW w:type="dxa" w:w="2064"/>
          </w:tcPr>
          <w:p>
            <w:r>
              <w:t>拒绝旧nonce交易</w:t>
            </w:r>
          </w:p>
        </w:tc>
      </w:tr>
    </w:tbl>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lastRenderedPageBreak/>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pPr>
        <w:pStyle w:val="4"/>
      </w:pPr>
      <w:r/>
    </w:p>
    <w:p>
      <w:r/>
    </w:p>
    <w:tbl>
      <w:tblPr>
        <w:tblStyle w:val="af4"/>
        <w:tblW w:type="auto" w:w="0"/>
        <w:tblLook w:firstColumn="1" w:firstRow="1" w:lastColumn="0" w:lastRow="0" w:noHBand="0" w:noVBand="1" w:val="04A0"/>
      </w:tblPr>
      <w:tblGrid>
        <w:gridCol w:w="2579"/>
        <w:gridCol w:w="2579"/>
        <w:gridCol w:w="2579"/>
        <w:gridCol w:w="2579"/>
      </w:tblGrid>
      <w:tr>
        <w:tc>
          <w:tcPr>
            <w:tcW w:type="dxa" w:w="2579"/>
          </w:tcPr>
          <w:p>
            <w:r>
              <w:t>操作</w:t>
            </w:r>
          </w:p>
        </w:tc>
        <w:tc>
          <w:tcPr>
            <w:tcW w:type="dxa" w:w="2579"/>
          </w:tcPr>
          <w:p>
            <w:r>
              <w:t>角色</w:t>
            </w:r>
          </w:p>
        </w:tc>
        <w:tc>
          <w:tcPr>
            <w:tcW w:type="dxa" w:w="2579"/>
          </w:tcPr>
          <w:p>
            <w:r>
              <w:t>权限</w:t>
            </w:r>
          </w:p>
        </w:tc>
        <w:tc>
          <w:tcPr>
            <w:tcW w:type="dxa" w:w="2579"/>
          </w:tcPr>
          <w:p>
            <w:r>
              <w:t>测试用例</w:t>
            </w:r>
          </w:p>
        </w:tc>
      </w:tr>
      <w:tr>
        <w:tc>
          <w:tcPr>
            <w:tcW w:type="dxa" w:w="2579"/>
          </w:tcPr>
          <w:p>
            <w:r>
              <w:t>submit</w:t>
            </w:r>
          </w:p>
        </w:tc>
        <w:tc>
          <w:tcPr>
            <w:tcW w:type="dxa" w:w="2579"/>
          </w:tcPr>
          <w:p>
            <w:r>
              <w:t>Sequencer</w:t>
            </w:r>
          </w:p>
        </w:tc>
        <w:tc>
          <w:tcPr>
            <w:tcW w:type="dxa" w:w="2579"/>
          </w:tcPr>
          <w:p>
            <w:r>
              <w:t>必需角色</w:t>
            </w:r>
          </w:p>
        </w:tc>
        <w:tc>
          <w:tcPr>
            <w:tcW w:type="dxa" w:w="2579"/>
          </w:tcPr>
          <w:p>
            <w:r>
              <w:t>B01-B03</w:t>
            </w:r>
          </w:p>
        </w:tc>
      </w:tr>
      <w:tr>
        <w:tc>
          <w:tcPr>
            <w:tcW w:type="dxa" w:w="2579"/>
          </w:tcPr>
          <w:p>
            <w:r>
              <w:t>propose</w:t>
            </w:r>
          </w:p>
        </w:tc>
        <w:tc>
          <w:tcPr>
            <w:tcW w:type="dxa" w:w="2579"/>
          </w:tcPr>
          <w:p>
            <w:r>
              <w:t>Proposer</w:t>
            </w:r>
          </w:p>
        </w:tc>
        <w:tc>
          <w:tcPr>
            <w:tcW w:type="dxa" w:w="2579"/>
          </w:tcPr>
          <w:p>
            <w:r>
              <w:t>必需角色</w:t>
            </w:r>
          </w:p>
        </w:tc>
        <w:tc>
          <w:tcPr>
            <w:tcW w:type="dxa" w:w="2579"/>
          </w:tcPr>
          <w:p>
            <w:r>
              <w:t>B04-B06</w:t>
            </w:r>
          </w:p>
        </w:tc>
      </w:tr>
      <w:tr>
        <w:tc>
          <w:tcPr>
            <w:tcW w:type="dxa" w:w="2579"/>
          </w:tcPr>
          <w:p>
            <w:r>
              <w:t>challenge</w:t>
            </w:r>
          </w:p>
        </w:tc>
        <w:tc>
          <w:tcPr>
            <w:tcW w:type="dxa" w:w="2579"/>
          </w:tcPr>
          <w:p>
            <w:r>
              <w:t>Challenger</w:t>
            </w:r>
          </w:p>
        </w:tc>
        <w:tc>
          <w:tcPr>
            <w:tcW w:type="dxa" w:w="2579"/>
          </w:tcPr>
          <w:p>
            <w:r>
              <w:t>需保证金</w:t>
            </w:r>
          </w:p>
        </w:tc>
        <w:tc>
          <w:tcPr>
            <w:tcW w:type="dxa" w:w="2579"/>
          </w:tcPr>
          <w:p>
            <w:r>
              <w:t>C01-C05</w:t>
            </w:r>
          </w:p>
        </w:tc>
      </w:tr>
      <w:tr>
        <w:tc>
          <w:tcPr>
            <w:tcW w:type="dxa" w:w="2579"/>
          </w:tcPr>
          <w:p>
            <w:r>
              <w:t>respond</w:t>
            </w:r>
          </w:p>
        </w:tc>
        <w:tc>
          <w:tcPr>
            <w:tcW w:type="dxa" w:w="2579"/>
          </w:tcPr>
          <w:p>
            <w:r>
              <w:t>Proposer</w:t>
            </w:r>
          </w:p>
        </w:tc>
        <w:tc>
          <w:tcPr>
            <w:tcW w:type="dxa" w:w="2579"/>
          </w:tcPr>
          <w:p>
            <w:r>
              <w:t>超时窗口内</w:t>
            </w:r>
          </w:p>
        </w:tc>
        <w:tc>
          <w:tcPr>
            <w:tcW w:type="dxa" w:w="2579"/>
          </w:tcPr>
          <w:p>
            <w:r>
              <w:t>C06-C08</w:t>
            </w:r>
          </w:p>
        </w:tc>
      </w:tr>
      <w:tr>
        <w:tc>
          <w:tcPr>
            <w:tcW w:type="dxa" w:w="2579"/>
          </w:tcPr>
          <w:p>
            <w:r>
              <w:t>bisect</w:t>
            </w:r>
          </w:p>
        </w:tc>
        <w:tc>
          <w:tcPr>
            <w:tcW w:type="dxa" w:w="2579"/>
          </w:tcPr>
          <w:p>
            <w:r>
              <w:t>Both parties</w:t>
            </w:r>
          </w:p>
        </w:tc>
        <w:tc>
          <w:tcPr>
            <w:tcW w:type="dxa" w:w="2579"/>
          </w:tcPr>
          <w:p>
            <w:r>
              <w:t>双方交互</w:t>
            </w:r>
          </w:p>
        </w:tc>
        <w:tc>
          <w:tcPr>
            <w:tcW w:type="dxa" w:w="2579"/>
          </w:tcPr>
          <w:p>
            <w:r>
              <w:t>C09-C10</w:t>
            </w:r>
          </w:p>
        </w:tc>
      </w:tr>
      <w:tr>
        <w:tc>
          <w:tcPr>
            <w:tcW w:type="dxa" w:w="2579"/>
          </w:tcPr>
          <w:p>
            <w:r>
              <w:t>replay</w:t>
            </w:r>
          </w:p>
        </w:tc>
        <w:tc>
          <w:tcPr>
            <w:tcW w:type="dxa" w:w="2579"/>
          </w:tcPr>
          <w:p>
            <w:r>
              <w:t>Adjudicator</w:t>
            </w:r>
          </w:p>
        </w:tc>
        <w:tc>
          <w:tcPr>
            <w:tcW w:type="dxa" w:w="2579"/>
          </w:tcPr>
          <w:p>
            <w:r>
              <w:t>链上验证</w:t>
            </w:r>
          </w:p>
        </w:tc>
        <w:tc>
          <w:tcPr>
            <w:tcW w:type="dxa" w:w="2579"/>
          </w:tcPr>
          <w:p>
            <w:r>
              <w:t>C11</w:t>
            </w:r>
          </w:p>
        </w:tc>
      </w:tr>
      <w:tr>
        <w:tc>
          <w:tcPr>
            <w:tcW w:type="dxa" w:w="2579"/>
          </w:tcPr>
          <w:p>
            <w:r>
              <w:t>recover</w:t>
            </w:r>
          </w:p>
        </w:tc>
        <w:tc>
          <w:tcPr>
            <w:tcW w:type="dxa" w:w="2579"/>
          </w:tcPr>
          <w:p>
            <w:r>
              <w:t>Guardian</w:t>
            </w:r>
          </w:p>
        </w:tc>
        <w:tc>
          <w:tcPr>
            <w:tcW w:type="dxa" w:w="2579"/>
          </w:tcPr>
          <w:p>
            <w:r>
              <w:t>超时触发</w:t>
            </w:r>
          </w:p>
        </w:tc>
        <w:tc>
          <w:tcPr>
            <w:tcW w:type="dxa" w:w="2579"/>
          </w:tcPr>
          <w:p>
            <w:r>
              <w:t>C13-C14</w:t>
            </w:r>
          </w:p>
        </w:tc>
      </w:tr>
      <w:tr>
        <w:tc>
          <w:tcPr>
            <w:tcW w:type="dxa" w:w="2579"/>
          </w:tcPr>
          <w:p>
            <w:r>
              <w:t>adjudicate</w:t>
            </w:r>
          </w:p>
        </w:tc>
        <w:tc>
          <w:tcPr>
            <w:tcW w:type="dxa" w:w="2579"/>
          </w:tcPr>
          <w:p>
            <w:r>
              <w:t>Guardian</w:t>
            </w:r>
          </w:p>
        </w:tc>
        <w:tc>
          <w:tcPr>
            <w:tcW w:type="dxa" w:w="2579"/>
          </w:tcPr>
          <w:p>
            <w:r>
              <w:t>仅兜底路径</w:t>
            </w:r>
          </w:p>
        </w:tc>
        <w:tc>
          <w:tcPr>
            <w:tcW w:type="dxa" w:w="2579"/>
          </w:tcPr>
          <w:p>
            <w:r>
              <w:t>C15</w:t>
            </w:r>
          </w:p>
        </w:tc>
      </w:tr>
      <w:tr>
        <w:tc>
          <w:tcPr>
            <w:tcW w:type="dxa" w:w="2579"/>
          </w:tcPr>
          <w:p>
            <w:r>
              <w:t>bindDa</w:t>
            </w:r>
          </w:p>
        </w:tc>
        <w:tc>
          <w:tcPr>
            <w:tcW w:type="dxa" w:w="2579"/>
          </w:tcPr>
          <w:p>
            <w:r>
              <w:t>Proposer</w:t>
            </w:r>
          </w:p>
        </w:tc>
        <w:tc>
          <w:tcPr>
            <w:tcW w:type="dxa" w:w="2579"/>
          </w:tcPr>
          <w:p>
            <w:r>
              <w:t>propose 之前</w:t>
            </w:r>
          </w:p>
        </w:tc>
        <w:tc>
          <w:tcPr>
            <w:tcW w:type="dxa" w:w="2579"/>
          </w:tcPr>
          <w:p>
            <w:r>
              <w:t>C12</w:t>
            </w:r>
          </w:p>
        </w:tc>
      </w:tr>
      <w:tr>
        <w:tc>
          <w:tcPr>
            <w:tcW w:type="dxa" w:w="2579"/>
          </w:tcPr>
          <w:p>
            <w:r>
              <w:t>slashDa</w:t>
            </w:r>
          </w:p>
        </w:tc>
        <w:tc>
          <w:tcPr>
            <w:tcW w:type="dxa" w:w="2579"/>
          </w:tcPr>
          <w:p>
            <w:r>
              <w:t>任意人</w:t>
            </w:r>
          </w:p>
        </w:tc>
        <w:tc>
          <w:tcPr>
            <w:tcW w:type="dxa" w:w="2579"/>
          </w:tcPr>
          <w:p>
            <w:r>
              <w:t>DA 失败时</w:t>
            </w:r>
          </w:p>
        </w:tc>
        <w:tc>
          <w:tcPr>
            <w:tcW w:type="dxa" w:w="2579"/>
          </w:tcPr>
          <w:p>
            <w:r>
              <w:t>C12</w:t>
            </w:r>
          </w:p>
        </w:tc>
      </w:tr>
    </w:tbl>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r>
        <w:t xml:space="preserve">4.1.2  操作权限约束</w:t>
      </w:r>
    </w:p>
    <w:p>
      <w:r>
        <w:t xml:space="preserve">HTR采用基于角色的权限控制（RBAC），确保各操作仅能由授权角色执行。表8列出了主要操作的权限矩阵，包括Sequencer、Proposer、Challenger、Guardian等角色的权限分配。关键约束包括：submit仅Sequencer可调用，propose仅Proposer可调用，challenge需要保证金，recover和adjudicate仅Guardian可调用（兜底路径）。所有权限约束在StageB测试套件（B01-B14）中验证。</w:t>
      </w:r>
    </w:p>
    <w:p w14:paraId="129A8705" w14:textId="77777777" w:rsidR="00580E0B" w:rsidRDefault="00000000">
      <w:pPr>
        <w:spacing w:before="60" w:after="30" w:line="240" w:lineRule="auto"/>
        <w:ind w:firstLine="0"/>
        <w:jc w:val="left"/>
      </w:pPr>
      <w:r>
        <w:t>4.1.3  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w:t>
      </w:r>
      <w:r>
        <w:rPr>
          <w:sz w:val="20"/>
        </w:rPr>
        <w:t>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争议已知但无法重放和结算”的状态。可恢复挑战机制引入Guardian（观察节点）恢复路径，使挑战会话在异常场景下能够恢复推进，并重新回到可进行二分步骤、重放和结算的状态。这里需要区分活性与正确性：恢复操作恢复的是前者，而后续重放仍负责验证后者。</w:t>
      </w:r>
      <w:r>
        <w:rPr>
          <w:sz w:val="20"/>
        </w:rPr>
      </w:r>
      <w:r>
        <w:rPr>
          <w:sz w:val="20"/>
        </w:rPr>
      </w:r>
      <w:r>
        <w:rPr>
          <w:sz w:val="20"/>
        </w:rPr>
      </w:r>
      <w:r>
        <w:rPr>
          <w:sz w:val="20"/>
        </w:rPr>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Guardian（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t>4.1.4  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w:t>
      </w:r>
      <w:r>
        <w:rPr>
          <w:sz w:val="20"/>
        </w:rPr>
        <w:lastRenderedPageBreak/>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t>4.1.5  协议性质归纳</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4.1.5.1  挑战事实不变性</w:t>
      </w:r>
      <w:r>
        <w:rPr>
          <w:rFonts w:eastAsia="黑体"/>
          <w:b/>
          <w:bCs/>
          <w:sz w:val="21"/>
          <w:szCs w:val="21"/>
        </w:rPr>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4.1.5.2  安全性与活性分离</w:t>
      </w:r>
      <w:r>
        <w:rPr>
          <w:rFonts w:eastAsia="黑体"/>
          <w:b/>
          <w:bCs/>
          <w:sz w:val="21"/>
          <w:szCs w:val="21"/>
        </w:rPr>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w:t>
      </w:r>
      <w:r>
        <w:rPr>
          <w:sz w:val="20"/>
        </w:rPr>
        <w:t>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4.1.5.3  仲裁连续性</w:t>
      </w:r>
      <w:r>
        <w:rPr>
          <w:rFonts w:eastAsia="黑体"/>
          <w:b/>
          <w:bCs/>
          <w:sz w:val="21"/>
          <w:szCs w:val="21"/>
        </w:rPr>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Guardian（观察节点）调用恢复功能使超时会话回到可推进状态，从而继续二分缩小、重放和结算。实验结果表明，在当前原型设定下，恢复机制能够将超时停滞转化为可继续推进的仲裁流程。</w:t>
      </w:r>
    </w:p>
    <w:p>
      <w:pPr/>
      <w:r>
        <w:t>4.1.5.4  恢复操作正确性</w:t>
      </w:r>
    </w:p>
    <w:p>
      <w:pPr/>
      <w:r>
        <w:t>恢复操作正确性要求：若 Recover(cs)=cs'，则 Facts(cs)=Facts(cs')，且 cs' 处于可继续二分、重放或结算的活性状态。换言之，恢复不得改写状态根、DA 根、负载哈希、执行轨迹或重放证据，也不得将错误提交“洗白”为正确；它只消除超时造成的流程停滞。本文以状态转移表与不变量校验（INV1–INV7）支撑该性质，并明确标注其为协议层不变量检查，而非 TLA+/Kani/Certora 等机器可检验形式化证明。</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w:t>
      </w:r>
      <w:r>
        <w:rPr>
          <w:sz w:val="20"/>
        </w:rPr>
        <w:lastRenderedPageBreak/>
        <w:t>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4EAC2233"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41E11569"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lastRenderedPageBreak/>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54674178"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w:t>
      </w:r>
      <w:r>
        <w:rPr>
          <w:sz w:val="20"/>
        </w:rPr>
        <w:t>销。</w:t>
      </w:r>
    </w:p>
    <w:p w14:paraId="39807727" w14:textId="66D592AE"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按故障类型区分闭环程度：响应篡改与轨迹长度不匹配在当前原型中可检测、可恢复、可重放并可罚没；DA 不可用已通过 bindDa/fulfillDa/slashDa 形成罚没闭环（测试 C12，罚没 1 ether），但披露检查的是 dataHash 原像而非 EIP-4844 点值证明，且公网 Blob 广播仍未完成；远程证明无效可在协议层检测，链上罚没仍依赖 DCAP 验证集成（当前 blocked）；超时不可恢复场景体现为检测但无法完成仲裁，超时可恢复场景则形成完整闭环。</w:t>
      </w:r>
      <w:r>
        <w:rPr>
          <w:sz w:val="20"/>
        </w:rPr>
      </w:r>
      <w:r>
        <w:rPr>
          <w:sz w:val="20"/>
        </w:rPr>
      </w:r>
    </w:p>
    <w:p>
      <w:r>
        <w:t>表9列出了HTR系统中7类主要故障的检测方式、可恢复性、可重放性、罚没机制及对应测试用例。特别地，DA不可用故障（测试用例C12）通过slashDa实施100%罚没（1 ether），这是最严厉的惩罚措施，因为DA失败会导致整个系统无法恢复状态。Guardian离线不触发罚没，但会影响系统活性；Adjudicate失败会导致系统暂停，需人工介入。</w:t>
      </w:r>
    </w:p>
    <w:tbl>
      <w:tblPr>
        <w:tblStyle w:val="af4"/>
        <w:tblW w:type="auto" w:w="0"/>
        <w:tblLook w:firstColumn="1" w:firstRow="1" w:lastColumn="0" w:lastRow="0" w:noHBand="0" w:noVBand="1" w:val="04A0"/>
      </w:tblPr>
      <w:tblGrid>
        <w:gridCol w:w="1720"/>
        <w:gridCol w:w="1720"/>
        <w:gridCol w:w="1720"/>
        <w:gridCol w:w="1720"/>
        <w:gridCol w:w="1720"/>
        <w:gridCol w:w="1720"/>
      </w:tblGrid>
      <w:tr>
        <w:tc>
          <w:tcPr>
            <w:tcW w:type="dxa" w:w="1720"/>
          </w:tcPr>
          <w:p>
            <w:r>
              <w:t>故障类型</w:t>
            </w:r>
          </w:p>
        </w:tc>
        <w:tc>
          <w:tcPr>
            <w:tcW w:type="dxa" w:w="1720"/>
          </w:tcPr>
          <w:p>
            <w:r>
              <w:t>检测方式</w:t>
            </w:r>
          </w:p>
        </w:tc>
        <w:tc>
          <w:tcPr>
            <w:tcW w:type="dxa" w:w="1720"/>
          </w:tcPr>
          <w:p>
            <w:r>
              <w:t>可恢复</w:t>
            </w:r>
          </w:p>
        </w:tc>
        <w:tc>
          <w:tcPr>
            <w:tcW w:type="dxa" w:w="1720"/>
          </w:tcPr>
          <w:p>
            <w:r>
              <w:t>可重放</w:t>
            </w:r>
          </w:p>
        </w:tc>
        <w:tc>
          <w:tcPr>
            <w:tcW w:type="dxa" w:w="1720"/>
          </w:tcPr>
          <w:p>
            <w:r>
              <w:t>罚没</w:t>
            </w:r>
          </w:p>
        </w:tc>
        <w:tc>
          <w:tcPr>
            <w:tcW w:type="dxa" w:w="1720"/>
          </w:tcPr>
          <w:p>
            <w:r>
              <w:t>测试用例</w:t>
            </w:r>
          </w:p>
        </w:tc>
      </w:tr>
      <w:tr>
        <w:tc>
          <w:tcPr>
            <w:tcW w:type="dxa" w:w="1720"/>
          </w:tcPr>
          <w:p>
            <w:r>
              <w:t>状态根不一致</w:t>
            </w:r>
          </w:p>
        </w:tc>
        <w:tc>
          <w:tcPr>
            <w:tcW w:type="dxa" w:w="1720"/>
          </w:tcPr>
          <w:p>
            <w:r>
              <w:t>Off-chain verify</w:t>
            </w:r>
          </w:p>
        </w:tc>
        <w:tc>
          <w:tcPr>
            <w:tcW w:type="dxa" w:w="1720"/>
          </w:tcPr>
          <w:p>
            <w:r>
              <w:t>✓</w:t>
            </w:r>
          </w:p>
        </w:tc>
        <w:tc>
          <w:tcPr>
            <w:tcW w:type="dxa" w:w="1720"/>
          </w:tcPr>
          <w:p>
            <w:r>
              <w:t>✓</w:t>
            </w:r>
          </w:p>
        </w:tc>
        <w:tc>
          <w:tcPr>
            <w:tcW w:type="dxa" w:w="1720"/>
          </w:tcPr>
          <w:p>
            <w:r>
              <w:t>Challenge deposit</w:t>
            </w:r>
          </w:p>
        </w:tc>
        <w:tc>
          <w:tcPr>
            <w:tcW w:type="dxa" w:w="1720"/>
          </w:tcPr>
          <w:p>
            <w:r>
              <w:t>C01-C03</w:t>
            </w:r>
          </w:p>
        </w:tc>
      </w:tr>
      <w:tr>
        <w:tc>
          <w:tcPr>
            <w:tcW w:type="dxa" w:w="1720"/>
          </w:tcPr>
          <w:p>
            <w:r>
              <w:t>超时未响应</w:t>
            </w:r>
          </w:p>
        </w:tc>
        <w:tc>
          <w:tcPr>
            <w:tcW w:type="dxa" w:w="1720"/>
          </w:tcPr>
          <w:p>
            <w:r>
              <w:t>Timeout event</w:t>
            </w:r>
          </w:p>
        </w:tc>
        <w:tc>
          <w:tcPr>
            <w:tcW w:type="dxa" w:w="1720"/>
          </w:tcPr>
          <w:p>
            <w:r>
              <w:t>✓</w:t>
            </w:r>
          </w:p>
        </w:tc>
        <w:tc>
          <w:tcPr>
            <w:tcW w:type="dxa" w:w="1720"/>
          </w:tcPr>
          <w:p>
            <w:r>
              <w:t>✓</w:t>
            </w:r>
          </w:p>
        </w:tc>
        <w:tc>
          <w:tcPr>
            <w:tcW w:type="dxa" w:w="1720"/>
          </w:tcPr>
          <w:p>
            <w:r>
              <w:t>Proposer deposit</w:t>
            </w:r>
          </w:p>
        </w:tc>
        <w:tc>
          <w:tcPr>
            <w:tcW w:type="dxa" w:w="1720"/>
          </w:tcPr>
          <w:p>
            <w:r>
              <w:t>C04-C05</w:t>
            </w:r>
          </w:p>
        </w:tc>
      </w:tr>
      <w:tr>
        <w:tc>
          <w:tcPr>
            <w:tcW w:type="dxa" w:w="1720"/>
          </w:tcPr>
          <w:p>
            <w:r>
              <w:t>二分定位失败</w:t>
            </w:r>
          </w:p>
        </w:tc>
        <w:tc>
          <w:tcPr>
            <w:tcW w:type="dxa" w:w="1720"/>
          </w:tcPr>
          <w:p>
            <w:r>
              <w:t>Bisect timeout</w:t>
            </w:r>
          </w:p>
        </w:tc>
        <w:tc>
          <w:tcPr>
            <w:tcW w:type="dxa" w:w="1720"/>
          </w:tcPr>
          <w:p>
            <w:r>
              <w:t>✓</w:t>
            </w:r>
          </w:p>
        </w:tc>
        <w:tc>
          <w:tcPr>
            <w:tcW w:type="dxa" w:w="1720"/>
          </w:tcPr>
          <w:p>
            <w:r>
              <w:t>✓</w:t>
            </w:r>
          </w:p>
        </w:tc>
        <w:tc>
          <w:tcPr>
            <w:tcW w:type="dxa" w:w="1720"/>
          </w:tcPr>
          <w:p>
            <w:r>
              <w:t>Both deposits</w:t>
            </w:r>
          </w:p>
        </w:tc>
        <w:tc>
          <w:tcPr>
            <w:tcW w:type="dxa" w:w="1720"/>
          </w:tcPr>
          <w:p>
            <w:r>
              <w:t>C06-C08</w:t>
            </w:r>
          </w:p>
        </w:tc>
      </w:tr>
      <w:tr>
        <w:tc>
          <w:tcPr>
            <w:tcW w:type="dxa" w:w="1720"/>
          </w:tcPr>
          <w:p>
            <w:r>
              <w:t>重放验证失败</w:t>
            </w:r>
          </w:p>
        </w:tc>
        <w:tc>
          <w:tcPr>
            <w:tcW w:type="dxa" w:w="1720"/>
          </w:tcPr>
          <w:p>
            <w:r>
              <w:t>On-chain replay</w:t>
            </w:r>
          </w:p>
        </w:tc>
        <w:tc>
          <w:tcPr>
            <w:tcW w:type="dxa" w:w="1720"/>
          </w:tcPr>
          <w:p>
            <w:r>
              <w:t>✗</w:t>
            </w:r>
          </w:p>
        </w:tc>
        <w:tc>
          <w:tcPr>
            <w:tcW w:type="dxa" w:w="1720"/>
          </w:tcPr>
          <w:p>
            <w:r>
              <w:t>✓</w:t>
            </w:r>
          </w:p>
        </w:tc>
        <w:tc>
          <w:tcPr>
            <w:tcW w:type="dxa" w:w="1720"/>
          </w:tcPr>
          <w:p>
            <w:r>
              <w:t>Proposer deposit</w:t>
            </w:r>
          </w:p>
        </w:tc>
        <w:tc>
          <w:tcPr>
            <w:tcW w:type="dxa" w:w="1720"/>
          </w:tcPr>
          <w:p>
            <w:r>
              <w:t>C09-C11</w:t>
            </w:r>
          </w:p>
        </w:tc>
      </w:tr>
      <w:tr>
        <w:tc>
          <w:tcPr>
            <w:tcW w:type="dxa" w:w="1720"/>
          </w:tcPr>
          <w:p>
            <w:r>
              <w:t>DA不可用</w:t>
            </w:r>
          </w:p>
        </w:tc>
        <w:tc>
          <w:tcPr>
            <w:tcW w:type="dxa" w:w="1720"/>
          </w:tcPr>
          <w:p>
            <w:r>
              <w:t>Blob proof verify</w:t>
            </w:r>
          </w:p>
        </w:tc>
        <w:tc>
          <w:tcPr>
            <w:tcW w:type="dxa" w:w="1720"/>
          </w:tcPr>
          <w:p>
            <w:r>
              <w:t>✓</w:t>
            </w:r>
          </w:p>
        </w:tc>
        <w:tc>
          <w:tcPr>
            <w:tcW w:type="dxa" w:w="1720"/>
          </w:tcPr>
          <w:p>
            <w:r>
              <w:t>✗</w:t>
            </w:r>
          </w:p>
        </w:tc>
        <w:tc>
          <w:tcPr>
            <w:tcW w:type="dxa" w:w="1720"/>
          </w:tcPr>
          <w:p>
            <w:r>
              <w:t>100% (1 ether)</w:t>
            </w:r>
          </w:p>
        </w:tc>
        <w:tc>
          <w:tcPr>
            <w:tcW w:type="dxa" w:w="1720"/>
          </w:tcPr>
          <w:p>
            <w:r>
              <w:t>C12</w:t>
            </w:r>
          </w:p>
        </w:tc>
      </w:tr>
      <w:tr>
        <w:tc>
          <w:tcPr>
            <w:tcW w:type="dxa" w:w="1720"/>
          </w:tcPr>
          <w:p>
            <w:r>
              <w:t>Guardian离线</w:t>
            </w:r>
          </w:p>
        </w:tc>
        <w:tc>
          <w:tcPr>
            <w:tcW w:type="dxa" w:w="1720"/>
          </w:tcPr>
          <w:p>
            <w:r>
              <w:t>Heartbeat</w:t>
            </w:r>
          </w:p>
        </w:tc>
        <w:tc>
          <w:tcPr>
            <w:tcW w:type="dxa" w:w="1720"/>
          </w:tcPr>
          <w:p>
            <w:r>
              <w:t>✓</w:t>
            </w:r>
          </w:p>
        </w:tc>
        <w:tc>
          <w:tcPr>
            <w:tcW w:type="dxa" w:w="1720"/>
          </w:tcPr>
          <w:p>
            <w:r>
              <w:t>✓</w:t>
            </w:r>
          </w:p>
        </w:tc>
        <w:tc>
          <w:tcPr>
            <w:tcW w:type="dxa" w:w="1720"/>
          </w:tcPr>
          <w:p>
            <w:r>
              <w:t>No slash</w:t>
            </w:r>
          </w:p>
        </w:tc>
        <w:tc>
          <w:tcPr>
            <w:tcW w:type="dxa" w:w="1720"/>
          </w:tcPr>
          <w:p>
            <w:r>
              <w:t>C13-C14</w:t>
            </w:r>
          </w:p>
        </w:tc>
      </w:tr>
      <w:tr>
        <w:tc>
          <w:tcPr>
            <w:tcW w:type="dxa" w:w="1720"/>
          </w:tcPr>
          <w:p>
            <w:r>
              <w:t>Adjudicate失败</w:t>
            </w:r>
          </w:p>
        </w:tc>
        <w:tc>
          <w:tcPr>
            <w:tcW w:type="dxa" w:w="1720"/>
          </w:tcPr>
          <w:p>
            <w:r>
              <w:t>Revert detection</w:t>
            </w:r>
          </w:p>
        </w:tc>
        <w:tc>
          <w:tcPr>
            <w:tcW w:type="dxa" w:w="1720"/>
          </w:tcPr>
          <w:p>
            <w:r>
              <w:t>✗</w:t>
            </w:r>
          </w:p>
        </w:tc>
        <w:tc>
          <w:tcPr>
            <w:tcW w:type="dxa" w:w="1720"/>
          </w:tcPr>
          <w:p>
            <w:r>
              <w:t>✓</w:t>
            </w:r>
          </w:p>
        </w:tc>
        <w:tc>
          <w:tcPr>
            <w:tcW w:type="dxa" w:w="1720"/>
          </w:tcPr>
          <w:p>
            <w:r>
              <w:t>System halt</w:t>
            </w:r>
          </w:p>
        </w:tc>
        <w:tc>
          <w:tcPr>
            <w:tcW w:type="dxa" w:w="1720"/>
          </w:tcPr>
          <w:p>
            <w:r>
              <w:t>C15</w:t>
            </w:r>
          </w:p>
        </w:tc>
      </w:tr>
    </w:tbl>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pPr>
        <w:pStyle w:val="4"/>
      </w:pPr>
      <w:r>
        <w:t>5.4.1  真实SGX DCAP验证（StageH）</w:t>
      </w:r>
    </w:p>
    <w:p>
      <w:r>
        <w:t>DA 罚没闭环验证：本地 Hardhat 测试（evm/test/BlobDaChallenge.test.js）验证了 bindDa/fulfillDa/slashDa 完整流程。关键数据：①fulfillDa（原像正确披露）gas 104432，finalize gas 65406，DA bond 返还；②slashDa（超时未披露）gas 91266（与 StageC C12 测试一致），1 ether burned。资金守恒验证通过：正交义务设计允许任务计算正确但 DA 披露失败时分别裁决（submitter 可赢得挑战 bond 但失去 DA bond）。边界：验证的是 keccak256(payload)==dataHash 原像披露，非 EIP-4844 点值预编译（0x0a）强绑定。</w:t>
      </w:r>
    </w:p>
    <w:p>
      <w:r>
        <w:t>公网 Blob 验证：在 Sepolia 网络成功发布 type-3 Blob 交易 0x3ad90ecfdf5930c1bf611223af76196e54fbc74af0f9c9924de9dc523681d340（区块 11932953，Beacon slot 11374267），锚定合约 BlobBatchAnchor 地址 0x083e9280AC8b5933060C55Dd189A52A3981248c9。批次包含 8 任务 × 8 KiB，versioned hash 0x010a35506f6b45b2d022aac9ecca1c4e2631ca12d6b0c07f6cb3d195c3985493。执行 gas 692029，blob gas 131072，符合 Osaka 升级后 type-3 交易格式。独立从 Beacon API 按 slot 和 versioned hash 取回 131072 字节，重新计算 KZG commitment 得到相同 versioned hash（kzgVerify=true）。Challenge/settlement 闭环需部署 BlobBatchAnchor 和 BoundedTaskRollup 集成，当前受限于 Sepolia 资金账户（需约 2 ETH 用于 bond 和 gas）。</w:t>
      </w:r>
    </w:p>
    <w:p>
      <w:r>
        <w:t>Automata DCAP 链上验证：通过 Sepolia 合约 0x27188ABA3a26CBb806eF4C67de9b05D7d792EC10 进行 live eth_call 验证真实 SGX Quote（fork block 11935048）。验证结果：4 个真实 Quote（4734 bytes，version 3）通过验证，TCB Status 5（OUT_OF_DATE_CONFIGURATION_NEEDED），gas estimate ~5.1M；1 个篡改 Quote revert。MRENCLAVE 0x1967faaa87ab6290f8a9955fc6808899c0be7047541ea4aab82209b3e40d6d37，FMSPC 0x00606a000000。边界：TCB Status 5 表示配置过时但功能正常，生产环境需 Status 0（UP_TO_DATE）或 1（SW_HARDENING_NEEDED），需 release Enclave + 生产 PCS 连接；Automata 验证结果尚未接入 BoundedTaskRollup 罚没路径。</w:t>
      </w:r>
    </w:p>
    <w:p>
      <w:r>
        <w:t>为验证HTR在真实TEE环境中的可行性，本文使用Intel SGX DCAP进行了Quote生成和链外验证实验（StageH，2026-10-17）。实验平台为Intel Xeon E-2288G（支持SGX2），运行Ubuntu 22.04与Intel SGX SDK 2.26。表10总结了真实SGX Quote的关键参数与验证结果。</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指标</w:t>
            </w:r>
          </w:p>
        </w:tc>
        <w:tc>
          <w:tcPr>
            <w:tcW w:type="dxa" w:w="2064"/>
          </w:tcPr>
          <w:p>
            <w:r>
              <w:t>StageH实测值</w:t>
            </w:r>
          </w:p>
        </w:tc>
        <w:tc>
          <w:tcPr>
            <w:tcW w:type="dxa" w:w="2064"/>
          </w:tcPr>
          <w:p>
            <w:r>
              <w:t>验证方式</w:t>
            </w:r>
          </w:p>
        </w:tc>
        <w:tc>
          <w:tcPr>
            <w:tcW w:type="dxa" w:w="2064"/>
          </w:tcPr>
          <w:p>
            <w:r>
              <w:t>TCB状态</w:t>
            </w:r>
          </w:p>
        </w:tc>
        <w:tc>
          <w:tcPr>
            <w:tcW w:type="dxa" w:w="2064"/>
          </w:tcPr>
          <w:p>
            <w:r>
              <w:t>备注</w:t>
            </w:r>
          </w:p>
        </w:tc>
      </w:tr>
      <w:tr>
        <w:tc>
          <w:tcPr>
            <w:tcW w:type="dxa" w:w="2064"/>
          </w:tcPr>
          <w:p>
            <w:r>
              <w:t>Quote类型</w:t>
            </w:r>
          </w:p>
        </w:tc>
        <w:tc>
          <w:tcPr>
            <w:tcW w:type="dxa" w:w="2064"/>
          </w:tcPr>
          <w:p>
            <w:r>
              <w:t>ECDSA-P256 DCAP</w:t>
            </w:r>
          </w:p>
        </w:tc>
        <w:tc>
          <w:tcPr>
            <w:tcW w:type="dxa" w:w="2064"/>
          </w:tcPr>
          <w:p>
            <w:r>
              <w:t>Intel DCAP v1.21</w:t>
            </w:r>
          </w:p>
        </w:tc>
        <w:tc>
          <w:tcPr>
            <w:tcW w:type="dxa" w:w="2064"/>
          </w:tcPr>
          <w:p>
            <w:r>
              <w:t>0xA003</w:t>
            </w:r>
          </w:p>
        </w:tc>
        <w:tc>
          <w:tcPr>
            <w:tcW w:type="dxa" w:w="2064"/>
          </w:tcPr>
          <w:p>
            <w:r>
              <w:t>OUT_OF_DATE_CONFIG_NEEDED</w:t>
            </w:r>
          </w:p>
        </w:tc>
      </w:tr>
      <w:tr>
        <w:tc>
          <w:tcPr>
            <w:tcW w:type="dxa" w:w="2064"/>
          </w:tcPr>
          <w:p>
            <w:r>
              <w:t>MRENCLAVE</w:t>
            </w:r>
          </w:p>
        </w:tc>
        <w:tc>
          <w:tcPr>
            <w:tcW w:type="dxa" w:w="2064"/>
          </w:tcPr>
          <w:p>
            <w:r>
              <w:t>1967faaa.../76f38bb2...</w:t>
            </w:r>
          </w:p>
        </w:tc>
        <w:tc>
          <w:tcPr>
            <w:tcW w:type="dxa" w:w="2064"/>
          </w:tcPr>
          <w:p>
            <w:r>
              <w:t>On-chain whitelist</w:t>
            </w:r>
          </w:p>
        </w:tc>
        <w:tc>
          <w:tcPr>
            <w:tcW w:type="dxa" w:w="2064"/>
          </w:tcPr>
          <w:p>
            <w:r>
              <w:t>Valid</w:t>
            </w:r>
          </w:p>
        </w:tc>
        <w:tc>
          <w:tcPr>
            <w:tcW w:type="dxa" w:w="2064"/>
          </w:tcPr>
          <w:p>
            <w:r>
              <w:t>2个不同构建</w:t>
            </w:r>
          </w:p>
        </w:tc>
      </w:tr>
      <w:tr>
        <w:tc>
          <w:tcPr>
            <w:tcW w:type="dxa" w:w="2064"/>
          </w:tcPr>
          <w:p>
            <w:r>
              <w:t>Hash链性能(4步)</w:t>
            </w:r>
          </w:p>
        </w:tc>
        <w:tc>
          <w:tcPr>
            <w:tcW w:type="dxa" w:w="2064"/>
          </w:tcPr>
          <w:p>
            <w:r>
              <w:t>0.057ms (Enclave内)</w:t>
            </w:r>
          </w:p>
        </w:tc>
        <w:tc>
          <w:tcPr>
            <w:tcW w:type="dxa" w:w="2064"/>
          </w:tcPr>
          <w:p>
            <w:r>
              <w:t>rdtsc测量</w:t>
            </w:r>
          </w:p>
        </w:tc>
        <w:tc>
          <w:tcPr>
            <w:tcW w:type="dxa" w:w="2064"/>
          </w:tcPr>
          <w:p>
            <w:r>
              <w:t>N/A</w:t>
            </w:r>
          </w:p>
        </w:tc>
        <w:tc>
          <w:tcPr>
            <w:tcW w:type="dxa" w:w="2064"/>
          </w:tcPr>
          <w:p>
            <w:r>
              <w:t>vs宿主0.021ms</w:t>
            </w:r>
          </w:p>
        </w:tc>
      </w:tr>
      <w:tr>
        <w:tc>
          <w:tcPr>
            <w:tcW w:type="dxa" w:w="2064"/>
          </w:tcPr>
          <w:p>
            <w:r>
              <w:t>Hash链性能(128步)</w:t>
            </w:r>
          </w:p>
        </w:tc>
        <w:tc>
          <w:tcPr>
            <w:tcW w:type="dxa" w:w="2064"/>
          </w:tcPr>
          <w:p>
            <w:r>
              <w:t>0.497ms (Enclave内)</w:t>
            </w:r>
          </w:p>
        </w:tc>
        <w:tc>
          <w:tcPr>
            <w:tcW w:type="dxa" w:w="2064"/>
          </w:tcPr>
          <w:p>
            <w:r>
              <w:t>rdtsc测量</w:t>
            </w:r>
          </w:p>
        </w:tc>
        <w:tc>
          <w:tcPr>
            <w:tcW w:type="dxa" w:w="2064"/>
          </w:tcPr>
          <w:p>
            <w:r>
              <w:t>N/A</w:t>
            </w:r>
          </w:p>
        </w:tc>
        <w:tc>
          <w:tcPr>
            <w:tcW w:type="dxa" w:w="2064"/>
          </w:tcPr>
          <w:p>
            <w:r>
              <w:t>vs宿主0.305ms，开销63%</w:t>
            </w:r>
          </w:p>
        </w:tc>
      </w:tr>
    </w:tbl>
    <w:p>
      <w:r>
        <w:t>性能测试显示：Enclave内执行4步哈希链（模拟紧凑承诺）耗时0.057ms，128步耗时0.497ms，相比宿主进程（0.305ms for 128步）开销为63%。链上验证Quote的EVM gas成本为：4步94,123 gas，128步166,402 gas（含staticcall至可信验证合约）。</w:t>
      </w:r>
    </w:p>
    <w:p>
      <w:r>
        <w:t>验证边界：当前实验基于本地DCAP验证服务（PCCS），未连接Intel生产PCS；TCB状态为OUT_OF_DATE_CONFIG_NEEDED（0xA003），说明Quote真实但TCB需更新。本文Enclave为debug模式（调试用），生产部署需使用release模式并配合链上MRENCLAVE白名单。此外，当前实验未实现主网Blob发布（仅本地Hardhat模拟），也未实现跨链Quote验证集成。</w:t>
      </w:r>
    </w:p>
    <w:p>
      <w:pPr>
        <w:pStyle w:val="3"/>
      </w:pPr>
      <w:r>
        <w:t>5.5  同模型机制对照（G-L1实验）</w:t>
      </w:r>
    </w:p>
    <w:p>
      <w:r>
        <w:t>为量化HTR兜底机制的必要性，本文设计了G-L1机制对照实验：在完全相同的博弈模型和任务集下，对比无adjudicate兜底（baseline）与有adjudicate兜底（HTR）时的系统行为。实验包含30个Submitter离线场景（每场景7笔任务），记录完整的正确终局率、Gas成本和延迟分布。下表总结了关键指标的对比结果。注：本实验为同设定Hardhat本地合成负载，禁止进行不公平的跨协议百分比对比。</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rPr>
                <w:b/>
              </w:rPr>
              <w:t>指标</w:t>
            </w:r>
          </w:p>
        </w:tc>
        <w:tc>
          <w:tcPr>
            <w:tcW w:type="dxa" w:w="2064"/>
          </w:tcPr>
          <w:p>
            <w:r>
              <w:rPr>
                <w:b/>
              </w:rPr>
              <w:t>无兜底（baseline）</w:t>
            </w:r>
          </w:p>
        </w:tc>
        <w:tc>
          <w:tcPr>
            <w:tcW w:type="dxa" w:w="2064"/>
          </w:tcPr>
          <w:p>
            <w:r>
              <w:rPr>
                <w:b/>
              </w:rPr>
              <w:t>有兜底（HTR）</w:t>
            </w:r>
          </w:p>
        </w:tc>
        <w:tc>
          <w:tcPr>
            <w:tcW w:type="dxa" w:w="2064"/>
          </w:tcPr>
          <w:p>
            <w:r>
              <w:rPr>
                <w:b/>
              </w:rPr>
              <w:t>差异</w:t>
            </w:r>
          </w:p>
        </w:tc>
        <w:tc>
          <w:tcPr>
            <w:tcW w:type="dxa" w:w="2064"/>
          </w:tcPr>
          <w:p>
            <w:r>
              <w:rPr>
                <w:b/>
              </w:rPr>
              <w:t>说明</w:t>
            </w:r>
          </w:p>
        </w:tc>
      </w:tr>
      <w:tr>
        <w:tc>
          <w:tcPr>
            <w:tcW w:type="dxa" w:w="2064"/>
          </w:tcPr>
          <w:p>
            <w:r>
              <w:t>正确终局率</w:t>
            </w:r>
          </w:p>
        </w:tc>
        <w:tc>
          <w:tcPr>
            <w:tcW w:type="dxa" w:w="2064"/>
          </w:tcPr>
          <w:p>
            <w:r>
              <w:t>0/30</w:t>
            </w:r>
          </w:p>
        </w:tc>
        <w:tc>
          <w:tcPr>
            <w:tcW w:type="dxa" w:w="2064"/>
          </w:tcPr>
          <w:p>
            <w:r>
              <w:t>30/30</w:t>
            </w:r>
          </w:p>
        </w:tc>
        <w:tc>
          <w:tcPr>
            <w:tcW w:type="dxa" w:w="2064"/>
          </w:tcPr>
          <w:p>
            <w:r>
              <w:t>+30</w:t>
            </w:r>
          </w:p>
        </w:tc>
        <w:tc>
          <w:tcPr>
            <w:tcW w:type="dxa" w:w="2064"/>
          </w:tcPr>
          <w:p>
            <w:r>
              <w:t>Submitter离线场景</w:t>
            </w:r>
          </w:p>
        </w:tc>
      </w:tr>
      <w:tr>
        <w:tc>
          <w:tcPr>
            <w:tcW w:type="dxa" w:w="2064"/>
          </w:tcPr>
          <w:p>
            <w:r>
              <w:t>平均Gas</w:t>
            </w:r>
          </w:p>
        </w:tc>
        <w:tc>
          <w:tcPr>
            <w:tcW w:type="dxa" w:w="2064"/>
          </w:tcPr>
          <w:p>
            <w:r>
              <w:t>127,653</w:t>
            </w:r>
          </w:p>
        </w:tc>
        <w:tc>
          <w:tcPr>
            <w:tcW w:type="dxa" w:w="2064"/>
          </w:tcPr>
          <w:p>
            <w:r>
              <w:t>187,345</w:t>
            </w:r>
          </w:p>
        </w:tc>
        <w:tc>
          <w:tcPr>
            <w:tcW w:type="dxa" w:w="2064"/>
          </w:tcPr>
          <w:p>
            <w:r>
              <w:t>+47%</w:t>
            </w:r>
          </w:p>
        </w:tc>
        <w:tc>
          <w:tcPr>
            <w:tcW w:type="dxa" w:w="2064"/>
          </w:tcPr>
          <w:p>
            <w:r>
              <w:t>recover+adjudicate开销</w:t>
            </w:r>
          </w:p>
        </w:tc>
      </w:tr>
      <w:tr>
        <w:tc>
          <w:tcPr>
            <w:tcW w:type="dxa" w:w="2064"/>
          </w:tcPr>
          <w:p>
            <w:r>
              <w:t>延迟（中位数）</w:t>
            </w:r>
          </w:p>
        </w:tc>
        <w:tc>
          <w:tcPr>
            <w:tcW w:type="dxa" w:w="2064"/>
          </w:tcPr>
          <w:p>
            <w:r>
              <w:t>7.3ms</w:t>
            </w:r>
          </w:p>
        </w:tc>
        <w:tc>
          <w:tcPr>
            <w:tcW w:type="dxa" w:w="2064"/>
          </w:tcPr>
          <w:p>
            <w:r>
              <w:t>12.6ms</w:t>
            </w:r>
          </w:p>
        </w:tc>
        <w:tc>
          <w:tcPr>
            <w:tcW w:type="dxa" w:w="2064"/>
          </w:tcPr>
          <w:p>
            <w:r>
              <w:t>+72%</w:t>
            </w:r>
          </w:p>
        </w:tc>
        <w:tc>
          <w:tcPr>
            <w:tcW w:type="dxa" w:w="2064"/>
          </w:tcPr>
          <w:p>
            <w:r>
              <w:t>超时等待+重算</w:t>
            </w:r>
          </w:p>
        </w:tc>
      </w:tr>
      <w:tr>
        <w:tc>
          <w:tcPr>
            <w:tcW w:type="dxa" w:w="2064"/>
          </w:tcPr>
          <w:p>
            <w:r>
              <w:t>测试场景数</w:t>
            </w:r>
          </w:p>
        </w:tc>
        <w:tc>
          <w:tcPr>
            <w:tcW w:type="dxa" w:w="2064"/>
          </w:tcPr>
          <w:p>
            <w:r>
              <w:t>30</w:t>
            </w:r>
          </w:p>
        </w:tc>
        <w:tc>
          <w:tcPr>
            <w:tcW w:type="dxa" w:w="2064"/>
          </w:tcPr>
          <w:p>
            <w:r>
              <w:t>30</w:t>
            </w:r>
          </w:p>
        </w:tc>
        <w:tc>
          <w:tcPr>
            <w:tcW w:type="dxa" w:w="2064"/>
          </w:tcPr>
          <w:p>
            <w:r>
              <w:t>—</w:t>
            </w:r>
          </w:p>
        </w:tc>
        <w:tc>
          <w:tcPr>
            <w:tcW w:type="dxa" w:w="2064"/>
          </w:tcPr>
          <w:p>
            <w:r>
              <w:t>每场景7笔任务</w:t>
            </w:r>
          </w:p>
        </w:tc>
      </w:tr>
      <w:tr>
        <w:tc>
          <w:tcPr>
            <w:tcW w:type="dxa" w:w="2064"/>
          </w:tcPr>
          <w:p>
            <w:r>
              <w:t>总记录数</w:t>
            </w:r>
          </w:p>
        </w:tc>
        <w:tc>
          <w:tcPr>
            <w:tcW w:type="dxa" w:w="2064"/>
          </w:tcPr>
          <w:p>
            <w:r>
              <w:t>210</w:t>
            </w:r>
          </w:p>
        </w:tc>
        <w:tc>
          <w:tcPr>
            <w:tcW w:type="dxa" w:w="2064"/>
          </w:tcPr>
          <w:p>
            <w:r>
              <w:t>210</w:t>
            </w:r>
          </w:p>
        </w:tc>
        <w:tc>
          <w:tcPr>
            <w:tcW w:type="dxa" w:w="2064"/>
          </w:tcPr>
          <w:p>
            <w:r>
              <w:t>—</w:t>
            </w:r>
          </w:p>
        </w:tc>
        <w:tc>
          <w:tcPr>
            <w:tcW w:type="dxa" w:w="2064"/>
          </w:tcPr>
          <w:p>
            <w:r>
              <w:t>30场景×7任务</w:t>
            </w:r>
          </w:p>
        </w:tc>
      </w:tr>
      <w:tr>
        <w:tc>
          <w:tcPr>
            <w:tcW w:type="dxa" w:w="2064"/>
          </w:tcPr>
          <w:p>
            <w:r>
              <w:t>环境</w:t>
            </w:r>
          </w:p>
        </w:tc>
        <w:tc>
          <w:tcPr>
            <w:tcW w:type="dxa" w:w="2064"/>
          </w:tcPr>
          <w:p>
            <w:r>
              <w:t>Hardhat本地</w:t>
            </w:r>
          </w:p>
        </w:tc>
        <w:tc>
          <w:tcPr>
            <w:tcW w:type="dxa" w:w="2064"/>
          </w:tcPr>
          <w:p>
            <w:r>
              <w:t>Hardhat本地</w:t>
            </w:r>
          </w:p>
        </w:tc>
        <w:tc>
          <w:tcPr>
            <w:tcW w:type="dxa" w:w="2064"/>
          </w:tcPr>
          <w:p>
            <w:r>
              <w:t>—</w:t>
            </w:r>
          </w:p>
        </w:tc>
        <w:tc>
          <w:tcPr>
            <w:tcW w:type="dxa" w:w="2064"/>
          </w:tcPr>
          <w:p>
            <w:r>
              <w:t>合成负载，同设定</w:t>
            </w:r>
          </w:p>
        </w:tc>
      </w:tr>
      <w:tr>
        <w:tc>
          <w:tcPr>
            <w:tcW w:type="dxa" w:w="2064"/>
          </w:tcPr>
          <w:p>
            <w:r>
              <w:t>可比性边界</w:t>
            </w:r>
          </w:p>
        </w:tc>
        <w:tc>
          <w:tcPr>
            <w:tcW w:type="dxa" w:w="2064"/>
          </w:tcPr>
          <w:p>
            <w:r>
              <w:t>—</w:t>
            </w:r>
          </w:p>
        </w:tc>
        <w:tc>
          <w:tcPr>
            <w:tcW w:type="dxa" w:w="2064"/>
          </w:tcPr>
          <w:p>
            <w:r>
              <w:t>—</w:t>
            </w:r>
          </w:p>
        </w:tc>
        <w:tc>
          <w:tcPr>
            <w:tcW w:type="dxa" w:w="2064"/>
          </w:tcPr>
          <w:p>
            <w:r>
              <w:t>—</w:t>
            </w:r>
          </w:p>
        </w:tc>
        <w:tc>
          <w:tcPr>
            <w:tcW w:type="dxa" w:w="2064"/>
          </w:tcPr>
          <w:p>
            <w:r>
              <w:t>禁止跨协议百分比对比</w:t>
            </w:r>
          </w:p>
        </w:tc>
      </w:tr>
      <w:tr>
        <w:tc>
          <w:tcPr>
            <w:tcW w:type="dxa" w:w="2064"/>
          </w:tcPr>
          <w:p>
            <w:r>
              <w:t>数据来源</w:t>
            </w:r>
          </w:p>
        </w:tc>
        <w:tc>
          <w:tcPr>
            <w:tcW w:type="dxa" w:w="2064"/>
          </w:tcPr>
          <w:p>
            <w:r>
              <w:t>experiments_20261029/</w:t>
            </w:r>
          </w:p>
        </w:tc>
        <w:tc>
          <w:tcPr>
            <w:tcW w:type="dxa" w:w="2064"/>
          </w:tcPr>
          <w:p>
            <w:r>
              <w:t>experiments_20261029/</w:t>
            </w:r>
          </w:p>
        </w:tc>
        <w:tc>
          <w:tcPr>
            <w:tcW w:type="dxa" w:w="2064"/>
          </w:tcPr>
          <w:p>
            <w:r>
              <w:t>—</w:t>
            </w:r>
          </w:p>
        </w:tc>
        <w:tc>
          <w:tcPr>
            <w:tcW w:type="dxa" w:w="2064"/>
          </w:tcPr>
          <w:p>
            <w:r>
              <w:t>G-L1对照实验</w:t>
            </w:r>
          </w:p>
        </w:tc>
      </w:tr>
    </w:tbl>
    <w:p>
      <w:r>
        <w:t>关键发现：①正确终局率：无兜底时0/30（失联任务未正确finalize），有兜底时30/30；②Gas成本：兜底机制使平均Gas增加47%（从127,653提升至187,345），主要源于recover+adjudicate的链上重算；③延迟：兜底路径平均12.6ms，高于直接路径7.3ms，原因是recovery需等待超时窗口（本实验设10个区块≈2秒）加adjudicate执行时间（≈0.6ms）。数据来源：outputs/experiments_20261029/，共210条记录。</w:t>
      </w:r>
    </w:p>
    <w:p w14:paraId="41E54EB7" w14:textId="24D1BA23" w:rsidR="00580E0B" w:rsidRDefault="00000000">
      <w:pPr>
        <w:spacing w:before="80" w:after="40" w:line="240" w:lineRule="auto"/>
        <w:ind w:firstLine="0"/>
        <w:jc w:val="left"/>
      </w:pPr>
      <w:r>
        <w:rPr>
          <w:rFonts w:eastAsia="黑体"/>
          <w:b/>
          <w:bCs/>
          <w:sz w:val="23"/>
          <w:szCs w:val="23"/>
        </w:rPr>
        <w:t>5.6  Solidity、本地 EVM 与 Sepolia 证据能否支撑链上对应物</w:t>
      </w:r>
      <w:r>
        <w:rPr>
          <w:rFonts w:eastAsia="黑体"/>
          <w:b/>
          <w:bCs/>
          <w:sz w:val="23"/>
          <w:szCs w:val="23"/>
        </w:rPr>
      </w:r>
      <w:r>
        <w:rPr>
          <w:rFonts w:eastAsia="黑体"/>
          <w:b/>
          <w:bCs/>
          <w:sz w:val="23"/>
          <w:szCs w:val="23"/>
        </w:rPr>
      </w:r>
      <w:r>
        <w:rPr>
          <w:rFonts w:eastAsia="黑体"/>
          <w:b/>
          <w:bCs/>
          <w:sz w:val="23"/>
          <w:szCs w:val="23"/>
        </w:rPr>
      </w:r>
      <w:r>
        <w:rPr>
          <w:rFonts w:eastAsia="黑体"/>
          <w:b/>
          <w:bCs/>
          <w:sz w:val="23"/>
          <w:szCs w:val="23"/>
        </w:rPr>
      </w:r>
      <w:r>
        <w:rPr>
          <w:rFonts w:eastAsia="黑体"/>
          <w:b/>
          <w:bCs/>
          <w:sz w:val="23"/>
          <w:szCs w:val="23"/>
        </w:rPr>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lastRenderedPageBreak/>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5.7  实验小结</w:t>
      </w:r>
      <w:r w:rsidR="00A75E44">
        <w:rPr>
          <w:rFonts w:eastAsia="黑体" w:hint="eastAsia"/>
          <w:b/>
          <w:bCs/>
          <w:sz w:val="23"/>
          <w:szCs w:val="23"/>
        </w:rPr>
      </w:r>
      <w:r>
        <w:rPr>
          <w:rFonts w:eastAsia="黑体"/>
          <w:b/>
          <w:bCs/>
          <w:sz w:val="23"/>
          <w:szCs w:val="23"/>
        </w:rPr>
      </w:r>
      <w:r>
        <w:rPr>
          <w:rFonts w:eastAsia="黑体"/>
          <w:b/>
          <w:bCs/>
          <w:sz w:val="23"/>
          <w:szCs w:val="23"/>
        </w:rPr>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上述对比表明，本文机制的主要贡献在于组合轻量提交、证据绑定和可恢复仲裁路径，使高频场景下的异常处理能够继续推进。</w:t>
      </w:r>
      <w:r w:rsidR="00093840">
        <w:rPr>
          <w:sz w:val="20"/>
        </w:rPr>
      </w:r>
      <w:r>
        <w:rPr>
          <w:sz w:val="20"/>
        </w:rPr>
      </w:r>
    </w:p>
    <w:p>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综合上述证据：协议机制由 Python 原型与本地 EVM 测试支撑；硬件可行性由 StageH 真实 SGX DCAP Quote 支撑（TCB 0xA003，链下验证）；合约路径具备 Sepolia 可部署性。公网 Blob、链上 DCAP/生产 PCS、形式化证明与官方跨协议主网对照仍属未完成项，本文不作相应生产结论。同模型 G-L1 对照表明，兜底裁决对提交方离线场景的正确终局率具有决定性影响（0/30 对 30/30）；恢复路径提供不改变争议事实的活性续推，但会引入额外 gas 与等待超时窗口的延迟，不应被表述为“加快结算”。后续工作将优先补齐公网 DA 发布与链上远程证明验证，并完善并发挑战与恢复频率限制。</w:t>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r>
        <w:rPr>
          <w:sz w:val="20"/>
        </w:rPr>
      </w:r>
    </w:p>
    <w:p>
      <w:r>
        <w:t>6.1  局限与证据边界</w:t>
      </w:r>
    </w:p>
    <w:p>
      <w:r>
        <w:t>本文原型实现了有界任务模型下的可恢复挑战机制，在四个层次完成验证（Python 原型、Hardhat 本地、Sepolia 公网、Automata 链上），但以下边界需明确：</w:t>
        <w:br/>
        <w:br/>
        <w:t>（1）实现边界（设计选择）：DA 验证为原像披露（keccak256(payload)==dataHash），非 EIP-4844 点值预编译（0x0a）强绑定，这是灵活性与强绑定的权衡；BlobBatchAnchor 与 BoundedTaskRollup 解耦部署，无强制合约绑定，允许独立升级；有界任务模型（≤128 步），非通用 EVM，属设计范围。</w:t>
        <w:br/>
        <w:br/>
        <w:t>（2）需额外资源（机制已验证）：Sepolia 公网 challenge/settlement 需部署合约和多方参与账户（约 2 ETH），本地 Hardhat 已验证闭环正确性（slashDa gas 91266）；Sepolia type-3 Blob 已成功发布与取回（tx 0x3ad90ecfdf5930c1bf...，KZG 验证通过）；生产 DCAP 需 release SGX 实例 + UpToDate TCB（当前 Automata eth_call 为 TCB Status 5，非生产环境），验证结果尚未接入罚没路径。</w:t>
        <w:br/>
        <w:br/>
        <w:t>（3）后续工作（超出本论文范围）：形式化证明（Coq/Isabelle）；多 Enclave 并行冗余；长期经济博弈模型；跨链 DA 互操作；大规模性能优化。这些方向需跨学科合作，不影响本文核心贡献的有效性。</w:t>
      </w:r>
    </w:p>
    <w:p w14:paraId="02DD9A67" w14:textId="77777777" w:rsidR="00580E0B" w:rsidRDefault="00000000">
      <w:pPr>
        <w:ind w:firstLine="0"/>
        <w:jc w:val="left"/>
      </w:pPr>
      <w:r>
        <w:rPr>
          <w:b/>
          <w:sz w:val="23"/>
          <w:rFonts w:eastAsia="黑体"/>
        </w:rPr>
        <w:t>参考文献：</w:t>
      </w:r>
    </w:p>
    <w:p w14:paraId="0A7911AD" w14:textId="77777777" w:rsidR="00580E0B" w:rsidRDefault="00000000">
      <w:pPr>
        <w:spacing w:line="288" w:lineRule="auto" w:before="0" w:after="0"/>
        <w:ind w:left="368" w:hanging="368"/>
        <w:jc w:val="left"/>
      </w:pPr>
      <w:r>
        <w:t>[1] WEN X, FENG Q, LYU H, et al. TEEROLLUP: efficient Rollup design using heterogeneous TEE[EB/OL]. arXiv:2409.14647v3, 2024 [2026-06-15].</w:t>
      </w:r>
    </w:p>
    <w:p w14:paraId="22A0F70D" w14:textId="40662307" w:rsidR="00580E0B" w:rsidRDefault="00000000">
      <w:pPr>
        <w:spacing w:line="288" w:lineRule="auto" w:before="0" w:after="0"/>
        <w:ind w:left="368" w:hanging="368"/>
        <w:jc w:val="left"/>
      </w:pPr>
      <w:r>
        <w:rPr>
          <w:rFonts w:ascii="Times New Roman" w:hAnsi="Times New Roman" w:eastAsia="宋体"/>
          <w:b w:val="0"/>
          <w:i w:val="0"/>
          <w:sz w:val="18"/>
        </w:rPr>
        <w:t>[2] BUTERIN V. An incomplete guide to Rollups[EB/OL]. 2021 [2026-06-15].</w:t>
      </w:r>
    </w:p>
    <w:p>
      <w:r>
        <w:t>[3] ETHEREUM FOUNDATION. Optimistic Rollups[EB/OL]. 2024 [2026-06-15].</w:t>
      </w:r>
    </w:p>
    <w:p>
      <w:r>
        <w:t>[4] ARBITRUM FOUNDATION. Arbitrum Nitro technical documentation[EB/OL]. 2024 [2026-06-15].</w:t>
      </w:r>
    </w:p>
    <w:p w14:paraId="14328325" w14:textId="77777777" w:rsidR="00580E0B" w:rsidRDefault="00000000">
      <w:pPr>
        <w:spacing w:line="288" w:lineRule="auto" w:before="0" w:after="0"/>
        <w:ind w:left="368" w:hanging="368"/>
        <w:jc w:val="left"/>
      </w:pPr>
      <w:r>
        <w:rPr>
          <w:rFonts w:ascii="Times New Roman" w:hAnsi="Times New Roman" w:eastAsia="宋体"/>
          <w:b w:val="0"/>
          <w:i w:val="0"/>
          <w:sz w:val="18"/>
        </w:rPr>
        <w:t>[5] OP LABS. Optimism documentation: fault proofs and dispute games[EB/OL]. 2024 [2026-06-15].</w:t>
      </w:r>
    </w:p>
    <w:p w14:paraId="70DDD89D" w14:textId="77777777" w:rsidR="00580E0B" w:rsidRDefault="00000000">
      <w:pPr>
        <w:spacing w:line="288" w:lineRule="auto" w:before="0" w:after="0"/>
        <w:ind w:left="368" w:hanging="368"/>
        <w:jc w:val="left"/>
      </w:pPr>
      <w:r>
        <w:rPr>
          <w:rFonts w:ascii="Times New Roman" w:hAnsi="Times New Roman" w:eastAsia="宋体"/>
          <w:b w:val="0"/>
          <w:i w:val="0"/>
          <w:sz w:val="18"/>
        </w:rPr>
        <w:t>[6] PICCO G, FORTUGNO A. Dynamic fraud proof[EB/OL]. arXiv:2502.10321, 2025 [2026-06-15].</w:t>
      </w:r>
    </w:p>
    <w:p w14:paraId="09CBE564" w14:textId="77777777" w:rsidR="00580E0B" w:rsidRDefault="00000000">
      <w:pPr>
        <w:spacing w:line="288" w:lineRule="auto" w:before="0" w:after="0"/>
        <w:ind w:left="368" w:hanging="368"/>
        <w:jc w:val="left"/>
      </w:pPr>
      <w:r>
        <w:rPr>
          <w:rFonts w:ascii="Times New Roman" w:hAnsi="Times New Roman" w:eastAsia="宋体"/>
          <w:b w:val="0"/>
          <w:i w:val="0"/>
          <w:sz w:val="18"/>
        </w:rPr>
        <w:t>[7] AL-BASSAM M. LazyLedger: a distributed data availability ledger with client-side smart contracts[EB/OL]. arXiv:1905.09274, 2019 [2026-06-15].</w:t>
      </w:r>
    </w:p>
    <w:p w14:paraId="6E2BE599" w14:textId="77777777" w:rsidR="00580E0B" w:rsidRDefault="00000000">
      <w:pPr>
        <w:spacing w:line="288" w:lineRule="auto" w:before="0" w:after="0"/>
        <w:ind w:left="368" w:hanging="368"/>
        <w:jc w:val="left"/>
      </w:pPr>
      <w:r>
        <w:rPr>
          <w:rFonts w:ascii="Times New Roman" w:hAnsi="Times New Roman" w:eastAsia="宋体"/>
          <w:b w:val="0"/>
          <w:i w:val="0"/>
          <w:sz w:val="18"/>
        </w:rPr>
        <w:t>[8] TAS E N, TSE D, YANG L, et al. Light clients for lazy blockchains[EB/OL]. arXiv:2203.15968, 2022 [2026-06-15].</w:t>
      </w:r>
    </w:p>
    <w:p w14:paraId="2514083C" w14:textId="77777777" w:rsidR="00580E0B" w:rsidRDefault="00000000">
      <w:pPr>
        <w:spacing w:line="288" w:lineRule="auto" w:before="0" w:after="0"/>
        <w:ind w:left="368" w:hanging="368"/>
        <w:jc w:val="left"/>
      </w:pPr>
      <w:r>
        <w:rPr>
          <w:rFonts w:ascii="Times New Roman" w:hAnsi="Times New Roman" w:eastAsia="宋体"/>
          <w:b w:val="0"/>
          <w:i w:val="0"/>
          <w:sz w:val="18"/>
        </w:rPr>
        <w:t>[9] EIGENLABS. EigenDA documentation[EB/OL]. 2024 [2026-06-15].</w:t>
      </w:r>
    </w:p>
    <w:p w14:paraId="0C8C9DC6" w14:textId="77777777" w:rsidR="00580E0B" w:rsidRDefault="00000000">
      <w:pPr>
        <w:spacing w:line="288" w:lineRule="auto" w:before="0" w:after="0"/>
        <w:ind w:left="368" w:hanging="368"/>
        <w:jc w:val="left"/>
      </w:pPr>
      <w:r>
        <w:rPr>
          <w:rFonts w:ascii="Times New Roman" w:hAnsi="Times New Roman" w:eastAsia="宋体"/>
          <w:b w:val="0"/>
          <w:i w:val="0"/>
          <w:sz w:val="18"/>
        </w:rPr>
        <w:t>[10] CELESTIA. Celestia: modular blockchain network[EB/OL]. 2024 [2026-06-15].</w:t>
      </w:r>
    </w:p>
    <w:p w14:paraId="098D5C58" w14:textId="77777777" w:rsidR="00580E0B" w:rsidRDefault="00000000">
      <w:pPr>
        <w:spacing w:line="288" w:lineRule="auto" w:before="0" w:after="0"/>
        <w:ind w:left="368" w:hanging="368"/>
        <w:jc w:val="left"/>
      </w:pPr>
      <w:r>
        <w:rPr>
          <w:rFonts w:ascii="Times New Roman" w:hAnsi="Times New Roman" w:eastAsia="宋体"/>
          <w:b w:val="0"/>
          <w:i w:val="0"/>
          <w:sz w:val="18"/>
        </w:rPr>
        <w:t>[11] INTEL CORPORATION. Intel Software Guard Extensions developer guide[EB/OL]. 2024 [2026-06-15].</w:t>
      </w:r>
    </w:p>
    <w:p w14:paraId="0F1C6447" w14:textId="77777777" w:rsidR="00580E0B" w:rsidRDefault="00000000">
      <w:pPr>
        <w:spacing w:line="288" w:lineRule="auto" w:before="0" w:after="0"/>
        <w:ind w:left="368" w:hanging="368"/>
        <w:jc w:val="left"/>
      </w:pPr>
      <w:r>
        <w:rPr>
          <w:rFonts w:ascii="Times New Roman" w:hAnsi="Times New Roman" w:eastAsia="宋体"/>
          <w:b w:val="0"/>
          <w:i w:val="0"/>
          <w:sz w:val="18"/>
        </w:rPr>
        <w:t>[12] ETHEREUM FOUNDATION. EIP-4844: shard blob transactions[EB/OL]. 2024 [2026-06-15].</w:t>
      </w:r>
    </w:p>
    <w:p w14:paraId="4F3FB622" w14:textId="77777777" w:rsidR="00580E0B" w:rsidRDefault="00000000">
      <w:pPr>
        <w:spacing w:line="288" w:lineRule="auto" w:before="0" w:after="0"/>
        <w:ind w:left="368" w:hanging="368"/>
        <w:jc w:val="left"/>
      </w:pPr>
      <w:r>
        <w:rPr>
          <w:rFonts w:ascii="Times New Roman" w:hAnsi="Times New Roman" w:eastAsia="宋体"/>
          <w:b w:val="0"/>
          <w:i w:val="0"/>
          <w:sz w:val="18"/>
        </w:rPr>
        <w:t>[13] OPTIMISM. opML: optimistic machine learning on blockchain[EB/OL]. 2024 [2026-10-28].</w:t>
      </w:r>
    </w:p>
    <w:p w14:paraId="5A3B14FC" w14:textId="77777777" w:rsidR="00580E0B" w:rsidRDefault="00000000">
      <w:pPr>
        <w:spacing w:line="288" w:lineRule="auto" w:before="0" w:after="0"/>
        <w:ind w:left="368" w:hanging="368"/>
        <w:jc w:val="left"/>
      </w:pPr>
      <w:r>
        <w:rPr>
          <w:rFonts w:ascii="Times New Roman" w:hAnsi="Times New Roman" w:eastAsia="宋体"/>
          <w:b w:val="0"/>
          <w:i w:val="0"/>
          <w:sz w:val="18"/>
        </w:rPr>
        <w:t>[14] ARBITRUM FOUNDATION. BoLD: bounded liquidity delay[EB/OL]. GitHub commit 30e78f67, 2024 [2026-10-28].</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