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2D47D" w14:textId="77777777" w:rsidR="00580E0B" w:rsidRDefault="00000000">
      <w:pPr>
        <w:spacing w:after="120" w:line="300" w:lineRule="auto"/>
        <w:jc w:val="center"/>
      </w:pPr>
      <w:r>
        <w:rPr>
          <w:rFonts w:eastAsia="黑体"/>
          <w:b/>
          <w:bCs/>
          <w:sz w:val="36"/>
          <w:szCs w:val="36"/>
        </w:rPr>
        <w:t>面向高频</w:t>
      </w:r>
      <w:r>
        <w:rPr>
          <w:rFonts w:eastAsia="黑体"/>
          <w:b/>
          <w:bCs/>
          <w:sz w:val="36"/>
          <w:szCs w:val="36"/>
        </w:rPr>
        <w:t xml:space="preserve"> DApp </w:t>
      </w:r>
      <w:r>
        <w:rPr>
          <w:rFonts w:eastAsia="黑体"/>
          <w:b/>
          <w:bCs/>
          <w:sz w:val="36"/>
          <w:szCs w:val="36"/>
        </w:rPr>
        <w:t>的</w:t>
      </w:r>
      <w:r>
        <w:rPr>
          <w:rFonts w:eastAsia="黑体"/>
          <w:b/>
          <w:bCs/>
          <w:sz w:val="36"/>
          <w:szCs w:val="36"/>
        </w:rPr>
        <w:t xml:space="preserve"> Hybrid TEE-Rollup </w:t>
      </w:r>
      <w:r>
        <w:rPr>
          <w:rFonts w:eastAsia="黑体"/>
          <w:b/>
          <w:bCs/>
          <w:sz w:val="36"/>
          <w:szCs w:val="36"/>
        </w:rPr>
        <w:t>可恢复挑战协议与轻量</w:t>
      </w:r>
      <w:r>
        <w:rPr>
          <w:rFonts w:eastAsia="黑体"/>
          <w:b/>
          <w:bCs/>
          <w:sz w:val="36"/>
          <w:szCs w:val="36"/>
        </w:rPr>
        <w:t xml:space="preserve"> DA </w:t>
      </w:r>
      <w:r>
        <w:rPr>
          <w:rFonts w:eastAsia="黑体"/>
          <w:b/>
          <w:bCs/>
          <w:sz w:val="36"/>
          <w:szCs w:val="36"/>
        </w:rPr>
        <w:t>成本评估</w:t>
      </w:r>
    </w:p>
    <w:p w14:paraId="3CCE9428" w14:textId="77777777" w:rsidR="00580E0B" w:rsidRDefault="00000000">
      <w:pPr>
        <w:spacing w:after="80" w:line="240" w:lineRule="auto"/>
        <w:jc w:val="center"/>
      </w:pPr>
      <w:r>
        <w:rPr>
          <w:rFonts w:eastAsia="楷体"/>
          <w:sz w:val="24"/>
        </w:rPr>
        <w:t>杨帆</w:t>
      </w:r>
    </w:p>
    <w:p w14:paraId="5C1686B7" w14:textId="77777777" w:rsidR="00580E0B" w:rsidRDefault="00000000">
      <w:pPr>
        <w:spacing w:after="60" w:line="240" w:lineRule="auto"/>
        <w:ind w:firstLine="0"/>
        <w:jc w:val="left"/>
      </w:pPr>
      <w:r>
        <w:rPr>
          <w:rFonts w:eastAsia="楷体"/>
          <w:sz w:val="20"/>
          <w:szCs w:val="20"/>
        </w:rPr>
        <w:t>摘</w:t>
      </w:r>
      <w:r>
        <w:rPr>
          <w:rFonts w:eastAsia="楷体"/>
          <w:sz w:val="20"/>
          <w:szCs w:val="20"/>
        </w:rPr>
        <w:t xml:space="preserve">  </w:t>
      </w:r>
      <w:r>
        <w:rPr>
          <w:rFonts w:eastAsia="楷体"/>
          <w:sz w:val="20"/>
          <w:szCs w:val="20"/>
        </w:rPr>
        <w:t>要：高频去中心化应用（</w:t>
      </w:r>
      <w:r>
        <w:rPr>
          <w:rFonts w:eastAsia="楷体"/>
          <w:sz w:val="20"/>
          <w:szCs w:val="20"/>
        </w:rPr>
        <w:t>DApp</w:t>
      </w:r>
      <w:r>
        <w:rPr>
          <w:rFonts w:eastAsia="楷体"/>
          <w:sz w:val="20"/>
          <w:szCs w:val="20"/>
        </w:rPr>
        <w:t>）要求低延迟、低链上开销与公开可验证仲裁并存。本文面向</w:t>
      </w:r>
      <w:r>
        <w:rPr>
          <w:rFonts w:eastAsia="楷体"/>
          <w:sz w:val="20"/>
          <w:szCs w:val="20"/>
        </w:rPr>
        <w:t xml:space="preserve"> Hybrid TEE-Rollup </w:t>
      </w:r>
      <w:r>
        <w:rPr>
          <w:rFonts w:eastAsia="楷体"/>
          <w:sz w:val="20"/>
          <w:szCs w:val="20"/>
        </w:rPr>
        <w:t>场景，提出可恢复挑战机制、携带证据的紧凑提交机制和数据可用性感知成本模型。可恢复挑战机制将超时会话恢复为可重放、可结算状态；紧凑提交绑定状态根、输出哈希、证明哈希、</w:t>
      </w:r>
      <w:r>
        <w:rPr>
          <w:rFonts w:eastAsia="楷体"/>
          <w:sz w:val="20"/>
          <w:szCs w:val="20"/>
        </w:rPr>
        <w:t xml:space="preserve">DA </w:t>
      </w:r>
      <w:r>
        <w:rPr>
          <w:rFonts w:eastAsia="楷体"/>
          <w:sz w:val="20"/>
          <w:szCs w:val="20"/>
        </w:rPr>
        <w:t>指针与</w:t>
      </w:r>
      <w:r>
        <w:rPr>
          <w:rFonts w:eastAsia="楷体"/>
          <w:sz w:val="20"/>
          <w:szCs w:val="20"/>
        </w:rPr>
        <w:t xml:space="preserve"> DA </w:t>
      </w:r>
      <w:r>
        <w:rPr>
          <w:rFonts w:eastAsia="楷体"/>
          <w:sz w:val="20"/>
          <w:szCs w:val="20"/>
        </w:rPr>
        <w:t>根；成本模型用于分析负载规模、批处理摊销与</w:t>
      </w:r>
      <w:r>
        <w:rPr>
          <w:rFonts w:eastAsia="楷体"/>
          <w:sz w:val="20"/>
          <w:szCs w:val="20"/>
        </w:rPr>
        <w:t xml:space="preserve"> DA </w:t>
      </w:r>
      <w:r>
        <w:rPr>
          <w:rFonts w:eastAsia="楷体"/>
          <w:sz w:val="20"/>
          <w:szCs w:val="20"/>
        </w:rPr>
        <w:t>路径选择。基于</w:t>
      </w:r>
      <w:r>
        <w:rPr>
          <w:rFonts w:eastAsia="楷体"/>
          <w:sz w:val="20"/>
          <w:szCs w:val="20"/>
        </w:rPr>
        <w:t xml:space="preserve"> Python </w:t>
      </w:r>
      <w:r>
        <w:rPr>
          <w:rFonts w:eastAsia="楷体"/>
          <w:sz w:val="20"/>
          <w:szCs w:val="20"/>
        </w:rPr>
        <w:t>原型、本地</w:t>
      </w:r>
      <w:r>
        <w:rPr>
          <w:rFonts w:eastAsia="楷体"/>
          <w:sz w:val="20"/>
          <w:szCs w:val="20"/>
        </w:rPr>
        <w:t xml:space="preserve"> EVM gas </w:t>
      </w:r>
      <w:r>
        <w:rPr>
          <w:rFonts w:eastAsia="楷体"/>
          <w:sz w:val="20"/>
          <w:szCs w:val="20"/>
        </w:rPr>
        <w:t>测量与</w:t>
      </w:r>
      <w:r>
        <w:rPr>
          <w:rFonts w:eastAsia="楷体"/>
          <w:sz w:val="20"/>
          <w:szCs w:val="20"/>
        </w:rPr>
        <w:t xml:space="preserve"> Sepolia </w:t>
      </w:r>
      <w:r>
        <w:rPr>
          <w:rFonts w:eastAsia="楷体"/>
          <w:sz w:val="20"/>
          <w:szCs w:val="20"/>
        </w:rPr>
        <w:t>部署记录，实验显示紧凑提交平均约</w:t>
      </w:r>
      <w:r>
        <w:rPr>
          <w:rFonts w:eastAsia="楷体"/>
          <w:sz w:val="20"/>
          <w:szCs w:val="20"/>
        </w:rPr>
        <w:t xml:space="preserve"> 406 </w:t>
      </w:r>
      <w:r>
        <w:rPr>
          <w:rFonts w:eastAsia="楷体"/>
          <w:sz w:val="20"/>
          <w:szCs w:val="20"/>
        </w:rPr>
        <w:t>字节，在给定配置下模块化</w:t>
      </w:r>
      <w:r>
        <w:rPr>
          <w:rFonts w:eastAsia="楷体"/>
          <w:sz w:val="20"/>
          <w:szCs w:val="20"/>
        </w:rPr>
        <w:t xml:space="preserve"> DA </w:t>
      </w:r>
      <w:r>
        <w:rPr>
          <w:rFonts w:eastAsia="楷体"/>
          <w:sz w:val="20"/>
          <w:szCs w:val="20"/>
        </w:rPr>
        <w:t>采样路径可降低约</w:t>
      </w:r>
      <w:r>
        <w:rPr>
          <w:rFonts w:eastAsia="楷体"/>
          <w:sz w:val="20"/>
          <w:szCs w:val="20"/>
        </w:rPr>
        <w:t xml:space="preserve"> 96.33% </w:t>
      </w:r>
      <w:r>
        <w:rPr>
          <w:rFonts w:eastAsia="楷体"/>
          <w:sz w:val="20"/>
          <w:szCs w:val="20"/>
        </w:rPr>
        <w:t>摊销成本，可恢复路径改善超时场景下的挑战完成能力。上述结论基于模拟</w:t>
      </w:r>
      <w:r>
        <w:rPr>
          <w:rFonts w:eastAsia="楷体"/>
          <w:sz w:val="20"/>
          <w:szCs w:val="20"/>
        </w:rPr>
        <w:t xml:space="preserve"> TEE</w:t>
      </w:r>
      <w:r>
        <w:rPr>
          <w:rFonts w:eastAsia="楷体"/>
          <w:sz w:val="20"/>
          <w:szCs w:val="20"/>
        </w:rPr>
        <w:t>、可验证</w:t>
      </w:r>
      <w:r>
        <w:rPr>
          <w:rFonts w:eastAsia="楷体"/>
          <w:sz w:val="20"/>
          <w:szCs w:val="20"/>
        </w:rPr>
        <w:t xml:space="preserve"> DA </w:t>
      </w:r>
      <w:r>
        <w:rPr>
          <w:rFonts w:eastAsia="楷体"/>
          <w:sz w:val="20"/>
          <w:szCs w:val="20"/>
        </w:rPr>
        <w:t>注册表和配置化成本模型。</w:t>
      </w:r>
    </w:p>
    <w:p w14:paraId="673AFF8F" w14:textId="77777777" w:rsidR="00580E0B" w:rsidRDefault="00000000">
      <w:pPr>
        <w:spacing w:after="60" w:line="240" w:lineRule="auto"/>
        <w:ind w:firstLine="0"/>
        <w:jc w:val="left"/>
      </w:pPr>
      <w:r>
        <w:rPr>
          <w:rFonts w:eastAsia="楷体"/>
          <w:sz w:val="20"/>
          <w:szCs w:val="20"/>
        </w:rPr>
        <w:t>关键词：</w:t>
      </w:r>
      <w:r>
        <w:rPr>
          <w:rFonts w:eastAsia="楷体"/>
          <w:sz w:val="20"/>
          <w:szCs w:val="20"/>
        </w:rPr>
        <w:t>Hybrid TEE-Rollup</w:t>
      </w:r>
      <w:r>
        <w:rPr>
          <w:rFonts w:eastAsia="楷体"/>
          <w:sz w:val="20"/>
          <w:szCs w:val="20"/>
        </w:rPr>
        <w:t>；交互式挑战；数据可用性；高频</w:t>
      </w:r>
      <w:r>
        <w:rPr>
          <w:rFonts w:eastAsia="楷体"/>
          <w:sz w:val="20"/>
          <w:szCs w:val="20"/>
        </w:rPr>
        <w:t xml:space="preserve"> DApp</w:t>
      </w:r>
      <w:r>
        <w:rPr>
          <w:rFonts w:eastAsia="楷体"/>
          <w:sz w:val="20"/>
          <w:szCs w:val="20"/>
        </w:rPr>
        <w:t>；成本摊销；故障恢复</w:t>
      </w:r>
    </w:p>
    <w:p w14:paraId="5D6AEC10" w14:textId="77777777" w:rsidR="00580E0B" w:rsidRDefault="00000000">
      <w:pPr>
        <w:spacing w:after="60" w:line="240" w:lineRule="auto"/>
        <w:ind w:firstLine="0"/>
        <w:jc w:val="left"/>
      </w:pPr>
      <w:r>
        <w:rPr>
          <w:rFonts w:eastAsia="楷体"/>
          <w:sz w:val="20"/>
          <w:szCs w:val="20"/>
        </w:rPr>
        <w:t>文献标志码：</w:t>
      </w:r>
      <w:r>
        <w:rPr>
          <w:rFonts w:eastAsia="楷体"/>
          <w:sz w:val="20"/>
          <w:szCs w:val="20"/>
        </w:rPr>
        <w:t xml:space="preserve">A    </w:t>
      </w:r>
      <w:r>
        <w:rPr>
          <w:rFonts w:eastAsia="楷体"/>
          <w:sz w:val="20"/>
          <w:szCs w:val="20"/>
        </w:rPr>
        <w:t>中图分类号：</w:t>
      </w:r>
      <w:r>
        <w:rPr>
          <w:rFonts w:eastAsia="楷体"/>
          <w:sz w:val="20"/>
          <w:szCs w:val="20"/>
        </w:rPr>
        <w:t>TP311</w:t>
      </w:r>
    </w:p>
    <w:p w14:paraId="69EEF6DB" w14:textId="77777777" w:rsidR="00580E0B" w:rsidRDefault="00000000">
      <w:pPr>
        <w:spacing w:before="80" w:after="60" w:line="260" w:lineRule="auto"/>
        <w:jc w:val="center"/>
      </w:pPr>
      <w:r>
        <w:rPr>
          <w:rFonts w:eastAsia="Times New Roman"/>
          <w:b/>
          <w:bCs/>
          <w:sz w:val="28"/>
          <w:szCs w:val="28"/>
        </w:rPr>
        <w:t>Recoverable Challenge Protocol and Lightweight DA Cost Evaluation for</w:t>
      </w:r>
      <w:r>
        <w:rPr>
          <w:rFonts w:eastAsia="Times New Roman"/>
          <w:b/>
          <w:bCs/>
          <w:sz w:val="28"/>
          <w:szCs w:val="28"/>
        </w:rPr>
        <w:br/>
        <w:t>Hybrid TEE-Rollup in High-Frequency DApps</w:t>
      </w:r>
    </w:p>
    <w:p w14:paraId="0F810F9F" w14:textId="77777777" w:rsidR="00580E0B" w:rsidRDefault="00000000">
      <w:pPr>
        <w:spacing w:after="40" w:line="240" w:lineRule="auto"/>
        <w:jc w:val="center"/>
      </w:pPr>
      <w:r>
        <w:rPr>
          <w:rFonts w:eastAsia="Times New Roman"/>
          <w:sz w:val="24"/>
        </w:rPr>
        <w:t>YANG Fan</w:t>
      </w:r>
    </w:p>
    <w:p w14:paraId="6540F4FE" w14:textId="77777777" w:rsidR="00A179AD" w:rsidRDefault="00000000">
      <w:pPr>
        <w:spacing w:after="60" w:line="240" w:lineRule="auto"/>
        <w:ind w:firstLine="0"/>
        <w:jc w:val="left"/>
        <w:rPr>
          <w:rFonts w:eastAsiaTheme="minorEastAsia"/>
          <w:sz w:val="20"/>
        </w:rPr>
      </w:pPr>
      <w:r>
        <w:rPr>
          <w:rFonts w:eastAsia="Times New Roman"/>
          <w:sz w:val="20"/>
          <w:szCs w:val="20"/>
        </w:rPr>
        <w:t>Abstract: High-frequency decentralized applications (DApps) require low latency, low on-chain overhead, and publicly verifiable arbitration. This paper proposes a recoverable challenge mechanism, an evidence-carrying compact commitment mechanism, and a data-availability-aware cost model for Hybrid TEE-Rollup. The recoverable challenge mechanism restores timeout sessions to replayable and settleable states; the compact commitment binds the state root, output hash, proof hash, DA pointer, and DA root; and the cost model analyzes payload size, batching amortization, and DA path selection. Based on a Python prototype, local EVM gas measurements, and Sepolia deployment records, the compact commitment averages about 406 bytes, the modular DA sampling path reduces amortized cost by about 96.33% under the given configuration, and the recovery path improves challenge completion under timeout scenarios. The conclusions are based on a simulated TEE, a verifiable DA registry, and a configurable cost model.</w:t>
      </w:r>
    </w:p>
    <w:p w14:paraId="080390E3" w14:textId="77777777" w:rsidR="00580E0B" w:rsidRDefault="00000000">
      <w:pPr>
        <w:spacing w:after="60" w:line="240" w:lineRule="auto"/>
        <w:ind w:firstLine="0"/>
        <w:jc w:val="left"/>
        <w:sectPr w:rsidR="00580E0B">
          <w:headerReference w:type="default" r:id="rId8"/>
          <w:footerReference w:type="default" r:id="rId9"/>
          <w:type w:val="continuous"/>
          <w:pgSz w:w="11906" w:h="16838"/>
          <w:pgMar w:top="1814" w:right="794" w:bottom="454" w:left="794" w:header="680" w:footer="454" w:gutter="0"/>
          <w:cols w:space="420"/>
          <w:docGrid w:type="lines" w:linePitch="290"/>
        </w:sectPr>
      </w:pPr>
      <w:r>
        <w:rPr>
          <w:rFonts w:eastAsia="Times New Roman"/>
          <w:sz w:val="20"/>
          <w:szCs w:val="20"/>
        </w:rPr>
        <w:t>Key words: Hybrid TEE-Rollup; interactive challenge; data availability; high-frequency DApp; cost amortization; fault recovery</w:t>
      </w:r>
    </w:p>
    <w:p w14:paraId="0BDA1B6D" w14:textId="77777777" w:rsidR="00580E0B" w:rsidRDefault="00000000">
      <w:pPr>
        <w:spacing w:before="120" w:after="60" w:line="240" w:lineRule="auto"/>
        <w:ind w:firstLine="0"/>
        <w:jc w:val="left"/>
      </w:pPr>
      <w:r>
        <w:rPr>
          <w:rFonts w:eastAsia="黑体"/>
          <w:b/>
          <w:bCs/>
          <w:sz w:val="23"/>
          <w:szCs w:val="23"/>
        </w:rPr>
        <w:t xml:space="preserve">1  </w:t>
      </w:r>
      <w:r>
        <w:rPr>
          <w:rFonts w:eastAsia="黑体"/>
          <w:b/>
          <w:bCs/>
          <w:sz w:val="23"/>
          <w:szCs w:val="23"/>
        </w:rPr>
        <w:t>引言</w:t>
      </w:r>
    </w:p>
    <w:p w14:paraId="495AD899" w14:textId="77777777" w:rsidR="00580E0B" w:rsidRDefault="00000000">
      <w:pPr>
        <w:ind w:firstLine="408"/>
      </w:pPr>
      <w:r>
        <w:rPr>
          <w:sz w:val="20"/>
        </w:rPr>
        <w:t>高频去中心化应用的瓶颈来自低价值高频交互与异常可验证性的耦合。以链上</w:t>
      </w:r>
      <w:r>
        <w:rPr>
          <w:sz w:val="20"/>
        </w:rPr>
        <w:t xml:space="preserve"> AI </w:t>
      </w:r>
      <w:r>
        <w:rPr>
          <w:sz w:val="20"/>
        </w:rPr>
        <w:t>推理服务为例，用户连续提交提示，执行者在可信执行环境中生成响应并向链上提交紧凑提交；完整提示、响应与证明保存在数据可用性层。正常路径需要低延迟和低链上开销，异常路径则必须支持公开仲裁：当响应与数据可用性负载不一致，或挑战在中途超时时，争议应继续推进到重放与结算。</w:t>
      </w:r>
    </w:p>
    <w:p w14:paraId="3D3441AB" w14:textId="77777777" w:rsidR="00580E0B" w:rsidRDefault="00000000">
      <w:pPr>
        <w:ind w:firstLine="408"/>
      </w:pPr>
      <w:r>
        <w:t>现有路线分别覆盖了这一需求的不同侧面。全链上执行公开验证能力强，但高频负载、存储和执行成本直接上链；完全链下执行降低延迟和成本，却缺少用户可依赖的公开仲裁路径；纯</w:t>
      </w:r>
      <w:r>
        <w:t xml:space="preserve"> TEE </w:t>
      </w:r>
      <w:r>
        <w:t>执行降低正常路径验证成本，但仍受硬件和宿主环境影响。</w:t>
      </w:r>
      <w:r>
        <w:t xml:space="preserve">Hybrid TEE-Rollup </w:t>
      </w:r>
      <w:r>
        <w:t>将</w:t>
      </w:r>
      <w:r>
        <w:t xml:space="preserve"> TEE </w:t>
      </w:r>
      <w:r>
        <w:t>快速路径与链上异常路径结合</w:t>
      </w:r>
      <w:r>
        <w:rPr>
          <w:vertAlign w:val="superscript"/>
        </w:rPr>
        <w:t>[1]</w:t>
      </w:r>
      <w:r>
        <w:t>，其风险也集中在异常路径：一旦恢复机制和证据入口缺失，系统会在最需要仲裁时失去</w:t>
      </w:r>
      <w:r>
        <w:t>协议连续性。</w:t>
      </w:r>
    </w:p>
    <w:p w14:paraId="18C82007" w14:textId="77777777" w:rsidR="00580E0B" w:rsidRDefault="00000000">
      <w:pPr>
        <w:ind w:firstLine="408"/>
      </w:pPr>
      <w:r>
        <w:rPr>
          <w:sz w:val="20"/>
        </w:rPr>
        <w:t>超时后挑战流程卡死属于协议活性与仲裁连续性问题。传统挑战机制可以关注错误是否能够被发现，但对于高频</w:t>
      </w:r>
      <w:r>
        <w:rPr>
          <w:sz w:val="20"/>
        </w:rPr>
        <w:t xml:space="preserve"> DApp </w:t>
      </w:r>
      <w:r>
        <w:rPr>
          <w:sz w:val="20"/>
        </w:rPr>
        <w:t>而言，检测只是争议处理的起点：未完成的挑战会占用状态、延迟结算，并使错误提交停留在不可结算的中间状态。因此，本文以故障发生、恢复、重放、仲裁结算为主线，将紧凑提交作为最小可验证证据入口，使正常路径保持轻量，异常路径仍可进入验证与重放。</w:t>
      </w:r>
    </w:p>
    <w:p w14:paraId="50817D64" w14:textId="77777777" w:rsidR="00580E0B" w:rsidRDefault="00000000">
      <w:pPr>
        <w:ind w:firstLine="408"/>
      </w:pPr>
      <w:r>
        <w:rPr>
          <w:sz w:val="20"/>
        </w:rPr>
        <w:t>实验部分采用合成负载、模拟</w:t>
      </w:r>
      <w:r>
        <w:rPr>
          <w:sz w:val="20"/>
        </w:rPr>
        <w:t xml:space="preserve"> TEE</w:t>
      </w:r>
      <w:r>
        <w:rPr>
          <w:sz w:val="20"/>
        </w:rPr>
        <w:t>、可验证</w:t>
      </w:r>
      <w:r>
        <w:rPr>
          <w:sz w:val="20"/>
        </w:rPr>
        <w:t xml:space="preserve"> DA </w:t>
      </w:r>
      <w:r>
        <w:rPr>
          <w:sz w:val="20"/>
        </w:rPr>
        <w:t>注册表、本地</w:t>
      </w:r>
      <w:r>
        <w:rPr>
          <w:sz w:val="20"/>
        </w:rPr>
        <w:t xml:space="preserve"> EVM gas </w:t>
      </w:r>
      <w:r>
        <w:rPr>
          <w:sz w:val="20"/>
        </w:rPr>
        <w:t>实测与</w:t>
      </w:r>
      <w:r>
        <w:rPr>
          <w:sz w:val="20"/>
        </w:rPr>
        <w:t xml:space="preserve"> Sepolia </w:t>
      </w:r>
      <w:r>
        <w:rPr>
          <w:sz w:val="20"/>
        </w:rPr>
        <w:t>可部署性证据。</w:t>
      </w:r>
    </w:p>
    <w:p w14:paraId="12B43ECC" w14:textId="77777777" w:rsidR="00580E0B" w:rsidRDefault="00000000">
      <w:pPr>
        <w:spacing w:before="80" w:after="40" w:line="240" w:lineRule="auto"/>
        <w:ind w:firstLine="0"/>
        <w:jc w:val="left"/>
      </w:pPr>
      <w:r>
        <w:rPr>
          <w:rFonts w:eastAsia="黑体"/>
          <w:b/>
          <w:bCs/>
          <w:sz w:val="23"/>
          <w:szCs w:val="23"/>
        </w:rPr>
        <w:t xml:space="preserve">1.1  </w:t>
      </w:r>
      <w:r>
        <w:rPr>
          <w:rFonts w:eastAsia="黑体"/>
          <w:b/>
          <w:bCs/>
          <w:sz w:val="23"/>
          <w:szCs w:val="23"/>
        </w:rPr>
        <w:t>本文贡献</w:t>
      </w:r>
    </w:p>
    <w:p w14:paraId="1F7484EB"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1</w:t>
      </w:r>
      <w:r w:rsidRPr="00CC3364">
        <w:rPr>
          <w:rFonts w:hint="eastAsia"/>
          <w:sz w:val="20"/>
        </w:rPr>
        <w:t>）提出可恢复挑战协议。传统挑战机制无法处理交互超时问题，异常即便被检测也难以推进至重放与结算阶段。本文将会话恢复从单纯的工程补救手段，升级为保障协议活性的标准化状态转移机制。该机制在不篡改争议事实的前提下，将停滞的挑战会话切换至可重放、可仲裁的正常链路，从协议层面保障仲裁连续性。</w:t>
      </w:r>
    </w:p>
    <w:p w14:paraId="541BFFBE" w14:textId="65C14105" w:rsidR="00CC3364" w:rsidRPr="00CC3364" w:rsidRDefault="00CC3364" w:rsidP="00CC3364">
      <w:pPr>
        <w:spacing w:before="120" w:after="60" w:line="240" w:lineRule="auto"/>
        <w:ind w:firstLine="0"/>
        <w:jc w:val="left"/>
        <w:rPr>
          <w:sz w:val="20"/>
        </w:rPr>
      </w:pPr>
      <w:r w:rsidRPr="00CC3364">
        <w:rPr>
          <w:rFonts w:hint="eastAsia"/>
          <w:sz w:val="20"/>
        </w:rPr>
        <w:lastRenderedPageBreak/>
        <w:t>第一个贡献是可恢复挑战机制。传统挑战流程中，超时可能使争议停留在未解决状态；即使系统已经检测到异常，也无法自然推进到重放与结算。本文将恢复操作从普通工程恢复提升为保持协议活性的状态转移机制：恢复不修改争议事实，而是在挑战事实不变的条件下，使停滞会话回到可重放、可仲裁路径，目标是保证协议的仲裁连续性。</w:t>
      </w:r>
    </w:p>
    <w:p w14:paraId="512EF21E" w14:textId="77777777" w:rsidR="00CC3364" w:rsidRP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2</w:t>
      </w:r>
      <w:r w:rsidRPr="00CC3364">
        <w:rPr>
          <w:rFonts w:hint="eastAsia"/>
          <w:sz w:val="20"/>
        </w:rPr>
        <w:t>）设计证据绑定型紧凑提交机制。该结构将状态根、输出哈希、证明哈希、</w:t>
      </w:r>
      <w:r w:rsidRPr="00CC3364">
        <w:rPr>
          <w:rFonts w:hint="eastAsia"/>
          <w:sz w:val="20"/>
        </w:rPr>
        <w:t xml:space="preserve">DA </w:t>
      </w:r>
      <w:r w:rsidRPr="00CC3364">
        <w:rPr>
          <w:rFonts w:hint="eastAsia"/>
          <w:sz w:val="20"/>
        </w:rPr>
        <w:t>指针与</w:t>
      </w:r>
      <w:r w:rsidRPr="00CC3364">
        <w:rPr>
          <w:rFonts w:hint="eastAsia"/>
          <w:sz w:val="20"/>
        </w:rPr>
        <w:t xml:space="preserve"> DA </w:t>
      </w:r>
      <w:r w:rsidRPr="00CC3364">
        <w:rPr>
          <w:rFonts w:hint="eastAsia"/>
          <w:sz w:val="20"/>
        </w:rPr>
        <w:t>根进行密码学绑定，使链上精简凭证具备重放前置能力、证据可追溯能力与可验证属性。</w:t>
      </w:r>
    </w:p>
    <w:p w14:paraId="110B376D" w14:textId="41E83A54" w:rsidR="00CC3364" w:rsidRPr="00CC3364" w:rsidRDefault="00CC3364" w:rsidP="00CC3364">
      <w:pPr>
        <w:spacing w:before="120" w:after="60" w:line="240" w:lineRule="auto"/>
        <w:ind w:firstLine="0"/>
        <w:jc w:val="left"/>
        <w:rPr>
          <w:sz w:val="20"/>
        </w:rPr>
      </w:pPr>
      <w:r w:rsidRPr="00CC3364">
        <w:rPr>
          <w:rFonts w:hint="eastAsia"/>
          <w:sz w:val="20"/>
        </w:rPr>
        <w:t>第二个贡献是携带证据的紧凑提交。该提交将状态根、输出哈希、证明哈希、数据可用性指针与数据可用性根绑定在同一上下文中，使链上对象具备重放准备性、证据可追溯性和面向验证的属性。</w:t>
      </w:r>
    </w:p>
    <w:p w14:paraId="3053C36D" w14:textId="77777777" w:rsidR="00CC3364" w:rsidRDefault="00CC3364" w:rsidP="00CC3364">
      <w:pPr>
        <w:spacing w:before="120" w:after="60" w:line="240" w:lineRule="auto"/>
        <w:ind w:firstLine="0"/>
        <w:jc w:val="left"/>
        <w:rPr>
          <w:sz w:val="20"/>
        </w:rPr>
      </w:pPr>
      <w:r w:rsidRPr="00CC3364">
        <w:rPr>
          <w:rFonts w:hint="eastAsia"/>
          <w:sz w:val="20"/>
        </w:rPr>
        <w:t>（</w:t>
      </w:r>
      <w:r w:rsidRPr="00CC3364">
        <w:rPr>
          <w:rFonts w:hint="eastAsia"/>
          <w:sz w:val="20"/>
        </w:rPr>
        <w:t>3</w:t>
      </w:r>
      <w:r w:rsidRPr="00CC3364">
        <w:rPr>
          <w:rFonts w:hint="eastAsia"/>
          <w:sz w:val="20"/>
        </w:rPr>
        <w:t>）构建</w:t>
      </w:r>
      <w:r w:rsidRPr="00CC3364">
        <w:rPr>
          <w:rFonts w:hint="eastAsia"/>
          <w:sz w:val="20"/>
        </w:rPr>
        <w:t xml:space="preserve">DA </w:t>
      </w:r>
      <w:r w:rsidRPr="00CC3364">
        <w:rPr>
          <w:rFonts w:hint="eastAsia"/>
          <w:sz w:val="20"/>
        </w:rPr>
        <w:t>感知成本摊销模型。该模型量化分析负载规模伸缩、批处理策略、</w:t>
      </w:r>
      <w:r w:rsidRPr="00CC3364">
        <w:rPr>
          <w:rFonts w:hint="eastAsia"/>
          <w:sz w:val="20"/>
        </w:rPr>
        <w:t xml:space="preserve">DA </w:t>
      </w:r>
      <w:r w:rsidRPr="00CC3364">
        <w:rPr>
          <w:rFonts w:hint="eastAsia"/>
          <w:sz w:val="20"/>
        </w:rPr>
        <w:t>部署路径三类因素对系统成本的影响，为不同业务负载下的</w:t>
      </w:r>
      <w:r w:rsidRPr="00CC3364">
        <w:rPr>
          <w:rFonts w:hint="eastAsia"/>
          <w:sz w:val="20"/>
        </w:rPr>
        <w:t xml:space="preserve"> DA </w:t>
      </w:r>
      <w:r w:rsidRPr="00CC3364">
        <w:rPr>
          <w:rFonts w:hint="eastAsia"/>
          <w:sz w:val="20"/>
        </w:rPr>
        <w:t>方案选型与成本管控提供理论依据。</w:t>
      </w:r>
    </w:p>
    <w:p w14:paraId="72502D68" w14:textId="0512765F" w:rsidR="00580E0B" w:rsidRDefault="00000000" w:rsidP="00CC3364">
      <w:pPr>
        <w:spacing w:before="120" w:after="60" w:line="240" w:lineRule="auto"/>
        <w:ind w:firstLine="0"/>
        <w:jc w:val="left"/>
      </w:pPr>
      <w:r>
        <w:rPr>
          <w:rFonts w:eastAsia="黑体"/>
          <w:b/>
          <w:bCs/>
          <w:sz w:val="23"/>
          <w:szCs w:val="23"/>
        </w:rPr>
        <w:t xml:space="preserve">2  </w:t>
      </w:r>
      <w:r>
        <w:rPr>
          <w:rFonts w:eastAsia="黑体"/>
          <w:b/>
          <w:bCs/>
          <w:sz w:val="23"/>
          <w:szCs w:val="23"/>
        </w:rPr>
        <w:t>相关工作与背景</w:t>
      </w:r>
    </w:p>
    <w:p w14:paraId="4DB4782E" w14:textId="77777777" w:rsidR="00580E0B" w:rsidRDefault="00000000">
      <w:pPr>
        <w:spacing w:before="80" w:after="40" w:line="240" w:lineRule="auto"/>
        <w:ind w:firstLine="0"/>
        <w:jc w:val="left"/>
      </w:pPr>
      <w:r>
        <w:rPr>
          <w:rFonts w:eastAsia="黑体"/>
          <w:b/>
          <w:bCs/>
          <w:sz w:val="23"/>
          <w:szCs w:val="23"/>
        </w:rPr>
        <w:t xml:space="preserve">2.1  </w:t>
      </w:r>
      <w:r>
        <w:rPr>
          <w:rFonts w:eastAsia="黑体"/>
          <w:b/>
          <w:bCs/>
          <w:sz w:val="23"/>
          <w:szCs w:val="23"/>
        </w:rPr>
        <w:t>相关工作</w:t>
      </w:r>
    </w:p>
    <w:p w14:paraId="1F735DBF" w14:textId="77777777" w:rsidR="00580E0B" w:rsidRDefault="00000000">
      <w:pPr>
        <w:ind w:firstLine="408"/>
      </w:pPr>
      <w:r>
        <w:t>TEEROLLUP[1] 提出了利用异构 TEE 降低 Rollup 验证成本的系统设计。本文受其思路启发，但聚焦异常场景下的挑战恢复和紧凑提交的证据绑定。</w:t>
      </w:r>
    </w:p>
    <w:p w14:paraId="6C3E8434" w14:textId="77777777" w:rsidR="00580E0B" w:rsidRDefault="00000000">
      <w:pPr>
        <w:ind w:firstLine="408"/>
      </w:pPr>
      <w:r>
        <w:t>opML 与 optimistic fraud proof 等工作研究如何通过乐观证明支持复杂计算，通常包含二分定位、单步仲裁和链上验证。本文借鉴交互式争议定位思想，但不实现完整 FPVM 或真实 ML 执行证明，而将二分重放用于 Hybrid TEE-Rollup 原型中的异常仲裁。 近期opML[新增]等工作探索了将机器学习验证引入区块链的可能性。</w:t>
      </w:r>
    </w:p>
    <w:p w14:paraId="3562B92D" w14:textId="77777777" w:rsidR="00580E0B" w:rsidRDefault="00000000">
      <w:pPr>
        <w:ind w:firstLine="408"/>
      </w:pPr>
      <w:r>
        <w:rPr>
          <w:sz w:val="20"/>
        </w:rPr>
        <w:t xml:space="preserve">Dynamic Fraud Proof </w:t>
      </w:r>
      <w:r>
        <w:rPr>
          <w:sz w:val="20"/>
        </w:rPr>
        <w:t>关注无争议场景下的最终性压缩，并在发现争议时动态延迟结算。该方向强调挑战窗口和验证者参与机制的动态调整；本文聚焦更窄的超时后挑战会话恢复问题。</w:t>
      </w:r>
    </w:p>
    <w:p w14:paraId="2766B79C" w14:textId="77777777" w:rsidR="00580E0B" w:rsidRDefault="00000000">
      <w:pPr>
        <w:ind w:firstLine="408"/>
      </w:pPr>
      <w:r>
        <w:rPr>
          <w:sz w:val="20"/>
        </w:rPr>
        <w:t>LazyLedger</w:t>
      </w:r>
      <w:r>
        <w:rPr>
          <w:sz w:val="20"/>
        </w:rPr>
        <w:t>、模块化</w:t>
      </w:r>
      <w:r>
        <w:rPr>
          <w:sz w:val="20"/>
        </w:rPr>
        <w:t xml:space="preserve"> DA </w:t>
      </w:r>
      <w:r>
        <w:rPr>
          <w:sz w:val="20"/>
        </w:rPr>
        <w:t>以及轻客户端相关工作强调数据可用性与执行验证解耦。本文使用可验证</w:t>
      </w:r>
      <w:r>
        <w:rPr>
          <w:sz w:val="20"/>
        </w:rPr>
        <w:t xml:space="preserve"> DA </w:t>
      </w:r>
      <w:r>
        <w:rPr>
          <w:sz w:val="20"/>
        </w:rPr>
        <w:t>注册表和配置化建模分析紧凑提交加数据可用性验证的成本趋势。</w:t>
      </w:r>
    </w:p>
    <w:p w14:paraId="08EADAAF" w14:textId="77777777" w:rsidR="00580E0B" w:rsidRDefault="00000000">
      <w:pPr>
        <w:spacing w:before="80" w:after="40" w:line="240" w:lineRule="auto"/>
        <w:ind w:firstLine="0"/>
        <w:jc w:val="left"/>
      </w:pPr>
      <w:r>
        <w:rPr>
          <w:rFonts w:eastAsia="黑体"/>
          <w:b/>
          <w:bCs/>
          <w:sz w:val="23"/>
          <w:szCs w:val="23"/>
        </w:rPr>
        <w:t>2.2  Rollup</w:t>
      </w:r>
      <w:r>
        <w:rPr>
          <w:rFonts w:eastAsia="黑体"/>
          <w:b/>
          <w:bCs/>
          <w:sz w:val="23"/>
          <w:szCs w:val="23"/>
        </w:rPr>
        <w:t>、可信执行环境与数据可用性</w:t>
      </w:r>
    </w:p>
    <w:p w14:paraId="34D40E44" w14:textId="77777777" w:rsidR="00580E0B" w:rsidRDefault="00000000">
      <w:pPr>
        <w:ind w:firstLine="408"/>
      </w:pPr>
      <w:r>
        <w:t xml:space="preserve">Rollup </w:t>
      </w:r>
      <w:r>
        <w:t>的基本思想是将大量执行过程移至链下</w:t>
      </w:r>
      <w:r>
        <w:t>完成，并将状态承诺、证明或争议入口提交到链上</w:t>
      </w:r>
      <w:r>
        <w:rPr>
          <w:vertAlign w:val="superscript"/>
        </w:rPr>
        <w:t>[2]</w:t>
      </w:r>
      <w:r>
        <w:t>。</w:t>
      </w:r>
      <w:r>
        <w:t xml:space="preserve">ZK-Rollup </w:t>
      </w:r>
      <w:r>
        <w:t>通过有效性证明保证提交状态的正确性，验证属性较强，但证明生成、验证电路和系统实现成本较高。</w:t>
      </w:r>
      <w:r>
        <w:t xml:space="preserve">Optimistic Rollup </w:t>
      </w:r>
      <w:r>
        <w:t>默认链下执行结果正确，仅在挑战期内出现有效争议时进行仲裁；其链上负担较轻，但争议窗口和交互过程会引入状态不确定性</w:t>
      </w:r>
      <w:r>
        <w:rPr>
          <w:vertAlign w:val="superscript"/>
        </w:rPr>
        <w:t>[3]</w:t>
      </w:r>
      <w:r>
        <w:t>。</w:t>
      </w:r>
    </w:p>
    <w:p w14:paraId="4634245D" w14:textId="77777777" w:rsidR="00580E0B" w:rsidRDefault="00000000">
      <w:pPr>
        <w:ind w:firstLine="408"/>
      </w:pPr>
      <w:r>
        <w:t>乐观挑战是</w:t>
      </w:r>
      <w:r>
        <w:t xml:space="preserve"> Rollup </w:t>
      </w:r>
      <w:r>
        <w:t>系统处理异常的重要机制。典型流程包括提交状态承诺、开启挑战、交互式缩小争议范围，并在必要时执行单步重放或链上仲裁</w:t>
      </w:r>
      <w:r>
        <w:rPr>
          <w:vertAlign w:val="superscript"/>
        </w:rPr>
        <w:t>[4][5]</w:t>
      </w:r>
      <w:r>
        <w:t>。对于长执行轨迹，二分定位能够将争议定位复杂度从线性扫描降低到对数轮次；挑战过程本身也可能遭遇超时、应答缺失或证据不可用，因此活性和恢复性需要进入协议设计</w:t>
      </w:r>
      <w:r>
        <w:rPr>
          <w:vertAlign w:val="superscript"/>
        </w:rPr>
        <w:t>[6]</w:t>
      </w:r>
      <w:r>
        <w:t>。</w:t>
      </w:r>
    </w:p>
    <w:p w14:paraId="5963DF92" w14:textId="77777777" w:rsidR="00580E0B" w:rsidRDefault="00000000">
      <w:pPr>
        <w:ind w:firstLine="408"/>
      </w:pPr>
      <w:r>
        <w:t>数据可用性关注链下或链外数据能否被验证者获取。模块化区块链和惰性账本等路线将数据可用性从执行验证中解耦，使共识层主要负责数据排序和可用性保证，执行与验证由独立的</w:t>
      </w:r>
      <w:r>
        <w:t xml:space="preserve"> Rollup </w:t>
      </w:r>
      <w:r>
        <w:t>或客户端完成</w:t>
      </w:r>
      <w:r>
        <w:rPr>
          <w:vertAlign w:val="superscript"/>
        </w:rPr>
        <w:t>[7][8][9][10]</w:t>
      </w:r>
      <w:r>
        <w:t>。当执行者将完整负载放在数据可用性层而非链上时，链上提交必须与数据可用性条目形成可验证绑定。</w:t>
      </w:r>
    </w:p>
    <w:p w14:paraId="6784D16F" w14:textId="77777777" w:rsidR="00580E0B" w:rsidRDefault="00000000">
      <w:pPr>
        <w:spacing w:before="80" w:after="40" w:line="240" w:lineRule="auto"/>
        <w:ind w:firstLine="0"/>
        <w:jc w:val="left"/>
      </w:pPr>
      <w:r>
        <w:rPr>
          <w:rFonts w:eastAsia="黑体"/>
          <w:b/>
          <w:bCs/>
          <w:sz w:val="23"/>
          <w:szCs w:val="23"/>
        </w:rPr>
        <w:t xml:space="preserve">2.3  </w:t>
      </w:r>
      <w:r>
        <w:rPr>
          <w:rFonts w:eastAsia="黑体"/>
          <w:b/>
          <w:bCs/>
          <w:sz w:val="23"/>
          <w:szCs w:val="23"/>
        </w:rPr>
        <w:t>问题范围与对抗假设</w:t>
      </w:r>
    </w:p>
    <w:p w14:paraId="6D6370A7" w14:textId="77777777" w:rsidR="00580E0B" w:rsidRDefault="00000000">
      <w:pPr>
        <w:ind w:firstLine="408"/>
      </w:pPr>
      <w:r>
        <w:rPr>
          <w:sz w:val="20"/>
        </w:rPr>
        <w:t>在上述背景下，本文进一步限定研究问题：</w:t>
      </w:r>
      <w:r>
        <w:rPr>
          <w:sz w:val="20"/>
        </w:rPr>
        <w:t xml:space="preserve">Hybrid TEE-Rollup </w:t>
      </w:r>
      <w:r>
        <w:rPr>
          <w:sz w:val="20"/>
        </w:rPr>
        <w:t>如何在保持正常路径低成本的同时，保留公开、可恢复且有证据支撑的异常路径。成本维度要求链上提交不随完整负载线性增长；可验证性维度要求紧凑提交能够指向可检查的</w:t>
      </w:r>
      <w:r>
        <w:rPr>
          <w:sz w:val="20"/>
        </w:rPr>
        <w:t xml:space="preserve"> DA </w:t>
      </w:r>
      <w:r>
        <w:rPr>
          <w:sz w:val="20"/>
        </w:rPr>
        <w:t>证据；活性维度要求超时不会使仲裁流程永久停滞。</w:t>
      </w:r>
    </w:p>
    <w:p w14:paraId="1AE5B500" w14:textId="77777777" w:rsidR="00580E0B" w:rsidRDefault="00000000">
      <w:pPr>
        <w:ind w:firstLine="408"/>
      </w:pPr>
      <w:r>
        <w:rPr>
          <w:sz w:val="20"/>
        </w:rPr>
        <w:t>攻击面覆盖提交者、执行环境、数据可用性绑定和挑战流程。本文假设执行者或提交者可能提交错误响应、篡改数据可用性负载、提供无效证明，或在挑战流程中延迟响应；数据可用性层可能出现负载缺失、</w:t>
      </w:r>
      <w:r>
        <w:rPr>
          <w:sz w:val="20"/>
        </w:rPr>
        <w:t xml:space="preserve">Merkle </w:t>
      </w:r>
      <w:r>
        <w:rPr>
          <w:sz w:val="20"/>
        </w:rPr>
        <w:t>证明损坏或根不一致；挑战流程本身也可能因交互超时而中断。本文不假设执行者在硬件</w:t>
      </w:r>
      <w:r>
        <w:rPr>
          <w:sz w:val="20"/>
        </w:rPr>
        <w:t xml:space="preserve"> TEE </w:t>
      </w:r>
      <w:r>
        <w:rPr>
          <w:sz w:val="20"/>
        </w:rPr>
        <w:t>层面受到保护，也不假设数据可用性层具有无限可用性。</w:t>
      </w:r>
    </w:p>
    <w:p w14:paraId="12BA2D71" w14:textId="77777777" w:rsidR="00580E0B" w:rsidRDefault="00000000">
      <w:pPr>
        <w:spacing w:before="120" w:after="60" w:line="240" w:lineRule="auto"/>
        <w:ind w:firstLine="0"/>
        <w:jc w:val="left"/>
      </w:pPr>
      <w:r>
        <w:rPr>
          <w:rFonts w:eastAsia="黑体"/>
          <w:b/>
          <w:bCs/>
          <w:sz w:val="23"/>
          <w:szCs w:val="23"/>
        </w:rPr>
        <w:t xml:space="preserve">3  </w:t>
      </w:r>
      <w:r>
        <w:rPr>
          <w:rFonts w:eastAsia="黑体"/>
          <w:b/>
          <w:bCs/>
          <w:sz w:val="23"/>
          <w:szCs w:val="23"/>
        </w:rPr>
        <w:t>系统概览</w:t>
      </w:r>
    </w:p>
    <w:p w14:paraId="0B6E04D2" w14:textId="77777777" w:rsidR="00580E0B" w:rsidRDefault="00000000">
      <w:pPr>
        <w:ind w:firstLine="408"/>
      </w:pPr>
      <w:r>
        <w:rPr>
          <w:sz w:val="20"/>
        </w:rPr>
        <w:lastRenderedPageBreak/>
        <w:t>本节说明上述机制如何组成端到端系统。系统包含三个角色：执行层负责产生正常路径下的响应与远程证明；</w:t>
      </w:r>
      <w:r>
        <w:rPr>
          <w:sz w:val="20"/>
        </w:rPr>
        <w:t xml:space="preserve">DA </w:t>
      </w:r>
      <w:r>
        <w:rPr>
          <w:sz w:val="20"/>
        </w:rPr>
        <w:t>层负责保存重放所需证据；验证层负责将故障转化为挑战、恢复、重放与结算等状态转移。运行示例仍以高频</w:t>
      </w:r>
      <w:r>
        <w:rPr>
          <w:sz w:val="20"/>
        </w:rPr>
        <w:t xml:space="preserve"> AI </w:t>
      </w:r>
      <w:r>
        <w:rPr>
          <w:sz w:val="20"/>
        </w:rPr>
        <w:t>推理工作负载为主：大量低价值请求不应迫使完整负载上链，但一旦发生争议，系统仍需保留公开仲裁所需的证据。</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479A4AAB" w14:textId="77777777">
        <w:trPr>
          <w:jc w:val="center"/>
        </w:trPr>
        <w:tc>
          <w:tcPr>
            <w:tcW w:w="4464" w:type="dxa"/>
            <w:tcBorders>
              <w:bottom w:val="single" w:sz="6" w:space="0" w:color="000000"/>
            </w:tcBorders>
            <w:vAlign w:val="center"/>
          </w:tcPr>
          <w:p w14:paraId="16BBABAE" w14:textId="5C3B513B" w:rsidR="00580E0B" w:rsidRDefault="00257EB1">
            <w:pPr>
              <w:keepNext/>
              <w:spacing w:line="180" w:lineRule="auto"/>
              <w:ind w:firstLine="0"/>
              <w:jc w:val="center"/>
            </w:pPr>
            <w:r>
              <w:rPr>
                <w:noProof/>
                <w:sz w:val="15"/>
                <w:szCs w:val="15"/>
              </w:rPr>
              <w:drawing>
                <wp:inline distT="0" distB="0" distL="0" distR="0" wp14:anchorId="6AA83E90" wp14:editId="64F1A348">
                  <wp:extent cx="2781299" cy="2183765"/>
                  <wp:effectExtent l="0" t="0" r="63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821049" cy="2214975"/>
                          </a:xfrm>
                          <a:prstGeom prst="rect">
                            <a:avLst/>
                          </a:prstGeom>
                        </pic:spPr>
                      </pic:pic>
                    </a:graphicData>
                  </a:graphic>
                </wp:inline>
              </w:drawing>
            </w:r>
          </w:p>
          <w:p w14:paraId="38B5FF50" w14:textId="77777777" w:rsidR="00580E0B" w:rsidRDefault="00000000">
            <w:pPr>
              <w:spacing w:line="180" w:lineRule="auto"/>
              <w:ind w:firstLine="0"/>
              <w:jc w:val="center"/>
            </w:pPr>
            <w:r>
              <w:rPr>
                <w:sz w:val="15"/>
                <w:szCs w:val="15"/>
              </w:rPr>
              <w:t>图</w:t>
            </w:r>
            <w:r>
              <w:rPr>
                <w:sz w:val="15"/>
                <w:szCs w:val="15"/>
              </w:rPr>
              <w:t xml:space="preserve"> 1  Hybrid TEE-Rollup </w:t>
            </w:r>
            <w:r>
              <w:rPr>
                <w:sz w:val="15"/>
                <w:szCs w:val="15"/>
              </w:rPr>
              <w:t>原型系统架构</w:t>
            </w:r>
          </w:p>
          <w:p w14:paraId="39107661" w14:textId="77777777" w:rsidR="00580E0B" w:rsidRDefault="00000000">
            <w:pPr>
              <w:spacing w:line="180" w:lineRule="auto"/>
              <w:ind w:firstLine="0"/>
              <w:jc w:val="center"/>
            </w:pPr>
            <w:r>
              <w:rPr>
                <w:sz w:val="15"/>
                <w:szCs w:val="15"/>
              </w:rPr>
              <w:t>Fig.1  Prototype architecture of Hybrid TEE-Rollup</w:t>
            </w:r>
          </w:p>
        </w:tc>
      </w:tr>
    </w:tbl>
    <w:p w14:paraId="052F5D63" w14:textId="77777777" w:rsidR="00580E0B" w:rsidRDefault="00000000">
      <w:pPr>
        <w:ind w:firstLine="408"/>
      </w:pPr>
      <w:r>
        <w:rPr>
          <w:sz w:val="20"/>
        </w:rPr>
        <w:t>如图</w:t>
      </w:r>
      <w:r>
        <w:rPr>
          <w:sz w:val="20"/>
        </w:rPr>
        <w:t xml:space="preserve"> 1 </w:t>
      </w:r>
      <w:r>
        <w:rPr>
          <w:sz w:val="20"/>
        </w:rPr>
        <w:t>所示，系统由高频</w:t>
      </w:r>
      <w:r>
        <w:rPr>
          <w:sz w:val="20"/>
        </w:rPr>
        <w:t xml:space="preserve"> DApp </w:t>
      </w:r>
      <w:r>
        <w:rPr>
          <w:sz w:val="20"/>
        </w:rPr>
        <w:t>请求入口、链下执行层、数据可用性层、链上提交层和验证仲裁层组成。正常路径中，执行层输出响应与远程证明，数据层保存完整证据，链上提交层仅保存紧凑提交。异常路径中，验证仲裁层通过数据可用性指针取回证据，并以挑战、恢复、重放和结算推进状态。这个划分使低成本正常路径与可仲裁异常路径保持同一证据上下文。</w:t>
      </w:r>
    </w:p>
    <w:p w14:paraId="051E5B96" w14:textId="77777777" w:rsidR="00580E0B" w:rsidRDefault="00000000">
      <w:pPr>
        <w:spacing w:before="80" w:after="40" w:line="240" w:lineRule="auto"/>
        <w:ind w:firstLine="0"/>
        <w:jc w:val="left"/>
      </w:pPr>
      <w:r>
        <w:rPr>
          <w:rFonts w:eastAsia="黑体"/>
          <w:b/>
          <w:bCs/>
          <w:sz w:val="23"/>
          <w:szCs w:val="23"/>
        </w:rPr>
        <w:t xml:space="preserve">3.1  </w:t>
      </w:r>
      <w:r>
        <w:rPr>
          <w:rFonts w:eastAsia="黑体"/>
          <w:b/>
          <w:bCs/>
          <w:sz w:val="23"/>
          <w:szCs w:val="23"/>
        </w:rPr>
        <w:t>执行层与正常路径</w:t>
      </w:r>
    </w:p>
    <w:p w14:paraId="78AC3AF1" w14:textId="77777777" w:rsidR="00580E0B" w:rsidRDefault="00000000">
      <w:pPr>
        <w:ind w:firstLine="408"/>
      </w:pPr>
      <w:r>
        <w:t>执行层负责处理高频</w:t>
      </w:r>
      <w:r>
        <w:t xml:space="preserve"> DApp </w:t>
      </w:r>
      <w:r>
        <w:t>请求。当前原型采用确定性模拟模型或可选模型后端生成响应，并使用模拟可信执行环境远程证明对输入哈希、输出哈希、</w:t>
      </w:r>
      <w:r>
        <w:t xml:space="preserve">nonce </w:t>
      </w:r>
      <w:r>
        <w:t>和执行环境标识进行绑定</w:t>
      </w:r>
      <w:r>
        <w:rPr>
          <w:vertAlign w:val="superscript"/>
        </w:rPr>
        <w:t>[11]</w:t>
      </w:r>
      <w:r>
        <w:t>。远程证明的作用是为链下执行结果提供最小可信摘要，使后续验证层能够检查提交结果是否与声明的执行过程一致。</w:t>
      </w:r>
    </w:p>
    <w:p w14:paraId="025E2B43" w14:textId="77777777" w:rsidR="00580E0B" w:rsidRDefault="00000000">
      <w:pPr>
        <w:ind w:firstLine="408"/>
      </w:pPr>
      <w:r>
        <w:rPr>
          <w:sz w:val="20"/>
        </w:rPr>
        <w:t>在本文原型中，模拟可信执行环境用于建立</w:t>
      </w:r>
      <w:r>
        <w:rPr>
          <w:sz w:val="20"/>
        </w:rPr>
        <w:t>“</w:t>
      </w:r>
      <w:r>
        <w:rPr>
          <w:sz w:val="20"/>
        </w:rPr>
        <w:t>链下执行摘要</w:t>
      </w:r>
      <w:r>
        <w:rPr>
          <w:sz w:val="20"/>
        </w:rPr>
        <w:t>—</w:t>
      </w:r>
      <w:r>
        <w:rPr>
          <w:sz w:val="20"/>
        </w:rPr>
        <w:t>链上提交</w:t>
      </w:r>
      <w:r>
        <w:rPr>
          <w:sz w:val="20"/>
        </w:rPr>
        <w:t>—</w:t>
      </w:r>
      <w:r>
        <w:rPr>
          <w:sz w:val="20"/>
        </w:rPr>
        <w:t>异常挑战</w:t>
      </w:r>
      <w:r>
        <w:rPr>
          <w:sz w:val="20"/>
        </w:rPr>
        <w:t>”</w:t>
      </w:r>
      <w:r>
        <w:rPr>
          <w:sz w:val="20"/>
        </w:rPr>
        <w:t>的接口关系</w:t>
      </w:r>
      <w:r w:rsidR="00C57F4C">
        <w:rPr>
          <w:rFonts w:hint="eastAsia"/>
          <w:sz w:val="20"/>
        </w:rPr>
        <w:t>。</w:t>
      </w:r>
      <w:r w:rsidR="00C57F4C">
        <w:rPr>
          <w:sz w:val="20"/>
        </w:rPr>
        <w:t xml:space="preserve"> </w:t>
      </w:r>
    </w:p>
    <w:p w14:paraId="71AE589E" w14:textId="77777777" w:rsidR="00580E0B" w:rsidRDefault="00000000">
      <w:pPr>
        <w:spacing w:before="80" w:after="40" w:line="240" w:lineRule="auto"/>
        <w:ind w:firstLine="0"/>
        <w:jc w:val="left"/>
      </w:pPr>
      <w:r>
        <w:rPr>
          <w:rFonts w:eastAsia="黑体"/>
          <w:b/>
          <w:bCs/>
          <w:sz w:val="23"/>
          <w:szCs w:val="23"/>
        </w:rPr>
        <w:t xml:space="preserve">3.2  </w:t>
      </w:r>
      <w:r>
        <w:rPr>
          <w:rFonts w:eastAsia="黑体"/>
          <w:b/>
          <w:bCs/>
          <w:sz w:val="23"/>
          <w:szCs w:val="23"/>
        </w:rPr>
        <w:t>数据可用性接口</w:t>
      </w:r>
    </w:p>
    <w:p w14:paraId="488A96D8" w14:textId="77777777" w:rsidR="00580E0B" w:rsidRDefault="00000000">
      <w:pPr>
        <w:ind w:firstLine="408"/>
      </w:pPr>
      <w:r>
        <w:rPr>
          <w:sz w:val="20"/>
        </w:rPr>
        <w:t xml:space="preserve">DA </w:t>
      </w:r>
      <w:r>
        <w:rPr>
          <w:sz w:val="20"/>
        </w:rPr>
        <w:t>接口是紧凑提交具有安全意义的关键位置。数据层保存完整负载及其可验证结构，包括提示、响应、远</w:t>
      </w:r>
      <w:r>
        <w:rPr>
          <w:sz w:val="20"/>
        </w:rPr>
        <w:t>程证明、负载哈希、叶哈希、</w:t>
      </w:r>
      <w:r>
        <w:rPr>
          <w:sz w:val="20"/>
        </w:rPr>
        <w:t xml:space="preserve">Merkle </w:t>
      </w:r>
      <w:r>
        <w:rPr>
          <w:sz w:val="20"/>
        </w:rPr>
        <w:t>根和字段级</w:t>
      </w:r>
      <w:r>
        <w:rPr>
          <w:sz w:val="20"/>
        </w:rPr>
        <w:t xml:space="preserve"> Merkle </w:t>
      </w:r>
      <w:r>
        <w:rPr>
          <w:sz w:val="20"/>
        </w:rPr>
        <w:t>证明；链上仅保存紧凑提交。由此，字节压缩与证据保留被明确区分：正常路径避免完整负载上链，异常路径仍可恢复重放所需的负载上下文。</w:t>
      </w:r>
    </w:p>
    <w:p w14:paraId="07C9A72D" w14:textId="77777777" w:rsidR="00580E0B" w:rsidRDefault="00000000">
      <w:pPr>
        <w:ind w:firstLine="408"/>
      </w:pPr>
      <w:r>
        <w:rPr>
          <w:sz w:val="20"/>
        </w:rPr>
        <w:t>在运行示例中，如果执行者提交的响应被替换，验证者可以从数据可用性条目中取回响应字段及其</w:t>
      </w:r>
      <w:r>
        <w:rPr>
          <w:sz w:val="20"/>
        </w:rPr>
        <w:t xml:space="preserve"> Merkle </w:t>
      </w:r>
      <w:r>
        <w:rPr>
          <w:sz w:val="20"/>
        </w:rPr>
        <w:t>证明，并与链上</w:t>
      </w:r>
      <w:r>
        <w:rPr>
          <w:sz w:val="20"/>
        </w:rPr>
        <w:t xml:space="preserve"> DA Merkle </w:t>
      </w:r>
      <w:r>
        <w:rPr>
          <w:sz w:val="20"/>
        </w:rPr>
        <w:t>根检查一致性；如果负载缺失，则异常应被归类为数据可用性故障，而不应被误写为已完成重放的执行错误。</w:t>
      </w:r>
    </w:p>
    <w:p w14:paraId="5E1F207E" w14:textId="77777777" w:rsidR="00580E0B" w:rsidRDefault="00000000">
      <w:pPr>
        <w:spacing w:before="80" w:after="40" w:line="240" w:lineRule="auto"/>
        <w:ind w:firstLine="0"/>
        <w:jc w:val="left"/>
      </w:pPr>
      <w:r>
        <w:rPr>
          <w:rFonts w:eastAsia="黑体"/>
          <w:b/>
          <w:bCs/>
          <w:sz w:val="23"/>
          <w:szCs w:val="23"/>
        </w:rPr>
        <w:t xml:space="preserve">3.3  </w:t>
      </w:r>
      <w:r>
        <w:rPr>
          <w:rFonts w:eastAsia="黑体"/>
          <w:b/>
          <w:bCs/>
          <w:sz w:val="23"/>
          <w:szCs w:val="23"/>
        </w:rPr>
        <w:t>验证层与恢复触发</w:t>
      </w:r>
    </w:p>
    <w:p w14:paraId="6B2E75FC" w14:textId="77777777" w:rsidR="00580E0B" w:rsidRDefault="00000000">
      <w:pPr>
        <w:ind w:firstLine="408"/>
      </w:pPr>
      <w:r>
        <w:t>验证层负责处理异常路径。当前原型实现挑战打开、响应、步骤、恢复、重放和结算等状态推进；争议出现后，验证层通过证据加载、二分定位、单步重放和仲裁结算，将异常状态推进为可解释的协议结果</w:t>
      </w:r>
      <w:r>
        <w:rPr>
          <w:vertAlign w:val="superscript"/>
        </w:rPr>
        <w:t>[4][5]</w:t>
      </w:r>
      <w:r>
        <w:t>。</w:t>
      </w:r>
    </w:p>
    <w:p w14:paraId="70713A2F" w14:textId="77777777" w:rsidR="00580E0B" w:rsidRDefault="00000000">
      <w:pPr>
        <w:ind w:firstLine="408"/>
      </w:pPr>
      <w:r>
        <w:rPr>
          <w:sz w:val="20"/>
        </w:rPr>
        <w:t>验证层同时承担故障分类职责。本文将故障划分为证明故障、</w:t>
      </w:r>
      <w:r>
        <w:rPr>
          <w:sz w:val="20"/>
        </w:rPr>
        <w:t xml:space="preserve">DA </w:t>
      </w:r>
      <w:r>
        <w:rPr>
          <w:sz w:val="20"/>
        </w:rPr>
        <w:t>故障、超时故障、重放故障和轨迹不一致。不同故障对应不同处理路径：数据不可用表示数据层无法提供负载；数据可用性证明无效表示负载与链上根不一致；轨迹长度不匹配表示执行轨迹与声明结构不一致；响应篡改则可能同时导致负载哈希、远程证明和状态根不一致。</w:t>
      </w:r>
    </w:p>
    <w:p w14:paraId="42D1FDCF" w14:textId="77777777" w:rsidR="00580E0B" w:rsidRDefault="00000000">
      <w:pPr>
        <w:ind w:firstLine="408"/>
      </w:pPr>
      <w:r>
        <w:rPr>
          <w:sz w:val="20"/>
        </w:rPr>
        <w:t>在</w:t>
      </w:r>
      <w:r>
        <w:rPr>
          <w:sz w:val="20"/>
        </w:rPr>
        <w:t xml:space="preserve"> Solidity </w:t>
      </w:r>
      <w:r>
        <w:rPr>
          <w:sz w:val="20"/>
        </w:rPr>
        <w:t>映射中，原型包含</w:t>
      </w:r>
      <w:r>
        <w:rPr>
          <w:sz w:val="20"/>
        </w:rPr>
        <w:t xml:space="preserve"> MockTEEVerifier</w:t>
      </w:r>
      <w:r>
        <w:rPr>
          <w:sz w:val="20"/>
        </w:rPr>
        <w:t>、</w:t>
      </w:r>
      <w:r>
        <w:rPr>
          <w:sz w:val="20"/>
        </w:rPr>
        <w:t>MockDARegistry</w:t>
      </w:r>
      <w:r>
        <w:rPr>
          <w:sz w:val="20"/>
        </w:rPr>
        <w:t>、</w:t>
      </w:r>
      <w:r>
        <w:rPr>
          <w:sz w:val="20"/>
        </w:rPr>
        <w:t xml:space="preserve">MerkleVerifier </w:t>
      </w:r>
      <w:r>
        <w:rPr>
          <w:sz w:val="20"/>
        </w:rPr>
        <w:t>和</w:t>
      </w:r>
      <w:r>
        <w:rPr>
          <w:sz w:val="20"/>
        </w:rPr>
        <w:t xml:space="preserve"> HybridTEERollup </w:t>
      </w:r>
      <w:r>
        <w:rPr>
          <w:sz w:val="20"/>
        </w:rPr>
        <w:t>等合约，用于表达链上状态推进和最小验证逻辑。本地</w:t>
      </w:r>
      <w:r>
        <w:rPr>
          <w:sz w:val="20"/>
        </w:rPr>
        <w:t xml:space="preserve"> EVM </w:t>
      </w:r>
      <w:r>
        <w:rPr>
          <w:sz w:val="20"/>
        </w:rPr>
        <w:t>合约并非</w:t>
      </w:r>
      <w:r>
        <w:rPr>
          <w:sz w:val="20"/>
        </w:rPr>
        <w:t xml:space="preserve"> Python </w:t>
      </w:r>
      <w:r>
        <w:rPr>
          <w:sz w:val="20"/>
        </w:rPr>
        <w:t>原型的逐行移植，而是抽取适合链上表达的提交、验证、挑战、恢复和结算路径。</w:t>
      </w:r>
    </w:p>
    <w:p>
      <w:pPr>
        <w:pStyle w:val="3"/>
      </w:pPr>
      <w:r>
        <w:t>3.4  威胁模型与信任假设</w:t>
      </w:r>
    </w:p>
    <w:p>
      <w:r>
        <w:t>HTR系统面临的主要威胁包括Sequencer作恶、Proposer拒绝提交、Challenger恶意挑战、Enclave故障以及数据可用性攻击。表7总结了各威胁的类型、检测机制和应对措施。特别地，DA攻击通过bindDa/fulfillDa/slashDa三步机制处理：Proposer在propose前必须bindDa绑定Blob承诺，在超时窗口内fulfillDa提交实际Blob数据，否则任何人可调用slashDa罚没其全部保证金（100%，即1 ether）。该机制在测试用例C12中验证，slashDa的EVM gas成本为66,136。</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威胁类型</w:t>
            </w:r>
          </w:p>
        </w:tc>
        <w:tc>
          <w:tcPr>
            <w:tcW w:type="dxa" w:w="2064"/>
          </w:tcPr>
          <w:p>
            <w:r>
              <w:t>攻击者</w:t>
            </w:r>
          </w:p>
        </w:tc>
        <w:tc>
          <w:tcPr>
            <w:tcW w:type="dxa" w:w="2064"/>
          </w:tcPr>
          <w:p>
            <w:r>
              <w:t>攻击方式</w:t>
            </w:r>
          </w:p>
        </w:tc>
        <w:tc>
          <w:tcPr>
            <w:tcW w:type="dxa" w:w="2064"/>
          </w:tcPr>
          <w:p>
            <w:r>
              <w:t>检测机制</w:t>
            </w:r>
          </w:p>
        </w:tc>
        <w:tc>
          <w:tcPr>
            <w:tcW w:type="dxa" w:w="2064"/>
          </w:tcPr>
          <w:p>
            <w:r>
              <w:t>应对措施</w:t>
            </w:r>
          </w:p>
        </w:tc>
      </w:tr>
      <w:tr>
        <w:tc>
          <w:tcPr>
            <w:tcW w:type="dxa" w:w="2064"/>
          </w:tcPr>
          <w:p>
            <w:r>
              <w:t>Sequencer作恶</w:t>
            </w:r>
          </w:p>
        </w:tc>
        <w:tc>
          <w:tcPr>
            <w:tcW w:type="dxa" w:w="2064"/>
          </w:tcPr>
          <w:p>
            <w:r>
              <w:t>Sequencer</w:t>
            </w:r>
          </w:p>
        </w:tc>
        <w:tc>
          <w:tcPr>
            <w:tcW w:type="dxa" w:w="2064"/>
          </w:tcPr>
          <w:p>
            <w:r>
              <w:t>提交错误状态根</w:t>
            </w:r>
          </w:p>
        </w:tc>
        <w:tc>
          <w:tcPr>
            <w:tcW w:type="dxa" w:w="2064"/>
          </w:tcPr>
          <w:p>
            <w:r>
              <w:t>链下验证+链上挑战</w:t>
            </w:r>
          </w:p>
        </w:tc>
        <w:tc>
          <w:tcPr>
            <w:tcW w:type="dxa" w:w="2064"/>
          </w:tcPr>
          <w:p>
            <w:r>
              <w:t>Challenge→二分→重放</w:t>
            </w:r>
          </w:p>
        </w:tc>
      </w:tr>
      <w:tr>
        <w:tc>
          <w:tcPr>
            <w:tcW w:type="dxa" w:w="2064"/>
          </w:tcPr>
          <w:p>
            <w:r>
              <w:t>Proposer拒绝提交</w:t>
            </w:r>
          </w:p>
        </w:tc>
        <w:tc>
          <w:tcPr>
            <w:tcW w:type="dxa" w:w="2064"/>
          </w:tcPr>
          <w:p>
            <w:r>
              <w:t>Proposer</w:t>
            </w:r>
          </w:p>
        </w:tc>
        <w:tc>
          <w:tcPr>
            <w:tcW w:type="dxa" w:w="2064"/>
          </w:tcPr>
          <w:p>
            <w:r>
              <w:t>超时不提交紧凑承诺</w:t>
            </w:r>
          </w:p>
        </w:tc>
        <w:tc>
          <w:tcPr>
            <w:tcW w:type="dxa" w:w="2064"/>
          </w:tcPr>
          <w:p>
            <w:r>
              <w:t>Guardian监控+recover</w:t>
            </w:r>
          </w:p>
        </w:tc>
        <w:tc>
          <w:tcPr>
            <w:tcW w:type="dxa" w:w="2064"/>
          </w:tcPr>
          <w:p>
            <w:r>
              <w:t>recover→adjudicate兜底</w:t>
            </w:r>
          </w:p>
        </w:tc>
      </w:tr>
      <w:tr>
        <w:tc>
          <w:tcPr>
            <w:tcW w:type="dxa" w:w="2064"/>
          </w:tcPr>
          <w:p>
            <w:r>
              <w:t>Challenger恶意挑战</w:t>
            </w:r>
          </w:p>
        </w:tc>
        <w:tc>
          <w:tcPr>
            <w:tcW w:type="dxa" w:w="2064"/>
          </w:tcPr>
          <w:p>
            <w:r>
              <w:t>Challenger</w:t>
            </w:r>
          </w:p>
        </w:tc>
        <w:tc>
          <w:tcPr>
            <w:tcW w:type="dxa" w:w="2064"/>
          </w:tcPr>
          <w:p>
            <w:r>
              <w:t>虚假挑战消耗资源</w:t>
            </w:r>
          </w:p>
        </w:tc>
        <w:tc>
          <w:tcPr>
            <w:tcW w:type="dxa" w:w="2064"/>
          </w:tcPr>
          <w:p>
            <w:r>
              <w:t>保证金机制</w:t>
            </w:r>
          </w:p>
        </w:tc>
        <w:tc>
          <w:tcPr>
            <w:tcW w:type="dxa" w:w="2064"/>
          </w:tcPr>
          <w:p>
            <w:r>
              <w:t>挑战失败罚没保证金</w:t>
            </w:r>
          </w:p>
        </w:tc>
      </w:tr>
      <w:tr>
        <w:tc>
          <w:tcPr>
            <w:tcW w:type="dxa" w:w="2064"/>
          </w:tcPr>
          <w:p>
            <w:r>
              <w:t>Enclave故障</w:t>
            </w:r>
          </w:p>
        </w:tc>
        <w:tc>
          <w:tcPr>
            <w:tcW w:type="dxa" w:w="2064"/>
          </w:tcPr>
          <w:p>
            <w:r>
              <w:t>TEE平台</w:t>
            </w:r>
          </w:p>
        </w:tc>
        <w:tc>
          <w:tcPr>
            <w:tcW w:type="dxa" w:w="2064"/>
          </w:tcPr>
          <w:p>
            <w:r>
              <w:t>Quote伪造/MRENCLAVE篡改</w:t>
            </w:r>
          </w:p>
        </w:tc>
        <w:tc>
          <w:tcPr>
            <w:tcW w:type="dxa" w:w="2064"/>
          </w:tcPr>
          <w:p>
            <w:r>
              <w:t>链下DCAP验证+链上白名单</w:t>
            </w:r>
          </w:p>
        </w:tc>
        <w:tc>
          <w:tcPr>
            <w:tcW w:type="dxa" w:w="2064"/>
          </w:tcPr>
          <w:p>
            <w:r>
              <w:t>reject无效Quote</w:t>
            </w:r>
          </w:p>
        </w:tc>
      </w:tr>
      <w:tr>
        <w:tc>
          <w:tcPr>
            <w:tcW w:type="dxa" w:w="2064"/>
          </w:tcPr>
          <w:p>
            <w:r>
              <w:t>DA攻击</w:t>
            </w:r>
          </w:p>
        </w:tc>
        <w:tc>
          <w:tcPr>
            <w:tcW w:type="dxa" w:w="2064"/>
          </w:tcPr>
          <w:p>
            <w:r>
              <w:t>Proposer</w:t>
            </w:r>
          </w:p>
        </w:tc>
        <w:tc>
          <w:tcPr>
            <w:tcW w:type="dxa" w:w="2064"/>
          </w:tcPr>
          <w:p>
            <w:r>
              <w:t>bindDa后不fulfillDa</w:t>
            </w:r>
          </w:p>
        </w:tc>
        <w:tc>
          <w:tcPr>
            <w:tcW w:type="dxa" w:w="2064"/>
          </w:tcPr>
          <w:p>
            <w:r>
              <w:t>Blob承诺验证+超时检测</w:t>
            </w:r>
          </w:p>
        </w:tc>
        <w:tc>
          <w:tcPr>
            <w:tcW w:type="dxa" w:w="2064"/>
          </w:tcPr>
          <w:p>
            <w:r>
              <w:t>slashDa罚没100% (1 ether)</w:t>
            </w:r>
          </w:p>
        </w:tc>
      </w:tr>
      <w:tr>
        <w:tc>
          <w:tcPr>
            <w:tcW w:type="dxa" w:w="2064"/>
          </w:tcPr>
          <w:p>
            <w:r>
              <w:t>重放攻击</w:t>
            </w:r>
          </w:p>
        </w:tc>
        <w:tc>
          <w:tcPr>
            <w:tcW w:type="dxa" w:w="2064"/>
          </w:tcPr>
          <w:p>
            <w:r>
              <w:t>Attacker</w:t>
            </w:r>
          </w:p>
        </w:tc>
        <w:tc>
          <w:tcPr>
            <w:tcW w:type="dxa" w:w="2064"/>
          </w:tcPr>
          <w:p>
            <w:r>
              <w:t>重复提交旧承诺</w:t>
            </w:r>
          </w:p>
        </w:tc>
        <w:tc>
          <w:tcPr>
            <w:tcW w:type="dxa" w:w="2064"/>
          </w:tcPr>
          <w:p>
            <w:r>
              <w:t>nonce递增检查</w:t>
            </w:r>
          </w:p>
        </w:tc>
        <w:tc>
          <w:tcPr>
            <w:tcW w:type="dxa" w:w="2064"/>
          </w:tcPr>
          <w:p>
            <w:r>
              <w:t>拒绝旧nonce交易</w:t>
            </w:r>
          </w:p>
        </w:tc>
      </w:tr>
    </w:tbl>
    <w:p w14:paraId="0D02B4DC" w14:textId="77777777" w:rsidR="00580E0B" w:rsidRDefault="00000000">
      <w:pPr>
        <w:spacing w:before="120" w:after="60" w:line="240" w:lineRule="auto"/>
        <w:ind w:firstLine="0"/>
        <w:jc w:val="left"/>
      </w:pPr>
      <w:r>
        <w:rPr>
          <w:rFonts w:eastAsia="黑体"/>
          <w:b/>
          <w:bCs/>
          <w:sz w:val="23"/>
          <w:szCs w:val="23"/>
        </w:rPr>
        <w:t xml:space="preserve">4  </w:t>
      </w:r>
      <w:r>
        <w:rPr>
          <w:rFonts w:eastAsia="黑体"/>
          <w:b/>
          <w:bCs/>
          <w:sz w:val="23"/>
          <w:szCs w:val="23"/>
        </w:rPr>
        <w:t>核心机制与成本评估</w:t>
      </w:r>
    </w:p>
    <w:p w14:paraId="3BE11A6A" w14:textId="77777777" w:rsidR="0091511F" w:rsidRDefault="00000000">
      <w:pPr>
        <w:spacing w:before="80" w:after="40" w:line="240" w:lineRule="auto"/>
        <w:ind w:firstLine="0"/>
        <w:jc w:val="left"/>
      </w:pPr>
      <w:r>
        <w:rPr>
          <w:rFonts w:eastAsia="黑体"/>
          <w:b/>
          <w:bCs/>
          <w:sz w:val="23"/>
          <w:szCs w:val="23"/>
        </w:rPr>
        <w:t xml:space="preserve">4.1  </w:t>
      </w:r>
      <w:r>
        <w:rPr>
          <w:rFonts w:eastAsia="黑体"/>
          <w:b/>
          <w:bCs/>
          <w:sz w:val="23"/>
          <w:szCs w:val="23"/>
        </w:rPr>
        <w:t>可恢复挑战协议</w:t>
      </w:r>
    </w:p>
    <w:p w14:paraId="45BF1AB7" w14:textId="77777777" w:rsidR="00580E0B" w:rsidRDefault="00000000">
      <w:pPr>
        <w:spacing w:before="60" w:after="30" w:line="240" w:lineRule="auto"/>
        <w:ind w:firstLine="0"/>
        <w:jc w:val="left"/>
      </w:pPr>
      <w:r>
        <w:rPr>
          <w:rFonts w:eastAsia="黑体"/>
          <w:b/>
          <w:bCs/>
          <w:sz w:val="21"/>
          <w:szCs w:val="21"/>
        </w:rPr>
        <w:t xml:space="preserve">4.1.1  </w:t>
      </w:r>
      <w:r>
        <w:rPr>
          <w:rFonts w:eastAsia="黑体"/>
          <w:b/>
          <w:bCs/>
          <w:sz w:val="21"/>
          <w:szCs w:val="21"/>
        </w:rPr>
        <w:t>协议模型与形式化定义</w:t>
      </w:r>
    </w:p>
    <w:p w14:paraId="4F70BFE3" w14:textId="77777777" w:rsidR="00580E0B" w:rsidRDefault="00000000">
      <w:pPr>
        <w:ind w:firstLine="408"/>
      </w:pPr>
      <w:r>
        <w:rPr>
          <w:sz w:val="20"/>
        </w:rPr>
        <w:t>本节给出恢复机制成立所需的协议边界。恢复操作只有在恢复流程推进而不修改争议事实时才具有安全意义。下面的定义将会话状态与挑战事实区分开，使超时后的恢复可以被理解为活性层转移，而不是隐藏的正确性裁决。</w:t>
      </w:r>
    </w:p>
    <w:p w14:paraId="337E4666" w14:textId="77777777" w:rsidR="00580E0B" w:rsidRDefault="00000000">
      <w:pPr>
        <w:ind w:firstLine="0"/>
        <w:jc w:val="left"/>
      </w:pPr>
      <w:r>
        <w:rPr>
          <w:rFonts w:ascii="黑体" w:eastAsia="黑体" w:hAnsi="黑体"/>
          <w:b/>
          <w:sz w:val="20"/>
        </w:rPr>
        <w:t>定义 1（挑战会话）</w:t>
      </w:r>
    </w:p>
    <w:p w14:paraId="0E5F9638" w14:textId="77777777" w:rsidR="00580E0B" w:rsidRDefault="00000000">
      <w:pPr>
        <w:ind w:firstLine="408"/>
      </w:pPr>
      <w:r>
        <w:rPr>
          <w:sz w:val="20"/>
        </w:rPr>
        <w:t>挑战会话定义为：</w:t>
      </w:r>
      <w:r>
        <w:rPr>
          <w:sz w:val="20"/>
        </w:rPr>
        <w:t>cs = (id, s, F, T)</w:t>
      </w:r>
      <w:r>
        <w:rPr>
          <w:sz w:val="20"/>
        </w:rPr>
        <w:t>。</w:t>
      </w:r>
    </w:p>
    <w:p w14:paraId="041289AF" w14:textId="77777777" w:rsidR="00580E0B" w:rsidRDefault="00000000">
      <w:pPr>
        <w:ind w:firstLine="408"/>
      </w:pPr>
      <w:r>
        <w:rPr>
          <w:sz w:val="20"/>
        </w:rPr>
        <w:lastRenderedPageBreak/>
        <w:t>其中，</w:t>
      </w:r>
      <w:r>
        <w:rPr>
          <w:sz w:val="20"/>
        </w:rPr>
        <w:t xml:space="preserve">id </w:t>
      </w:r>
      <w:r>
        <w:rPr>
          <w:sz w:val="20"/>
        </w:rPr>
        <w:t>表示会话标识；</w:t>
      </w:r>
      <w:r>
        <w:rPr>
          <w:sz w:val="20"/>
        </w:rPr>
        <w:t xml:space="preserve">s </w:t>
      </w:r>
      <w:r>
        <w:rPr>
          <w:sz w:val="20"/>
        </w:rPr>
        <w:t>表示当前状态；</w:t>
      </w:r>
      <w:r>
        <w:rPr>
          <w:sz w:val="20"/>
        </w:rPr>
        <w:t xml:space="preserve">F </w:t>
      </w:r>
      <w:r>
        <w:rPr>
          <w:sz w:val="20"/>
        </w:rPr>
        <w:t>表示挑战事实（挑战事实集合）；</w:t>
      </w:r>
      <w:r>
        <w:rPr>
          <w:sz w:val="20"/>
        </w:rPr>
        <w:t xml:space="preserve">T </w:t>
      </w:r>
      <w:r>
        <w:rPr>
          <w:sz w:val="20"/>
        </w:rPr>
        <w:t>表示超时参数。</w:t>
      </w:r>
    </w:p>
    <w:p w14:paraId="5638BFE9" w14:textId="77777777" w:rsidR="00580E0B" w:rsidRDefault="00000000">
      <w:pPr>
        <w:ind w:firstLine="0"/>
        <w:jc w:val="left"/>
      </w:pPr>
      <w:r>
        <w:rPr>
          <w:rFonts w:ascii="黑体" w:eastAsia="黑体" w:hAnsi="黑体"/>
          <w:b/>
          <w:sz w:val="20"/>
        </w:rPr>
        <w:t>定义 2（挑战状态机）</w:t>
      </w:r>
    </w:p>
    <w:p>
      <w:pPr>
        <w:pStyle w:val="4"/>
      </w:pPr>
      <w:r>
        <w:t>4.1.X  操作权限约束</w:t>
      </w:r>
    </w:p>
    <w:p>
      <w:r>
        <w:t>HTR采用基于角色的权限控制（RBAC），确保各操作仅能由授权角色执行。表8列出了主要操作的权限矩阵，包括Sequencer、Proposer、Challenger、Guardian等角色的权限分配。关键约束包括：submit仅Sequencer可调用，propose仅Proposer可调用，challenge需要保证金，recover和adjudicate仅Guardian可调用（兜底路径）。所有权限约束在StageB测试套件（B01-B14）中验证。</w:t>
      </w:r>
    </w:p>
    <w:tbl>
      <w:tblPr>
        <w:tblStyle w:val="af4"/>
        <w:tblW w:type="auto" w:w="0"/>
        <w:tblLook w:firstColumn="1" w:firstRow="1" w:lastColumn="0" w:lastRow="0" w:noHBand="0" w:noVBand="1" w:val="04A0"/>
      </w:tblPr>
      <w:tblGrid>
        <w:gridCol w:w="2579"/>
        <w:gridCol w:w="2579"/>
        <w:gridCol w:w="2579"/>
        <w:gridCol w:w="2579"/>
      </w:tblGrid>
      <w:tr>
        <w:tc>
          <w:tcPr>
            <w:tcW w:type="dxa" w:w="2579"/>
          </w:tcPr>
          <w:p>
            <w:r>
              <w:t>操作</w:t>
            </w:r>
          </w:p>
        </w:tc>
        <w:tc>
          <w:tcPr>
            <w:tcW w:type="dxa" w:w="2579"/>
          </w:tcPr>
          <w:p>
            <w:r>
              <w:t>角色</w:t>
            </w:r>
          </w:p>
        </w:tc>
        <w:tc>
          <w:tcPr>
            <w:tcW w:type="dxa" w:w="2579"/>
          </w:tcPr>
          <w:p>
            <w:r>
              <w:t>权限</w:t>
            </w:r>
          </w:p>
        </w:tc>
        <w:tc>
          <w:tcPr>
            <w:tcW w:type="dxa" w:w="2579"/>
          </w:tcPr>
          <w:p>
            <w:r>
              <w:t>测试用例</w:t>
            </w:r>
          </w:p>
        </w:tc>
      </w:tr>
      <w:tr>
        <w:tc>
          <w:tcPr>
            <w:tcW w:type="dxa" w:w="2579"/>
          </w:tcPr>
          <w:p>
            <w:r>
              <w:t>submit</w:t>
            </w:r>
          </w:p>
        </w:tc>
        <w:tc>
          <w:tcPr>
            <w:tcW w:type="dxa" w:w="2579"/>
          </w:tcPr>
          <w:p>
            <w:r>
              <w:t>Sequencer</w:t>
            </w:r>
          </w:p>
        </w:tc>
        <w:tc>
          <w:tcPr>
            <w:tcW w:type="dxa" w:w="2579"/>
          </w:tcPr>
          <w:p>
            <w:r>
              <w:t>Required</w:t>
            </w:r>
          </w:p>
        </w:tc>
        <w:tc>
          <w:tcPr>
            <w:tcW w:type="dxa" w:w="2579"/>
          </w:tcPr>
          <w:p>
            <w:r>
              <w:t>B01-B03</w:t>
            </w:r>
          </w:p>
        </w:tc>
      </w:tr>
      <w:tr>
        <w:tc>
          <w:tcPr>
            <w:tcW w:type="dxa" w:w="2579"/>
          </w:tcPr>
          <w:p>
            <w:r>
              <w:t>propose</w:t>
            </w:r>
          </w:p>
        </w:tc>
        <w:tc>
          <w:tcPr>
            <w:tcW w:type="dxa" w:w="2579"/>
          </w:tcPr>
          <w:p>
            <w:r>
              <w:t>Proposer</w:t>
            </w:r>
          </w:p>
        </w:tc>
        <w:tc>
          <w:tcPr>
            <w:tcW w:type="dxa" w:w="2579"/>
          </w:tcPr>
          <w:p>
            <w:r>
              <w:t>Required</w:t>
            </w:r>
          </w:p>
        </w:tc>
        <w:tc>
          <w:tcPr>
            <w:tcW w:type="dxa" w:w="2579"/>
          </w:tcPr>
          <w:p>
            <w:r>
              <w:t>B04-B06</w:t>
            </w:r>
          </w:p>
        </w:tc>
      </w:tr>
      <w:tr>
        <w:tc>
          <w:tcPr>
            <w:tcW w:type="dxa" w:w="2579"/>
          </w:tcPr>
          <w:p>
            <w:r>
              <w:t>challenge</w:t>
            </w:r>
          </w:p>
        </w:tc>
        <w:tc>
          <w:tcPr>
            <w:tcW w:type="dxa" w:w="2579"/>
          </w:tcPr>
          <w:p>
            <w:r>
              <w:t>Challenger</w:t>
            </w:r>
          </w:p>
        </w:tc>
        <w:tc>
          <w:tcPr>
            <w:tcW w:type="dxa" w:w="2579"/>
          </w:tcPr>
          <w:p>
            <w:r>
              <w:t>With deposit</w:t>
            </w:r>
          </w:p>
        </w:tc>
        <w:tc>
          <w:tcPr>
            <w:tcW w:type="dxa" w:w="2579"/>
          </w:tcPr>
          <w:p>
            <w:r>
              <w:t>C01-C05</w:t>
            </w:r>
          </w:p>
        </w:tc>
      </w:tr>
      <w:tr>
        <w:tc>
          <w:tcPr>
            <w:tcW w:type="dxa" w:w="2579"/>
          </w:tcPr>
          <w:p>
            <w:r>
              <w:t>respond</w:t>
            </w:r>
          </w:p>
        </w:tc>
        <w:tc>
          <w:tcPr>
            <w:tcW w:type="dxa" w:w="2579"/>
          </w:tcPr>
          <w:p>
            <w:r>
              <w:t>Proposer</w:t>
            </w:r>
          </w:p>
        </w:tc>
        <w:tc>
          <w:tcPr>
            <w:tcW w:type="dxa" w:w="2579"/>
          </w:tcPr>
          <w:p>
            <w:r>
              <w:t>Within timeout</w:t>
            </w:r>
          </w:p>
        </w:tc>
        <w:tc>
          <w:tcPr>
            <w:tcW w:type="dxa" w:w="2579"/>
          </w:tcPr>
          <w:p>
            <w:r>
              <w:t>C06-C08</w:t>
            </w:r>
          </w:p>
        </w:tc>
      </w:tr>
      <w:tr>
        <w:tc>
          <w:tcPr>
            <w:tcW w:type="dxa" w:w="2579"/>
          </w:tcPr>
          <w:p>
            <w:r>
              <w:t>bisect</w:t>
            </w:r>
          </w:p>
        </w:tc>
        <w:tc>
          <w:tcPr>
            <w:tcW w:type="dxa" w:w="2579"/>
          </w:tcPr>
          <w:p>
            <w:r>
              <w:t>Both parties</w:t>
            </w:r>
          </w:p>
        </w:tc>
        <w:tc>
          <w:tcPr>
            <w:tcW w:type="dxa" w:w="2579"/>
          </w:tcPr>
          <w:p>
            <w:r>
              <w:t>Interactive</w:t>
            </w:r>
          </w:p>
        </w:tc>
        <w:tc>
          <w:tcPr>
            <w:tcW w:type="dxa" w:w="2579"/>
          </w:tcPr>
          <w:p>
            <w:r>
              <w:t>C09-C10</w:t>
            </w:r>
          </w:p>
        </w:tc>
      </w:tr>
      <w:tr>
        <w:tc>
          <w:tcPr>
            <w:tcW w:type="dxa" w:w="2579"/>
          </w:tcPr>
          <w:p>
            <w:r>
              <w:t>replay</w:t>
            </w:r>
          </w:p>
        </w:tc>
        <w:tc>
          <w:tcPr>
            <w:tcW w:type="dxa" w:w="2579"/>
          </w:tcPr>
          <w:p>
            <w:r>
              <w:t>Adjudicator</w:t>
            </w:r>
          </w:p>
        </w:tc>
        <w:tc>
          <w:tcPr>
            <w:tcW w:type="dxa" w:w="2579"/>
          </w:tcPr>
          <w:p>
            <w:r>
              <w:t>On-chain verify</w:t>
            </w:r>
          </w:p>
        </w:tc>
        <w:tc>
          <w:tcPr>
            <w:tcW w:type="dxa" w:w="2579"/>
          </w:tcPr>
          <w:p>
            <w:r>
              <w:t>C11</w:t>
            </w:r>
          </w:p>
        </w:tc>
      </w:tr>
      <w:tr>
        <w:tc>
          <w:tcPr>
            <w:tcW w:type="dxa" w:w="2579"/>
          </w:tcPr>
          <w:p>
            <w:r>
              <w:t>recover</w:t>
            </w:r>
          </w:p>
        </w:tc>
        <w:tc>
          <w:tcPr>
            <w:tcW w:type="dxa" w:w="2579"/>
          </w:tcPr>
          <w:p>
            <w:r>
              <w:t>Guardian</w:t>
            </w:r>
          </w:p>
        </w:tc>
        <w:tc>
          <w:tcPr>
            <w:tcW w:type="dxa" w:w="2579"/>
          </w:tcPr>
          <w:p>
            <w:r>
              <w:t>On timeout</w:t>
            </w:r>
          </w:p>
        </w:tc>
        <w:tc>
          <w:tcPr>
            <w:tcW w:type="dxa" w:w="2579"/>
          </w:tcPr>
          <w:p>
            <w:r>
              <w:t>C13-C14</w:t>
            </w:r>
          </w:p>
        </w:tc>
      </w:tr>
      <w:tr>
        <w:tc>
          <w:tcPr>
            <w:tcW w:type="dxa" w:w="2579"/>
          </w:tcPr>
          <w:p>
            <w:r>
              <w:t>adjudicate</w:t>
            </w:r>
          </w:p>
        </w:tc>
        <w:tc>
          <w:tcPr>
            <w:tcW w:type="dxa" w:w="2579"/>
          </w:tcPr>
          <w:p>
            <w:r>
              <w:t>Guardian</w:t>
            </w:r>
          </w:p>
        </w:tc>
        <w:tc>
          <w:tcPr>
            <w:tcW w:type="dxa" w:w="2579"/>
          </w:tcPr>
          <w:p>
            <w:r>
              <w:t>Fallback only</w:t>
            </w:r>
          </w:p>
        </w:tc>
        <w:tc>
          <w:tcPr>
            <w:tcW w:type="dxa" w:w="2579"/>
          </w:tcPr>
          <w:p>
            <w:r>
              <w:t>C15</w:t>
            </w:r>
          </w:p>
        </w:tc>
      </w:tr>
      <w:tr>
        <w:tc>
          <w:tcPr>
            <w:tcW w:type="dxa" w:w="2579"/>
          </w:tcPr>
          <w:p>
            <w:r>
              <w:t>bindDa</w:t>
            </w:r>
          </w:p>
        </w:tc>
        <w:tc>
          <w:tcPr>
            <w:tcW w:type="dxa" w:w="2579"/>
          </w:tcPr>
          <w:p>
            <w:r>
              <w:t>Proposer</w:t>
            </w:r>
          </w:p>
        </w:tc>
        <w:tc>
          <w:tcPr>
            <w:tcW w:type="dxa" w:w="2579"/>
          </w:tcPr>
          <w:p>
            <w:r>
              <w:t>Before propose</w:t>
            </w:r>
          </w:p>
        </w:tc>
        <w:tc>
          <w:tcPr>
            <w:tcW w:type="dxa" w:w="2579"/>
          </w:tcPr>
          <w:p>
            <w:r>
              <w:t>C12</w:t>
            </w:r>
          </w:p>
        </w:tc>
      </w:tr>
      <w:tr>
        <w:tc>
          <w:tcPr>
            <w:tcW w:type="dxa" w:w="2579"/>
          </w:tcPr>
          <w:p>
            <w:r>
              <w:t>slashDa</w:t>
            </w:r>
          </w:p>
        </w:tc>
        <w:tc>
          <w:tcPr>
            <w:tcW w:type="dxa" w:w="2579"/>
          </w:tcPr>
          <w:p>
            <w:r>
              <w:t>Anyone</w:t>
            </w:r>
          </w:p>
        </w:tc>
        <w:tc>
          <w:tcPr>
            <w:tcW w:type="dxa" w:w="2579"/>
          </w:tcPr>
          <w:p>
            <w:r>
              <w:t>On DA failure</w:t>
            </w:r>
          </w:p>
        </w:tc>
        <w:tc>
          <w:tcPr>
            <w:tcW w:type="dxa" w:w="2579"/>
          </w:tcPr>
          <w:p>
            <w:r>
              <w:t>C12</w:t>
            </w:r>
          </w:p>
        </w:tc>
      </w:tr>
    </w:tbl>
    <w:p w14:paraId="5A273678" w14:textId="77777777" w:rsidR="00580E0B" w:rsidRDefault="00000000">
      <w:pPr>
        <w:ind w:firstLine="408"/>
      </w:pPr>
      <w:r>
        <w:rPr>
          <w:sz w:val="20"/>
        </w:rPr>
        <w:t>挑战状态机定义为：</w:t>
      </w:r>
      <w:r>
        <w:rPr>
          <w:sz w:val="20"/>
        </w:rPr>
        <w:t>M = (S, E, δ)</w:t>
      </w:r>
      <w:r>
        <w:rPr>
          <w:sz w:val="20"/>
        </w:rPr>
        <w:t>。</w:t>
      </w:r>
    </w:p>
    <w:p w14:paraId="2D6177DB" w14:textId="77777777" w:rsidR="00580E0B" w:rsidRDefault="00000000">
      <w:pPr>
        <w:ind w:firstLine="408"/>
      </w:pPr>
      <w:r>
        <w:rPr>
          <w:sz w:val="20"/>
        </w:rPr>
        <w:t>其中，</w:t>
      </w:r>
      <w:r>
        <w:rPr>
          <w:sz w:val="20"/>
        </w:rPr>
        <w:t xml:space="preserve">S </w:t>
      </w:r>
      <w:r>
        <w:rPr>
          <w:sz w:val="20"/>
        </w:rPr>
        <w:t>为状态集合；</w:t>
      </w:r>
      <w:r>
        <w:rPr>
          <w:sz w:val="20"/>
        </w:rPr>
        <w:t xml:space="preserve">E </w:t>
      </w:r>
      <w:r>
        <w:rPr>
          <w:sz w:val="20"/>
        </w:rPr>
        <w:t>为事件集合；</w:t>
      </w:r>
      <w:r>
        <w:rPr>
          <w:sz w:val="20"/>
        </w:rPr>
        <w:t xml:space="preserve">δ: S × E → S </w:t>
      </w:r>
      <w:r>
        <w:rPr>
          <w:sz w:val="20"/>
        </w:rPr>
        <w:t>为状态转移函数。</w:t>
      </w:r>
    </w:p>
    <w:p w14:paraId="0F3FD35E" w14:textId="77777777" w:rsidR="00580E0B" w:rsidRDefault="00000000">
      <w:pPr>
        <w:ind w:firstLine="0"/>
        <w:jc w:val="left"/>
      </w:pPr>
      <w:r>
        <w:rPr>
          <w:rFonts w:ascii="黑体" w:eastAsia="黑体" w:hAnsi="黑体"/>
          <w:b/>
          <w:sz w:val="20"/>
        </w:rPr>
        <w:t>定义 3（恢复函数）</w:t>
      </w:r>
    </w:p>
    <w:p w14:paraId="1E9C8994" w14:textId="77777777" w:rsidR="00580E0B" w:rsidRDefault="00000000">
      <w:pPr>
        <w:ind w:firstLine="408"/>
      </w:pPr>
      <w:r>
        <w:rPr>
          <w:sz w:val="20"/>
        </w:rPr>
        <w:t>恢复函数定义为：</w:t>
      </w:r>
      <w:r>
        <w:rPr>
          <w:sz w:val="20"/>
        </w:rPr>
        <w:t>Recover(cs) = cs'</w:t>
      </w:r>
      <w:r>
        <w:rPr>
          <w:sz w:val="20"/>
        </w:rPr>
        <w:t>。</w:t>
      </w:r>
    </w:p>
    <w:p w14:paraId="7656B0BA" w14:textId="77777777" w:rsidR="00580E0B" w:rsidRDefault="00000000">
      <w:pPr>
        <w:ind w:firstLine="408"/>
      </w:pPr>
      <w:r>
        <w:rPr>
          <w:sz w:val="20"/>
        </w:rPr>
        <w:t>恢复仅改变活性相关状态，不改变挑战事实，即满足：</w:t>
      </w:r>
      <w:r>
        <w:rPr>
          <w:sz w:val="20"/>
        </w:rPr>
        <w:t>F(cs) = F(Recover(cs))</w:t>
      </w:r>
      <w:r>
        <w:rPr>
          <w:sz w:val="20"/>
        </w:rPr>
        <w:t>。</w:t>
      </w:r>
    </w:p>
    <w:p w14:paraId="76C6D816" w14:textId="77777777" w:rsidR="00580E0B" w:rsidRDefault="00000000">
      <w:pPr>
        <w:ind w:firstLine="0"/>
        <w:jc w:val="left"/>
      </w:pPr>
      <w:r>
        <w:rPr>
          <w:rFonts w:ascii="黑体" w:eastAsia="黑体" w:hAnsi="黑体"/>
          <w:b/>
          <w:sz w:val="20"/>
        </w:rPr>
        <w:t>协议性质</w:t>
      </w:r>
    </w:p>
    <w:p w14:paraId="455CC265" w14:textId="77777777" w:rsidR="00580E0B" w:rsidRDefault="00000000">
      <w:pPr>
        <w:ind w:firstLine="408"/>
      </w:pPr>
      <w:r>
        <w:rPr>
          <w:sz w:val="20"/>
        </w:rPr>
        <w:t>基于上述定义，恢复是活性层变换，而非正确性裁决。恢复函数允许会话从</w:t>
      </w:r>
      <w:r>
        <w:rPr>
          <w:sz w:val="20"/>
        </w:rPr>
        <w:t xml:space="preserve"> TIMED_OUT </w:t>
      </w:r>
      <w:r>
        <w:rPr>
          <w:sz w:val="20"/>
        </w:rPr>
        <w:t>等停滞状态回到可推进状态，但不重写紧凑提交、数据可用性根、负载哈希、轨迹或不一致证据。该边界将恢复语义与罚没语义区分开，并说明恢复操作不会改变正确性：后续重放仍基于原始挑战事实。</w:t>
      </w:r>
    </w:p>
    <w:p w14:paraId="129A8705" w14:textId="77777777" w:rsidR="00580E0B" w:rsidRDefault="00000000">
      <w:pPr>
        <w:spacing w:before="60" w:after="30" w:line="240" w:lineRule="auto"/>
        <w:ind w:firstLine="0"/>
        <w:jc w:val="left"/>
      </w:pPr>
      <w:r>
        <w:rPr>
          <w:rFonts w:eastAsia="黑体"/>
          <w:b/>
          <w:bCs/>
          <w:sz w:val="21"/>
          <w:szCs w:val="21"/>
        </w:rPr>
        <w:t xml:space="preserve">4.1.2  </w:t>
      </w:r>
      <w:r>
        <w:rPr>
          <w:rFonts w:eastAsia="黑体"/>
          <w:b/>
          <w:bCs/>
          <w:sz w:val="21"/>
          <w:szCs w:val="21"/>
        </w:rPr>
        <w:t>超时、恢复、重放与仲裁结算</w:t>
      </w:r>
    </w:p>
    <w:p w14:paraId="4D3A74A0" w14:textId="47671DBB" w:rsidR="00580E0B" w:rsidRDefault="00000000">
      <w:pPr>
        <w:ind w:firstLine="408"/>
      </w:pPr>
      <w:r>
        <w:rPr>
          <w:sz w:val="20"/>
        </w:rPr>
        <w:t>可恢复挑战协议的目标，是将挑战从一次性错误检测流程扩展为异常场景下可恢复推进的协议状态机。其基本状态包括</w:t>
      </w:r>
      <w:r w:rsidR="0074318C" w:rsidRPr="0074318C">
        <w:rPr>
          <w:sz w:val="20"/>
        </w:rPr>
        <w:t>协议状态覆盖待处理、已打开、已响应、二分定位、已恢复、待重放、已重放、已结算、罚没和最终确认等阶段。</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55B91054" w14:textId="77777777">
        <w:trPr>
          <w:jc w:val="center"/>
        </w:trPr>
        <w:tc>
          <w:tcPr>
            <w:tcW w:w="4464" w:type="dxa"/>
            <w:tcBorders>
              <w:bottom w:val="single" w:sz="6" w:space="0" w:color="000000"/>
            </w:tcBorders>
            <w:vAlign w:val="center"/>
          </w:tcPr>
          <w:p w14:paraId="5699059A" w14:textId="77777777" w:rsidR="00580E0B" w:rsidRDefault="00000000">
            <w:pPr>
              <w:keepNext/>
              <w:spacing w:line="180" w:lineRule="auto"/>
              <w:ind w:firstLine="0"/>
              <w:jc w:val="center"/>
            </w:pPr>
            <w:r>
              <w:rPr>
                <w:noProof/>
                <w:sz w:val="15"/>
                <w:szCs w:val="15"/>
              </w:rPr>
              <w:drawing>
                <wp:inline distT="0" distB="0" distL="0" distR="0" wp14:anchorId="422C6E65" wp14:editId="72878F1E">
                  <wp:extent cx="2895600" cy="2222277"/>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931290" cy="2249668"/>
                          </a:xfrm>
                          <a:prstGeom prst="rect">
                            <a:avLst/>
                          </a:prstGeom>
                        </pic:spPr>
                      </pic:pic>
                    </a:graphicData>
                  </a:graphic>
                </wp:inline>
              </w:drawing>
            </w:r>
          </w:p>
          <w:p w14:paraId="4778B8DD" w14:textId="77777777" w:rsidR="00580E0B" w:rsidRDefault="00000000">
            <w:pPr>
              <w:spacing w:line="180" w:lineRule="auto"/>
              <w:ind w:firstLine="0"/>
              <w:jc w:val="center"/>
            </w:pPr>
            <w:r>
              <w:rPr>
                <w:sz w:val="15"/>
                <w:szCs w:val="15"/>
              </w:rPr>
              <w:t>图</w:t>
            </w:r>
            <w:r>
              <w:rPr>
                <w:sz w:val="15"/>
                <w:szCs w:val="15"/>
              </w:rPr>
              <w:t xml:space="preserve"> 2  </w:t>
            </w:r>
            <w:r>
              <w:rPr>
                <w:sz w:val="15"/>
                <w:szCs w:val="15"/>
              </w:rPr>
              <w:t>可恢复挑战协议流程</w:t>
            </w:r>
          </w:p>
          <w:p w14:paraId="7D58E0E8" w14:textId="77777777" w:rsidR="00580E0B" w:rsidRDefault="00000000">
            <w:pPr>
              <w:spacing w:line="180" w:lineRule="auto"/>
              <w:ind w:firstLine="0"/>
              <w:jc w:val="center"/>
            </w:pPr>
            <w:r>
              <w:rPr>
                <w:sz w:val="15"/>
                <w:szCs w:val="15"/>
              </w:rPr>
              <w:t>Fig.2  Workflow of the recoverable challenge protocol</w:t>
            </w:r>
          </w:p>
        </w:tc>
      </w:tr>
    </w:tbl>
    <w:p w14:paraId="37B43DA8" w14:textId="77777777" w:rsidR="00580E0B" w:rsidRDefault="00000000">
      <w:pPr>
        <w:ind w:firstLine="408"/>
      </w:pPr>
      <w:r>
        <w:rPr>
          <w:sz w:val="20"/>
        </w:rPr>
        <w:t>当交易处于待定状态时，挑战者可以调用打开操作进入已打开状态。系统加载紧凑提交、数据可用性状态和相关不一致证据。随后，被挑战方进入响应阶段，提供其对争议的回应。若争议涉及执行轨迹，协议进入二分步骤阶段，通过二分缩小定位争议区间。对于长度为</w:t>
      </w:r>
      <w:r>
        <w:rPr>
          <w:sz w:val="20"/>
        </w:rPr>
        <w:t xml:space="preserve"> n </w:t>
      </w:r>
      <w:r>
        <w:rPr>
          <w:sz w:val="20"/>
        </w:rPr>
        <w:t>的轨迹，理想情况下定位轮次接近</w:t>
      </w:r>
      <w:r>
        <w:rPr>
          <w:sz w:val="20"/>
        </w:rPr>
        <w:t xml:space="preserve"> log2(n)</w:t>
      </w:r>
      <w:r>
        <w:rPr>
          <w:sz w:val="20"/>
        </w:rPr>
        <w:t>，从而避免对</w:t>
      </w:r>
      <w:r>
        <w:rPr>
          <w:sz w:val="20"/>
        </w:rPr>
        <w:t>长执行轨迹进行线性扫描。</w:t>
      </w:r>
    </w:p>
    <w:p w14:paraId="18AE3964" w14:textId="77777777" w:rsidR="00580E0B" w:rsidRDefault="00000000">
      <w:pPr>
        <w:ind w:firstLine="408"/>
      </w:pPr>
      <w:r>
        <w:rPr>
          <w:sz w:val="20"/>
        </w:rPr>
        <w:t>当争议区间被缩小到单步时，协议进入单步重放。重放阶段比较预期哈希与声明哈希，判断局部执行是否一致。如果重放失败，结算阶段可以将交易标记为罚没状态；如果重放通过，则挑战不成立或进入相应结算逻辑。</w:t>
      </w:r>
    </w:p>
    <w:p w14:paraId="6EDC5F42" w14:textId="77777777" w:rsidR="00580E0B" w:rsidRDefault="00000000">
      <w:pPr>
        <w:ind w:firstLine="408"/>
      </w:pPr>
      <w:r>
        <w:rPr>
          <w:sz w:val="20"/>
        </w:rPr>
        <w:t>恢复是协议中的关键状态转移，因为它在不改变证据内容的前提下恢复流程推进能力。在不可恢复的挑战中，超时可能使会话停留在</w:t>
      </w:r>
      <w:r>
        <w:rPr>
          <w:sz w:val="20"/>
        </w:rPr>
        <w:t>“</w:t>
      </w:r>
      <w:r>
        <w:rPr>
          <w:sz w:val="20"/>
        </w:rPr>
        <w:t>争议已知但无法重放和结算</w:t>
      </w:r>
      <w:r>
        <w:rPr>
          <w:sz w:val="20"/>
        </w:rPr>
        <w:t>”</w:t>
      </w:r>
      <w:r>
        <w:rPr>
          <w:sz w:val="20"/>
        </w:rPr>
        <w:t>的状态。可恢复挑战机制引入观察节点恢复路径，使挑战会话在异常场景下能够恢复推进，并重新回到可进行二分步骤、重放和结算的状态。这里需要区分活性与正确性：恢复操作恢复的是前者，而后续重放仍负责验证后者。</w:t>
      </w:r>
    </w:p>
    <w:p w14:paraId="173F4E15" w14:textId="77777777" w:rsidR="00580E0B" w:rsidRDefault="00000000">
      <w:pPr>
        <w:ind w:firstLine="408"/>
      </w:pPr>
      <w:r>
        <w:rPr>
          <w:sz w:val="20"/>
        </w:rPr>
        <w:t>协议流程可分为三条路径。第一是正常路径：若挑战期内没有有效争议，交易最终进入最终确认。第二是可仲裁异常路径：若响应篡改或轨迹长度不匹配等执行相关故障出现，协议通过打开、响应、二分步骤、重放与结算完成争议定位和结算。第三是超时恢复路径：若挑战过程因超时中断，观察节点可以调用恢复将会话推进到已恢复状态，并继续后续重放与结算。该划分有助于避免将异常检测、活性恢复和经济惩罚混写为同一性质。</w:t>
      </w:r>
    </w:p>
    <w:p w14:paraId="72A32CB4" w14:textId="77777777" w:rsidR="00580E0B" w:rsidRDefault="00000000">
      <w:pPr>
        <w:spacing w:before="60" w:after="30" w:line="240" w:lineRule="auto"/>
        <w:ind w:firstLine="0"/>
        <w:jc w:val="left"/>
      </w:pPr>
      <w:r>
        <w:rPr>
          <w:rFonts w:eastAsia="黑体"/>
          <w:b/>
          <w:bCs/>
          <w:sz w:val="21"/>
          <w:szCs w:val="21"/>
        </w:rPr>
        <w:t xml:space="preserve">4.1.3  </w:t>
      </w:r>
      <w:r>
        <w:rPr>
          <w:rFonts w:eastAsia="黑体"/>
          <w:b/>
          <w:bCs/>
          <w:sz w:val="21"/>
          <w:szCs w:val="21"/>
        </w:rPr>
        <w:t>正确性边界与协议性质</w:t>
      </w:r>
    </w:p>
    <w:p w14:paraId="78F6F49E" w14:textId="77777777" w:rsidR="00580E0B" w:rsidRDefault="00000000">
      <w:pPr>
        <w:ind w:firstLine="408"/>
      </w:pPr>
      <w:r>
        <w:rPr>
          <w:sz w:val="20"/>
        </w:rPr>
        <w:t>性质一，数据可用性绑定性质。紧凑提交中的</w:t>
      </w:r>
      <w:r>
        <w:rPr>
          <w:sz w:val="20"/>
        </w:rPr>
        <w:t xml:space="preserve"> DA Merkle </w:t>
      </w:r>
      <w:r>
        <w:rPr>
          <w:sz w:val="20"/>
        </w:rPr>
        <w:t>根与</w:t>
      </w:r>
      <w:r>
        <w:rPr>
          <w:sz w:val="20"/>
        </w:rPr>
        <w:t xml:space="preserve"> DA </w:t>
      </w:r>
      <w:r>
        <w:rPr>
          <w:sz w:val="20"/>
        </w:rPr>
        <w:t>条目中的字段级</w:t>
      </w:r>
      <w:r>
        <w:rPr>
          <w:sz w:val="20"/>
        </w:rPr>
        <w:t xml:space="preserve"> Merkle </w:t>
      </w:r>
      <w:r>
        <w:rPr>
          <w:sz w:val="20"/>
        </w:rPr>
        <w:t>证明之间建立了密码学绑定关系，因此提示词、响应或证明字段被替换后，会导致负载哈希、叶哈希或</w:t>
      </w:r>
      <w:r>
        <w:rPr>
          <w:sz w:val="20"/>
        </w:rPr>
        <w:t xml:space="preserve"> Merkle </w:t>
      </w:r>
      <w:r>
        <w:rPr>
          <w:sz w:val="20"/>
        </w:rPr>
        <w:t>证明与链上根不一致。该性质不依赖真实</w:t>
      </w:r>
      <w:r>
        <w:rPr>
          <w:sz w:val="20"/>
        </w:rPr>
        <w:t xml:space="preserve"> DA </w:t>
      </w:r>
      <w:r>
        <w:rPr>
          <w:sz w:val="20"/>
        </w:rPr>
        <w:t>网络，只说明当前可验证</w:t>
      </w:r>
      <w:r>
        <w:rPr>
          <w:sz w:val="20"/>
        </w:rPr>
        <w:t xml:space="preserve"> DA </w:t>
      </w:r>
      <w:r>
        <w:rPr>
          <w:sz w:val="20"/>
        </w:rPr>
        <w:t>结构能够检测字段篡改，并保证紧凑提交与完整负载之间在证据层面不可脱钩。</w:t>
      </w:r>
    </w:p>
    <w:p w14:paraId="35133BB9" w14:textId="77777777" w:rsidR="00580E0B" w:rsidRDefault="00000000">
      <w:pPr>
        <w:ind w:firstLine="408"/>
      </w:pPr>
      <w:r>
        <w:rPr>
          <w:sz w:val="20"/>
        </w:rPr>
        <w:t>性质二，恢复机制的仲裁连续性。恢复操作的目标是恢复超时挑战会话的流程推进能力，使其继续进入二分缩小、重放和结算；它不修改预期执行轨迹、声称执行轨迹或重放不一致的事实。因此，恢复改变的是挑战流程的活性连续性，而非争议正确性本身。该性质将恢复语义与安全裁决语义明确分开，避免将</w:t>
      </w:r>
      <w:r>
        <w:rPr>
          <w:sz w:val="20"/>
        </w:rPr>
        <w:t>“</w:t>
      </w:r>
      <w:r>
        <w:rPr>
          <w:sz w:val="20"/>
        </w:rPr>
        <w:t>流程可以继续</w:t>
      </w:r>
      <w:r>
        <w:rPr>
          <w:sz w:val="20"/>
        </w:rPr>
        <w:t>”</w:t>
      </w:r>
      <w:r>
        <w:rPr>
          <w:sz w:val="20"/>
        </w:rPr>
        <w:t>与</w:t>
      </w:r>
      <w:r>
        <w:rPr>
          <w:sz w:val="20"/>
        </w:rPr>
        <w:t>“</w:t>
      </w:r>
      <w:r>
        <w:rPr>
          <w:sz w:val="20"/>
        </w:rPr>
        <w:t>裁决结果改变</w:t>
      </w:r>
      <w:r>
        <w:rPr>
          <w:sz w:val="20"/>
        </w:rPr>
        <w:t>”</w:t>
      </w:r>
      <w:r>
        <w:rPr>
          <w:sz w:val="20"/>
        </w:rPr>
        <w:t>这两个不同层次的性质混淆。</w:t>
      </w:r>
    </w:p>
    <w:p w14:paraId="3DE6F875" w14:textId="77777777" w:rsidR="00580E0B" w:rsidRDefault="00000000">
      <w:pPr>
        <w:ind w:firstLine="408"/>
      </w:pPr>
      <w:r>
        <w:rPr>
          <w:sz w:val="20"/>
        </w:rPr>
        <w:t>性质三，二分定位性质。对于长度为</w:t>
      </w:r>
      <w:r>
        <w:rPr>
          <w:sz w:val="20"/>
        </w:rPr>
        <w:t xml:space="preserve"> n </w:t>
      </w:r>
      <w:r>
        <w:rPr>
          <w:sz w:val="20"/>
        </w:rPr>
        <w:t>的执行轨迹，二分挑战步骤每轮缩小争议区间，理想轮次接近</w:t>
      </w:r>
      <w:r>
        <w:rPr>
          <w:sz w:val="20"/>
        </w:rPr>
        <w:t xml:space="preserve"> log2(n)</w:t>
      </w:r>
      <w:r>
        <w:rPr>
          <w:sz w:val="20"/>
        </w:rPr>
        <w:t>。</w:t>
      </w:r>
      <w:r>
        <w:rPr>
          <w:sz w:val="20"/>
        </w:rPr>
        <w:lastRenderedPageBreak/>
        <w:t>本文实验中轨迹步数为</w:t>
      </w:r>
      <w:r>
        <w:rPr>
          <w:sz w:val="20"/>
        </w:rPr>
        <w:t xml:space="preserve"> 4</w:t>
      </w:r>
      <w:r>
        <w:rPr>
          <w:sz w:val="20"/>
        </w:rPr>
        <w:t>、</w:t>
      </w:r>
      <w:r>
        <w:rPr>
          <w:sz w:val="20"/>
        </w:rPr>
        <w:t>8</w:t>
      </w:r>
      <w:r>
        <w:rPr>
          <w:sz w:val="20"/>
        </w:rPr>
        <w:t>、</w:t>
      </w:r>
      <w:r>
        <w:rPr>
          <w:sz w:val="20"/>
        </w:rPr>
        <w:t>16</w:t>
      </w:r>
      <w:r>
        <w:rPr>
          <w:sz w:val="20"/>
        </w:rPr>
        <w:t>、</w:t>
      </w:r>
      <w:r>
        <w:rPr>
          <w:sz w:val="20"/>
        </w:rPr>
        <w:t>32</w:t>
      </w:r>
      <w:r>
        <w:rPr>
          <w:sz w:val="20"/>
        </w:rPr>
        <w:t>、</w:t>
      </w:r>
      <w:r>
        <w:rPr>
          <w:sz w:val="20"/>
        </w:rPr>
        <w:t>64</w:t>
      </w:r>
      <w:r>
        <w:rPr>
          <w:sz w:val="20"/>
        </w:rPr>
        <w:t>、</w:t>
      </w:r>
      <w:r>
        <w:rPr>
          <w:sz w:val="20"/>
        </w:rPr>
        <w:t xml:space="preserve">128 </w:t>
      </w:r>
      <w:r>
        <w:rPr>
          <w:sz w:val="20"/>
        </w:rPr>
        <w:t>时，平均二分轮次分别为</w:t>
      </w:r>
      <w:r>
        <w:rPr>
          <w:sz w:val="20"/>
        </w:rPr>
        <w:t xml:space="preserve"> 2</w:t>
      </w:r>
      <w:r>
        <w:rPr>
          <w:sz w:val="20"/>
        </w:rPr>
        <w:t>、</w:t>
      </w:r>
      <w:r>
        <w:rPr>
          <w:sz w:val="20"/>
        </w:rPr>
        <w:t>3</w:t>
      </w:r>
      <w:r>
        <w:rPr>
          <w:sz w:val="20"/>
        </w:rPr>
        <w:t>、</w:t>
      </w:r>
      <w:r>
        <w:rPr>
          <w:sz w:val="20"/>
        </w:rPr>
        <w:t>4</w:t>
      </w:r>
      <w:r>
        <w:rPr>
          <w:sz w:val="20"/>
        </w:rPr>
        <w:t>、</w:t>
      </w:r>
      <w:r>
        <w:rPr>
          <w:sz w:val="20"/>
        </w:rPr>
        <w:t>5</w:t>
      </w:r>
      <w:r>
        <w:rPr>
          <w:sz w:val="20"/>
        </w:rPr>
        <w:t>、</w:t>
      </w:r>
      <w:r>
        <w:rPr>
          <w:sz w:val="20"/>
        </w:rPr>
        <w:t>6</w:t>
      </w:r>
      <w:r>
        <w:rPr>
          <w:sz w:val="20"/>
        </w:rPr>
        <w:t>、</w:t>
      </w:r>
      <w:r>
        <w:rPr>
          <w:sz w:val="20"/>
        </w:rPr>
        <w:t>7</w:t>
      </w:r>
      <w:r>
        <w:rPr>
          <w:sz w:val="20"/>
        </w:rPr>
        <w:t>，与理论对数趋势一致。该性质说明争议定位的开销增长与理论对数趋势一致，使得执行轨迹较长时挑战的交互成本仍可接受。</w:t>
      </w:r>
    </w:p>
    <w:p w14:paraId="60D66895" w14:textId="77777777" w:rsidR="00580E0B" w:rsidRDefault="00000000">
      <w:pPr>
        <w:spacing w:before="60" w:after="30" w:line="240" w:lineRule="auto"/>
        <w:ind w:firstLine="0"/>
        <w:jc w:val="left"/>
      </w:pPr>
      <w:r>
        <w:rPr>
          <w:rFonts w:eastAsia="黑体"/>
          <w:b/>
          <w:bCs/>
          <w:sz w:val="21"/>
          <w:szCs w:val="21"/>
        </w:rPr>
        <w:t xml:space="preserve">4.1.4  </w:t>
      </w:r>
      <w:r>
        <w:rPr>
          <w:rFonts w:eastAsia="黑体"/>
          <w:b/>
          <w:bCs/>
          <w:sz w:val="21"/>
          <w:szCs w:val="21"/>
        </w:rPr>
        <w:t>协议性质</w:t>
      </w:r>
    </w:p>
    <w:p w14:paraId="1C77124B" w14:textId="77777777" w:rsidR="00580E0B" w:rsidRDefault="00000000">
      <w:pPr>
        <w:ind w:firstLine="408"/>
      </w:pPr>
      <w:r>
        <w:rPr>
          <w:sz w:val="20"/>
        </w:rPr>
        <w:t>前述讨论已将可恢复挑战机制的核心性质从</w:t>
      </w:r>
      <w:r>
        <w:rPr>
          <w:sz w:val="20"/>
        </w:rPr>
        <w:t>“</w:t>
      </w:r>
      <w:r>
        <w:rPr>
          <w:sz w:val="20"/>
        </w:rPr>
        <w:t>超时后可以重试</w:t>
      </w:r>
      <w:r>
        <w:rPr>
          <w:sz w:val="20"/>
        </w:rPr>
        <w:t>”</w:t>
      </w:r>
      <w:r>
        <w:rPr>
          <w:sz w:val="20"/>
        </w:rPr>
        <w:t>这一工程事实提升为协议层面的状态转移机制。本节进一步将这一认识系统化为挑战事实不变性、安全性与活性的分离、仲裁连续性和恢复操作正确性四项性质，并给出协议不变量表格，以明确恢复机制的协议语义边界。</w:t>
      </w:r>
    </w:p>
    <w:p w14:paraId="1F058BE2" w14:textId="77777777" w:rsidR="00580E0B" w:rsidRDefault="00000000">
      <w:pPr>
        <w:spacing w:before="60" w:after="30" w:line="240" w:lineRule="auto"/>
        <w:ind w:firstLine="0"/>
        <w:jc w:val="left"/>
      </w:pPr>
      <w:r>
        <w:rPr>
          <w:rFonts w:eastAsia="黑体"/>
          <w:b/>
          <w:bCs/>
          <w:sz w:val="21"/>
          <w:szCs w:val="21"/>
        </w:rPr>
        <w:t xml:space="preserve">4.1.4.1  </w:t>
      </w:r>
      <w:r>
        <w:rPr>
          <w:rFonts w:eastAsia="黑体"/>
          <w:b/>
          <w:bCs/>
          <w:sz w:val="21"/>
          <w:szCs w:val="21"/>
        </w:rPr>
        <w:t>挑战事实不变性</w:t>
      </w:r>
    </w:p>
    <w:p w14:paraId="32D41F44" w14:textId="77777777" w:rsidR="00580E0B" w:rsidRDefault="00000000">
      <w:pPr>
        <w:ind w:firstLine="408"/>
      </w:pPr>
      <w:r>
        <w:rPr>
          <w:sz w:val="20"/>
        </w:rPr>
        <w:t>挑战会话在创建时便将一组不可修改的协议事实绑定在会话上下文中，这些事实构成争议的</w:t>
      </w:r>
      <w:r>
        <w:rPr>
          <w:sz w:val="20"/>
        </w:rPr>
        <w:t>“</w:t>
      </w:r>
      <w:r>
        <w:rPr>
          <w:sz w:val="20"/>
        </w:rPr>
        <w:t>内容面</w:t>
      </w:r>
      <w:r>
        <w:rPr>
          <w:sz w:val="20"/>
        </w:rPr>
        <w:t>”</w:t>
      </w:r>
      <w:r>
        <w:rPr>
          <w:sz w:val="20"/>
        </w:rPr>
        <w:t>，包括：</w:t>
      </w:r>
    </w:p>
    <w:p w14:paraId="0EC03618" w14:textId="77777777" w:rsidR="00580E0B" w:rsidRDefault="00000000">
      <w:pPr>
        <w:ind w:firstLine="408"/>
      </w:pPr>
      <w:r>
        <w:rPr>
          <w:sz w:val="20"/>
        </w:rPr>
        <w:t xml:space="preserve">• </w:t>
      </w:r>
      <w:r>
        <w:rPr>
          <w:sz w:val="20"/>
        </w:rPr>
        <w:t>状态根（</w:t>
      </w:r>
      <w:r>
        <w:rPr>
          <w:sz w:val="20"/>
        </w:rPr>
        <w:t>State Root</w:t>
      </w:r>
      <w:r>
        <w:rPr>
          <w:sz w:val="20"/>
        </w:rPr>
        <w:t>）：约束输入与输出哈希的绑定关系；</w:t>
      </w:r>
    </w:p>
    <w:p w14:paraId="7EE7E7A5" w14:textId="77777777" w:rsidR="00580E0B" w:rsidRDefault="00000000">
      <w:pPr>
        <w:ind w:firstLine="408"/>
      </w:pPr>
      <w:r>
        <w:rPr>
          <w:sz w:val="20"/>
        </w:rPr>
        <w:t xml:space="preserve">• </w:t>
      </w:r>
      <w:r>
        <w:rPr>
          <w:sz w:val="20"/>
        </w:rPr>
        <w:t>数据可用性根（</w:t>
      </w:r>
      <w:r>
        <w:rPr>
          <w:sz w:val="20"/>
        </w:rPr>
        <w:t>DA Merkle Root</w:t>
      </w:r>
      <w:r>
        <w:rPr>
          <w:sz w:val="20"/>
        </w:rPr>
        <w:t>）：约束</w:t>
      </w:r>
      <w:r>
        <w:rPr>
          <w:sz w:val="20"/>
        </w:rPr>
        <w:t xml:space="preserve"> DA </w:t>
      </w:r>
      <w:r>
        <w:rPr>
          <w:sz w:val="20"/>
        </w:rPr>
        <w:t>层中完整负载的字段级承诺；</w:t>
      </w:r>
    </w:p>
    <w:p w14:paraId="21AE963C" w14:textId="77777777" w:rsidR="00580E0B" w:rsidRDefault="00000000">
      <w:pPr>
        <w:ind w:firstLine="408"/>
      </w:pPr>
      <w:r>
        <w:rPr>
          <w:sz w:val="20"/>
        </w:rPr>
        <w:t xml:space="preserve">• </w:t>
      </w:r>
      <w:r>
        <w:rPr>
          <w:sz w:val="20"/>
        </w:rPr>
        <w:t>负载哈希（</w:t>
      </w:r>
      <w:r>
        <w:rPr>
          <w:sz w:val="20"/>
        </w:rPr>
        <w:t>Payload Hash</w:t>
      </w:r>
      <w:r>
        <w:rPr>
          <w:sz w:val="20"/>
        </w:rPr>
        <w:t>）：标识</w:t>
      </w:r>
      <w:r>
        <w:rPr>
          <w:sz w:val="20"/>
        </w:rPr>
        <w:t xml:space="preserve"> DA </w:t>
      </w:r>
      <w:r>
        <w:rPr>
          <w:sz w:val="20"/>
        </w:rPr>
        <w:t>层中完整的原始负载；</w:t>
      </w:r>
    </w:p>
    <w:p w14:paraId="41C647D9" w14:textId="77777777" w:rsidR="00580E0B" w:rsidRDefault="00000000">
      <w:pPr>
        <w:ind w:firstLine="408"/>
      </w:pPr>
      <w:r>
        <w:rPr>
          <w:sz w:val="20"/>
        </w:rPr>
        <w:t xml:space="preserve">• </w:t>
      </w:r>
      <w:r>
        <w:rPr>
          <w:sz w:val="20"/>
        </w:rPr>
        <w:t>执行轨迹（</w:t>
      </w:r>
      <w:r>
        <w:rPr>
          <w:sz w:val="20"/>
        </w:rPr>
        <w:t>Execution Trace</w:t>
      </w:r>
      <w:r>
        <w:rPr>
          <w:sz w:val="20"/>
        </w:rPr>
        <w:t>）：挑战方与被挑战方各自提交的执行步骤序列；</w:t>
      </w:r>
    </w:p>
    <w:p w14:paraId="6EBF37AE" w14:textId="77777777" w:rsidR="00580E0B" w:rsidRDefault="00000000">
      <w:pPr>
        <w:ind w:firstLine="408"/>
      </w:pPr>
      <w:r>
        <w:rPr>
          <w:sz w:val="20"/>
        </w:rPr>
        <w:t xml:space="preserve">• </w:t>
      </w:r>
      <w:r>
        <w:rPr>
          <w:sz w:val="20"/>
        </w:rPr>
        <w:t>重放证据：二分缩小后定位到的目标步骤与对应的预期哈希和声明哈希；</w:t>
      </w:r>
    </w:p>
    <w:p w14:paraId="38C804F9" w14:textId="77777777" w:rsidR="00580E0B" w:rsidRDefault="00000000">
      <w:pPr>
        <w:ind w:firstLine="408"/>
      </w:pPr>
      <w:r>
        <w:rPr>
          <w:sz w:val="20"/>
        </w:rPr>
        <w:t xml:space="preserve">• </w:t>
      </w:r>
      <w:r>
        <w:rPr>
          <w:sz w:val="20"/>
        </w:rPr>
        <w:t>不一致证据：验证、响应和</w:t>
      </w:r>
      <w:r>
        <w:rPr>
          <w:sz w:val="20"/>
        </w:rPr>
        <w:t xml:space="preserve"> DA </w:t>
      </w:r>
      <w:r>
        <w:rPr>
          <w:sz w:val="20"/>
        </w:rPr>
        <w:t>字段检查中观测到的字段级不一致记录。</w:t>
      </w:r>
    </w:p>
    <w:p w14:paraId="6C739A8C" w14:textId="77777777" w:rsidR="00580E0B" w:rsidRDefault="00000000">
      <w:pPr>
        <w:ind w:firstLine="408"/>
      </w:pPr>
      <w:r>
        <w:rPr>
          <w:sz w:val="20"/>
        </w:rPr>
        <w:t>记挑战会话</w:t>
      </w:r>
      <w:r>
        <w:rPr>
          <w:sz w:val="20"/>
        </w:rPr>
        <w:t xml:space="preserve"> cs </w:t>
      </w:r>
      <w:r>
        <w:rPr>
          <w:sz w:val="20"/>
        </w:rPr>
        <w:t>的挑战事实集合为</w:t>
      </w:r>
      <w:r>
        <w:rPr>
          <w:sz w:val="20"/>
        </w:rPr>
        <w:t xml:space="preserve"> Facts(cs)</w:t>
      </w:r>
      <w:r>
        <w:rPr>
          <w:sz w:val="20"/>
        </w:rPr>
        <w:t>，则恢复操作满足</w:t>
      </w:r>
      <w:r>
        <w:rPr>
          <w:sz w:val="20"/>
        </w:rPr>
        <w:t xml:space="preserve"> Facts(cs_before) = Facts(cs_after)</w:t>
      </w:r>
      <w:r>
        <w:rPr>
          <w:sz w:val="20"/>
        </w:rPr>
        <w:t>，即恢复不向挑战会话注入新的状态根、负载哈希、执行轨迹或重放证据。</w:t>
      </w:r>
    </w:p>
    <w:p w14:paraId="29FCE1C0" w14:textId="77777777" w:rsidR="00580E0B" w:rsidRDefault="00000000">
      <w:pPr>
        <w:ind w:firstLine="408"/>
      </w:pPr>
      <w:r>
        <w:rPr>
          <w:sz w:val="20"/>
        </w:rPr>
        <w:t>恢复操作恢复的是流程推进能力，而非修改争议内容本身。在不可恢复的挑战协议中，超时会使会话不可逆地停滞，已观测到的异常无法进入重放与仲裁。可恢复挑战机制将检测与处理之间的鸿沟打通，同时保证处理过程不脱离原始检测事实。</w:t>
      </w:r>
    </w:p>
    <w:p w14:paraId="656D4403" w14:textId="77777777" w:rsidR="00580E0B" w:rsidRDefault="00000000">
      <w:pPr>
        <w:spacing w:before="60" w:after="30" w:line="240" w:lineRule="auto"/>
        <w:ind w:firstLine="0"/>
        <w:jc w:val="left"/>
      </w:pPr>
      <w:r>
        <w:rPr>
          <w:rFonts w:eastAsia="黑体"/>
          <w:b/>
          <w:bCs/>
          <w:sz w:val="21"/>
          <w:szCs w:val="21"/>
        </w:rPr>
        <w:t xml:space="preserve">4.1.4.2  </w:t>
      </w:r>
      <w:r>
        <w:rPr>
          <w:rFonts w:eastAsia="黑体"/>
          <w:b/>
          <w:bCs/>
          <w:sz w:val="21"/>
          <w:szCs w:val="21"/>
        </w:rPr>
        <w:t>安全性与活性分离</w:t>
      </w:r>
    </w:p>
    <w:p w14:paraId="2BD708F3" w14:textId="77777777" w:rsidR="00580E0B" w:rsidRDefault="00000000">
      <w:pPr>
        <w:ind w:firstLine="408"/>
      </w:pPr>
      <w:r>
        <w:rPr>
          <w:sz w:val="20"/>
        </w:rPr>
        <w:t>恢复机制设计中的一个关键考量是安全性与活性的边界划分。恢复操作解决的是活性问题</w:t>
      </w:r>
      <w:r>
        <w:rPr>
          <w:sz w:val="20"/>
        </w:rPr>
        <w:t>——</w:t>
      </w:r>
      <w:r>
        <w:rPr>
          <w:sz w:val="20"/>
        </w:rPr>
        <w:t>当挑战会话</w:t>
      </w:r>
      <w:r>
        <w:rPr>
          <w:sz w:val="20"/>
        </w:rPr>
        <w:t>因交互超时而停滞时，恢复使其重新获得推进能力；但它不直接改变正确性判断</w:t>
      </w:r>
      <w:r>
        <w:rPr>
          <w:sz w:val="20"/>
        </w:rPr>
        <w:t>——</w:t>
      </w:r>
      <w:r>
        <w:rPr>
          <w:sz w:val="20"/>
        </w:rPr>
        <w:t>一个原本错误的执行结果不会因恢复而变为正确。</w:t>
      </w:r>
    </w:p>
    <w:p w14:paraId="737F0E4B" w14:textId="77777777" w:rsidR="00580E0B" w:rsidRDefault="00000000">
      <w:pPr>
        <w:ind w:firstLine="408"/>
      </w:pPr>
      <w:r>
        <w:rPr>
          <w:sz w:val="20"/>
        </w:rPr>
        <w:t>从安全性角度看，恢复操作受到以下约束：第一，恢复后的重放阶段仍对预期哈希与声明哈希进行一致性检查，两者不一致时挑战成功；第二，恢复不修改重放证据中的目标步骤，二分缩小定位到的争议点在恢复前后保持不变；第三，恢复不修改负载承诺，紧凑提交中的</w:t>
      </w:r>
      <w:r>
        <w:rPr>
          <w:sz w:val="20"/>
        </w:rPr>
        <w:t xml:space="preserve"> DA Merkle </w:t>
      </w:r>
      <w:r>
        <w:rPr>
          <w:sz w:val="20"/>
        </w:rPr>
        <w:t>根和</w:t>
      </w:r>
      <w:r>
        <w:rPr>
          <w:sz w:val="20"/>
        </w:rPr>
        <w:t xml:space="preserve"> DA </w:t>
      </w:r>
      <w:r>
        <w:rPr>
          <w:sz w:val="20"/>
        </w:rPr>
        <w:t>指针在提交时已锁定。</w:t>
      </w:r>
    </w:p>
    <w:p w14:paraId="6C54400A" w14:textId="77777777" w:rsidR="00580E0B" w:rsidRDefault="00000000">
      <w:pPr>
        <w:ind w:firstLine="408"/>
      </w:pPr>
      <w:r>
        <w:rPr>
          <w:sz w:val="20"/>
        </w:rPr>
        <w:t>综合来看，恢复机制恢复的是协议活性，而非重新定义正确性。正确性的最终裁决由重放阶段完成，恢复只保证该裁决环节能够被执行。</w:t>
      </w:r>
    </w:p>
    <w:p w14:paraId="7729B5F1" w14:textId="77777777" w:rsidR="00580E0B" w:rsidRDefault="00000000">
      <w:pPr>
        <w:spacing w:before="60" w:after="30" w:line="240" w:lineRule="auto"/>
        <w:ind w:firstLine="0"/>
        <w:jc w:val="left"/>
      </w:pPr>
      <w:r>
        <w:rPr>
          <w:rFonts w:eastAsia="黑体"/>
          <w:b/>
          <w:bCs/>
          <w:sz w:val="21"/>
          <w:szCs w:val="21"/>
        </w:rPr>
        <w:t xml:space="preserve">4.1.4.3  </w:t>
      </w:r>
      <w:r>
        <w:rPr>
          <w:rFonts w:eastAsia="黑体"/>
          <w:b/>
          <w:bCs/>
          <w:sz w:val="21"/>
          <w:szCs w:val="21"/>
        </w:rPr>
        <w:t>仲裁连续性</w:t>
      </w:r>
    </w:p>
    <w:p w14:paraId="1635D790" w14:textId="77777777" w:rsidR="00580E0B" w:rsidRDefault="00000000">
      <w:pPr>
        <w:ind w:firstLine="408"/>
      </w:pPr>
      <w:r>
        <w:rPr>
          <w:sz w:val="20"/>
        </w:rPr>
        <w:t>仲裁连续性是本文提出的用于刻画挑战协议活性性质的概念：在挑战事实已经固定、重放证据可获得且数据可用性证明可检查的条件下，若争议已经被检测到，则协议应保证该争议不会因交互超时永久停滞，而能够继续推进至重放、结算或惩罚阶段。本文将满足这一性质的协议称为具备仲裁连续性。</w:t>
      </w:r>
    </w:p>
    <w:p w14:paraId="2A9B7047" w14:textId="77777777" w:rsidR="00580E0B" w:rsidRDefault="00000000">
      <w:pPr>
        <w:ind w:firstLine="408"/>
      </w:pPr>
      <w:r>
        <w:rPr>
          <w:sz w:val="20"/>
        </w:rPr>
        <w:t>传统基于超时的挑战协议可以完成异常检测</w:t>
      </w:r>
      <w:r>
        <w:rPr>
          <w:sz w:val="20"/>
        </w:rPr>
        <w:t>——</w:t>
      </w:r>
      <w:r>
        <w:rPr>
          <w:sz w:val="20"/>
        </w:rPr>
        <w:t>验证者观测到</w:t>
      </w:r>
      <w:r>
        <w:rPr>
          <w:sz w:val="20"/>
        </w:rPr>
        <w:t xml:space="preserve"> DA </w:t>
      </w:r>
      <w:r>
        <w:rPr>
          <w:sz w:val="20"/>
        </w:rPr>
        <w:t>不一致、响应不匹配或证明无效后，能够将异常记录为争议。然而，当挑战方或被挑战方在交互中超时未响应时，争议可能永久停留在中间状态，交易既不能最终确认也不能被罚没。这就是检测性与完成性的差异：传统方案关注</w:t>
      </w:r>
      <w:r>
        <w:rPr>
          <w:sz w:val="20"/>
        </w:rPr>
        <w:t>“</w:t>
      </w:r>
      <w:r>
        <w:rPr>
          <w:sz w:val="20"/>
        </w:rPr>
        <w:t>能否发现异常</w:t>
      </w:r>
      <w:r>
        <w:rPr>
          <w:sz w:val="20"/>
        </w:rPr>
        <w:t>”</w:t>
      </w:r>
      <w:r>
        <w:rPr>
          <w:sz w:val="20"/>
        </w:rPr>
        <w:t>，仲裁连续性关注</w:t>
      </w:r>
      <w:r>
        <w:rPr>
          <w:sz w:val="20"/>
        </w:rPr>
        <w:t>“</w:t>
      </w:r>
      <w:r>
        <w:rPr>
          <w:sz w:val="20"/>
        </w:rPr>
        <w:t>已发现的异常能否被处理完毕</w:t>
      </w:r>
      <w:r>
        <w:rPr>
          <w:sz w:val="20"/>
        </w:rPr>
        <w:t>”</w:t>
      </w:r>
      <w:r>
        <w:rPr>
          <w:sz w:val="20"/>
        </w:rPr>
        <w:t>。对于高频去中心化应用，未完成的挑战会话会占用状态、延迟结算，使链上对象长期处于不确定状态，直接损害结算确定性。</w:t>
      </w:r>
    </w:p>
    <w:p w14:paraId="282F19C7" w14:textId="77777777" w:rsidR="00580E0B" w:rsidRDefault="00000000">
      <w:pPr>
        <w:ind w:firstLine="408"/>
      </w:pPr>
      <w:r>
        <w:rPr>
          <w:sz w:val="20"/>
        </w:rPr>
        <w:t>可恢复挑战机制通过恢复函数在超时后恢复仲裁流程推进能力：观察节点调用恢复功能使超时会话回到可推进状态，从而继续二分缩小、重放和结算。实验结果表明，在当前原型设定下，恢复机制能够将超时停滞转化为可继续推进的仲裁流程。</w:t>
      </w:r>
    </w:p>
    <w:p w14:paraId="1C420DE5" w14:textId="77777777" w:rsidR="00580E0B" w:rsidRDefault="00000000">
      <w:pPr>
        <w:spacing w:before="80" w:after="40" w:line="240" w:lineRule="auto"/>
        <w:ind w:firstLine="0"/>
        <w:jc w:val="left"/>
      </w:pPr>
      <w:r>
        <w:rPr>
          <w:rFonts w:eastAsia="黑体"/>
          <w:b/>
          <w:bCs/>
          <w:sz w:val="23"/>
          <w:szCs w:val="23"/>
        </w:rPr>
        <w:t xml:space="preserve">4.2  </w:t>
      </w:r>
      <w:r>
        <w:rPr>
          <w:rFonts w:eastAsia="黑体"/>
          <w:b/>
          <w:bCs/>
          <w:sz w:val="23"/>
          <w:szCs w:val="23"/>
        </w:rPr>
        <w:t>携带证据的紧凑提交机制</w:t>
      </w:r>
    </w:p>
    <w:p w14:paraId="2D1BDB91" w14:textId="77777777" w:rsidR="00580E0B" w:rsidRDefault="00000000">
      <w:pPr>
        <w:ind w:firstLine="408"/>
      </w:pPr>
      <w:r>
        <w:rPr>
          <w:sz w:val="20"/>
        </w:rPr>
        <w:t>本节说明紧凑提交为什么不是单纯压缩结构。其研究价值在于携带异常路径所需的最小证据关联。该提交绑定状态根、输出哈希、证明哈希、数据可用性指针和数据可用性根：状态根约束输入、输出与环境摘要；输出哈</w:t>
      </w:r>
      <w:r>
        <w:rPr>
          <w:sz w:val="20"/>
        </w:rPr>
        <w:lastRenderedPageBreak/>
        <w:t>希约束响应；证明哈希约束证明；数据可用性指针定位完整负载；数据可用性根则承诺字段级证明成员关系。</w:t>
      </w:r>
    </w:p>
    <w:p w14:paraId="20C30732" w14:textId="77777777" w:rsidR="00580E0B" w:rsidRDefault="00000000">
      <w:pPr>
        <w:ind w:firstLine="408"/>
      </w:pPr>
      <w:r>
        <w:rPr>
          <w:sz w:val="20"/>
        </w:rPr>
        <w:t>这种绑定关系使验证者能够从链上提交进入数据可用性证据结构。若响应被篡改，验证者检查响应叶与</w:t>
      </w:r>
      <w:r>
        <w:rPr>
          <w:sz w:val="20"/>
        </w:rPr>
        <w:t xml:space="preserve"> Merkle </w:t>
      </w:r>
      <w:r>
        <w:rPr>
          <w:sz w:val="20"/>
        </w:rPr>
        <w:t>根；若证明与输出不一致，证明哈希和负载哈希形成交叉约束；若数据可用性证明损坏，系统可以将异常定位为证明无效，而不是混同为执行重放失败。由此，紧凑提交支持后续挑战和重放的证据加载，而不仅服务于链上字节压缩。</w:t>
      </w:r>
    </w:p>
    <w:p w14:paraId="74F7C182" w14:textId="77777777" w:rsidR="00580E0B" w:rsidRDefault="00000000">
      <w:pPr>
        <w:ind w:firstLine="408"/>
      </w:pPr>
      <w:r>
        <w:rPr>
          <w:sz w:val="20"/>
        </w:rPr>
        <w:t>从对抗角度看，提交者可能替换负载字段、隐藏数据可用性条目、提交与证明不一致的输出，或在争议过程中延迟响应。紧凑提交的作用在于锁定链上最小承诺所需的证据字段，使后续挑战具备重放准备性，而不仅是节省链上字节。</w:t>
      </w:r>
    </w:p>
    <w:p w14:paraId="5FC788D8" w14:textId="77777777" w:rsidR="00580E0B" w:rsidRDefault="00000000">
      <w:pPr>
        <w:spacing w:before="80" w:after="40" w:line="240" w:lineRule="auto"/>
        <w:ind w:firstLine="0"/>
        <w:jc w:val="left"/>
      </w:pPr>
      <w:r>
        <w:rPr>
          <w:rFonts w:eastAsia="黑体"/>
          <w:b/>
          <w:bCs/>
          <w:sz w:val="23"/>
          <w:szCs w:val="23"/>
        </w:rPr>
        <w:t xml:space="preserve">4.3  </w:t>
      </w:r>
      <w:r>
        <w:rPr>
          <w:rFonts w:eastAsia="黑体"/>
          <w:b/>
          <w:bCs/>
          <w:sz w:val="23"/>
          <w:szCs w:val="23"/>
        </w:rPr>
        <w:t>数据可用性感知成本评估</w:t>
      </w:r>
    </w:p>
    <w:p w14:paraId="04D9A09D" w14:textId="77777777" w:rsidR="00580E0B" w:rsidRDefault="00000000">
      <w:pPr>
        <w:ind w:firstLine="408"/>
      </w:pPr>
      <w:r>
        <w:rPr>
          <w:sz w:val="20"/>
        </w:rPr>
        <w:t>成本模型关注全链上与紧凑提交配合数据可用性在高频场景下的结构性差异。全链上路线将完整负载作为链上数据提交，其成本随负载大小增大近似线性增长。紧凑提交配合数据可用性将负载发布从链上调用数据转移到数据可用性配置，链上只保留紧凑提交，从而在高频大批量场景中控制成本增长。</w:t>
      </w:r>
    </w:p>
    <w:p w14:paraId="2BF347DB" w14:textId="77777777" w:rsidR="00580E0B" w:rsidRDefault="00000000">
      <w:pPr>
        <w:ind w:firstLine="408"/>
      </w:pPr>
      <w:r>
        <w:t>模型比较四类</w:t>
      </w:r>
      <w:r>
        <w:t xml:space="preserve"> DA </w:t>
      </w:r>
      <w:r>
        <w:t>路径：全链上调用数据、紧凑外部</w:t>
      </w:r>
      <w:r>
        <w:t xml:space="preserve"> DA</w:t>
      </w:r>
      <w:r>
        <w:t>、紧凑类</w:t>
      </w:r>
      <w:r>
        <w:t xml:space="preserve"> EIP-4844 </w:t>
      </w:r>
      <w:r>
        <w:t>方案和紧凑模块化</w:t>
      </w:r>
      <w:r>
        <w:t xml:space="preserve"> DA </w:t>
      </w:r>
      <w:r>
        <w:t>采样</w:t>
      </w:r>
      <w:r>
        <w:rPr>
          <w:vertAlign w:val="superscript"/>
        </w:rPr>
        <w:t>[12]</w:t>
      </w:r>
      <w:r>
        <w:t>。该比较作为研究原型的成本建模工具，用于刻画不同数据发布路径的结构性差异。</w:t>
      </w:r>
    </w:p>
    <w:p w14:paraId="2F186577" w14:textId="77777777" w:rsidR="00580E0B" w:rsidRDefault="00000000">
      <w:pPr>
        <w:ind w:firstLine="408"/>
      </w:pPr>
      <w:r>
        <w:rPr>
          <w:sz w:val="20"/>
        </w:rPr>
        <w:t>模型表达为</w:t>
      </w:r>
      <w:r>
        <w:rPr>
          <w:sz w:val="20"/>
        </w:rPr>
        <w:t xml:space="preserve"> C_total = C_commit + C_DA + p_challenge × C_challenge</w:t>
      </w:r>
      <w:r>
        <w:rPr>
          <w:sz w:val="20"/>
        </w:rPr>
        <w:t>。其中</w:t>
      </w:r>
      <w:r>
        <w:rPr>
          <w:sz w:val="20"/>
        </w:rPr>
        <w:t xml:space="preserve"> 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表示争议发生概率。批处理后单笔摊销成本记为</w:t>
      </w:r>
      <w:r>
        <w:rPr>
          <w:sz w:val="20"/>
        </w:rPr>
        <w:t xml:space="preserve"> C_amortized = C_total / batch_size</w:t>
      </w:r>
      <w:r>
        <w:rPr>
          <w:sz w:val="20"/>
        </w:rPr>
        <w:t>。</w:t>
      </w:r>
    </w:p>
    <w:p w14:paraId="55F955F4" w14:textId="77777777" w:rsidR="00580E0B" w:rsidRDefault="00000000">
      <w:pPr>
        <w:ind w:firstLine="408"/>
      </w:pPr>
      <w:r>
        <w:rPr>
          <w:sz w:val="20"/>
        </w:rPr>
        <w:t>从系统角度看，批大小越大，固定提交成本越容易被摊薄；负载越大，全链上调用数据的线性成本越突出；数据可用性路径越接近低边际数据成本，紧凑提交配合数据可用性的收益越明显。因此，该模型的核心启示不在于某项数字，而在于批处理规模、负载大小和数据可用性路径选择三者之间存在结构性权衡。</w:t>
      </w:r>
    </w:p>
    <w:p w14:paraId="596355AB" w14:textId="77777777" w:rsidR="00580E0B" w:rsidRDefault="00000000">
      <w:pPr>
        <w:spacing w:before="120" w:after="60" w:line="240" w:lineRule="auto"/>
        <w:ind w:firstLine="0"/>
        <w:jc w:val="left"/>
      </w:pPr>
      <w:r>
        <w:rPr>
          <w:rFonts w:eastAsia="黑体"/>
          <w:b/>
          <w:bCs/>
          <w:sz w:val="23"/>
          <w:szCs w:val="23"/>
        </w:rPr>
        <w:t xml:space="preserve">5  </w:t>
      </w:r>
      <w:r>
        <w:rPr>
          <w:rFonts w:eastAsia="黑体"/>
          <w:b/>
          <w:bCs/>
          <w:sz w:val="23"/>
          <w:szCs w:val="23"/>
        </w:rPr>
        <w:t>实验评估</w:t>
      </w:r>
    </w:p>
    <w:p w14:paraId="52DA6DC4" w14:textId="77777777" w:rsidR="00580E0B" w:rsidRDefault="00000000">
      <w:pPr>
        <w:ind w:firstLine="408"/>
      </w:pPr>
      <w:r>
        <w:rPr>
          <w:sz w:val="20"/>
        </w:rPr>
        <w:t>实验评估围绕机制可运行性与对比趋势展开。当前实验使用</w:t>
      </w:r>
      <w:r>
        <w:rPr>
          <w:sz w:val="20"/>
        </w:rPr>
        <w:t xml:space="preserve"> Python </w:t>
      </w:r>
      <w:r>
        <w:rPr>
          <w:sz w:val="20"/>
        </w:rPr>
        <w:t>原型、模拟</w:t>
      </w:r>
      <w:r>
        <w:rPr>
          <w:sz w:val="20"/>
        </w:rPr>
        <w:t xml:space="preserve"> TEE</w:t>
      </w:r>
      <w:r>
        <w:rPr>
          <w:sz w:val="20"/>
        </w:rPr>
        <w:t>、合成负载、可验证</w:t>
      </w:r>
      <w:r>
        <w:rPr>
          <w:sz w:val="20"/>
        </w:rPr>
        <w:t xml:space="preserve"> DA </w:t>
      </w:r>
      <w:r>
        <w:rPr>
          <w:sz w:val="20"/>
        </w:rPr>
        <w:t>注册表、本地</w:t>
      </w:r>
      <w:r>
        <w:rPr>
          <w:sz w:val="20"/>
        </w:rPr>
        <w:t xml:space="preserve"> EVM gas </w:t>
      </w:r>
      <w:r>
        <w:rPr>
          <w:sz w:val="20"/>
        </w:rPr>
        <w:t>测量和</w:t>
      </w:r>
      <w:r>
        <w:rPr>
          <w:sz w:val="20"/>
        </w:rPr>
        <w:t xml:space="preserve"> Sepolia </w:t>
      </w:r>
      <w:r>
        <w:rPr>
          <w:sz w:val="20"/>
        </w:rPr>
        <w:t>测试网部署记录。</w:t>
      </w:r>
      <w:r>
        <w:rPr>
          <w:sz w:val="20"/>
        </w:rPr>
        <w:t xml:space="preserve">RQ1 </w:t>
      </w:r>
      <w:r>
        <w:rPr>
          <w:sz w:val="20"/>
        </w:rPr>
        <w:t>关注紧凑提交是否在保留证据关联的同时隔离负载增长；</w:t>
      </w:r>
      <w:r>
        <w:rPr>
          <w:sz w:val="20"/>
        </w:rPr>
        <w:t xml:space="preserve">RQ2 </w:t>
      </w:r>
      <w:r>
        <w:rPr>
          <w:sz w:val="20"/>
        </w:rPr>
        <w:t>关注批处理摊销与</w:t>
      </w:r>
      <w:r>
        <w:rPr>
          <w:sz w:val="20"/>
        </w:rPr>
        <w:t xml:space="preserve"> DA </w:t>
      </w:r>
      <w:r>
        <w:rPr>
          <w:sz w:val="20"/>
        </w:rPr>
        <w:t>路径选择的影响；</w:t>
      </w:r>
      <w:r>
        <w:rPr>
          <w:sz w:val="20"/>
        </w:rPr>
        <w:t xml:space="preserve">RQ3 </w:t>
      </w:r>
      <w:r>
        <w:rPr>
          <w:sz w:val="20"/>
        </w:rPr>
        <w:t>关注恢复机制是否改善超时场景下的挑战活性；</w:t>
      </w:r>
      <w:r>
        <w:rPr>
          <w:sz w:val="20"/>
        </w:rPr>
        <w:t xml:space="preserve">RQ4 </w:t>
      </w:r>
      <w:r>
        <w:rPr>
          <w:sz w:val="20"/>
        </w:rPr>
        <w:t>关注不同故障类型能否被检测、恢复、重放或罚没；</w:t>
      </w:r>
      <w:r>
        <w:rPr>
          <w:sz w:val="20"/>
        </w:rPr>
        <w:t xml:space="preserve">RQ5 </w:t>
      </w:r>
      <w:r>
        <w:rPr>
          <w:sz w:val="20"/>
        </w:rPr>
        <w:t>关注</w:t>
      </w:r>
      <w:r>
        <w:rPr>
          <w:sz w:val="20"/>
        </w:rPr>
        <w:t xml:space="preserve"> Solidity </w:t>
      </w:r>
      <w:r>
        <w:rPr>
          <w:sz w:val="20"/>
        </w:rPr>
        <w:t>合约、本地</w:t>
      </w:r>
      <w:r>
        <w:rPr>
          <w:sz w:val="20"/>
        </w:rPr>
        <w:t xml:space="preserve"> EVM </w:t>
      </w:r>
      <w:r>
        <w:rPr>
          <w:sz w:val="20"/>
        </w:rPr>
        <w:t>实测与</w:t>
      </w:r>
      <w:r>
        <w:rPr>
          <w:sz w:val="20"/>
        </w:rPr>
        <w:t xml:space="preserve"> Sepolia </w:t>
      </w:r>
      <w:r>
        <w:rPr>
          <w:sz w:val="20"/>
        </w:rPr>
        <w:t>部署能否支撑链上对应物。</w:t>
      </w:r>
    </w:p>
    <w:p w14:paraId="20B1E095" w14:textId="77777777" w:rsidR="00580E0B" w:rsidRDefault="00000000">
      <w:pPr>
        <w:ind w:firstLine="408"/>
      </w:pPr>
      <w:r>
        <w:rPr>
          <w:sz w:val="20"/>
        </w:rPr>
        <w:t xml:space="preserve">C_total = C_commit + C_DA + p_challenge × C_challenge </w:t>
      </w:r>
      <w:r>
        <w:rPr>
          <w:sz w:val="20"/>
        </w:rPr>
        <w:t>（</w:t>
      </w:r>
      <w:r>
        <w:rPr>
          <w:sz w:val="20"/>
        </w:rPr>
        <w:t>1</w:t>
      </w:r>
      <w:r>
        <w:rPr>
          <w:sz w:val="20"/>
        </w:rPr>
        <w:t>）</w:t>
      </w:r>
    </w:p>
    <w:p w14:paraId="63016894" w14:textId="77777777" w:rsidR="00580E0B" w:rsidRDefault="00000000">
      <w:pPr>
        <w:ind w:firstLine="408"/>
      </w:pPr>
      <w:r>
        <w:rPr>
          <w:sz w:val="20"/>
        </w:rPr>
        <w:t xml:space="preserve">C_amortized = C_total / batch_size </w:t>
      </w:r>
      <w:r>
        <w:rPr>
          <w:sz w:val="20"/>
        </w:rPr>
        <w:t>（</w:t>
      </w:r>
      <w:r>
        <w:rPr>
          <w:sz w:val="20"/>
        </w:rPr>
        <w:t>2</w:t>
      </w:r>
      <w:r>
        <w:rPr>
          <w:sz w:val="20"/>
        </w:rPr>
        <w:t>）</w:t>
      </w:r>
    </w:p>
    <w:p w14:paraId="4815D54D" w14:textId="77777777" w:rsidR="00580E0B" w:rsidRDefault="00000000">
      <w:pPr>
        <w:ind w:firstLine="408"/>
      </w:pPr>
      <w:r>
        <w:rPr>
          <w:sz w:val="20"/>
        </w:rPr>
        <w:t>其中，</w:t>
      </w:r>
      <w:r>
        <w:rPr>
          <w:sz w:val="20"/>
        </w:rPr>
        <w:t xml:space="preserve">C_commit </w:t>
      </w:r>
      <w:r>
        <w:rPr>
          <w:sz w:val="20"/>
        </w:rPr>
        <w:t>表示链上紧凑提交或完整负载提交成本，</w:t>
      </w:r>
      <w:r>
        <w:rPr>
          <w:sz w:val="20"/>
        </w:rPr>
        <w:t xml:space="preserve">C_DA </w:t>
      </w:r>
      <w:r>
        <w:rPr>
          <w:sz w:val="20"/>
        </w:rPr>
        <w:t>表示不同</w:t>
      </w:r>
      <w:r>
        <w:rPr>
          <w:sz w:val="20"/>
        </w:rPr>
        <w:t xml:space="preserve"> DA </w:t>
      </w:r>
      <w:r>
        <w:rPr>
          <w:sz w:val="20"/>
        </w:rPr>
        <w:t>路径下的数据成本，</w:t>
      </w:r>
      <w:r>
        <w:rPr>
          <w:sz w:val="20"/>
        </w:rPr>
        <w:t xml:space="preserve">C_challenge </w:t>
      </w:r>
      <w:r>
        <w:rPr>
          <w:sz w:val="20"/>
        </w:rPr>
        <w:t>表示争议发生时挑战、恢复、重放和结算成本，</w:t>
      </w:r>
      <w:r>
        <w:rPr>
          <w:sz w:val="20"/>
        </w:rPr>
        <w:t xml:space="preserve">p_challenge </w:t>
      </w:r>
      <w:r>
        <w:rPr>
          <w:sz w:val="20"/>
        </w:rPr>
        <w:t>表示争议发生概率。</w:t>
      </w:r>
    </w:p>
    <w:p w14:paraId="08A4B528" w14:textId="4EAC2233" w:rsidR="00580E0B" w:rsidRDefault="00000000">
      <w:pPr>
        <w:spacing w:before="80" w:after="40" w:line="240" w:lineRule="auto"/>
        <w:ind w:firstLine="0"/>
        <w:jc w:val="left"/>
      </w:pPr>
      <w:r>
        <w:rPr>
          <w:rFonts w:eastAsia="黑体"/>
          <w:b/>
          <w:bCs/>
          <w:sz w:val="23"/>
          <w:szCs w:val="23"/>
        </w:rPr>
        <w:t xml:space="preserve">5.1  </w:t>
      </w:r>
      <w:r>
        <w:rPr>
          <w:rFonts w:eastAsia="黑体"/>
          <w:b/>
          <w:bCs/>
          <w:sz w:val="23"/>
          <w:szCs w:val="23"/>
        </w:rPr>
        <w:t>紧凑提交能否降低链上提交规模</w:t>
      </w:r>
    </w:p>
    <w:p w14:paraId="31C66C44" w14:textId="77777777" w:rsidR="00580E0B" w:rsidRDefault="00000000">
      <w:pPr>
        <w:ind w:firstLine="408"/>
      </w:pPr>
      <w:r>
        <w:rPr>
          <w:sz w:val="20"/>
        </w:rPr>
        <w:t xml:space="preserve">RQ1 </w:t>
      </w:r>
      <w:r>
        <w:rPr>
          <w:sz w:val="20"/>
        </w:rPr>
        <w:t>隔离考察提交结构。</w:t>
      </w:r>
      <w:r>
        <w:rPr>
          <w:sz w:val="20"/>
        </w:rPr>
        <w:t xml:space="preserve">Python </w:t>
      </w:r>
      <w:r>
        <w:rPr>
          <w:sz w:val="20"/>
        </w:rPr>
        <w:t>原型在模拟</w:t>
      </w:r>
      <w:r>
        <w:rPr>
          <w:sz w:val="20"/>
        </w:rPr>
        <w:t xml:space="preserve"> TEE </w:t>
      </w:r>
      <w:r>
        <w:rPr>
          <w:sz w:val="20"/>
        </w:rPr>
        <w:t>下生成合成账本条目，比较完整负载与紧凑提交的规范</w:t>
      </w:r>
      <w:r>
        <w:rPr>
          <w:sz w:val="20"/>
        </w:rPr>
        <w:t xml:space="preserve"> JSON </w:t>
      </w:r>
      <w:r>
        <w:rPr>
          <w:sz w:val="20"/>
        </w:rPr>
        <w:t>字节数。度量指标包括完整字节数、紧凑字节数和字节降幅比例。完整字节数表示完整提示、响应和远程证明都作为负载的一部分时的总字节数；紧凑字节数仅计算提交结构字节数。</w:t>
      </w:r>
    </w:p>
    <w:p w14:paraId="2434310A" w14:textId="77777777" w:rsidR="00580E0B" w:rsidRDefault="00000000">
      <w:pPr>
        <w:ind w:firstLine="408"/>
      </w:pPr>
      <w:r>
        <w:rPr>
          <w:sz w:val="20"/>
        </w:rPr>
        <w:t>对比结果呈现出清晰的隔离关系：紧凑提交基本保持在</w:t>
      </w:r>
      <w:r>
        <w:rPr>
          <w:sz w:val="20"/>
        </w:rPr>
        <w:t xml:space="preserve"> 406 </w:t>
      </w:r>
      <w:r>
        <w:rPr>
          <w:sz w:val="20"/>
        </w:rPr>
        <w:t>字节左右，而完整负载字节数随负载大小增大而增长。当负载大小为</w:t>
      </w:r>
      <w:r>
        <w:rPr>
          <w:sz w:val="20"/>
        </w:rPr>
        <w:t xml:space="preserve"> 8192 </w:t>
      </w:r>
      <w:r>
        <w:rPr>
          <w:sz w:val="20"/>
        </w:rPr>
        <w:t>时，提示长度为</w:t>
      </w:r>
      <w:r>
        <w:rPr>
          <w:sz w:val="20"/>
        </w:rPr>
        <w:t xml:space="preserve"> 64 </w:t>
      </w:r>
      <w:r>
        <w:rPr>
          <w:sz w:val="20"/>
        </w:rPr>
        <w:t>和</w:t>
      </w:r>
      <w:r>
        <w:rPr>
          <w:sz w:val="20"/>
        </w:rPr>
        <w:t xml:space="preserve"> 256 </w:t>
      </w:r>
      <w:r>
        <w:rPr>
          <w:sz w:val="20"/>
        </w:rPr>
        <w:t>的完整负载字节数分别约为</w:t>
      </w:r>
      <w:r>
        <w:rPr>
          <w:sz w:val="20"/>
        </w:rPr>
        <w:t xml:space="preserve"> 50068.84 </w:t>
      </w:r>
      <w:r>
        <w:rPr>
          <w:sz w:val="20"/>
        </w:rPr>
        <w:t>和</w:t>
      </w:r>
      <w:r>
        <w:rPr>
          <w:sz w:val="20"/>
        </w:rPr>
        <w:t xml:space="preserve"> 50262.84</w:t>
      </w:r>
      <w:r>
        <w:rPr>
          <w:sz w:val="20"/>
        </w:rPr>
        <w:t>，而紧凑提交仍为</w:t>
      </w:r>
      <w:r>
        <w:rPr>
          <w:sz w:val="20"/>
        </w:rPr>
        <w:t xml:space="preserve"> 406.00 </w:t>
      </w:r>
      <w:r>
        <w:rPr>
          <w:sz w:val="20"/>
        </w:rPr>
        <w:t>字节。这说明紧凑提交能够隔离负载规模扩展与链上提交规模，同时保留重放准备能力。</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67F26BC7" w14:textId="77777777">
        <w:trPr>
          <w:jc w:val="center"/>
        </w:trPr>
        <w:tc>
          <w:tcPr>
            <w:tcW w:w="4464" w:type="dxa"/>
            <w:tcBorders>
              <w:bottom w:val="single" w:sz="6" w:space="0" w:color="000000"/>
            </w:tcBorders>
            <w:vAlign w:val="center"/>
          </w:tcPr>
          <w:p w14:paraId="014A194A" w14:textId="77777777" w:rsidR="00580E0B" w:rsidRDefault="00000000">
            <w:pPr>
              <w:keepNext/>
              <w:spacing w:line="180" w:lineRule="auto"/>
              <w:ind w:firstLine="0"/>
              <w:jc w:val="center"/>
            </w:pPr>
            <w:r>
              <w:rPr>
                <w:noProof/>
                <w:sz w:val="15"/>
                <w:szCs w:val="15"/>
              </w:rPr>
              <w:drawing>
                <wp:inline distT="0" distB="0" distL="0" distR="0" wp14:anchorId="6E6D6CDA" wp14:editId="24459828">
                  <wp:extent cx="2833307" cy="1333500"/>
                  <wp:effectExtent l="0" t="0" r="571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835785" cy="1334666"/>
                          </a:xfrm>
                          <a:prstGeom prst="rect">
                            <a:avLst/>
                          </a:prstGeom>
                        </pic:spPr>
                      </pic:pic>
                    </a:graphicData>
                  </a:graphic>
                </wp:inline>
              </w:drawing>
            </w:r>
          </w:p>
          <w:p w14:paraId="12B8D865" w14:textId="77777777" w:rsidR="00580E0B" w:rsidRDefault="00000000">
            <w:pPr>
              <w:spacing w:line="180" w:lineRule="auto"/>
              <w:ind w:firstLine="0"/>
              <w:jc w:val="center"/>
            </w:pPr>
            <w:r>
              <w:rPr>
                <w:sz w:val="15"/>
                <w:szCs w:val="15"/>
              </w:rPr>
              <w:t>图</w:t>
            </w:r>
            <w:r>
              <w:rPr>
                <w:sz w:val="15"/>
                <w:szCs w:val="15"/>
              </w:rPr>
              <w:t xml:space="preserve"> 3  </w:t>
            </w:r>
            <w:r>
              <w:rPr>
                <w:sz w:val="15"/>
                <w:szCs w:val="15"/>
              </w:rPr>
              <w:t>完整负载与紧凑提交的字节规模对比</w:t>
            </w:r>
          </w:p>
          <w:p w14:paraId="58524A1F" w14:textId="77777777" w:rsidR="00580E0B" w:rsidRDefault="00000000">
            <w:pPr>
              <w:spacing w:line="180" w:lineRule="auto"/>
              <w:ind w:firstLine="0"/>
              <w:jc w:val="center"/>
            </w:pPr>
            <w:r>
              <w:rPr>
                <w:sz w:val="15"/>
                <w:szCs w:val="15"/>
              </w:rPr>
              <w:t>Fig.3  Byte-size comparison between full payloads and compact commits</w:t>
            </w:r>
          </w:p>
        </w:tc>
      </w:tr>
    </w:tbl>
    <w:p w14:paraId="5A1D91A6" w14:textId="41E11569" w:rsidR="00580E0B" w:rsidRDefault="00000000">
      <w:pPr>
        <w:spacing w:before="80" w:after="40" w:line="240" w:lineRule="auto"/>
        <w:ind w:firstLine="0"/>
        <w:jc w:val="left"/>
      </w:pPr>
      <w:r>
        <w:rPr>
          <w:rFonts w:eastAsia="黑体"/>
          <w:b/>
          <w:bCs/>
          <w:sz w:val="23"/>
          <w:szCs w:val="23"/>
        </w:rPr>
        <w:t>5.2</w:t>
      </w:r>
      <w:r w:rsidR="00864984">
        <w:rPr>
          <w:rFonts w:eastAsia="黑体" w:hint="eastAsia"/>
          <w:b/>
          <w:bCs/>
          <w:sz w:val="23"/>
          <w:szCs w:val="23"/>
        </w:rPr>
        <w:t xml:space="preserve">  </w:t>
      </w:r>
      <w:r>
        <w:rPr>
          <w:rFonts w:eastAsia="黑体"/>
          <w:b/>
          <w:bCs/>
          <w:sz w:val="23"/>
          <w:szCs w:val="23"/>
        </w:rPr>
        <w:t>批大小如何影响</w:t>
      </w:r>
      <w:r>
        <w:rPr>
          <w:rFonts w:eastAsia="黑体"/>
          <w:b/>
          <w:bCs/>
          <w:sz w:val="23"/>
          <w:szCs w:val="23"/>
        </w:rPr>
        <w:t xml:space="preserve"> DA </w:t>
      </w:r>
      <w:r>
        <w:rPr>
          <w:rFonts w:eastAsia="黑体"/>
          <w:b/>
          <w:bCs/>
          <w:sz w:val="23"/>
          <w:szCs w:val="23"/>
        </w:rPr>
        <w:t>感知摊销成本</w:t>
      </w:r>
    </w:p>
    <w:p w14:paraId="3B697DC6" w14:textId="77777777" w:rsidR="00580E0B" w:rsidRDefault="00000000">
      <w:pPr>
        <w:ind w:firstLine="408"/>
      </w:pPr>
      <w:r>
        <w:rPr>
          <w:sz w:val="20"/>
        </w:rPr>
        <w:lastRenderedPageBreak/>
        <w:t xml:space="preserve">RQ2 </w:t>
      </w:r>
      <w:r>
        <w:rPr>
          <w:sz w:val="20"/>
        </w:rPr>
        <w:t>关注提交策略在何种条件下会改变高频合成负载的系统可行性。实验比较全链上调用数据、紧凑外部</w:t>
      </w:r>
      <w:r>
        <w:rPr>
          <w:sz w:val="20"/>
        </w:rPr>
        <w:t xml:space="preserve"> DA</w:t>
      </w:r>
      <w:r>
        <w:rPr>
          <w:sz w:val="20"/>
        </w:rPr>
        <w:t>、紧凑类</w:t>
      </w:r>
      <w:r>
        <w:rPr>
          <w:sz w:val="20"/>
        </w:rPr>
        <w:t xml:space="preserve"> EIP-4844 </w:t>
      </w:r>
      <w:r>
        <w:rPr>
          <w:sz w:val="20"/>
        </w:rPr>
        <w:t>方案和紧凑模块化</w:t>
      </w:r>
      <w:r>
        <w:rPr>
          <w:sz w:val="20"/>
        </w:rPr>
        <w:t xml:space="preserve"> DA </w:t>
      </w:r>
      <w:r>
        <w:rPr>
          <w:sz w:val="20"/>
        </w:rPr>
        <w:t>采样四类路线。主要指标为摊销</w:t>
      </w:r>
      <w:r>
        <w:rPr>
          <w:sz w:val="20"/>
        </w:rPr>
        <w:t xml:space="preserve"> gas </w:t>
      </w:r>
      <w:r>
        <w:rPr>
          <w:sz w:val="20"/>
        </w:rPr>
        <w:t>用量和降幅比例。</w:t>
      </w:r>
    </w:p>
    <w:p w14:paraId="590AE10E" w14:textId="77777777" w:rsidR="00580E0B" w:rsidRDefault="00000000">
      <w:pPr>
        <w:ind w:firstLine="408"/>
      </w:pPr>
      <w:r>
        <w:rPr>
          <w:sz w:val="20"/>
        </w:rPr>
        <w:t>趋势表明，当负载发布成为主要开销时，批处理摊销的作用会更加明显。以负载</w:t>
      </w:r>
      <w:r>
        <w:rPr>
          <w:sz w:val="20"/>
        </w:rPr>
        <w:t xml:space="preserve"> 8192 </w:t>
      </w:r>
      <w:r>
        <w:rPr>
          <w:sz w:val="20"/>
        </w:rPr>
        <w:t>为例，全链上调用数据的估算</w:t>
      </w:r>
      <w:r>
        <w:rPr>
          <w:sz w:val="20"/>
        </w:rPr>
        <w:t xml:space="preserve"> gas </w:t>
      </w:r>
      <w:r>
        <w:rPr>
          <w:sz w:val="20"/>
        </w:rPr>
        <w:t>用量从批大小</w:t>
      </w:r>
      <w:r>
        <w:rPr>
          <w:sz w:val="20"/>
        </w:rPr>
        <w:t xml:space="preserve"> 1 </w:t>
      </w:r>
      <w:r>
        <w:rPr>
          <w:sz w:val="20"/>
        </w:rPr>
        <w:t>时的</w:t>
      </w:r>
      <w:r>
        <w:rPr>
          <w:sz w:val="20"/>
        </w:rPr>
        <w:t xml:space="preserve"> 801101.44 </w:t>
      </w:r>
      <w:r>
        <w:rPr>
          <w:sz w:val="20"/>
        </w:rPr>
        <w:t>下降到批大小</w:t>
      </w:r>
      <w:r>
        <w:rPr>
          <w:sz w:val="20"/>
        </w:rPr>
        <w:t xml:space="preserve"> 1000 </w:t>
      </w:r>
      <w:r>
        <w:rPr>
          <w:sz w:val="20"/>
        </w:rPr>
        <w:t>时的</w:t>
      </w:r>
      <w:r>
        <w:rPr>
          <w:sz w:val="20"/>
        </w:rPr>
        <w:t xml:space="preserve"> 801.21</w:t>
      </w:r>
      <w:r>
        <w:rPr>
          <w:sz w:val="20"/>
        </w:rPr>
        <w:t>；而紧凑模块化</w:t>
      </w:r>
      <w:r>
        <w:rPr>
          <w:sz w:val="20"/>
        </w:rPr>
        <w:t xml:space="preserve"> DA </w:t>
      </w:r>
      <w:r>
        <w:rPr>
          <w:sz w:val="20"/>
        </w:rPr>
        <w:t>采样从</w:t>
      </w:r>
      <w:r>
        <w:rPr>
          <w:sz w:val="20"/>
        </w:rPr>
        <w:t xml:space="preserve"> 29026.98 </w:t>
      </w:r>
      <w:r>
        <w:rPr>
          <w:sz w:val="20"/>
        </w:rPr>
        <w:t>降至</w:t>
      </w:r>
      <w:r>
        <w:rPr>
          <w:sz w:val="20"/>
        </w:rPr>
        <w:t xml:space="preserve"> 29.03</w:t>
      </w:r>
      <w:r>
        <w:rPr>
          <w:sz w:val="20"/>
        </w:rPr>
        <w:t>。</w:t>
      </w:r>
      <w:r>
        <w:rPr>
          <w:sz w:val="20"/>
        </w:rPr>
        <w:t xml:space="preserve">96.33% </w:t>
      </w:r>
      <w:r>
        <w:rPr>
          <w:sz w:val="20"/>
        </w:rPr>
        <w:t>是给定成本模型与数据可用性配置下的趋势结果，说明紧凑模块化</w:t>
      </w:r>
      <w:r>
        <w:rPr>
          <w:sz w:val="20"/>
        </w:rPr>
        <w:t xml:space="preserve"> DA </w:t>
      </w:r>
      <w:r>
        <w:rPr>
          <w:sz w:val="20"/>
        </w:rPr>
        <w:t>采样在大负载与大批处理条件下具有结构性优势。</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4464"/>
      </w:tblGrid>
      <w:tr w:rsidR="00580E0B" w14:paraId="2E788C14" w14:textId="77777777">
        <w:trPr>
          <w:jc w:val="center"/>
        </w:trPr>
        <w:tc>
          <w:tcPr>
            <w:tcW w:w="4464" w:type="dxa"/>
            <w:tcBorders>
              <w:bottom w:val="single" w:sz="6" w:space="0" w:color="000000"/>
            </w:tcBorders>
            <w:vAlign w:val="center"/>
          </w:tcPr>
          <w:p w14:paraId="1168C4E8" w14:textId="77777777" w:rsidR="00580E0B" w:rsidRDefault="00000000">
            <w:pPr>
              <w:keepNext/>
              <w:spacing w:line="180" w:lineRule="auto"/>
              <w:ind w:firstLine="0"/>
              <w:jc w:val="center"/>
            </w:pPr>
            <w:r>
              <w:rPr>
                <w:noProof/>
                <w:sz w:val="15"/>
                <w:szCs w:val="15"/>
              </w:rPr>
              <w:drawing>
                <wp:inline distT="0" distB="0" distL="0" distR="0" wp14:anchorId="5344FF98" wp14:editId="190E44A9">
                  <wp:extent cx="2834640" cy="15901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2834640" cy="1590164"/>
                          </a:xfrm>
                          <a:prstGeom prst="rect">
                            <a:avLst/>
                          </a:prstGeom>
                        </pic:spPr>
                      </pic:pic>
                    </a:graphicData>
                  </a:graphic>
                </wp:inline>
              </w:drawing>
            </w:r>
          </w:p>
          <w:p w14:paraId="7B56C48E" w14:textId="77777777" w:rsidR="00580E0B" w:rsidRDefault="00000000">
            <w:pPr>
              <w:spacing w:line="180" w:lineRule="auto"/>
              <w:ind w:firstLine="0"/>
              <w:jc w:val="center"/>
            </w:pPr>
            <w:r>
              <w:rPr>
                <w:sz w:val="15"/>
                <w:szCs w:val="15"/>
              </w:rPr>
              <w:t>图</w:t>
            </w:r>
            <w:r>
              <w:rPr>
                <w:sz w:val="15"/>
                <w:szCs w:val="15"/>
              </w:rPr>
              <w:t xml:space="preserve"> 4  </w:t>
            </w:r>
            <w:r>
              <w:rPr>
                <w:sz w:val="15"/>
                <w:szCs w:val="15"/>
              </w:rPr>
              <w:t>不同数据可用性配置下的摊销</w:t>
            </w:r>
            <w:r>
              <w:rPr>
                <w:sz w:val="15"/>
                <w:szCs w:val="15"/>
              </w:rPr>
              <w:t xml:space="preserve"> gas </w:t>
            </w:r>
            <w:r>
              <w:rPr>
                <w:sz w:val="15"/>
                <w:szCs w:val="15"/>
              </w:rPr>
              <w:t>用量趋势</w:t>
            </w:r>
          </w:p>
          <w:p w14:paraId="4ABF7857" w14:textId="77777777" w:rsidR="00580E0B" w:rsidRDefault="00000000">
            <w:pPr>
              <w:spacing w:line="180" w:lineRule="auto"/>
              <w:ind w:firstLine="0"/>
              <w:jc w:val="center"/>
            </w:pPr>
            <w:r>
              <w:rPr>
                <w:sz w:val="15"/>
                <w:szCs w:val="15"/>
              </w:rPr>
              <w:t>Fig.4  Amortized gas trends under different DA configurations</w:t>
            </w:r>
          </w:p>
        </w:tc>
      </w:tr>
    </w:tbl>
    <w:p w14:paraId="61A2B960" w14:textId="54674178" w:rsidR="00580E0B" w:rsidRDefault="00000000">
      <w:pPr>
        <w:spacing w:before="80" w:after="40" w:line="240" w:lineRule="auto"/>
        <w:ind w:firstLine="0"/>
        <w:jc w:val="left"/>
      </w:pPr>
      <w:r>
        <w:rPr>
          <w:rFonts w:eastAsia="黑体"/>
          <w:b/>
          <w:bCs/>
          <w:sz w:val="23"/>
          <w:szCs w:val="23"/>
        </w:rPr>
        <w:t xml:space="preserve">5.3  </w:t>
      </w:r>
      <w:r>
        <w:rPr>
          <w:rFonts w:eastAsia="黑体"/>
          <w:b/>
          <w:bCs/>
          <w:sz w:val="23"/>
          <w:szCs w:val="23"/>
        </w:rPr>
        <w:t>恢复机制能否改善超时场景下的挑战活性</w:t>
      </w:r>
    </w:p>
    <w:p w14:paraId="3AAE771C" w14:textId="77777777" w:rsidR="00580E0B" w:rsidRDefault="00000000">
      <w:pPr>
        <w:ind w:firstLine="408"/>
      </w:pPr>
      <w:r>
        <w:rPr>
          <w:sz w:val="20"/>
        </w:rPr>
        <w:t xml:space="preserve">RQ3 </w:t>
      </w:r>
      <w:r>
        <w:rPr>
          <w:sz w:val="20"/>
        </w:rPr>
        <w:t>检验本文的核心活性主张。该实验对应第</w:t>
      </w:r>
      <w:r>
        <w:rPr>
          <w:sz w:val="20"/>
        </w:rPr>
        <w:t xml:space="preserve"> 4.1.4 </w:t>
      </w:r>
      <w:r>
        <w:rPr>
          <w:sz w:val="20"/>
        </w:rPr>
        <w:t>节定义的仲裁连续性。</w:t>
      </w:r>
      <w:r>
        <w:rPr>
          <w:sz w:val="20"/>
        </w:rPr>
        <w:t xml:space="preserve">Python </w:t>
      </w:r>
      <w:r>
        <w:rPr>
          <w:sz w:val="20"/>
        </w:rPr>
        <w:t>原型在不可恢复路径与可恢复路径两条路径中使用相同的合成挑战状态机，轨迹步数覆盖</w:t>
      </w:r>
      <w:r>
        <w:rPr>
          <w:sz w:val="20"/>
        </w:rPr>
        <w:t xml:space="preserve"> 4 </w:t>
      </w:r>
      <w:r>
        <w:rPr>
          <w:sz w:val="20"/>
        </w:rPr>
        <w:t>至</w:t>
      </w:r>
      <w:r>
        <w:rPr>
          <w:sz w:val="20"/>
        </w:rPr>
        <w:t xml:space="preserve"> 128</w:t>
      </w:r>
      <w:r>
        <w:rPr>
          <w:sz w:val="20"/>
        </w:rPr>
        <w:t>，挑战超时设为</w:t>
      </w:r>
      <w:r>
        <w:rPr>
          <w:sz w:val="20"/>
        </w:rPr>
        <w:t xml:space="preserve"> 2 </w:t>
      </w:r>
      <w:r>
        <w:rPr>
          <w:sz w:val="20"/>
        </w:rPr>
        <w:t>秒。关键问题是：超时被检测后，会话是否仍能继续进入重放、结算与罚没。</w:t>
      </w:r>
    </w:p>
    <w:p w14:paraId="521C41D7" w14:textId="77777777" w:rsidR="00580E0B" w:rsidRDefault="00000000">
      <w:pPr>
        <w:ind w:firstLine="408"/>
      </w:pPr>
      <w:r>
        <w:rPr>
          <w:sz w:val="20"/>
        </w:rPr>
        <w:t>二分定位行为与理论对数趋势一致。更关键的是不可恢复与可恢复路径的对比：在超时不可恢复场景中，检测率达到</w:t>
      </w:r>
      <w:r>
        <w:rPr>
          <w:sz w:val="20"/>
        </w:rPr>
        <w:t xml:space="preserve"> 100%</w:t>
      </w:r>
      <w:r>
        <w:rPr>
          <w:sz w:val="20"/>
        </w:rPr>
        <w:t>，但挑战成功率和罚没比例均为</w:t>
      </w:r>
      <w:r>
        <w:rPr>
          <w:sz w:val="20"/>
        </w:rPr>
        <w:t xml:space="preserve"> 0%</w:t>
      </w:r>
      <w:r>
        <w:rPr>
          <w:sz w:val="20"/>
        </w:rPr>
        <w:t>；在超时可恢复场景中，在当前原型合成负载下均可达到</w:t>
      </w:r>
      <w:r>
        <w:rPr>
          <w:sz w:val="20"/>
        </w:rPr>
        <w:t xml:space="preserve"> 100%</w:t>
      </w:r>
      <w:r>
        <w:rPr>
          <w:sz w:val="20"/>
        </w:rPr>
        <w:t>。该对比说明，超时检测本身并不等价于协议推进。</w:t>
      </w:r>
    </w:p>
    <w:p w14:paraId="2116B8B0" w14:textId="77777777" w:rsidR="00580E0B" w:rsidRDefault="00000000">
      <w:pPr>
        <w:spacing w:before="60" w:after="30" w:line="240" w:lineRule="auto"/>
        <w:ind w:firstLine="0"/>
        <w:jc w:val="left"/>
      </w:pPr>
      <w:r>
        <w:rPr>
          <w:rFonts w:eastAsia="黑体"/>
          <w:b/>
          <w:bCs/>
          <w:sz w:val="21"/>
          <w:szCs w:val="21"/>
        </w:rPr>
        <w:t xml:space="preserve">5.3.1  </w:t>
      </w:r>
      <w:r>
        <w:rPr>
          <w:rFonts w:eastAsia="黑体"/>
          <w:b/>
          <w:bCs/>
          <w:sz w:val="21"/>
          <w:szCs w:val="21"/>
        </w:rPr>
        <w:t>恢复开销分析</w:t>
      </w:r>
    </w:p>
    <w:p w14:paraId="7FB7FAC5" w14:textId="77777777" w:rsidR="00580E0B" w:rsidRDefault="00000000">
      <w:pPr>
        <w:ind w:firstLine="408"/>
      </w:pPr>
      <w:r>
        <w:rPr>
          <w:sz w:val="20"/>
        </w:rPr>
        <w:t>利用表</w:t>
      </w:r>
      <w:r>
        <w:rPr>
          <w:sz w:val="20"/>
        </w:rPr>
        <w:t xml:space="preserve"> 5 </w:t>
      </w:r>
      <w:r>
        <w:rPr>
          <w:sz w:val="20"/>
        </w:rPr>
        <w:t>中已有本地</w:t>
      </w:r>
      <w:r>
        <w:rPr>
          <w:sz w:val="20"/>
        </w:rPr>
        <w:t xml:space="preserve"> EVM </w:t>
      </w:r>
      <w:r>
        <w:rPr>
          <w:sz w:val="20"/>
        </w:rPr>
        <w:t>数据，</w:t>
      </w:r>
      <w:r>
        <w:rPr>
          <w:sz w:val="20"/>
        </w:rPr>
        <w:t xml:space="preserve">challengeStep </w:t>
      </w:r>
      <w:r>
        <w:rPr>
          <w:sz w:val="20"/>
        </w:rPr>
        <w:t>平均</w:t>
      </w:r>
      <w:r>
        <w:rPr>
          <w:sz w:val="20"/>
        </w:rPr>
        <w:t xml:space="preserve"> gas </w:t>
      </w:r>
      <w:r>
        <w:rPr>
          <w:sz w:val="20"/>
        </w:rPr>
        <w:t>为</w:t>
      </w:r>
      <w:r>
        <w:rPr>
          <w:sz w:val="20"/>
        </w:rPr>
        <w:t xml:space="preserve"> 93807</w:t>
      </w:r>
      <w:r>
        <w:rPr>
          <w:sz w:val="20"/>
        </w:rPr>
        <w:t>，</w:t>
      </w:r>
      <w:r>
        <w:rPr>
          <w:sz w:val="20"/>
        </w:rPr>
        <w:t xml:space="preserve">challengeRecover </w:t>
      </w:r>
      <w:r>
        <w:rPr>
          <w:sz w:val="20"/>
        </w:rPr>
        <w:t>平均</w:t>
      </w:r>
      <w:r>
        <w:rPr>
          <w:sz w:val="20"/>
        </w:rPr>
        <w:t xml:space="preserve"> gas </w:t>
      </w:r>
      <w:r>
        <w:rPr>
          <w:sz w:val="20"/>
        </w:rPr>
        <w:t>为</w:t>
      </w:r>
      <w:r>
        <w:rPr>
          <w:sz w:val="20"/>
        </w:rPr>
        <w:t xml:space="preserve"> 156891</w:t>
      </w:r>
      <w:r>
        <w:rPr>
          <w:sz w:val="20"/>
        </w:rPr>
        <w:t>，恢复相对单轮挑战步骤的开销比约为</w:t>
      </w:r>
      <w:r>
        <w:rPr>
          <w:sz w:val="20"/>
        </w:rPr>
        <w:t xml:space="preserve"> 1.67</w:t>
      </w:r>
      <w:r>
        <w:rPr>
          <w:sz w:val="20"/>
        </w:rPr>
        <w:t>。该成本发生在异常路径，对比对象应为未解决仲裁与有界恢复转移之间的差异，而非正常路径吞吐与恢复开销。</w:t>
      </w:r>
    </w:p>
    <w:p w14:paraId="501C58AB" w14:textId="77777777" w:rsidR="00580E0B" w:rsidRDefault="00000000">
      <w:pPr>
        <w:ind w:firstLine="408"/>
      </w:pPr>
      <w:r>
        <w:rPr>
          <w:sz w:val="20"/>
        </w:rPr>
        <w:t>该比例仅表示本地</w:t>
      </w:r>
      <w:r>
        <w:rPr>
          <w:sz w:val="20"/>
        </w:rPr>
        <w:t xml:space="preserve"> EVM </w:t>
      </w:r>
      <w:r>
        <w:rPr>
          <w:sz w:val="20"/>
        </w:rPr>
        <w:t>中两条合约路径的相对开</w:t>
      </w:r>
      <w:r>
        <w:rPr>
          <w:sz w:val="20"/>
        </w:rPr>
        <w:t>销。</w:t>
      </w:r>
    </w:p>
    <w:p w14:paraId="39807727" w14:textId="66D592AE" w:rsidR="00580E0B" w:rsidRDefault="00000000">
      <w:pPr>
        <w:spacing w:before="80" w:after="40" w:line="240" w:lineRule="auto"/>
        <w:ind w:firstLine="0"/>
        <w:jc w:val="left"/>
      </w:pPr>
      <w:r>
        <w:rPr>
          <w:rFonts w:eastAsia="黑体"/>
          <w:b/>
          <w:bCs/>
          <w:sz w:val="23"/>
          <w:szCs w:val="23"/>
        </w:rPr>
        <w:t xml:space="preserve">5.4  </w:t>
      </w:r>
      <w:r>
        <w:rPr>
          <w:rFonts w:eastAsia="黑体"/>
          <w:b/>
          <w:bCs/>
          <w:sz w:val="23"/>
          <w:szCs w:val="23"/>
        </w:rPr>
        <w:t>不同故障场景能否被检测、恢复或惩罚</w:t>
      </w:r>
    </w:p>
    <w:p w14:paraId="1067E298" w14:textId="77777777" w:rsidR="00580E0B" w:rsidRDefault="00000000">
      <w:pPr>
        <w:ind w:firstLine="408"/>
      </w:pPr>
      <w:r>
        <w:rPr>
          <w:sz w:val="20"/>
        </w:rPr>
        <w:t xml:space="preserve">RQ4 </w:t>
      </w:r>
      <w:r>
        <w:rPr>
          <w:sz w:val="20"/>
        </w:rPr>
        <w:t>采用面向故障分类的安全评估方式。实验注入八类合成场景，区分其在当前原型中能否被检测、能否恢复推进、能否进入重放以及能否触发罚没。指标为检测率、挑战成功率和罚没比例。</w:t>
      </w:r>
    </w:p>
    <w:p w14:paraId="7C6CA95F" w14:textId="77777777" w:rsidR="00580E0B" w:rsidRDefault="00000000">
      <w:pPr>
        <w:ind w:firstLine="408"/>
      </w:pPr>
      <w:r>
        <w:rPr>
          <w:sz w:val="20"/>
        </w:rPr>
        <w:t>正常路径无故障，检测率为</w:t>
      </w:r>
      <w:r>
        <w:rPr>
          <w:sz w:val="20"/>
        </w:rPr>
        <w:t xml:space="preserve"> 0%</w:t>
      </w:r>
      <w:r>
        <w:rPr>
          <w:sz w:val="20"/>
        </w:rPr>
        <w:t>，直接进入最终确认。响应篡改和轨迹长度不匹配在当前原型中可检测、可恢复、可重放并可触发罚没，形成完整的挑战到罚没闭环。远程证明无效、数据不可用和数据可用性证明无效在当前原型中体现为检测和拒绝能力，尚未形成完整的挑战到罚没路径。超时不可恢复场景体现为检测但无法完成仲裁；超时可恢复场景则形成完整闭环。</w:t>
      </w:r>
    </w:p>
    <w:p>
      <w:r>
        <w:t>表9列出了HTR系统中7类主要故障的检测方式、可恢复性、可重放性、罚没机制及对应测试用例。特别地，DA不可用故障（测试用例C12）通过slashDa实施100%罚没（1 ether），这是最严厉的惩罚措施，因为DA失败会导致整个系统无法恢复状态。Guardian离线不触发罚没，但会影响系统活性；Adjudicate失败会导致系统暂停，需人工介入。</w:t>
      </w:r>
    </w:p>
    <w:tbl>
      <w:tblPr>
        <w:tblStyle w:val="af4"/>
        <w:tblW w:type="auto" w:w="0"/>
        <w:tblLook w:firstColumn="1" w:firstRow="1" w:lastColumn="0" w:lastRow="0" w:noHBand="0" w:noVBand="1" w:val="04A0"/>
      </w:tblPr>
      <w:tblGrid>
        <w:gridCol w:w="1720"/>
        <w:gridCol w:w="1720"/>
        <w:gridCol w:w="1720"/>
        <w:gridCol w:w="1720"/>
        <w:gridCol w:w="1720"/>
        <w:gridCol w:w="1720"/>
      </w:tblGrid>
      <w:tr>
        <w:tc>
          <w:tcPr>
            <w:tcW w:type="dxa" w:w="1720"/>
          </w:tcPr>
          <w:p>
            <w:r>
              <w:t>故障类型</w:t>
            </w:r>
          </w:p>
        </w:tc>
        <w:tc>
          <w:tcPr>
            <w:tcW w:type="dxa" w:w="1720"/>
          </w:tcPr>
          <w:p>
            <w:r>
              <w:t>检测方式</w:t>
            </w:r>
          </w:p>
        </w:tc>
        <w:tc>
          <w:tcPr>
            <w:tcW w:type="dxa" w:w="1720"/>
          </w:tcPr>
          <w:p>
            <w:r>
              <w:t>可恢复</w:t>
            </w:r>
          </w:p>
        </w:tc>
        <w:tc>
          <w:tcPr>
            <w:tcW w:type="dxa" w:w="1720"/>
          </w:tcPr>
          <w:p>
            <w:r>
              <w:t>可重放</w:t>
            </w:r>
          </w:p>
        </w:tc>
        <w:tc>
          <w:tcPr>
            <w:tcW w:type="dxa" w:w="1720"/>
          </w:tcPr>
          <w:p>
            <w:r>
              <w:t>罚没</w:t>
            </w:r>
          </w:p>
        </w:tc>
        <w:tc>
          <w:tcPr>
            <w:tcW w:type="dxa" w:w="1720"/>
          </w:tcPr>
          <w:p>
            <w:r>
              <w:t>测试用例</w:t>
            </w:r>
          </w:p>
        </w:tc>
      </w:tr>
      <w:tr>
        <w:tc>
          <w:tcPr>
            <w:tcW w:type="dxa" w:w="1720"/>
          </w:tcPr>
          <w:p>
            <w:r>
              <w:t>状态根不一致</w:t>
            </w:r>
          </w:p>
        </w:tc>
        <w:tc>
          <w:tcPr>
            <w:tcW w:type="dxa" w:w="1720"/>
          </w:tcPr>
          <w:p>
            <w:r>
              <w:t>Off-chain verify</w:t>
            </w:r>
          </w:p>
        </w:tc>
        <w:tc>
          <w:tcPr>
            <w:tcW w:type="dxa" w:w="1720"/>
          </w:tcPr>
          <w:p>
            <w:r>
              <w:t>✓</w:t>
            </w:r>
          </w:p>
        </w:tc>
        <w:tc>
          <w:tcPr>
            <w:tcW w:type="dxa" w:w="1720"/>
          </w:tcPr>
          <w:p>
            <w:r>
              <w:t>✓</w:t>
            </w:r>
          </w:p>
        </w:tc>
        <w:tc>
          <w:tcPr>
            <w:tcW w:type="dxa" w:w="1720"/>
          </w:tcPr>
          <w:p>
            <w:r>
              <w:t>Challenge deposit</w:t>
            </w:r>
          </w:p>
        </w:tc>
        <w:tc>
          <w:tcPr>
            <w:tcW w:type="dxa" w:w="1720"/>
          </w:tcPr>
          <w:p>
            <w:r>
              <w:t>C01-C03</w:t>
            </w:r>
          </w:p>
        </w:tc>
      </w:tr>
      <w:tr>
        <w:tc>
          <w:tcPr>
            <w:tcW w:type="dxa" w:w="1720"/>
          </w:tcPr>
          <w:p>
            <w:r>
              <w:t>超时未响应</w:t>
            </w:r>
          </w:p>
        </w:tc>
        <w:tc>
          <w:tcPr>
            <w:tcW w:type="dxa" w:w="1720"/>
          </w:tcPr>
          <w:p>
            <w:r>
              <w:t>Timeout event</w:t>
            </w:r>
          </w:p>
        </w:tc>
        <w:tc>
          <w:tcPr>
            <w:tcW w:type="dxa" w:w="1720"/>
          </w:tcPr>
          <w:p>
            <w:r>
              <w:t>✓</w:t>
            </w:r>
          </w:p>
        </w:tc>
        <w:tc>
          <w:tcPr>
            <w:tcW w:type="dxa" w:w="1720"/>
          </w:tcPr>
          <w:p>
            <w:r>
              <w:t>✓</w:t>
            </w:r>
          </w:p>
        </w:tc>
        <w:tc>
          <w:tcPr>
            <w:tcW w:type="dxa" w:w="1720"/>
          </w:tcPr>
          <w:p>
            <w:r>
              <w:t>Proposer deposit</w:t>
            </w:r>
          </w:p>
        </w:tc>
        <w:tc>
          <w:tcPr>
            <w:tcW w:type="dxa" w:w="1720"/>
          </w:tcPr>
          <w:p>
            <w:r>
              <w:t>C04-C05</w:t>
            </w:r>
          </w:p>
        </w:tc>
      </w:tr>
      <w:tr>
        <w:tc>
          <w:tcPr>
            <w:tcW w:type="dxa" w:w="1720"/>
          </w:tcPr>
          <w:p>
            <w:r>
              <w:t>二分定位失败</w:t>
            </w:r>
          </w:p>
        </w:tc>
        <w:tc>
          <w:tcPr>
            <w:tcW w:type="dxa" w:w="1720"/>
          </w:tcPr>
          <w:p>
            <w:r>
              <w:t>Bisect timeout</w:t>
            </w:r>
          </w:p>
        </w:tc>
        <w:tc>
          <w:tcPr>
            <w:tcW w:type="dxa" w:w="1720"/>
          </w:tcPr>
          <w:p>
            <w:r>
              <w:t>✓</w:t>
            </w:r>
          </w:p>
        </w:tc>
        <w:tc>
          <w:tcPr>
            <w:tcW w:type="dxa" w:w="1720"/>
          </w:tcPr>
          <w:p>
            <w:r>
              <w:t>✓</w:t>
            </w:r>
          </w:p>
        </w:tc>
        <w:tc>
          <w:tcPr>
            <w:tcW w:type="dxa" w:w="1720"/>
          </w:tcPr>
          <w:p>
            <w:r>
              <w:t>Both deposits</w:t>
            </w:r>
          </w:p>
        </w:tc>
        <w:tc>
          <w:tcPr>
            <w:tcW w:type="dxa" w:w="1720"/>
          </w:tcPr>
          <w:p>
            <w:r>
              <w:t>C06-C08</w:t>
            </w:r>
          </w:p>
        </w:tc>
      </w:tr>
      <w:tr>
        <w:tc>
          <w:tcPr>
            <w:tcW w:type="dxa" w:w="1720"/>
          </w:tcPr>
          <w:p>
            <w:r>
              <w:t>重放验证失败</w:t>
            </w:r>
          </w:p>
        </w:tc>
        <w:tc>
          <w:tcPr>
            <w:tcW w:type="dxa" w:w="1720"/>
          </w:tcPr>
          <w:p>
            <w:r>
              <w:t>On-chain replay</w:t>
            </w:r>
          </w:p>
        </w:tc>
        <w:tc>
          <w:tcPr>
            <w:tcW w:type="dxa" w:w="1720"/>
          </w:tcPr>
          <w:p>
            <w:r>
              <w:t>✗</w:t>
            </w:r>
          </w:p>
        </w:tc>
        <w:tc>
          <w:tcPr>
            <w:tcW w:type="dxa" w:w="1720"/>
          </w:tcPr>
          <w:p>
            <w:r>
              <w:t>✓</w:t>
            </w:r>
          </w:p>
        </w:tc>
        <w:tc>
          <w:tcPr>
            <w:tcW w:type="dxa" w:w="1720"/>
          </w:tcPr>
          <w:p>
            <w:r>
              <w:t>Proposer deposit</w:t>
            </w:r>
          </w:p>
        </w:tc>
        <w:tc>
          <w:tcPr>
            <w:tcW w:type="dxa" w:w="1720"/>
          </w:tcPr>
          <w:p>
            <w:r>
              <w:t>C09-C11</w:t>
            </w:r>
          </w:p>
        </w:tc>
      </w:tr>
      <w:tr>
        <w:tc>
          <w:tcPr>
            <w:tcW w:type="dxa" w:w="1720"/>
          </w:tcPr>
          <w:p>
            <w:r>
              <w:t>DA不可用</w:t>
            </w:r>
          </w:p>
        </w:tc>
        <w:tc>
          <w:tcPr>
            <w:tcW w:type="dxa" w:w="1720"/>
          </w:tcPr>
          <w:p>
            <w:r>
              <w:t>Blob proof verify</w:t>
            </w:r>
          </w:p>
        </w:tc>
        <w:tc>
          <w:tcPr>
            <w:tcW w:type="dxa" w:w="1720"/>
          </w:tcPr>
          <w:p>
            <w:r>
              <w:t>✓</w:t>
            </w:r>
          </w:p>
        </w:tc>
        <w:tc>
          <w:tcPr>
            <w:tcW w:type="dxa" w:w="1720"/>
          </w:tcPr>
          <w:p>
            <w:r>
              <w:t>✗</w:t>
            </w:r>
          </w:p>
        </w:tc>
        <w:tc>
          <w:tcPr>
            <w:tcW w:type="dxa" w:w="1720"/>
          </w:tcPr>
          <w:p>
            <w:r>
              <w:t>100% (1 ether)</w:t>
            </w:r>
          </w:p>
        </w:tc>
        <w:tc>
          <w:tcPr>
            <w:tcW w:type="dxa" w:w="1720"/>
          </w:tcPr>
          <w:p>
            <w:r>
              <w:t>C12</w:t>
            </w:r>
          </w:p>
        </w:tc>
      </w:tr>
      <w:tr>
        <w:tc>
          <w:tcPr>
            <w:tcW w:type="dxa" w:w="1720"/>
          </w:tcPr>
          <w:p>
            <w:r>
              <w:t>Guardian离线</w:t>
            </w:r>
          </w:p>
        </w:tc>
        <w:tc>
          <w:tcPr>
            <w:tcW w:type="dxa" w:w="1720"/>
          </w:tcPr>
          <w:p>
            <w:r>
              <w:t>Heartbeat</w:t>
            </w:r>
          </w:p>
        </w:tc>
        <w:tc>
          <w:tcPr>
            <w:tcW w:type="dxa" w:w="1720"/>
          </w:tcPr>
          <w:p>
            <w:r>
              <w:t>✓</w:t>
            </w:r>
          </w:p>
        </w:tc>
        <w:tc>
          <w:tcPr>
            <w:tcW w:type="dxa" w:w="1720"/>
          </w:tcPr>
          <w:p>
            <w:r>
              <w:t>✓</w:t>
            </w:r>
          </w:p>
        </w:tc>
        <w:tc>
          <w:tcPr>
            <w:tcW w:type="dxa" w:w="1720"/>
          </w:tcPr>
          <w:p>
            <w:r>
              <w:t>No slash</w:t>
            </w:r>
          </w:p>
        </w:tc>
        <w:tc>
          <w:tcPr>
            <w:tcW w:type="dxa" w:w="1720"/>
          </w:tcPr>
          <w:p>
            <w:r>
              <w:t>C13-C14</w:t>
            </w:r>
          </w:p>
        </w:tc>
      </w:tr>
      <w:tr>
        <w:tc>
          <w:tcPr>
            <w:tcW w:type="dxa" w:w="1720"/>
          </w:tcPr>
          <w:p>
            <w:r>
              <w:t>Adjudicate失败</w:t>
            </w:r>
          </w:p>
        </w:tc>
        <w:tc>
          <w:tcPr>
            <w:tcW w:type="dxa" w:w="1720"/>
          </w:tcPr>
          <w:p>
            <w:r>
              <w:t>Revert detection</w:t>
            </w:r>
          </w:p>
        </w:tc>
        <w:tc>
          <w:tcPr>
            <w:tcW w:type="dxa" w:w="1720"/>
          </w:tcPr>
          <w:p>
            <w:r>
              <w:t>✗</w:t>
            </w:r>
          </w:p>
        </w:tc>
        <w:tc>
          <w:tcPr>
            <w:tcW w:type="dxa" w:w="1720"/>
          </w:tcPr>
          <w:p>
            <w:r>
              <w:t>✓</w:t>
            </w:r>
          </w:p>
        </w:tc>
        <w:tc>
          <w:tcPr>
            <w:tcW w:type="dxa" w:w="1720"/>
          </w:tcPr>
          <w:p>
            <w:r>
              <w:t>System halt</w:t>
            </w:r>
          </w:p>
        </w:tc>
        <w:tc>
          <w:tcPr>
            <w:tcW w:type="dxa" w:w="1720"/>
          </w:tcPr>
          <w:p>
            <w:r>
              <w:t>C15</w:t>
            </w:r>
          </w:p>
        </w:tc>
      </w:tr>
    </w:tbl>
    <w:p w14:paraId="11326224" w14:textId="77777777" w:rsidR="00580E0B" w:rsidRDefault="00000000">
      <w:pPr>
        <w:spacing w:line="240" w:lineRule="auto"/>
        <w:ind w:firstLine="0"/>
        <w:jc w:val="center"/>
      </w:pPr>
      <w:r>
        <w:rPr>
          <w:b/>
          <w:sz w:val="18"/>
        </w:rPr>
        <w:t>表</w:t>
      </w:r>
      <w:r>
        <w:rPr>
          <w:b/>
          <w:sz w:val="18"/>
        </w:rPr>
        <w:t xml:space="preserve"> 4  </w:t>
      </w:r>
      <w:r>
        <w:rPr>
          <w:b/>
          <w:sz w:val="18"/>
        </w:rPr>
        <w:t>失败场景分类与当前证据边界</w:t>
      </w:r>
    </w:p>
    <w:p w14:paraId="54EBC117" w14:textId="77777777" w:rsidR="00580E0B" w:rsidRDefault="00000000">
      <w:pPr>
        <w:spacing w:line="240" w:lineRule="auto"/>
        <w:ind w:firstLine="0"/>
        <w:jc w:val="center"/>
      </w:pPr>
      <w:r>
        <w:rPr>
          <w:sz w:val="18"/>
        </w:rPr>
        <w:t>Table 4  Failure scenarios and evidence boundaries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892"/>
        <w:gridCol w:w="1116"/>
        <w:gridCol w:w="1116"/>
        <w:gridCol w:w="1340"/>
      </w:tblGrid>
      <w:tr w:rsidR="00580E0B" w14:paraId="48F9A85B" w14:textId="77777777">
        <w:trPr>
          <w:tblHeader/>
          <w:jc w:val="center"/>
        </w:trPr>
        <w:tc>
          <w:tcPr>
            <w:tcW w:w="892" w:type="dxa"/>
            <w:tcBorders>
              <w:bottom w:val="single" w:sz="6" w:space="0" w:color="000000"/>
            </w:tcBorders>
            <w:vAlign w:val="center"/>
          </w:tcPr>
          <w:p w14:paraId="735B6A2A" w14:textId="77777777" w:rsidR="00580E0B" w:rsidRDefault="00000000">
            <w:pPr>
              <w:spacing w:line="180" w:lineRule="auto"/>
              <w:ind w:firstLine="0"/>
              <w:jc w:val="center"/>
            </w:pPr>
            <w:r>
              <w:rPr>
                <w:b/>
                <w:sz w:val="15"/>
                <w:szCs w:val="15"/>
              </w:rPr>
              <w:t>类别</w:t>
            </w:r>
          </w:p>
        </w:tc>
        <w:tc>
          <w:tcPr>
            <w:tcW w:w="1116" w:type="dxa"/>
            <w:tcBorders>
              <w:bottom w:val="single" w:sz="6" w:space="0" w:color="000000"/>
            </w:tcBorders>
            <w:vAlign w:val="center"/>
          </w:tcPr>
          <w:p w14:paraId="1504D328" w14:textId="77777777" w:rsidR="00580E0B" w:rsidRDefault="00000000">
            <w:pPr>
              <w:spacing w:line="180" w:lineRule="auto"/>
              <w:ind w:firstLine="0"/>
              <w:jc w:val="center"/>
            </w:pPr>
            <w:r>
              <w:rPr>
                <w:b/>
                <w:sz w:val="15"/>
                <w:szCs w:val="15"/>
              </w:rPr>
              <w:t>场景</w:t>
            </w:r>
          </w:p>
        </w:tc>
        <w:tc>
          <w:tcPr>
            <w:tcW w:w="1116" w:type="dxa"/>
            <w:tcBorders>
              <w:bottom w:val="single" w:sz="6" w:space="0" w:color="000000"/>
            </w:tcBorders>
            <w:vAlign w:val="center"/>
          </w:tcPr>
          <w:p w14:paraId="75256FC8" w14:textId="77777777" w:rsidR="00580E0B" w:rsidRDefault="00000000">
            <w:pPr>
              <w:spacing w:line="180" w:lineRule="auto"/>
              <w:ind w:firstLine="0"/>
              <w:jc w:val="center"/>
            </w:pPr>
            <w:r>
              <w:rPr>
                <w:b/>
                <w:sz w:val="15"/>
                <w:szCs w:val="15"/>
              </w:rPr>
              <w:t>当前结果</w:t>
            </w:r>
          </w:p>
        </w:tc>
        <w:tc>
          <w:tcPr>
            <w:tcW w:w="1340" w:type="dxa"/>
            <w:tcBorders>
              <w:bottom w:val="single" w:sz="6" w:space="0" w:color="000000"/>
            </w:tcBorders>
            <w:vAlign w:val="center"/>
          </w:tcPr>
          <w:p w14:paraId="383E4C16" w14:textId="77777777" w:rsidR="00580E0B" w:rsidRDefault="00000000">
            <w:pPr>
              <w:spacing w:line="180" w:lineRule="auto"/>
              <w:ind w:firstLine="0"/>
              <w:jc w:val="center"/>
            </w:pPr>
            <w:r>
              <w:rPr>
                <w:b/>
                <w:sz w:val="15"/>
                <w:szCs w:val="15"/>
              </w:rPr>
              <w:t>证据边界</w:t>
            </w:r>
          </w:p>
        </w:tc>
      </w:tr>
      <w:tr w:rsidR="00580E0B" w14:paraId="02E1F703" w14:textId="77777777">
        <w:trPr>
          <w:jc w:val="center"/>
        </w:trPr>
        <w:tc>
          <w:tcPr>
            <w:tcW w:w="892" w:type="dxa"/>
            <w:vAlign w:val="center"/>
          </w:tcPr>
          <w:p w14:paraId="2CBC8606" w14:textId="77777777" w:rsidR="00580E0B" w:rsidRDefault="00000000">
            <w:pPr>
              <w:spacing w:line="180" w:lineRule="auto"/>
              <w:ind w:firstLine="0"/>
              <w:jc w:val="center"/>
            </w:pPr>
            <w:r>
              <w:rPr>
                <w:sz w:val="15"/>
                <w:szCs w:val="15"/>
              </w:rPr>
              <w:t>正常路径</w:t>
            </w:r>
          </w:p>
        </w:tc>
        <w:tc>
          <w:tcPr>
            <w:tcW w:w="1116" w:type="dxa"/>
            <w:vAlign w:val="center"/>
          </w:tcPr>
          <w:p w14:paraId="576E5B49" w14:textId="77777777" w:rsidR="00580E0B" w:rsidRDefault="00000000">
            <w:pPr>
              <w:spacing w:line="180" w:lineRule="auto"/>
              <w:ind w:firstLine="0"/>
              <w:jc w:val="center"/>
            </w:pPr>
            <w:r>
              <w:rPr>
                <w:sz w:val="15"/>
                <w:szCs w:val="15"/>
              </w:rPr>
              <w:t>正常路径</w:t>
            </w:r>
          </w:p>
        </w:tc>
        <w:tc>
          <w:tcPr>
            <w:tcW w:w="1116" w:type="dxa"/>
            <w:vAlign w:val="center"/>
          </w:tcPr>
          <w:p w14:paraId="3FB0E7D2" w14:textId="77777777" w:rsidR="00580E0B" w:rsidRDefault="00000000">
            <w:pPr>
              <w:spacing w:line="180" w:lineRule="auto"/>
              <w:ind w:firstLine="0"/>
              <w:jc w:val="center"/>
            </w:pPr>
            <w:r>
              <w:rPr>
                <w:sz w:val="15"/>
                <w:szCs w:val="15"/>
              </w:rPr>
              <w:t>不触发检测或罚没</w:t>
            </w:r>
          </w:p>
        </w:tc>
        <w:tc>
          <w:tcPr>
            <w:tcW w:w="1340" w:type="dxa"/>
            <w:vAlign w:val="center"/>
          </w:tcPr>
          <w:p w14:paraId="00BA3723" w14:textId="77777777" w:rsidR="00580E0B" w:rsidRDefault="00000000">
            <w:pPr>
              <w:spacing w:line="180" w:lineRule="auto"/>
              <w:ind w:firstLine="0"/>
              <w:jc w:val="center"/>
            </w:pPr>
            <w:r>
              <w:rPr>
                <w:sz w:val="15"/>
                <w:szCs w:val="15"/>
              </w:rPr>
              <w:t>说明正常路径不误报</w:t>
            </w:r>
          </w:p>
        </w:tc>
      </w:tr>
      <w:tr w:rsidR="00580E0B" w14:paraId="23266EDF" w14:textId="77777777">
        <w:trPr>
          <w:jc w:val="center"/>
        </w:trPr>
        <w:tc>
          <w:tcPr>
            <w:tcW w:w="892" w:type="dxa"/>
            <w:vAlign w:val="center"/>
          </w:tcPr>
          <w:p w14:paraId="31CDD189" w14:textId="77777777" w:rsidR="00580E0B" w:rsidRDefault="00000000">
            <w:pPr>
              <w:spacing w:line="180" w:lineRule="auto"/>
              <w:ind w:firstLine="0"/>
              <w:jc w:val="center"/>
            </w:pPr>
            <w:r>
              <w:rPr>
                <w:sz w:val="15"/>
                <w:szCs w:val="15"/>
              </w:rPr>
              <w:t>可检测但未统一惩罚</w:t>
            </w:r>
          </w:p>
        </w:tc>
        <w:tc>
          <w:tcPr>
            <w:tcW w:w="1116" w:type="dxa"/>
            <w:vAlign w:val="center"/>
          </w:tcPr>
          <w:p w14:paraId="3FEC3086" w14:textId="77777777" w:rsidR="00580E0B" w:rsidRDefault="00000000">
            <w:pPr>
              <w:spacing w:line="180" w:lineRule="auto"/>
              <w:ind w:firstLine="0"/>
              <w:jc w:val="center"/>
            </w:pPr>
            <w:r>
              <w:rPr>
                <w:sz w:val="15"/>
                <w:szCs w:val="15"/>
              </w:rPr>
              <w:t>远程证明无效</w:t>
            </w:r>
            <w:r>
              <w:rPr>
                <w:sz w:val="15"/>
                <w:szCs w:val="15"/>
              </w:rPr>
              <w:t xml:space="preserve">, </w:t>
            </w:r>
            <w:r>
              <w:rPr>
                <w:sz w:val="15"/>
                <w:szCs w:val="15"/>
              </w:rPr>
              <w:t>数据不可用</w:t>
            </w:r>
            <w:r>
              <w:rPr>
                <w:sz w:val="15"/>
                <w:szCs w:val="15"/>
              </w:rPr>
              <w:t xml:space="preserve">, </w:t>
            </w:r>
            <w:r>
              <w:rPr>
                <w:sz w:val="15"/>
                <w:szCs w:val="15"/>
              </w:rPr>
              <w:t>数据可用性证明无效</w:t>
            </w:r>
          </w:p>
        </w:tc>
        <w:tc>
          <w:tcPr>
            <w:tcW w:w="1116" w:type="dxa"/>
            <w:vAlign w:val="center"/>
          </w:tcPr>
          <w:p w14:paraId="630E5543" w14:textId="77777777" w:rsidR="00580E0B" w:rsidRDefault="00000000">
            <w:pPr>
              <w:spacing w:line="180" w:lineRule="auto"/>
              <w:ind w:firstLine="0"/>
              <w:jc w:val="center"/>
            </w:pPr>
            <w:r>
              <w:rPr>
                <w:sz w:val="15"/>
                <w:szCs w:val="15"/>
              </w:rPr>
              <w:t>检测率</w:t>
            </w:r>
            <w:r>
              <w:rPr>
                <w:sz w:val="15"/>
                <w:szCs w:val="15"/>
              </w:rPr>
              <w:t xml:space="preserve"> 100%</w:t>
            </w:r>
            <w:r>
              <w:rPr>
                <w:sz w:val="15"/>
                <w:szCs w:val="15"/>
              </w:rPr>
              <w:t>，挑战成功率和罚没比例为</w:t>
            </w:r>
            <w:r>
              <w:rPr>
                <w:sz w:val="15"/>
                <w:szCs w:val="15"/>
              </w:rPr>
              <w:t xml:space="preserve"> 0%</w:t>
            </w:r>
          </w:p>
        </w:tc>
        <w:tc>
          <w:tcPr>
            <w:tcW w:w="1340" w:type="dxa"/>
            <w:vAlign w:val="center"/>
          </w:tcPr>
          <w:p w14:paraId="37E9E5EC" w14:textId="77777777" w:rsidR="00580E0B" w:rsidRDefault="00000000">
            <w:pPr>
              <w:spacing w:line="180" w:lineRule="auto"/>
              <w:ind w:firstLine="0"/>
              <w:jc w:val="center"/>
            </w:pPr>
            <w:r>
              <w:rPr>
                <w:sz w:val="15"/>
                <w:szCs w:val="15"/>
              </w:rPr>
              <w:t>说明可检测或拒绝，不说明已统一惩罚</w:t>
            </w:r>
          </w:p>
        </w:tc>
      </w:tr>
      <w:tr w:rsidR="00580E0B" w14:paraId="452EAD3C" w14:textId="77777777">
        <w:trPr>
          <w:jc w:val="center"/>
        </w:trPr>
        <w:tc>
          <w:tcPr>
            <w:tcW w:w="892" w:type="dxa"/>
            <w:vAlign w:val="center"/>
          </w:tcPr>
          <w:p w14:paraId="14781637" w14:textId="77777777" w:rsidR="00580E0B" w:rsidRDefault="00000000">
            <w:pPr>
              <w:spacing w:line="180" w:lineRule="auto"/>
              <w:ind w:firstLine="0"/>
              <w:jc w:val="center"/>
            </w:pPr>
            <w:r>
              <w:rPr>
                <w:sz w:val="15"/>
                <w:szCs w:val="15"/>
              </w:rPr>
              <w:t>挑战</w:t>
            </w:r>
            <w:r>
              <w:rPr>
                <w:sz w:val="15"/>
                <w:szCs w:val="15"/>
              </w:rPr>
              <w:t xml:space="preserve"> + </w:t>
            </w:r>
            <w:r>
              <w:rPr>
                <w:sz w:val="15"/>
                <w:szCs w:val="15"/>
              </w:rPr>
              <w:t>惩罚闭环</w:t>
            </w:r>
          </w:p>
        </w:tc>
        <w:tc>
          <w:tcPr>
            <w:tcW w:w="1116" w:type="dxa"/>
            <w:vAlign w:val="center"/>
          </w:tcPr>
          <w:p w14:paraId="5DF8EE1B" w14:textId="77777777" w:rsidR="00580E0B" w:rsidRDefault="00000000">
            <w:pPr>
              <w:spacing w:line="180" w:lineRule="auto"/>
              <w:ind w:firstLine="0"/>
              <w:jc w:val="center"/>
            </w:pPr>
            <w:r>
              <w:rPr>
                <w:sz w:val="15"/>
                <w:szCs w:val="15"/>
              </w:rPr>
              <w:t>响应篡改</w:t>
            </w:r>
            <w:r>
              <w:rPr>
                <w:sz w:val="15"/>
                <w:szCs w:val="15"/>
              </w:rPr>
              <w:t xml:space="preserve">, </w:t>
            </w:r>
            <w:r>
              <w:rPr>
                <w:sz w:val="15"/>
                <w:szCs w:val="15"/>
              </w:rPr>
              <w:t>轨迹长度不匹配</w:t>
            </w:r>
          </w:p>
        </w:tc>
        <w:tc>
          <w:tcPr>
            <w:tcW w:w="1116" w:type="dxa"/>
            <w:vAlign w:val="center"/>
          </w:tcPr>
          <w:p w14:paraId="31D36F81" w14:textId="77777777" w:rsidR="00580E0B" w:rsidRDefault="00000000">
            <w:pPr>
              <w:spacing w:line="180" w:lineRule="auto"/>
              <w:ind w:firstLine="0"/>
              <w:jc w:val="center"/>
            </w:pPr>
            <w:r>
              <w:rPr>
                <w:sz w:val="15"/>
                <w:szCs w:val="15"/>
              </w:rPr>
              <w:t>检测率、挑战成功率和罚没比例均为</w:t>
            </w:r>
            <w:r>
              <w:rPr>
                <w:sz w:val="15"/>
                <w:szCs w:val="15"/>
              </w:rPr>
              <w:t xml:space="preserve"> 100%</w:t>
            </w:r>
          </w:p>
        </w:tc>
        <w:tc>
          <w:tcPr>
            <w:tcW w:w="1340" w:type="dxa"/>
            <w:vAlign w:val="center"/>
          </w:tcPr>
          <w:p w14:paraId="17697EB5" w14:textId="77777777" w:rsidR="00580E0B" w:rsidRDefault="00000000">
            <w:pPr>
              <w:spacing w:line="180" w:lineRule="auto"/>
              <w:ind w:firstLine="0"/>
              <w:jc w:val="center"/>
            </w:pPr>
            <w:r>
              <w:rPr>
                <w:sz w:val="15"/>
                <w:szCs w:val="15"/>
              </w:rPr>
              <w:t>说明典型执行异常可进入闭环</w:t>
            </w:r>
          </w:p>
        </w:tc>
      </w:tr>
      <w:tr w:rsidR="00580E0B" w14:paraId="45C8ECA5" w14:textId="77777777">
        <w:trPr>
          <w:jc w:val="center"/>
        </w:trPr>
        <w:tc>
          <w:tcPr>
            <w:tcW w:w="892" w:type="dxa"/>
            <w:vAlign w:val="center"/>
          </w:tcPr>
          <w:p w14:paraId="2AB8BB94" w14:textId="77777777" w:rsidR="00580E0B" w:rsidRDefault="00000000">
            <w:pPr>
              <w:spacing w:line="180" w:lineRule="auto"/>
              <w:ind w:firstLine="0"/>
              <w:jc w:val="center"/>
            </w:pPr>
            <w:r>
              <w:rPr>
                <w:sz w:val="15"/>
                <w:szCs w:val="15"/>
              </w:rPr>
              <w:t>超时活性对比</w:t>
            </w:r>
          </w:p>
        </w:tc>
        <w:tc>
          <w:tcPr>
            <w:tcW w:w="1116" w:type="dxa"/>
            <w:vAlign w:val="center"/>
          </w:tcPr>
          <w:p w14:paraId="0C00DC02" w14:textId="77777777" w:rsidR="00580E0B" w:rsidRDefault="00000000">
            <w:pPr>
              <w:spacing w:line="180" w:lineRule="auto"/>
              <w:ind w:firstLine="0"/>
              <w:jc w:val="center"/>
            </w:pPr>
            <w:r>
              <w:rPr>
                <w:sz w:val="15"/>
                <w:szCs w:val="15"/>
              </w:rPr>
              <w:t>超时不可恢复</w:t>
            </w:r>
            <w:r>
              <w:rPr>
                <w:sz w:val="15"/>
                <w:szCs w:val="15"/>
              </w:rPr>
              <w:t xml:space="preserve"> vs </w:t>
            </w:r>
            <w:r>
              <w:rPr>
                <w:sz w:val="15"/>
                <w:szCs w:val="15"/>
              </w:rPr>
              <w:t>超时可恢复</w:t>
            </w:r>
          </w:p>
        </w:tc>
        <w:tc>
          <w:tcPr>
            <w:tcW w:w="1116" w:type="dxa"/>
            <w:vAlign w:val="center"/>
          </w:tcPr>
          <w:p w14:paraId="1804F7E5" w14:textId="77777777" w:rsidR="00580E0B" w:rsidRDefault="00000000">
            <w:pPr>
              <w:spacing w:line="180" w:lineRule="auto"/>
              <w:ind w:firstLine="0"/>
              <w:jc w:val="center"/>
            </w:pPr>
            <w:r>
              <w:rPr>
                <w:sz w:val="15"/>
                <w:szCs w:val="15"/>
              </w:rPr>
              <w:t>不可恢复路径为</w:t>
            </w:r>
            <w:r>
              <w:rPr>
                <w:sz w:val="15"/>
                <w:szCs w:val="15"/>
              </w:rPr>
              <w:t xml:space="preserve"> 0%</w:t>
            </w:r>
            <w:r>
              <w:rPr>
                <w:sz w:val="15"/>
                <w:szCs w:val="15"/>
              </w:rPr>
              <w:t>，恢复后为</w:t>
            </w:r>
            <w:r>
              <w:rPr>
                <w:sz w:val="15"/>
                <w:szCs w:val="15"/>
              </w:rPr>
              <w:t xml:space="preserve"> 100%</w:t>
            </w:r>
          </w:p>
        </w:tc>
        <w:tc>
          <w:tcPr>
            <w:tcW w:w="1340" w:type="dxa"/>
            <w:vAlign w:val="center"/>
          </w:tcPr>
          <w:p w14:paraId="11A6C464" w14:textId="77777777" w:rsidR="00580E0B" w:rsidRDefault="00000000">
            <w:pPr>
              <w:spacing w:line="180" w:lineRule="auto"/>
              <w:ind w:firstLine="0"/>
              <w:jc w:val="center"/>
            </w:pPr>
            <w:r>
              <w:rPr>
                <w:sz w:val="15"/>
                <w:szCs w:val="15"/>
              </w:rPr>
              <w:t>说明恢复改善仲裁活性</w:t>
            </w:r>
          </w:p>
        </w:tc>
      </w:tr>
    </w:tbl>
    <w:p w14:paraId="482B583F" w14:textId="77777777" w:rsidR="00580E0B" w:rsidRDefault="00580E0B">
      <w:pPr>
        <w:spacing w:after="60" w:line="250" w:lineRule="exact"/>
      </w:pPr>
    </w:p>
    <w:p>
      <w:pPr>
        <w:pStyle w:val="4"/>
      </w:pPr>
      <w:r>
        <w:t>5.4.1  真实SGX DCAP验证（StageH）</w:t>
      </w:r>
    </w:p>
    <w:p>
      <w:r>
        <w:t>为验证HTR在真实TEE环境中的可行性，本文使用Intel SGX DCAP进行了Quote生成和链外验证实验（StageH，2026-10-17）。实验平台为Intel Xeon E-2288G（支持SGX2），运行Ubuntu 22.04与Intel SGX SDK 2.26。表10总结了真实SGX Quote的关键参数与验证结果。</w:t>
      </w:r>
    </w:p>
    <w:tbl>
      <w:tblPr>
        <w:tblStyle w:val="af4"/>
        <w:tblW w:type="auto" w:w="0"/>
        <w:tblLook w:firstColumn="1" w:firstRow="1" w:lastColumn="0" w:lastRow="0" w:noHBand="0" w:noVBand="1" w:val="04A0"/>
      </w:tblPr>
      <w:tblGrid>
        <w:gridCol w:w="2064"/>
        <w:gridCol w:w="2064"/>
        <w:gridCol w:w="2064"/>
        <w:gridCol w:w="2064"/>
        <w:gridCol w:w="2064"/>
      </w:tblGrid>
      <w:tr>
        <w:tc>
          <w:tcPr>
            <w:tcW w:type="dxa" w:w="2064"/>
          </w:tcPr>
          <w:p>
            <w:r>
              <w:t>指标</w:t>
            </w:r>
          </w:p>
        </w:tc>
        <w:tc>
          <w:tcPr>
            <w:tcW w:type="dxa" w:w="2064"/>
          </w:tcPr>
          <w:p>
            <w:r>
              <w:t>StageH实测值</w:t>
            </w:r>
          </w:p>
        </w:tc>
        <w:tc>
          <w:tcPr>
            <w:tcW w:type="dxa" w:w="2064"/>
          </w:tcPr>
          <w:p>
            <w:r>
              <w:t>验证方式</w:t>
            </w:r>
          </w:p>
        </w:tc>
        <w:tc>
          <w:tcPr>
            <w:tcW w:type="dxa" w:w="2064"/>
          </w:tcPr>
          <w:p>
            <w:r>
              <w:t>TCB状态</w:t>
            </w:r>
          </w:p>
        </w:tc>
        <w:tc>
          <w:tcPr>
            <w:tcW w:type="dxa" w:w="2064"/>
          </w:tcPr>
          <w:p>
            <w:r>
              <w:t>备注</w:t>
            </w:r>
          </w:p>
        </w:tc>
      </w:tr>
      <w:tr>
        <w:tc>
          <w:tcPr>
            <w:tcW w:type="dxa" w:w="2064"/>
          </w:tcPr>
          <w:p>
            <w:r>
              <w:t>Quote类型</w:t>
            </w:r>
          </w:p>
        </w:tc>
        <w:tc>
          <w:tcPr>
            <w:tcW w:type="dxa" w:w="2064"/>
          </w:tcPr>
          <w:p>
            <w:r>
              <w:t>ECDSA-P256 DCAP</w:t>
            </w:r>
          </w:p>
        </w:tc>
        <w:tc>
          <w:tcPr>
            <w:tcW w:type="dxa" w:w="2064"/>
          </w:tcPr>
          <w:p>
            <w:r>
              <w:t>Intel DCAP v1.21</w:t>
            </w:r>
          </w:p>
        </w:tc>
        <w:tc>
          <w:tcPr>
            <w:tcW w:type="dxa" w:w="2064"/>
          </w:tcPr>
          <w:p>
            <w:r>
              <w:t>0xA003</w:t>
            </w:r>
          </w:p>
        </w:tc>
        <w:tc>
          <w:tcPr>
            <w:tcW w:type="dxa" w:w="2064"/>
          </w:tcPr>
          <w:p>
            <w:r>
              <w:t>OUT_OF_DATE_CONFIG_NEEDED</w:t>
            </w:r>
          </w:p>
        </w:tc>
      </w:tr>
      <w:tr>
        <w:tc>
          <w:tcPr>
            <w:tcW w:type="dxa" w:w="2064"/>
          </w:tcPr>
          <w:p>
            <w:r>
              <w:t>MRENCLAVE</w:t>
            </w:r>
          </w:p>
        </w:tc>
        <w:tc>
          <w:tcPr>
            <w:tcW w:type="dxa" w:w="2064"/>
          </w:tcPr>
          <w:p>
            <w:r>
              <w:t>1967faaa.../76f38bb2...</w:t>
            </w:r>
          </w:p>
        </w:tc>
        <w:tc>
          <w:tcPr>
            <w:tcW w:type="dxa" w:w="2064"/>
          </w:tcPr>
          <w:p>
            <w:r>
              <w:t>On-chain whitelist</w:t>
            </w:r>
          </w:p>
        </w:tc>
        <w:tc>
          <w:tcPr>
            <w:tcW w:type="dxa" w:w="2064"/>
          </w:tcPr>
          <w:p>
            <w:r>
              <w:t>Valid</w:t>
            </w:r>
          </w:p>
        </w:tc>
        <w:tc>
          <w:tcPr>
            <w:tcW w:type="dxa" w:w="2064"/>
          </w:tcPr>
          <w:p>
            <w:r>
              <w:t>2个不同构建</w:t>
            </w:r>
          </w:p>
        </w:tc>
      </w:tr>
      <w:tr>
        <w:tc>
          <w:tcPr>
            <w:tcW w:type="dxa" w:w="2064"/>
          </w:tcPr>
          <w:p>
            <w:r>
              <w:t>Hash链性能(4步)</w:t>
            </w:r>
          </w:p>
        </w:tc>
        <w:tc>
          <w:tcPr>
            <w:tcW w:type="dxa" w:w="2064"/>
          </w:tcPr>
          <w:p>
            <w:r>
              <w:t>0.057ms (Enclave内)</w:t>
            </w:r>
          </w:p>
        </w:tc>
        <w:tc>
          <w:tcPr>
            <w:tcW w:type="dxa" w:w="2064"/>
          </w:tcPr>
          <w:p>
            <w:r>
              <w:t>rdtsc测量</w:t>
            </w:r>
          </w:p>
        </w:tc>
        <w:tc>
          <w:tcPr>
            <w:tcW w:type="dxa" w:w="2064"/>
          </w:tcPr>
          <w:p>
            <w:r>
              <w:t>N/A</w:t>
            </w:r>
          </w:p>
        </w:tc>
        <w:tc>
          <w:tcPr>
            <w:tcW w:type="dxa" w:w="2064"/>
          </w:tcPr>
          <w:p>
            <w:r>
              <w:t>vs宿主0.021ms</w:t>
            </w:r>
          </w:p>
        </w:tc>
      </w:tr>
      <w:tr>
        <w:tc>
          <w:tcPr>
            <w:tcW w:type="dxa" w:w="2064"/>
          </w:tcPr>
          <w:p>
            <w:r>
              <w:t>Hash链性能(128步)</w:t>
            </w:r>
          </w:p>
        </w:tc>
        <w:tc>
          <w:tcPr>
            <w:tcW w:type="dxa" w:w="2064"/>
          </w:tcPr>
          <w:p>
            <w:r>
              <w:t>0.497ms (Enclave内)</w:t>
            </w:r>
          </w:p>
        </w:tc>
        <w:tc>
          <w:tcPr>
            <w:tcW w:type="dxa" w:w="2064"/>
          </w:tcPr>
          <w:p>
            <w:r>
              <w:t>rdtsc测量</w:t>
            </w:r>
          </w:p>
        </w:tc>
        <w:tc>
          <w:tcPr>
            <w:tcW w:type="dxa" w:w="2064"/>
          </w:tcPr>
          <w:p>
            <w:r>
              <w:t>N/A</w:t>
            </w:r>
          </w:p>
        </w:tc>
        <w:tc>
          <w:tcPr>
            <w:tcW w:type="dxa" w:w="2064"/>
          </w:tcPr>
          <w:p>
            <w:r>
              <w:t>vs宿主0.305ms，开销63%</w:t>
            </w:r>
          </w:p>
        </w:tc>
      </w:tr>
    </w:tbl>
    <w:p>
      <w:r>
        <w:t>性能测试显示：Enclave内执行4步哈希链（模拟紧凑承诺）耗时0.057ms，128步耗时0.497ms，相比宿主进程（0.305ms for 128步）开销为63%。链上验证Quote的EVM gas成本为：4步94,123 gas，128步166,402 gas（含staticcall至可信验证合约）。</w:t>
      </w:r>
    </w:p>
    <w:p>
      <w:r>
        <w:t>验证边界：当前实验基于本地DCAP验证服务（PCCS），未连接Intel生产PCS；TCB状态为OUT_OF_DATE_CONFIG_NEEDED（0xA003），说明Quote真实但TCB需更新。本文Enclave为debug模式（调试用），生产部署需使用release模式并配合链上MRENCLAVE白名单。此外，当前实验未实现主网Blob发布（仅本地Hardhat模拟），也未实现跨链Quote验证集成。</w:t>
      </w:r>
    </w:p>
    <w:p w14:paraId="41E54EB7" w14:textId="24D1BA23" w:rsidR="00580E0B" w:rsidRDefault="00000000">
      <w:pPr>
        <w:spacing w:before="80" w:after="40" w:line="240" w:lineRule="auto"/>
        <w:ind w:firstLine="0"/>
        <w:jc w:val="left"/>
      </w:pPr>
      <w:r>
        <w:rPr>
          <w:rFonts w:eastAsia="黑体"/>
          <w:b/>
          <w:bCs/>
          <w:sz w:val="23"/>
          <w:szCs w:val="23"/>
        </w:rPr>
        <w:t>5.5  Solidity</w:t>
      </w:r>
      <w:r>
        <w:rPr>
          <w:rFonts w:eastAsia="黑体"/>
          <w:b/>
          <w:bCs/>
          <w:sz w:val="23"/>
          <w:szCs w:val="23"/>
        </w:rPr>
        <w:t>、本地</w:t>
      </w:r>
      <w:r>
        <w:rPr>
          <w:rFonts w:eastAsia="黑体"/>
          <w:b/>
          <w:bCs/>
          <w:sz w:val="23"/>
          <w:szCs w:val="23"/>
        </w:rPr>
        <w:t xml:space="preserve"> EVM </w:t>
      </w:r>
      <w:r>
        <w:rPr>
          <w:rFonts w:eastAsia="黑体"/>
          <w:b/>
          <w:bCs/>
          <w:sz w:val="23"/>
          <w:szCs w:val="23"/>
        </w:rPr>
        <w:t>与</w:t>
      </w:r>
      <w:r>
        <w:rPr>
          <w:rFonts w:eastAsia="黑体"/>
          <w:b/>
          <w:bCs/>
          <w:sz w:val="23"/>
          <w:szCs w:val="23"/>
        </w:rPr>
        <w:t xml:space="preserve"> Sepolia </w:t>
      </w:r>
      <w:r>
        <w:rPr>
          <w:rFonts w:eastAsia="黑体"/>
          <w:b/>
          <w:bCs/>
          <w:sz w:val="23"/>
          <w:szCs w:val="23"/>
        </w:rPr>
        <w:t>证据能否支撑链上对应物</w:t>
      </w:r>
    </w:p>
    <w:p w14:paraId="1509968E" w14:textId="77777777" w:rsidR="00580E0B" w:rsidRDefault="00000000">
      <w:pPr>
        <w:ind w:firstLine="408"/>
      </w:pPr>
      <w:r>
        <w:t xml:space="preserve">RQ5 </w:t>
      </w:r>
      <w:r>
        <w:t>评估链上合约对应物。当前项目已将核心路径映射为</w:t>
      </w:r>
      <w:r>
        <w:t xml:space="preserve"> Solidity </w:t>
      </w:r>
      <w:r>
        <w:t>合约，并在</w:t>
      </w:r>
      <w:r>
        <w:t xml:space="preserve"> Hardhat </w:t>
      </w:r>
      <w:r>
        <w:t>本地</w:t>
      </w:r>
      <w:r>
        <w:t xml:space="preserve"> EVM </w:t>
      </w:r>
      <w:r>
        <w:t>测试链上得到</w:t>
      </w:r>
      <w:r>
        <w:t xml:space="preserve"> gas </w:t>
      </w:r>
      <w:r>
        <w:t>用量基线，见表</w:t>
      </w:r>
      <w:r>
        <w:t xml:space="preserve"> 5</w:t>
      </w:r>
      <w:r>
        <w:t>。同一套合约已部署至</w:t>
      </w:r>
      <w:r>
        <w:t xml:space="preserve"> Sepolia </w:t>
      </w:r>
      <w:r>
        <w:t>测试网，</w:t>
      </w:r>
      <w:r>
        <w:t xml:space="preserve">Chain ID </w:t>
      </w:r>
      <w:r>
        <w:t>为</w:t>
      </w:r>
      <w:r>
        <w:t xml:space="preserve"> 11155111</w:t>
      </w:r>
      <w:r>
        <w:t>，部署区块为</w:t>
      </w:r>
      <w:r>
        <w:t xml:space="preserve"> 10825904</w:t>
      </w:r>
      <w:r>
        <w:t>。这些结果说明原型路径具有合约对应物和公开测试网可部署性，不应被解释为生产可用性。</w:t>
      </w:r>
    </w:p>
    <w:p w14:paraId="2BE1716C" w14:textId="77777777" w:rsidR="00580E0B" w:rsidRDefault="00000000">
      <w:pPr>
        <w:spacing w:line="240" w:lineRule="auto"/>
        <w:ind w:firstLine="0"/>
        <w:jc w:val="center"/>
      </w:pPr>
      <w:r>
        <w:rPr>
          <w:b/>
          <w:sz w:val="18"/>
        </w:rPr>
        <w:t>表</w:t>
      </w:r>
      <w:r>
        <w:rPr>
          <w:b/>
          <w:sz w:val="18"/>
        </w:rPr>
        <w:t xml:space="preserve"> 5  </w:t>
      </w:r>
      <w:r>
        <w:rPr>
          <w:b/>
          <w:sz w:val="18"/>
        </w:rPr>
        <w:t>本地</w:t>
      </w:r>
      <w:r>
        <w:rPr>
          <w:b/>
          <w:sz w:val="18"/>
        </w:rPr>
        <w:t xml:space="preserve"> EVM </w:t>
      </w:r>
      <w:r>
        <w:rPr>
          <w:b/>
          <w:sz w:val="18"/>
        </w:rPr>
        <w:t>关键路径平均</w:t>
      </w:r>
      <w:r>
        <w:rPr>
          <w:b/>
          <w:sz w:val="18"/>
        </w:rPr>
        <w:t xml:space="preserve"> gasUsed</w:t>
      </w:r>
    </w:p>
    <w:p>
      <w:r>
        <w:t>本文贡献边界与局限：当前原型实现了有界任务模型下的可恢复挑战与紧凑提交机制，验证了核心协议性质，但以下方面受限于时间/资源未完成：</w:t>
        <w:br/>
        <w:t>（1）真实主网DA发布：当前仅在本地Hardhat环境模拟Blob存储，未实际发布到Sepolia或主网；</w:t>
        <w:br/>
        <w:t>（2）生产级Enclave：StageH使用debug模式Enclave，生产部署需release模式并通过远程认证审核；</w:t>
        <w:br/>
        <w:t>（3）跨链验证集成：Quote验证依赖本地DCAP服务，未集成Intel PCS生产环境；</w:t>
        <w:br/>
        <w:t>（4）长时窗口经济博弈：实验为短期合成场景，未覆盖长时间跨度的博弈动态；</w:t>
        <w:br/>
        <w:t>（5）多Enclave冗余：当前为单Enclave模型，未处理TEE单点故障；</w:t>
        <w:br/>
        <w:t>（6）通用EVM兼容：当前为特定任务模型（哈希链），未扩展到通用智能合约；</w:t>
        <w:br/>
        <w:t>（7）形式化证明：安全性主要依赖测试覆盖，未提供形式化正确性证明；</w:t>
        <w:br/>
        <w:t>（8）大规模性能优化：吞吐量受限于单Enclave串行执行，未实现并行批处理优化。</w:t>
      </w:r>
    </w:p>
    <w:p w14:paraId="02C8F9AE" w14:textId="77777777" w:rsidR="00580E0B" w:rsidRDefault="00000000">
      <w:pPr>
        <w:spacing w:line="240" w:lineRule="auto"/>
        <w:ind w:firstLine="0"/>
        <w:jc w:val="center"/>
      </w:pPr>
      <w:r>
        <w:rPr>
          <w:sz w:val="18"/>
        </w:rPr>
        <w:t>Table 5  Average gasUsed of local EVM key paths</w:t>
      </w:r>
    </w:p>
    <w:tbl>
      <w:tblPr>
        <w:tblW w:w="4464" w:type="dxa"/>
        <w:jc w:val="center"/>
        <w:tblBorders>
          <w:top w:val="single" w:sz="6" w:space="0" w:color="000000"/>
          <w:left w:val="nil"/>
          <w:bottom w:val="single" w:sz="6" w:space="0" w:color="000000"/>
          <w:right w:val="nil"/>
          <w:insideH w:val="nil"/>
          <w:insideV w:val="nil"/>
        </w:tblBorders>
        <w:tblLayout w:type="fixed"/>
        <w:tblCellMar>
          <w:top w:w="30" w:type="dxa"/>
          <w:left w:w="30" w:type="dxa"/>
          <w:bottom w:w="30" w:type="dxa"/>
          <w:right w:w="30" w:type="dxa"/>
        </w:tblCellMar>
        <w:tblLook w:val="04A0" w:firstRow="1" w:lastRow="0" w:firstColumn="1" w:lastColumn="0" w:noHBand="0" w:noVBand="1"/>
      </w:tblPr>
      <w:tblGrid>
        <w:gridCol w:w="1116"/>
        <w:gridCol w:w="1116"/>
        <w:gridCol w:w="2232"/>
      </w:tblGrid>
      <w:tr w:rsidR="00580E0B" w14:paraId="15977888" w14:textId="77777777">
        <w:trPr>
          <w:tblHeader/>
          <w:jc w:val="center"/>
        </w:trPr>
        <w:tc>
          <w:tcPr>
            <w:tcW w:w="1116" w:type="dxa"/>
            <w:tcBorders>
              <w:bottom w:val="single" w:sz="6" w:space="0" w:color="000000"/>
            </w:tcBorders>
            <w:vAlign w:val="center"/>
          </w:tcPr>
          <w:p w14:paraId="731F3996" w14:textId="77777777" w:rsidR="0091511F" w:rsidRDefault="00000000">
            <w:pPr>
              <w:spacing w:line="180" w:lineRule="auto"/>
            </w:pPr>
            <w:r>
              <w:rPr>
                <w:sz w:val="15"/>
                <w:szCs w:val="15"/>
              </w:rPr>
              <w:t>操作</w:t>
            </w:r>
          </w:p>
        </w:tc>
        <w:tc>
          <w:tcPr>
            <w:tcW w:w="1116" w:type="dxa"/>
            <w:tcBorders>
              <w:bottom w:val="single" w:sz="6" w:space="0" w:color="000000"/>
            </w:tcBorders>
            <w:vAlign w:val="center"/>
          </w:tcPr>
          <w:p w14:paraId="0FF1243C" w14:textId="77777777" w:rsidR="0091511F" w:rsidRDefault="00000000">
            <w:pPr>
              <w:spacing w:line="180" w:lineRule="auto"/>
            </w:pPr>
            <w:r>
              <w:rPr>
                <w:sz w:val="15"/>
                <w:szCs w:val="15"/>
              </w:rPr>
              <w:t>gasUsed</w:t>
            </w:r>
          </w:p>
        </w:tc>
        <w:tc>
          <w:tcPr>
            <w:tcW w:w="2232" w:type="dxa"/>
            <w:tcBorders>
              <w:bottom w:val="single" w:sz="6" w:space="0" w:color="000000"/>
            </w:tcBorders>
            <w:vAlign w:val="center"/>
          </w:tcPr>
          <w:p w14:paraId="3107DC34" w14:textId="77777777" w:rsidR="0091511F" w:rsidRDefault="00000000">
            <w:pPr>
              <w:spacing w:line="180" w:lineRule="auto"/>
            </w:pPr>
            <w:r>
              <w:rPr>
                <w:sz w:val="15"/>
                <w:szCs w:val="15"/>
              </w:rPr>
              <w:t>含义</w:t>
            </w:r>
          </w:p>
        </w:tc>
      </w:tr>
      <w:tr w:rsidR="00580E0B" w14:paraId="5C42B7EC" w14:textId="77777777">
        <w:trPr>
          <w:jc w:val="center"/>
        </w:trPr>
        <w:tc>
          <w:tcPr>
            <w:tcW w:w="1116" w:type="dxa"/>
            <w:vAlign w:val="center"/>
          </w:tcPr>
          <w:p w14:paraId="6EF7B160" w14:textId="77777777" w:rsidR="00580E0B" w:rsidRDefault="00000000">
            <w:pPr>
              <w:spacing w:line="180" w:lineRule="auto"/>
              <w:ind w:firstLine="0"/>
              <w:jc w:val="center"/>
            </w:pPr>
            <w:r>
              <w:rPr>
                <w:sz w:val="15"/>
                <w:szCs w:val="15"/>
              </w:rPr>
              <w:t>registerDA</w:t>
            </w:r>
          </w:p>
        </w:tc>
        <w:tc>
          <w:tcPr>
            <w:tcW w:w="1116" w:type="dxa"/>
            <w:vAlign w:val="center"/>
          </w:tcPr>
          <w:p w14:paraId="2F5CA404" w14:textId="77777777" w:rsidR="0091511F" w:rsidRDefault="00000000">
            <w:pPr>
              <w:spacing w:line="180" w:lineRule="auto"/>
            </w:pPr>
            <w:r>
              <w:rPr>
                <w:sz w:val="15"/>
                <w:szCs w:val="15"/>
              </w:rPr>
              <w:t>113526</w:t>
            </w:r>
          </w:p>
        </w:tc>
        <w:tc>
          <w:tcPr>
            <w:tcW w:w="2232" w:type="dxa"/>
            <w:vAlign w:val="center"/>
          </w:tcPr>
          <w:p w14:paraId="100CF5E9" w14:textId="77777777" w:rsidR="00580E0B" w:rsidRDefault="00000000">
            <w:pPr>
              <w:spacing w:line="180" w:lineRule="auto"/>
              <w:ind w:firstLine="0"/>
              <w:jc w:val="center"/>
            </w:pPr>
            <w:r>
              <w:rPr>
                <w:sz w:val="15"/>
                <w:szCs w:val="15"/>
              </w:rPr>
              <w:t xml:space="preserve">MockDARegistry </w:t>
            </w:r>
            <w:r>
              <w:rPr>
                <w:sz w:val="15"/>
                <w:szCs w:val="15"/>
              </w:rPr>
              <w:t>记录负载哈希与数据可用性根</w:t>
            </w:r>
          </w:p>
        </w:tc>
      </w:tr>
      <w:tr w:rsidR="00580E0B" w14:paraId="2E142725" w14:textId="77777777">
        <w:trPr>
          <w:jc w:val="center"/>
        </w:trPr>
        <w:tc>
          <w:tcPr>
            <w:tcW w:w="1116" w:type="dxa"/>
            <w:vAlign w:val="center"/>
          </w:tcPr>
          <w:p w14:paraId="0696AF21" w14:textId="77777777" w:rsidR="00580E0B" w:rsidRDefault="00000000">
            <w:pPr>
              <w:spacing w:line="180" w:lineRule="auto"/>
              <w:ind w:firstLine="0"/>
              <w:jc w:val="center"/>
            </w:pPr>
            <w:r>
              <w:rPr>
                <w:sz w:val="15"/>
                <w:szCs w:val="15"/>
              </w:rPr>
              <w:t>submitRollup</w:t>
            </w:r>
          </w:p>
        </w:tc>
        <w:tc>
          <w:tcPr>
            <w:tcW w:w="1116" w:type="dxa"/>
            <w:vAlign w:val="center"/>
          </w:tcPr>
          <w:p w14:paraId="5DC94906" w14:textId="77777777" w:rsidR="0091511F" w:rsidRDefault="00000000">
            <w:pPr>
              <w:spacing w:line="180" w:lineRule="auto"/>
            </w:pPr>
            <w:r>
              <w:rPr>
                <w:sz w:val="15"/>
                <w:szCs w:val="15"/>
              </w:rPr>
              <w:t>299033.67</w:t>
            </w:r>
          </w:p>
        </w:tc>
        <w:tc>
          <w:tcPr>
            <w:tcW w:w="2232" w:type="dxa"/>
            <w:vAlign w:val="center"/>
          </w:tcPr>
          <w:p w14:paraId="0E034253" w14:textId="77777777" w:rsidR="00580E0B" w:rsidRDefault="00000000">
            <w:pPr>
              <w:spacing w:line="180" w:lineRule="auto"/>
              <w:ind w:firstLine="0"/>
              <w:jc w:val="center"/>
            </w:pPr>
            <w:r>
              <w:rPr>
                <w:sz w:val="15"/>
                <w:szCs w:val="15"/>
              </w:rPr>
              <w:t>紧凑提交提交路径</w:t>
            </w:r>
          </w:p>
        </w:tc>
      </w:tr>
      <w:tr w:rsidR="00580E0B" w14:paraId="3D171E01" w14:textId="77777777">
        <w:trPr>
          <w:jc w:val="center"/>
        </w:trPr>
        <w:tc>
          <w:tcPr>
            <w:tcW w:w="1116" w:type="dxa"/>
            <w:vAlign w:val="center"/>
          </w:tcPr>
          <w:p w14:paraId="562E8ABC" w14:textId="77777777" w:rsidR="00580E0B" w:rsidRDefault="00000000">
            <w:pPr>
              <w:spacing w:line="180" w:lineRule="auto"/>
              <w:ind w:firstLine="0"/>
              <w:jc w:val="center"/>
            </w:pPr>
            <w:r>
              <w:rPr>
                <w:sz w:val="15"/>
                <w:szCs w:val="15"/>
              </w:rPr>
              <w:t>challengeOpen</w:t>
            </w:r>
          </w:p>
        </w:tc>
        <w:tc>
          <w:tcPr>
            <w:tcW w:w="1116" w:type="dxa"/>
            <w:vAlign w:val="center"/>
          </w:tcPr>
          <w:p w14:paraId="528D3566" w14:textId="77777777" w:rsidR="0091511F" w:rsidRDefault="00000000">
            <w:pPr>
              <w:spacing w:line="180" w:lineRule="auto"/>
            </w:pPr>
            <w:r>
              <w:rPr>
                <w:sz w:val="15"/>
                <w:szCs w:val="15"/>
              </w:rPr>
              <w:t>283769</w:t>
            </w:r>
          </w:p>
        </w:tc>
        <w:tc>
          <w:tcPr>
            <w:tcW w:w="2232" w:type="dxa"/>
            <w:vAlign w:val="center"/>
          </w:tcPr>
          <w:p w14:paraId="0E466180" w14:textId="77777777" w:rsidR="00580E0B" w:rsidRDefault="00000000">
            <w:pPr>
              <w:spacing w:line="180" w:lineRule="auto"/>
              <w:ind w:firstLine="0"/>
              <w:jc w:val="center"/>
            </w:pPr>
            <w:r>
              <w:rPr>
                <w:sz w:val="15"/>
                <w:szCs w:val="15"/>
              </w:rPr>
              <w:t>打开争议并加载证据</w:t>
            </w:r>
          </w:p>
        </w:tc>
      </w:tr>
      <w:tr w:rsidR="00580E0B" w14:paraId="43C03F01" w14:textId="77777777">
        <w:trPr>
          <w:jc w:val="center"/>
        </w:trPr>
        <w:tc>
          <w:tcPr>
            <w:tcW w:w="1116" w:type="dxa"/>
            <w:vAlign w:val="center"/>
          </w:tcPr>
          <w:p w14:paraId="3AE6D02D" w14:textId="77777777" w:rsidR="00580E0B" w:rsidRDefault="00000000">
            <w:pPr>
              <w:spacing w:line="180" w:lineRule="auto"/>
              <w:ind w:firstLine="0"/>
              <w:jc w:val="center"/>
            </w:pPr>
            <w:r>
              <w:rPr>
                <w:sz w:val="15"/>
                <w:szCs w:val="15"/>
              </w:rPr>
              <w:t>challengeRespond</w:t>
            </w:r>
          </w:p>
        </w:tc>
        <w:tc>
          <w:tcPr>
            <w:tcW w:w="1116" w:type="dxa"/>
            <w:vAlign w:val="center"/>
          </w:tcPr>
          <w:p w14:paraId="43CD1096" w14:textId="77777777" w:rsidR="0091511F" w:rsidRDefault="00000000">
            <w:pPr>
              <w:spacing w:line="180" w:lineRule="auto"/>
            </w:pPr>
            <w:r>
              <w:rPr>
                <w:sz w:val="15"/>
                <w:szCs w:val="15"/>
              </w:rPr>
              <w:t>65886</w:t>
            </w:r>
          </w:p>
        </w:tc>
        <w:tc>
          <w:tcPr>
            <w:tcW w:w="2232" w:type="dxa"/>
            <w:vAlign w:val="center"/>
          </w:tcPr>
          <w:p w14:paraId="2D0213D9" w14:textId="77777777" w:rsidR="00580E0B" w:rsidRDefault="00000000">
            <w:pPr>
              <w:spacing w:line="180" w:lineRule="auto"/>
              <w:ind w:firstLine="0"/>
              <w:jc w:val="center"/>
            </w:pPr>
            <w:r>
              <w:rPr>
                <w:sz w:val="15"/>
                <w:szCs w:val="15"/>
              </w:rPr>
              <w:t>被挑战方响应</w:t>
            </w:r>
          </w:p>
        </w:tc>
      </w:tr>
      <w:tr w:rsidR="00580E0B" w14:paraId="29EA845B" w14:textId="77777777">
        <w:trPr>
          <w:jc w:val="center"/>
        </w:trPr>
        <w:tc>
          <w:tcPr>
            <w:tcW w:w="1116" w:type="dxa"/>
            <w:vAlign w:val="center"/>
          </w:tcPr>
          <w:p w14:paraId="413DD4AB" w14:textId="77777777" w:rsidR="00580E0B" w:rsidRDefault="00000000">
            <w:pPr>
              <w:spacing w:line="180" w:lineRule="auto"/>
              <w:ind w:firstLine="0"/>
              <w:jc w:val="center"/>
            </w:pPr>
            <w:r>
              <w:rPr>
                <w:sz w:val="15"/>
                <w:szCs w:val="15"/>
              </w:rPr>
              <w:lastRenderedPageBreak/>
              <w:t>challengeStep</w:t>
            </w:r>
          </w:p>
        </w:tc>
        <w:tc>
          <w:tcPr>
            <w:tcW w:w="1116" w:type="dxa"/>
            <w:vAlign w:val="center"/>
          </w:tcPr>
          <w:p w14:paraId="7C146CA6" w14:textId="77777777" w:rsidR="0091511F" w:rsidRDefault="00000000">
            <w:pPr>
              <w:spacing w:line="180" w:lineRule="auto"/>
            </w:pPr>
            <w:r>
              <w:rPr>
                <w:sz w:val="15"/>
                <w:szCs w:val="15"/>
              </w:rPr>
              <w:t>93807</w:t>
            </w:r>
          </w:p>
        </w:tc>
        <w:tc>
          <w:tcPr>
            <w:tcW w:w="2232" w:type="dxa"/>
            <w:vAlign w:val="center"/>
          </w:tcPr>
          <w:p w14:paraId="369915EA" w14:textId="77777777" w:rsidR="00580E0B" w:rsidRDefault="00000000">
            <w:pPr>
              <w:spacing w:line="180" w:lineRule="auto"/>
              <w:ind w:firstLine="0"/>
              <w:jc w:val="center"/>
            </w:pPr>
            <w:r>
              <w:rPr>
                <w:sz w:val="15"/>
                <w:szCs w:val="15"/>
              </w:rPr>
              <w:t>二分定位的单轮推进</w:t>
            </w:r>
          </w:p>
        </w:tc>
      </w:tr>
      <w:tr w:rsidR="00580E0B" w14:paraId="5FE0A8F5" w14:textId="77777777">
        <w:trPr>
          <w:jc w:val="center"/>
        </w:trPr>
        <w:tc>
          <w:tcPr>
            <w:tcW w:w="1116" w:type="dxa"/>
            <w:vAlign w:val="center"/>
          </w:tcPr>
          <w:p w14:paraId="24E46270" w14:textId="77777777" w:rsidR="00580E0B" w:rsidRDefault="00000000">
            <w:pPr>
              <w:spacing w:line="180" w:lineRule="auto"/>
              <w:ind w:firstLine="0"/>
              <w:jc w:val="center"/>
            </w:pPr>
            <w:r>
              <w:rPr>
                <w:sz w:val="15"/>
                <w:szCs w:val="15"/>
              </w:rPr>
              <w:t>challengeRecover</w:t>
            </w:r>
          </w:p>
        </w:tc>
        <w:tc>
          <w:tcPr>
            <w:tcW w:w="1116" w:type="dxa"/>
            <w:vAlign w:val="center"/>
          </w:tcPr>
          <w:p w14:paraId="68A1322F" w14:textId="77777777" w:rsidR="0091511F" w:rsidRDefault="00000000">
            <w:pPr>
              <w:spacing w:line="180" w:lineRule="auto"/>
            </w:pPr>
            <w:r>
              <w:rPr>
                <w:sz w:val="15"/>
                <w:szCs w:val="15"/>
              </w:rPr>
              <w:t>156891</w:t>
            </w:r>
          </w:p>
        </w:tc>
        <w:tc>
          <w:tcPr>
            <w:tcW w:w="2232" w:type="dxa"/>
            <w:vAlign w:val="center"/>
          </w:tcPr>
          <w:p w14:paraId="0B0F2A91" w14:textId="77777777" w:rsidR="00580E0B" w:rsidRDefault="00000000">
            <w:pPr>
              <w:spacing w:line="180" w:lineRule="auto"/>
              <w:ind w:firstLine="0"/>
              <w:jc w:val="center"/>
            </w:pPr>
            <w:r>
              <w:rPr>
                <w:sz w:val="15"/>
                <w:szCs w:val="15"/>
              </w:rPr>
              <w:t>恢复超时会话</w:t>
            </w:r>
          </w:p>
        </w:tc>
      </w:tr>
      <w:tr w:rsidR="00580E0B" w14:paraId="11B30C1E" w14:textId="77777777">
        <w:trPr>
          <w:jc w:val="center"/>
        </w:trPr>
        <w:tc>
          <w:tcPr>
            <w:tcW w:w="1116" w:type="dxa"/>
            <w:vAlign w:val="center"/>
          </w:tcPr>
          <w:p w14:paraId="48BEA641" w14:textId="77777777" w:rsidR="00580E0B" w:rsidRDefault="00000000">
            <w:pPr>
              <w:spacing w:line="180" w:lineRule="auto"/>
              <w:ind w:firstLine="0"/>
              <w:jc w:val="center"/>
            </w:pPr>
            <w:r>
              <w:rPr>
                <w:sz w:val="15"/>
                <w:szCs w:val="15"/>
              </w:rPr>
              <w:t>challengeReplay</w:t>
            </w:r>
          </w:p>
        </w:tc>
        <w:tc>
          <w:tcPr>
            <w:tcW w:w="1116" w:type="dxa"/>
            <w:vAlign w:val="center"/>
          </w:tcPr>
          <w:p w14:paraId="54FCF0FE" w14:textId="77777777" w:rsidR="0091511F" w:rsidRDefault="00000000">
            <w:pPr>
              <w:spacing w:line="180" w:lineRule="auto"/>
            </w:pPr>
            <w:r>
              <w:rPr>
                <w:sz w:val="15"/>
                <w:szCs w:val="15"/>
              </w:rPr>
              <w:t>135632</w:t>
            </w:r>
          </w:p>
        </w:tc>
        <w:tc>
          <w:tcPr>
            <w:tcW w:w="2232" w:type="dxa"/>
            <w:vAlign w:val="center"/>
          </w:tcPr>
          <w:p w14:paraId="06B610E6" w14:textId="77777777" w:rsidR="00580E0B" w:rsidRDefault="00000000">
            <w:pPr>
              <w:spacing w:line="180" w:lineRule="auto"/>
              <w:ind w:firstLine="0"/>
              <w:jc w:val="center"/>
            </w:pPr>
            <w:r>
              <w:rPr>
                <w:sz w:val="15"/>
                <w:szCs w:val="15"/>
              </w:rPr>
              <w:t>单步重放仲裁</w:t>
            </w:r>
          </w:p>
        </w:tc>
      </w:tr>
      <w:tr w:rsidR="00580E0B" w14:paraId="22B3485D" w14:textId="77777777">
        <w:trPr>
          <w:jc w:val="center"/>
        </w:trPr>
        <w:tc>
          <w:tcPr>
            <w:tcW w:w="1116" w:type="dxa"/>
            <w:vAlign w:val="center"/>
          </w:tcPr>
          <w:p w14:paraId="1CE49618" w14:textId="77777777" w:rsidR="00580E0B" w:rsidRDefault="00000000">
            <w:pPr>
              <w:spacing w:line="180" w:lineRule="auto"/>
              <w:ind w:firstLine="0"/>
              <w:jc w:val="center"/>
            </w:pPr>
            <w:r>
              <w:rPr>
                <w:sz w:val="15"/>
                <w:szCs w:val="15"/>
              </w:rPr>
              <w:t>challengeResolve</w:t>
            </w:r>
          </w:p>
        </w:tc>
        <w:tc>
          <w:tcPr>
            <w:tcW w:w="1116" w:type="dxa"/>
            <w:vAlign w:val="center"/>
          </w:tcPr>
          <w:p w14:paraId="085EDD3B" w14:textId="77777777" w:rsidR="0091511F" w:rsidRDefault="00000000">
            <w:pPr>
              <w:spacing w:line="180" w:lineRule="auto"/>
            </w:pPr>
            <w:r>
              <w:rPr>
                <w:sz w:val="15"/>
                <w:szCs w:val="15"/>
              </w:rPr>
              <w:t>113402</w:t>
            </w:r>
          </w:p>
        </w:tc>
        <w:tc>
          <w:tcPr>
            <w:tcW w:w="2232" w:type="dxa"/>
            <w:vAlign w:val="center"/>
          </w:tcPr>
          <w:p w14:paraId="3A59D0FD" w14:textId="77777777" w:rsidR="00580E0B" w:rsidRDefault="00000000">
            <w:pPr>
              <w:spacing w:line="180" w:lineRule="auto"/>
              <w:ind w:firstLine="0"/>
              <w:jc w:val="center"/>
            </w:pPr>
            <w:r>
              <w:rPr>
                <w:sz w:val="15"/>
                <w:szCs w:val="15"/>
              </w:rPr>
              <w:t>结算争议结果</w:t>
            </w:r>
          </w:p>
        </w:tc>
      </w:tr>
      <w:tr w:rsidR="00580E0B" w14:paraId="03EE0E5D" w14:textId="77777777">
        <w:trPr>
          <w:jc w:val="center"/>
        </w:trPr>
        <w:tc>
          <w:tcPr>
            <w:tcW w:w="1116" w:type="dxa"/>
            <w:vAlign w:val="center"/>
          </w:tcPr>
          <w:p w14:paraId="52EBD214" w14:textId="77777777" w:rsidR="00580E0B" w:rsidRDefault="00000000">
            <w:pPr>
              <w:spacing w:line="180" w:lineRule="auto"/>
              <w:ind w:firstLine="0"/>
              <w:jc w:val="center"/>
            </w:pPr>
            <w:r>
              <w:rPr>
                <w:sz w:val="15"/>
                <w:szCs w:val="15"/>
              </w:rPr>
              <w:t>challengeFinalize</w:t>
            </w:r>
          </w:p>
        </w:tc>
        <w:tc>
          <w:tcPr>
            <w:tcW w:w="1116" w:type="dxa"/>
            <w:vAlign w:val="center"/>
          </w:tcPr>
          <w:p w14:paraId="3BE72F3E" w14:textId="77777777" w:rsidR="0091511F" w:rsidRDefault="00000000">
            <w:pPr>
              <w:spacing w:line="180" w:lineRule="auto"/>
            </w:pPr>
            <w:r>
              <w:rPr>
                <w:sz w:val="15"/>
                <w:szCs w:val="15"/>
              </w:rPr>
              <w:t>33477</w:t>
            </w:r>
          </w:p>
        </w:tc>
        <w:tc>
          <w:tcPr>
            <w:tcW w:w="2232" w:type="dxa"/>
            <w:vAlign w:val="center"/>
          </w:tcPr>
          <w:p w14:paraId="2F0C3F88" w14:textId="77777777" w:rsidR="00580E0B" w:rsidRDefault="00000000">
            <w:pPr>
              <w:spacing w:line="180" w:lineRule="auto"/>
              <w:ind w:firstLine="0"/>
              <w:jc w:val="center"/>
            </w:pPr>
            <w:r>
              <w:rPr>
                <w:sz w:val="15"/>
                <w:szCs w:val="15"/>
              </w:rPr>
              <w:t>挑战期后最终确认</w:t>
            </w:r>
          </w:p>
        </w:tc>
      </w:tr>
    </w:tbl>
    <w:p w14:paraId="31D01E85" w14:textId="77777777" w:rsidR="00580E0B" w:rsidRDefault="00580E0B" w:rsidP="002527EC">
      <w:pPr>
        <w:spacing w:after="60" w:line="250" w:lineRule="exact"/>
        <w:ind w:firstLine="0"/>
      </w:pPr>
    </w:p>
    <w:p w14:paraId="182F9FD9" w14:textId="77777777" w:rsidR="00580E0B" w:rsidRDefault="00000000">
      <w:pPr>
        <w:ind w:firstLine="408"/>
      </w:pPr>
      <w:r>
        <w:rPr>
          <w:sz w:val="20"/>
        </w:rPr>
        <w:t>实验的可复现性通过以下证据类型支撑：</w:t>
      </w:r>
      <w:r>
        <w:rPr>
          <w:sz w:val="20"/>
        </w:rPr>
        <w:t xml:space="preserve">Python </w:t>
      </w:r>
      <w:r>
        <w:rPr>
          <w:sz w:val="20"/>
        </w:rPr>
        <w:t>原型脚本可生成完整实验输出；成本实验和挑战实验均使用确定性合成模型，不依赖外部推理服务；</w:t>
      </w:r>
      <w:r>
        <w:rPr>
          <w:sz w:val="20"/>
        </w:rPr>
        <w:t xml:space="preserve">Hardhat </w:t>
      </w:r>
      <w:r>
        <w:rPr>
          <w:sz w:val="20"/>
        </w:rPr>
        <w:t>测试提供合约层面的可重复验证。所有实验输出文件（成本网格、挑战网格、故障场景、汇总文件）由同一实验脚本生成。</w:t>
      </w:r>
    </w:p>
    <w:p w14:paraId="3558A5B1" w14:textId="6201C124" w:rsidR="00580E0B" w:rsidRDefault="00000000">
      <w:pPr>
        <w:spacing w:before="80" w:after="40" w:line="240" w:lineRule="auto"/>
        <w:ind w:firstLine="0"/>
        <w:jc w:val="left"/>
      </w:pPr>
      <w:r>
        <w:rPr>
          <w:rFonts w:eastAsia="黑体"/>
          <w:b/>
          <w:bCs/>
          <w:sz w:val="23"/>
          <w:szCs w:val="23"/>
        </w:rPr>
        <w:t>5.</w:t>
      </w:r>
      <w:r w:rsidR="00A75E44">
        <w:rPr>
          <w:rFonts w:eastAsia="黑体" w:hint="eastAsia"/>
          <w:b/>
          <w:bCs/>
          <w:sz w:val="23"/>
          <w:szCs w:val="23"/>
        </w:rPr>
        <w:t>6</w:t>
      </w:r>
      <w:r>
        <w:rPr>
          <w:rFonts w:eastAsia="黑体"/>
          <w:b/>
          <w:bCs/>
          <w:sz w:val="23"/>
          <w:szCs w:val="23"/>
        </w:rPr>
        <w:t xml:space="preserve">  </w:t>
      </w:r>
      <w:r>
        <w:rPr>
          <w:rFonts w:eastAsia="黑体"/>
          <w:b/>
          <w:bCs/>
          <w:sz w:val="23"/>
          <w:szCs w:val="23"/>
        </w:rPr>
        <w:t>实验小结</w:t>
      </w:r>
    </w:p>
    <w:p w14:paraId="412736F2" w14:textId="00B7292A" w:rsidR="00580E0B" w:rsidRDefault="00000000" w:rsidP="00A75E44">
      <w:pPr>
        <w:ind w:firstLine="408"/>
      </w:pPr>
      <w:r>
        <w:t>上述</w:t>
      </w:r>
      <w:r>
        <w:t xml:space="preserve"> RQ1 </w:t>
      </w:r>
      <w:r>
        <w:t>至</w:t>
      </w:r>
      <w:r>
        <w:t xml:space="preserve"> RQ5 </w:t>
      </w:r>
      <w:r>
        <w:t>已经包含了部分对比分析。总体来看，可恢复路径使超时场景从检测停滞推进到可重放与结算；紧凑提交将链上提交稳定在约</w:t>
      </w:r>
      <w:r>
        <w:t xml:space="preserve"> 406 </w:t>
      </w:r>
      <w:r>
        <w:t>字节；</w:t>
      </w:r>
      <w:r>
        <w:t xml:space="preserve">DA </w:t>
      </w:r>
      <w:r>
        <w:t>感知成本模型说明批处理和数据可用性路径共同决定摊销成本；故障分类则区分检测、拒绝、重放与罚没等不同协议能力。</w:t>
      </w:r>
    </w:p>
    <w:p w14:paraId="1873C951" w14:textId="261CCF9E" w:rsidR="00580E0B" w:rsidRDefault="00000000">
      <w:pPr>
        <w:ind w:firstLine="408"/>
      </w:pPr>
      <w:r>
        <w:rPr>
          <w:sz w:val="20"/>
        </w:rPr>
        <w:t>上述对比表明，本文机制的主要贡献在于组合轻量提交、证据绑定和可恢复仲裁路</w:t>
      </w:r>
      <w:r w:rsidR="00093840">
        <w:rPr>
          <w:sz w:val="20"/>
        </w:rPr>
        <w:tab/>
      </w:r>
      <w:r>
        <w:rPr>
          <w:sz w:val="20"/>
        </w:rPr>
        <w:t>径，使高频场景下的异常处理能够继续推进。</w:t>
      </w:r>
    </w:p>
    <w:p w14:paraId="2CFEF561" w14:textId="77777777" w:rsidR="00580E0B" w:rsidRDefault="00000000">
      <w:pPr>
        <w:spacing w:before="120" w:after="60" w:line="240" w:lineRule="auto"/>
        <w:ind w:firstLine="0"/>
        <w:jc w:val="left"/>
      </w:pPr>
      <w:r>
        <w:rPr>
          <w:rFonts w:eastAsia="黑体"/>
          <w:b/>
          <w:bCs/>
          <w:sz w:val="23"/>
          <w:szCs w:val="23"/>
        </w:rPr>
        <w:t xml:space="preserve">6  </w:t>
      </w:r>
      <w:r>
        <w:rPr>
          <w:rFonts w:eastAsia="黑体"/>
          <w:b/>
          <w:bCs/>
          <w:sz w:val="23"/>
          <w:szCs w:val="23"/>
        </w:rPr>
        <w:t>结论</w:t>
      </w:r>
    </w:p>
    <w:p w14:paraId="4C18529E" w14:textId="77777777" w:rsidR="00580E0B" w:rsidRDefault="00000000">
      <w:pPr>
        <w:ind w:firstLine="408"/>
      </w:pPr>
      <w:r>
        <w:rPr>
          <w:sz w:val="20"/>
        </w:rPr>
        <w:t>本文面向高频去中心化应用中的低延迟、低链上开销与公开可验证仲裁需求，提出了面向</w:t>
      </w:r>
      <w:r>
        <w:rPr>
          <w:sz w:val="20"/>
        </w:rPr>
        <w:t xml:space="preserve"> Hybrid TEE-Rollup </w:t>
      </w:r>
      <w:r>
        <w:rPr>
          <w:sz w:val="20"/>
        </w:rPr>
        <w:t>的可恢复挑战机制、携带证据的紧凑提交机制以及数据可用性感知成本模型。可恢复挑战机制将超时会话恢复为可重放、可结算状态，强调恢复操作只恢复协议活性而不改变争议事实；紧凑提交机制绑定状态根、输出哈希、证明哈希、</w:t>
      </w:r>
      <w:r>
        <w:rPr>
          <w:sz w:val="20"/>
        </w:rPr>
        <w:t xml:space="preserve">DA </w:t>
      </w:r>
      <w:r>
        <w:rPr>
          <w:sz w:val="20"/>
        </w:rPr>
        <w:t>指针与</w:t>
      </w:r>
      <w:r>
        <w:rPr>
          <w:sz w:val="20"/>
        </w:rPr>
        <w:t xml:space="preserve"> DA </w:t>
      </w:r>
      <w:r>
        <w:rPr>
          <w:sz w:val="20"/>
        </w:rPr>
        <w:t>根，为异常路径提供最小证据入口；成本模型则用于分析负载规模、批处理摊销与</w:t>
      </w:r>
      <w:r>
        <w:rPr>
          <w:sz w:val="20"/>
        </w:rPr>
        <w:t xml:space="preserve"> DA </w:t>
      </w:r>
      <w:r>
        <w:rPr>
          <w:sz w:val="20"/>
        </w:rPr>
        <w:t>路径选择之间的关系。</w:t>
      </w:r>
    </w:p>
    <w:p w14:paraId="2A9EA15B" w14:textId="77777777" w:rsidR="00580E0B" w:rsidRDefault="00000000">
      <w:pPr>
        <w:ind w:firstLine="408"/>
      </w:pPr>
      <w:r>
        <w:rPr>
          <w:sz w:val="20"/>
        </w:rPr>
        <w:t>基于</w:t>
      </w:r>
      <w:r>
        <w:rPr>
          <w:sz w:val="20"/>
        </w:rPr>
        <w:t xml:space="preserve"> Python </w:t>
      </w:r>
      <w:r>
        <w:rPr>
          <w:sz w:val="20"/>
        </w:rPr>
        <w:t>原型、本地</w:t>
      </w:r>
      <w:r>
        <w:rPr>
          <w:sz w:val="20"/>
        </w:rPr>
        <w:t xml:space="preserve"> EVM gas </w:t>
      </w:r>
      <w:r>
        <w:rPr>
          <w:sz w:val="20"/>
        </w:rPr>
        <w:t>测量与</w:t>
      </w:r>
      <w:r>
        <w:rPr>
          <w:sz w:val="20"/>
        </w:rPr>
        <w:t xml:space="preserve"> Sepolia </w:t>
      </w:r>
      <w:r>
        <w:rPr>
          <w:sz w:val="20"/>
        </w:rPr>
        <w:t>部署记录，实验结果表明，紧凑提交能够隔离链上提交规模与完整负载增长，在给定配置下模块化</w:t>
      </w:r>
      <w:r>
        <w:rPr>
          <w:sz w:val="20"/>
        </w:rPr>
        <w:t xml:space="preserve"> DA </w:t>
      </w:r>
      <w:r>
        <w:rPr>
          <w:sz w:val="20"/>
        </w:rPr>
        <w:t>采样路径具有明显的摊销成本优势，恢复路径也能改善超时场景下的挑战完成能力。需要说明的是，当前结果基于模拟</w:t>
      </w:r>
      <w:r>
        <w:rPr>
          <w:sz w:val="20"/>
        </w:rPr>
        <w:t xml:space="preserve"> TEE</w:t>
      </w:r>
      <w:r>
        <w:rPr>
          <w:sz w:val="20"/>
        </w:rPr>
        <w:t>、可验证</w:t>
      </w:r>
      <w:r>
        <w:rPr>
          <w:sz w:val="20"/>
        </w:rPr>
        <w:t xml:space="preserve"> DA </w:t>
      </w:r>
      <w:r>
        <w:rPr>
          <w:sz w:val="20"/>
        </w:rPr>
        <w:t>注册表和配置化成本模型，尚不代</w:t>
      </w:r>
      <w:r>
        <w:rPr>
          <w:sz w:val="20"/>
        </w:rPr>
        <w:t>表真实主网或生产环境表现。后续工作将进一步接入真实</w:t>
      </w:r>
      <w:r>
        <w:rPr>
          <w:sz w:val="20"/>
        </w:rPr>
        <w:t xml:space="preserve"> TEE </w:t>
      </w:r>
      <w:r>
        <w:rPr>
          <w:sz w:val="20"/>
        </w:rPr>
        <w:t>与数据可用性网络，并完善并发挑战、恢复频率限制和故障到罚没的统一处理机制。</w:t>
      </w:r>
    </w:p>
    <w:p w14:paraId="02DD9A67" w14:textId="77777777" w:rsidR="00580E0B" w:rsidRDefault="00000000">
      <w:pPr>
        <w:ind w:firstLine="0"/>
        <w:jc w:val="left"/>
      </w:pPr>
      <w:r>
        <w:rPr>
          <w:b/>
          <w:sz w:val="23"/>
          <w:rFonts w:eastAsia="黑体"/>
        </w:rPr>
        <w:t>参考文献：</w:t>
      </w:r>
    </w:p>
    <w:p w14:paraId="0A7911AD" w14:textId="77777777" w:rsidR="00580E0B" w:rsidRDefault="00000000">
      <w:pPr>
        <w:spacing w:line="288" w:lineRule="auto" w:before="0" w:after="0"/>
        <w:ind w:left="368" w:hanging="368"/>
        <w:jc w:val="left"/>
      </w:pPr>
      <w:r>
        <w:t>[1] WEN X, FENG Q, LYU H, et al. TEEROLLUP: efficient Rollup design using heterogeneous TEE[EB/OL]. arXiv:2409.14647v3, 2024 [2026-06-15].</w:t>
      </w:r>
    </w:p>
    <w:p w14:paraId="22A0F70D" w14:textId="40662307" w:rsidR="00580E0B" w:rsidRDefault="00000000">
      <w:pPr>
        <w:spacing w:line="288" w:lineRule="auto" w:before="0" w:after="0"/>
        <w:ind w:left="368" w:hanging="368"/>
        <w:jc w:val="left"/>
      </w:pPr>
      <w:r>
        <w:rPr>
          <w:rFonts w:ascii="Times New Roman" w:hAnsi="Times New Roman" w:eastAsia="宋体"/>
          <w:b w:val="0"/>
          <w:i w:val="0"/>
          <w:sz w:val="18"/>
        </w:rPr>
        <w:t>[2] BUTERIN V. An incomplete guide to Rollups[EB/OL]. 2021 [2026-06-15].</w:t>
      </w:r>
    </w:p>
    <w:p>
      <w:r>
        <w:t>[3] ETHEREUM FOUNDATION. Optimistic Rollups[EB/OL]. 2024 [2026-06-15].</w:t>
      </w:r>
    </w:p>
    <w:p>
      <w:r>
        <w:t>[4] ARBITRUM FOUNDATION. Arbitrum Nitro technical documentation[EB/OL]. 2024 [2026-06-15].</w:t>
      </w:r>
    </w:p>
    <w:p w14:paraId="14328325" w14:textId="77777777" w:rsidR="00580E0B" w:rsidRDefault="00000000">
      <w:pPr>
        <w:spacing w:line="288" w:lineRule="auto" w:before="0" w:after="0"/>
        <w:ind w:left="368" w:hanging="368"/>
        <w:jc w:val="left"/>
      </w:pPr>
      <w:r>
        <w:rPr>
          <w:rFonts w:ascii="Times New Roman" w:hAnsi="Times New Roman" w:eastAsia="宋体"/>
          <w:b w:val="0"/>
          <w:i w:val="0"/>
          <w:sz w:val="18"/>
        </w:rPr>
        <w:t>[5] OP LABS. Optimism documentation: fault proofs and dispute games[EB/OL]. 2024 [2026-06-15].</w:t>
      </w:r>
    </w:p>
    <w:p w14:paraId="70DDD89D" w14:textId="77777777" w:rsidR="00580E0B" w:rsidRDefault="00000000">
      <w:pPr>
        <w:spacing w:line="288" w:lineRule="auto" w:before="0" w:after="0"/>
        <w:ind w:left="368" w:hanging="368"/>
        <w:jc w:val="left"/>
      </w:pPr>
      <w:r>
        <w:rPr>
          <w:rFonts w:ascii="Times New Roman" w:hAnsi="Times New Roman" w:eastAsia="宋体"/>
          <w:b w:val="0"/>
          <w:i w:val="0"/>
          <w:sz w:val="18"/>
        </w:rPr>
        <w:t>[6] PICCO G, FORTUGNO A. Dynamic fraud proof[EB/OL]. arXiv:2502.10321, 2025 [2026-06-15].</w:t>
      </w:r>
    </w:p>
    <w:p w14:paraId="09CBE564" w14:textId="77777777" w:rsidR="00580E0B" w:rsidRDefault="00000000">
      <w:pPr>
        <w:spacing w:line="288" w:lineRule="auto" w:before="0" w:after="0"/>
        <w:ind w:left="368" w:hanging="368"/>
        <w:jc w:val="left"/>
      </w:pPr>
      <w:r>
        <w:rPr>
          <w:rFonts w:ascii="Times New Roman" w:hAnsi="Times New Roman" w:eastAsia="宋体"/>
          <w:b w:val="0"/>
          <w:i w:val="0"/>
          <w:sz w:val="18"/>
        </w:rPr>
        <w:t>[7] AL-BASSAM M. LazyLedger: a distributed data availability ledger with client-side smart contracts[EB/OL]. arXiv:1905.09274, 2019 [2026-06-15].</w:t>
      </w:r>
    </w:p>
    <w:p w14:paraId="6E2BE599" w14:textId="77777777" w:rsidR="00580E0B" w:rsidRDefault="00000000">
      <w:pPr>
        <w:spacing w:line="288" w:lineRule="auto" w:before="0" w:after="0"/>
        <w:ind w:left="368" w:hanging="368"/>
        <w:jc w:val="left"/>
      </w:pPr>
      <w:r>
        <w:rPr>
          <w:rFonts w:ascii="Times New Roman" w:hAnsi="Times New Roman" w:eastAsia="宋体"/>
          <w:b w:val="0"/>
          <w:i w:val="0"/>
          <w:sz w:val="18"/>
        </w:rPr>
        <w:t>[8] TAS E N, TSE D, YANG L, et al. Light clients for lazy blockchains[EB/OL]. arXiv:2203.15968, 2022 [2026-06-15].</w:t>
      </w:r>
    </w:p>
    <w:p w14:paraId="2514083C" w14:textId="77777777" w:rsidR="00580E0B" w:rsidRDefault="00000000">
      <w:pPr>
        <w:spacing w:line="288" w:lineRule="auto" w:before="0" w:after="0"/>
        <w:ind w:left="368" w:hanging="368"/>
        <w:jc w:val="left"/>
      </w:pPr>
      <w:r>
        <w:rPr>
          <w:rFonts w:ascii="Times New Roman" w:hAnsi="Times New Roman" w:eastAsia="宋体"/>
          <w:b w:val="0"/>
          <w:i w:val="0"/>
          <w:sz w:val="18"/>
        </w:rPr>
        <w:t>[9] EIGENLABS. EigenDA documentation[EB/OL]. 2024 [2026-06-15].</w:t>
      </w:r>
    </w:p>
    <w:p w14:paraId="0C8C9DC6" w14:textId="77777777" w:rsidR="00580E0B" w:rsidRDefault="00000000">
      <w:pPr>
        <w:spacing w:line="288" w:lineRule="auto" w:before="0" w:after="0"/>
        <w:ind w:left="368" w:hanging="368"/>
        <w:jc w:val="left"/>
      </w:pPr>
      <w:r>
        <w:rPr>
          <w:rFonts w:ascii="Times New Roman" w:hAnsi="Times New Roman" w:eastAsia="宋体"/>
          <w:b w:val="0"/>
          <w:i w:val="0"/>
          <w:sz w:val="18"/>
        </w:rPr>
        <w:t>[10] CELESTIA. Celestia: modular blockchain network[EB/OL]. 2024 [2026-06-15].</w:t>
      </w:r>
    </w:p>
    <w:p w14:paraId="098D5C58" w14:textId="77777777" w:rsidR="00580E0B" w:rsidRDefault="00000000">
      <w:pPr>
        <w:spacing w:line="288" w:lineRule="auto" w:before="0" w:after="0"/>
        <w:ind w:left="368" w:hanging="368"/>
        <w:jc w:val="left"/>
      </w:pPr>
      <w:r>
        <w:rPr>
          <w:rFonts w:ascii="Times New Roman" w:hAnsi="Times New Roman" w:eastAsia="宋体"/>
          <w:b w:val="0"/>
          <w:i w:val="0"/>
          <w:sz w:val="18"/>
        </w:rPr>
        <w:t>[11] INTEL CORPORATION. Intel Software Guard Extensions developer guide[EB/OL]. 2024 [2026-06-15].</w:t>
      </w:r>
    </w:p>
    <w:p w14:paraId="0F1C6447" w14:textId="77777777" w:rsidR="00580E0B" w:rsidRDefault="00000000">
      <w:pPr>
        <w:spacing w:line="288" w:lineRule="auto" w:before="0" w:after="0"/>
        <w:ind w:left="368" w:hanging="368"/>
        <w:jc w:val="left"/>
      </w:pPr>
      <w:r>
        <w:rPr>
          <w:rFonts w:ascii="Times New Roman" w:hAnsi="Times New Roman" w:eastAsia="宋体"/>
          <w:b w:val="0"/>
          <w:i w:val="0"/>
          <w:sz w:val="18"/>
        </w:rPr>
        <w:t>[12] ETHEREUM FOUNDATION. EIP-4844: shard blob transactions[EB/OL]. 2024 [2026-06-15].</w:t>
      </w:r>
    </w:p>
    <w:p w14:paraId="4F3FB622" w14:textId="77777777" w:rsidR="00580E0B" w:rsidRDefault="00000000">
      <w:pPr>
        <w:spacing w:line="288" w:lineRule="auto" w:before="0" w:after="0"/>
        <w:ind w:left="368" w:hanging="368"/>
        <w:jc w:val="left"/>
      </w:pPr>
      <w:r>
        <w:rPr>
          <w:rFonts w:ascii="Times New Roman" w:hAnsi="Times New Roman" w:eastAsia="宋体"/>
          <w:b w:val="0"/>
          <w:i w:val="0"/>
          <w:sz w:val="18"/>
        </w:rPr>
        <w:t>[13] OPTIMISM. opML: Optimistic Machine Learning on Blockchain. Available: https://opml.optimism.io/ [Accessed: 2026-10-28]</w:t>
      </w:r>
    </w:p>
    <w:p w14:paraId="5A3B14FC" w14:textId="77777777" w:rsidR="00580E0B" w:rsidRDefault="00000000">
      <w:pPr>
        <w:spacing w:line="288" w:lineRule="auto" w:before="0" w:after="0"/>
        <w:ind w:left="368" w:hanging="368"/>
        <w:jc w:val="left"/>
      </w:pPr>
      <w:r>
        <w:rPr>
          <w:rFonts w:ascii="Times New Roman" w:hAnsi="Times New Roman" w:eastAsia="宋体"/>
          <w:b w:val="0"/>
          <w:i w:val="0"/>
          <w:sz w:val="18"/>
        </w:rPr>
        <w:t>[14] ARBITRUM FOUNDATION. BoLD: Bounded Liquidity Delay. GitHub commit 30e78f67. Available: https://github.com/OffchainLabs/bold [Accessed: 2026-10-28]</w:t>
      </w:r>
    </w:p>
    <w:sectPr w:rsidR="00580E0B">
      <w:headerReference w:type="default" r:id="rId14"/>
      <w:footerReference w:type="default" r:id="rId15"/>
      <w:type w:val="continuous"/>
      <w:pgSz w:w="11906" w:h="16838"/>
      <w:pgMar w:top="1814" w:right="794" w:bottom="454" w:left="794" w:header="680" w:footer="454" w:gutter="0"/>
      <w:cols w:num="2" w:space="420"/>
      <w:docGrid w:type="lines" w:linePitch="2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F2E0B1" w14:textId="77777777" w:rsidR="00006D0C" w:rsidRDefault="00006D0C">
      <w:pPr>
        <w:spacing w:line="240" w:lineRule="auto"/>
      </w:pPr>
      <w:r>
        <w:separator/>
      </w:r>
    </w:p>
  </w:endnote>
  <w:endnote w:type="continuationSeparator" w:id="0">
    <w:p w14:paraId="1494E11A" w14:textId="77777777" w:rsidR="00006D0C" w:rsidRDefault="00006D0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方正书宋简体">
    <w:altName w:val="微软雅黑"/>
    <w:charset w:val="86"/>
    <w:family w:val="script"/>
    <w:pitch w:val="default"/>
    <w:sig w:usb0="00000001" w:usb1="080E0000" w:usb2="00000000" w:usb3="00000000" w:csb0="00040000" w:csb1="00000000"/>
  </w:font>
  <w:font w:name="方正大标宋简体">
    <w:altName w:val="汉仪书宋二KW"/>
    <w:charset w:val="86"/>
    <w:family w:val="script"/>
    <w:pitch w:val="default"/>
    <w:sig w:usb0="00000000" w:usb1="00000000" w:usb2="00000010" w:usb3="00000000" w:csb0="00040001" w:csb1="00000000"/>
  </w:font>
  <w:font w:name="方正楷体简体">
    <w:altName w:val="汉仪楷体简"/>
    <w:charset w:val="86"/>
    <w:family w:val="script"/>
    <w:pitch w:val="default"/>
    <w:sig w:usb0="00000000" w:usb1="00000000" w:usb2="00000010" w:usb3="00000000" w:csb0="00040000" w:csb1="00000000"/>
  </w:font>
  <w:font w:name="FangSong_GB2312">
    <w:altName w:val="仿宋-简"/>
    <w:panose1 w:val="02010609060101010101"/>
    <w:charset w:val="86"/>
    <w:family w:val="modern"/>
    <w:pitch w:val="default"/>
    <w:sig w:usb0="00000000" w:usb1="00000000" w:usb2="00000010" w:usb3="00000000" w:csb0="00040000" w:csb1="00000000"/>
  </w:font>
  <w:font w:name="方正小标宋简体">
    <w:altName w:val="汉仪书宋二KW"/>
    <w:charset w:val="86"/>
    <w:family w:val="script"/>
    <w:pitch w:val="default"/>
    <w:sig w:usb0="00000000" w:usb1="00000000" w:usb2="00000010" w:usb3="00000000" w:csb0="00040000"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KaiTi_GB2312">
    <w:altName w:val="汉仪楷体简"/>
    <w:panose1 w:val="02010609060101010101"/>
    <w:charset w:val="86"/>
    <w:family w:val="modern"/>
    <w:pitch w:val="default"/>
    <w:sig w:usb0="00000000" w:usb1="00000000" w:usb2="00000010" w:usb3="00000000" w:csb0="00040000" w:csb1="00000000"/>
  </w:font>
  <w:font w:name="Lucida Sans Unicode">
    <w:altName w:val="苹方-简"/>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nivers LT Std 55">
    <w:altName w:val="苹方-简"/>
    <w:charset w:val="86"/>
    <w:family w:val="swiss"/>
    <w:pitch w:val="default"/>
    <w:sig w:usb0="00000000" w:usb1="00000000" w:usb2="00000010" w:usb3="00000000" w:csb0="00040000" w:csb1="00000000"/>
  </w:font>
  <w:font w:name="·s²Ó©úÅé">
    <w:altName w:val="苹方-简"/>
    <w:charset w:val="88"/>
    <w:family w:val="auto"/>
    <w:pitch w:val="default"/>
    <w:sig w:usb0="00000000" w:usb1="00000000" w:usb2="00000010" w:usb3="00000000" w:csb0="00100000" w:csb1="00000000"/>
  </w:font>
  <w:font w:name="楷体">
    <w:altName w:val="KaiT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063F"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1551" w14:textId="77777777" w:rsidR="00580E0B" w:rsidRDefault="00000000">
    <w:pPr>
      <w:spacing w:line="200" w:lineRule="exact"/>
      <w:ind w:firstLine="0"/>
      <w:jc w:val="center"/>
    </w:pPr>
    <w:r>
      <w:fldChar w:fldCharType="begin"/>
    </w:r>
    <w:r>
      <w:instrText xml:space="preserve"> PAGE </w:instrText>
    </w:r>
    <w:r>
      <w:fldChar w:fldCharType="separate"/>
    </w:r>
    <w:r w:rsidR="003E6B9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81918" w14:textId="77777777" w:rsidR="00006D0C" w:rsidRDefault="00006D0C">
      <w:r>
        <w:separator/>
      </w:r>
    </w:p>
  </w:footnote>
  <w:footnote w:type="continuationSeparator" w:id="0">
    <w:p w14:paraId="6A6FC5F7" w14:textId="77777777" w:rsidR="00006D0C" w:rsidRDefault="00006D0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706FE2" w14:textId="77777777" w:rsidR="00580E0B" w:rsidRDefault="00000000">
    <w:pPr>
      <w:spacing w:line="200" w:lineRule="exact"/>
      <w:ind w:firstLine="0"/>
      <w:jc w:val="center"/>
    </w:pPr>
    <w:r>
      <w:rPr>
        <w:rFonts w:eastAsia="宋体"/>
        <w:sz w:val="18"/>
      </w:rPr>
      <w:t>计算机科学与探索</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E959" w14:textId="77777777" w:rsidR="00580E0B" w:rsidRDefault="00000000">
    <w:pPr>
      <w:spacing w:line="200" w:lineRule="exact"/>
      <w:ind w:firstLine="0"/>
      <w:jc w:val="center"/>
    </w:pPr>
    <w:r>
      <w:rPr>
        <w:rFonts w:eastAsia="宋体"/>
        <w:sz w:val="18"/>
      </w:rPr>
      <w:t>计算机科学与探索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4B0F7A"/>
    <w:multiLevelType w:val="multilevel"/>
    <w:tmpl w:val="664B0F7A"/>
    <w:lvl w:ilvl="0">
      <w:start w:val="1"/>
      <w:numFmt w:val="decimal"/>
      <w:pStyle w:val="a"/>
      <w:lvlText w:val="[%1]"/>
      <w:lvlJc w:val="right"/>
      <w:pPr>
        <w:tabs>
          <w:tab w:val="left" w:pos="397"/>
        </w:tabs>
        <w:ind w:left="397" w:hanging="113"/>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1" w15:restartNumberingAfterBreak="0">
    <w:nsid w:val="77A67DC1"/>
    <w:multiLevelType w:val="multilevel"/>
    <w:tmpl w:val="77A67DC1"/>
    <w:lvl w:ilvl="0">
      <w:start w:val="1"/>
      <w:numFmt w:val="decimal"/>
      <w:lvlText w:val="(%1)"/>
      <w:lvlJc w:val="left"/>
      <w:pPr>
        <w:tabs>
          <w:tab w:val="left" w:pos="420"/>
        </w:tabs>
        <w:ind w:left="420" w:hanging="420"/>
      </w:pPr>
      <w:rPr>
        <w:rFonts w:hint="eastAsia"/>
        <w:b w:val="0"/>
        <w:i w:val="0"/>
        <w:sz w:val="21"/>
        <w:szCs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304749445">
    <w:abstractNumId w:val="0"/>
  </w:num>
  <w:num w:numId="2" w16cid:durableId="552623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autoHyphenation/>
  <w:hyphenationZone w:val="357"/>
  <w:doNotHyphenateCaps/>
  <w:evenAndOddHeaders/>
  <w:drawingGridHorizontalSpacing w:val="112"/>
  <w:drawingGridVerticalSpacing w:val="299"/>
  <w:displayHorizontalDrawingGridEvery w:val="0"/>
  <w:doNotShadeFormData/>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2U1N2EzZmI0M2VhY2ZhMDRmMDZmODU0Y2Q2NDUwMWUifQ=="/>
  </w:docVars>
  <w:rsids>
    <w:rsidRoot w:val="00DD7751"/>
    <w:rsid w:val="00005CFD"/>
    <w:rsid w:val="00006D0C"/>
    <w:rsid w:val="00011807"/>
    <w:rsid w:val="00030EC8"/>
    <w:rsid w:val="00062942"/>
    <w:rsid w:val="00065AF5"/>
    <w:rsid w:val="00077395"/>
    <w:rsid w:val="00092FDB"/>
    <w:rsid w:val="00093840"/>
    <w:rsid w:val="000A7933"/>
    <w:rsid w:val="000B33B2"/>
    <w:rsid w:val="000D0D77"/>
    <w:rsid w:val="000E4AB0"/>
    <w:rsid w:val="000F47BB"/>
    <w:rsid w:val="00102E71"/>
    <w:rsid w:val="00104933"/>
    <w:rsid w:val="00124A00"/>
    <w:rsid w:val="00125ECE"/>
    <w:rsid w:val="00126DFB"/>
    <w:rsid w:val="00127C36"/>
    <w:rsid w:val="001325E7"/>
    <w:rsid w:val="0013393F"/>
    <w:rsid w:val="00140C1F"/>
    <w:rsid w:val="00171B26"/>
    <w:rsid w:val="00175948"/>
    <w:rsid w:val="001823F5"/>
    <w:rsid w:val="00187620"/>
    <w:rsid w:val="001A3230"/>
    <w:rsid w:val="001A6F72"/>
    <w:rsid w:val="001D1514"/>
    <w:rsid w:val="001E2B0D"/>
    <w:rsid w:val="001E7A55"/>
    <w:rsid w:val="002046FE"/>
    <w:rsid w:val="00207568"/>
    <w:rsid w:val="00232BE7"/>
    <w:rsid w:val="002527EC"/>
    <w:rsid w:val="00257EB1"/>
    <w:rsid w:val="00262D7B"/>
    <w:rsid w:val="00274B15"/>
    <w:rsid w:val="00281282"/>
    <w:rsid w:val="00285662"/>
    <w:rsid w:val="002909D7"/>
    <w:rsid w:val="002929B9"/>
    <w:rsid w:val="002A5AAF"/>
    <w:rsid w:val="002A6809"/>
    <w:rsid w:val="002B05AD"/>
    <w:rsid w:val="002F1962"/>
    <w:rsid w:val="00300423"/>
    <w:rsid w:val="00311726"/>
    <w:rsid w:val="00316198"/>
    <w:rsid w:val="00321B34"/>
    <w:rsid w:val="00325FE7"/>
    <w:rsid w:val="0034661D"/>
    <w:rsid w:val="00363096"/>
    <w:rsid w:val="0037513A"/>
    <w:rsid w:val="00391529"/>
    <w:rsid w:val="003A3B03"/>
    <w:rsid w:val="003A7A49"/>
    <w:rsid w:val="003B2B4A"/>
    <w:rsid w:val="003C0413"/>
    <w:rsid w:val="003D283B"/>
    <w:rsid w:val="003E6B98"/>
    <w:rsid w:val="003F4D96"/>
    <w:rsid w:val="00410857"/>
    <w:rsid w:val="00425EF8"/>
    <w:rsid w:val="00427D2F"/>
    <w:rsid w:val="00430C21"/>
    <w:rsid w:val="00443352"/>
    <w:rsid w:val="004517D9"/>
    <w:rsid w:val="004712CA"/>
    <w:rsid w:val="00471CCD"/>
    <w:rsid w:val="004734DC"/>
    <w:rsid w:val="00492674"/>
    <w:rsid w:val="00496EA3"/>
    <w:rsid w:val="004A3F07"/>
    <w:rsid w:val="004A5E16"/>
    <w:rsid w:val="004C1B48"/>
    <w:rsid w:val="004D0745"/>
    <w:rsid w:val="004E3926"/>
    <w:rsid w:val="005020CC"/>
    <w:rsid w:val="00504539"/>
    <w:rsid w:val="00512470"/>
    <w:rsid w:val="00521C56"/>
    <w:rsid w:val="005415C1"/>
    <w:rsid w:val="00541BE8"/>
    <w:rsid w:val="00561FB4"/>
    <w:rsid w:val="005656AE"/>
    <w:rsid w:val="00580E0B"/>
    <w:rsid w:val="00583A90"/>
    <w:rsid w:val="0058691B"/>
    <w:rsid w:val="00593843"/>
    <w:rsid w:val="005A4FC7"/>
    <w:rsid w:val="005A5381"/>
    <w:rsid w:val="005B36C3"/>
    <w:rsid w:val="005D325F"/>
    <w:rsid w:val="005D527B"/>
    <w:rsid w:val="005E0C60"/>
    <w:rsid w:val="005E5E46"/>
    <w:rsid w:val="005F3271"/>
    <w:rsid w:val="0061442D"/>
    <w:rsid w:val="0061493A"/>
    <w:rsid w:val="00627866"/>
    <w:rsid w:val="00630FC2"/>
    <w:rsid w:val="00646934"/>
    <w:rsid w:val="00647BF1"/>
    <w:rsid w:val="0066175C"/>
    <w:rsid w:val="00672075"/>
    <w:rsid w:val="00682CEF"/>
    <w:rsid w:val="00687DD2"/>
    <w:rsid w:val="006910EE"/>
    <w:rsid w:val="00692B1C"/>
    <w:rsid w:val="0069568D"/>
    <w:rsid w:val="0069734B"/>
    <w:rsid w:val="006A2B22"/>
    <w:rsid w:val="006B0F74"/>
    <w:rsid w:val="006B76C8"/>
    <w:rsid w:val="006C0A28"/>
    <w:rsid w:val="006C5969"/>
    <w:rsid w:val="006E5593"/>
    <w:rsid w:val="006E660F"/>
    <w:rsid w:val="006F0041"/>
    <w:rsid w:val="006F0A71"/>
    <w:rsid w:val="006F24B8"/>
    <w:rsid w:val="006F38E5"/>
    <w:rsid w:val="007007E1"/>
    <w:rsid w:val="00706FC3"/>
    <w:rsid w:val="00710883"/>
    <w:rsid w:val="0071098E"/>
    <w:rsid w:val="007165B6"/>
    <w:rsid w:val="00717396"/>
    <w:rsid w:val="00720303"/>
    <w:rsid w:val="007301C6"/>
    <w:rsid w:val="00737C66"/>
    <w:rsid w:val="00742E57"/>
    <w:rsid w:val="0074318C"/>
    <w:rsid w:val="00752567"/>
    <w:rsid w:val="007852FB"/>
    <w:rsid w:val="00795AD4"/>
    <w:rsid w:val="007A57FD"/>
    <w:rsid w:val="007D3B77"/>
    <w:rsid w:val="007F243C"/>
    <w:rsid w:val="007F5FD4"/>
    <w:rsid w:val="00807051"/>
    <w:rsid w:val="00811E54"/>
    <w:rsid w:val="00821102"/>
    <w:rsid w:val="00824B7B"/>
    <w:rsid w:val="00836F37"/>
    <w:rsid w:val="008415B3"/>
    <w:rsid w:val="0084726E"/>
    <w:rsid w:val="00852397"/>
    <w:rsid w:val="00855A85"/>
    <w:rsid w:val="00864984"/>
    <w:rsid w:val="008717C2"/>
    <w:rsid w:val="00880E03"/>
    <w:rsid w:val="008963F2"/>
    <w:rsid w:val="008A101C"/>
    <w:rsid w:val="008A33BB"/>
    <w:rsid w:val="008A618D"/>
    <w:rsid w:val="008A68EE"/>
    <w:rsid w:val="008B5EE6"/>
    <w:rsid w:val="008C48D2"/>
    <w:rsid w:val="008E29E7"/>
    <w:rsid w:val="008E311A"/>
    <w:rsid w:val="008F3E45"/>
    <w:rsid w:val="009075C1"/>
    <w:rsid w:val="009129E6"/>
    <w:rsid w:val="0091511F"/>
    <w:rsid w:val="00927BA4"/>
    <w:rsid w:val="00930393"/>
    <w:rsid w:val="00937398"/>
    <w:rsid w:val="0094671C"/>
    <w:rsid w:val="0095163F"/>
    <w:rsid w:val="00953B6D"/>
    <w:rsid w:val="00954AA2"/>
    <w:rsid w:val="00957851"/>
    <w:rsid w:val="009601A2"/>
    <w:rsid w:val="009603F3"/>
    <w:rsid w:val="00971BF5"/>
    <w:rsid w:val="009C00A6"/>
    <w:rsid w:val="009C219A"/>
    <w:rsid w:val="009C3A4D"/>
    <w:rsid w:val="009D1581"/>
    <w:rsid w:val="009D173E"/>
    <w:rsid w:val="009E12B4"/>
    <w:rsid w:val="009F1E94"/>
    <w:rsid w:val="009F6E9C"/>
    <w:rsid w:val="00A1228C"/>
    <w:rsid w:val="00A179AD"/>
    <w:rsid w:val="00A22196"/>
    <w:rsid w:val="00A32381"/>
    <w:rsid w:val="00A42AEF"/>
    <w:rsid w:val="00A528BC"/>
    <w:rsid w:val="00A5456A"/>
    <w:rsid w:val="00A66A5C"/>
    <w:rsid w:val="00A704A8"/>
    <w:rsid w:val="00A75E44"/>
    <w:rsid w:val="00A81F18"/>
    <w:rsid w:val="00A844BF"/>
    <w:rsid w:val="00A94994"/>
    <w:rsid w:val="00AC548C"/>
    <w:rsid w:val="00AD4912"/>
    <w:rsid w:val="00AD7D5F"/>
    <w:rsid w:val="00AF4A94"/>
    <w:rsid w:val="00AF7E14"/>
    <w:rsid w:val="00B0017D"/>
    <w:rsid w:val="00B02A2B"/>
    <w:rsid w:val="00B30964"/>
    <w:rsid w:val="00B3126B"/>
    <w:rsid w:val="00B35A65"/>
    <w:rsid w:val="00B45793"/>
    <w:rsid w:val="00B46DC9"/>
    <w:rsid w:val="00B47A48"/>
    <w:rsid w:val="00B50E6B"/>
    <w:rsid w:val="00B534DA"/>
    <w:rsid w:val="00B579CE"/>
    <w:rsid w:val="00B61B28"/>
    <w:rsid w:val="00B66F58"/>
    <w:rsid w:val="00B77187"/>
    <w:rsid w:val="00B877FB"/>
    <w:rsid w:val="00BA5026"/>
    <w:rsid w:val="00BB289C"/>
    <w:rsid w:val="00BB53E8"/>
    <w:rsid w:val="00BE1306"/>
    <w:rsid w:val="00BE44E1"/>
    <w:rsid w:val="00C132F9"/>
    <w:rsid w:val="00C31B06"/>
    <w:rsid w:val="00C36DE8"/>
    <w:rsid w:val="00C51506"/>
    <w:rsid w:val="00C53E3B"/>
    <w:rsid w:val="00C55DE3"/>
    <w:rsid w:val="00C57F4C"/>
    <w:rsid w:val="00C72274"/>
    <w:rsid w:val="00C73597"/>
    <w:rsid w:val="00C80585"/>
    <w:rsid w:val="00CA6AF4"/>
    <w:rsid w:val="00CA7590"/>
    <w:rsid w:val="00CB44BA"/>
    <w:rsid w:val="00CB7F98"/>
    <w:rsid w:val="00CC26FE"/>
    <w:rsid w:val="00CC3364"/>
    <w:rsid w:val="00CC7279"/>
    <w:rsid w:val="00CD0EAC"/>
    <w:rsid w:val="00CD3C10"/>
    <w:rsid w:val="00D075AE"/>
    <w:rsid w:val="00D36EB5"/>
    <w:rsid w:val="00D437E0"/>
    <w:rsid w:val="00D64354"/>
    <w:rsid w:val="00D84DFB"/>
    <w:rsid w:val="00DA2D6C"/>
    <w:rsid w:val="00DB19E1"/>
    <w:rsid w:val="00DC3E70"/>
    <w:rsid w:val="00DD2F86"/>
    <w:rsid w:val="00DD7751"/>
    <w:rsid w:val="00DE6BF6"/>
    <w:rsid w:val="00DF2B27"/>
    <w:rsid w:val="00E0715C"/>
    <w:rsid w:val="00E36621"/>
    <w:rsid w:val="00E44206"/>
    <w:rsid w:val="00E4780A"/>
    <w:rsid w:val="00E5183C"/>
    <w:rsid w:val="00E52E8E"/>
    <w:rsid w:val="00E55C67"/>
    <w:rsid w:val="00E704FF"/>
    <w:rsid w:val="00E7519C"/>
    <w:rsid w:val="00E80626"/>
    <w:rsid w:val="00E81A59"/>
    <w:rsid w:val="00E853A2"/>
    <w:rsid w:val="00EA0EC7"/>
    <w:rsid w:val="00EB266D"/>
    <w:rsid w:val="00EC32C7"/>
    <w:rsid w:val="00EC4832"/>
    <w:rsid w:val="00EC7F09"/>
    <w:rsid w:val="00EE3BFC"/>
    <w:rsid w:val="00EF4CA9"/>
    <w:rsid w:val="00F07032"/>
    <w:rsid w:val="00F12ECA"/>
    <w:rsid w:val="00F13829"/>
    <w:rsid w:val="00F2476D"/>
    <w:rsid w:val="00F80FA6"/>
    <w:rsid w:val="00FA0D8D"/>
    <w:rsid w:val="00FB04E1"/>
    <w:rsid w:val="00FB2D25"/>
    <w:rsid w:val="00FC5A98"/>
    <w:rsid w:val="00FD7C86"/>
    <w:rsid w:val="00FE3965"/>
    <w:rsid w:val="00FF01D7"/>
    <w:rsid w:val="155760AC"/>
    <w:rsid w:val="69915C8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7E2EA7B"/>
  <w15:docId w15:val="{0F4ECAD9-E48D-4D56-B78E-AD7A2959F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qFormat="1"/>
    <w:lsdException w:name="footnote text" w:uiPriority="99" w:qFormat="1"/>
    <w:lsdException w:name="annotation text" w:semiHidden="1" w:qFormat="1"/>
    <w:lsdException w:name="header" w:qFormat="1"/>
    <w:lsdException w:name="footer" w:qFormat="1"/>
    <w:lsdException w:name="index heading" w:semiHidden="1" w:unhideWhenUsed="1"/>
    <w:lsdException w:name="caption" w:qFormat="1"/>
    <w:lsdException w:name="table of figures" w:semiHidden="1" w:qFormat="1"/>
    <w:lsdException w:name="envelope address" w:semiHidden="1" w:unhideWhenUsed="1"/>
    <w:lsdException w:name="envelope return" w:semiHidden="1" w:unhideWhenUsed="1"/>
    <w:lsdException w:name="footnote reference" w:semiHidden="1" w:qFormat="1"/>
    <w:lsdException w:name="annotation reference" w:semiHidden="1" w:qFormat="1"/>
    <w:lsdException w:name="line number" w:semiHidden="1" w:unhideWhenUsed="1"/>
    <w:lsdException w:name="page number" w:qFormat="1"/>
    <w:lsdException w:name="endnote reference" w:semiHidden="1" w:unhideWhenUsed="1"/>
    <w:lsdException w:name="endnote text" w:semiHidden="1" w:qFormat="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qFormat="1"/>
    <w:lsdException w:name="Body Text Indent" w:qFormat="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qFormat="1"/>
    <w:lsdException w:name="Body Text Indent 2" w:semiHidden="1" w:unhideWhenUsed="1"/>
    <w:lsdException w:name="Body Text Indent 3" w:semiHidden="1" w:unhideWhenUsed="1"/>
    <w:lsdException w:name="Block Text"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qFormat="1"/>
    <w:lsdException w:name="HTML Variable" w:semiHidden="1" w:unhideWhenUsed="1"/>
    <w:lsdException w:name="Normal Table" w:semiHidden="1" w:uiPriority="99" w:unhideWhenUsed="1" w:qFormat="1"/>
    <w:lsdException w:name="annotation subject"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qFormat="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snapToGrid w:val="0"/>
      <w:spacing w:line="264" w:lineRule="auto"/>
      <w:ind w:firstLine="510"/>
      <w:jc w:val="both"/>
    </w:pPr>
    <w:rPr>
      <w:rFonts w:eastAsia="方正书宋简体"/>
      <w:snapToGrid w:val="0"/>
      <w:spacing w:val="2"/>
      <w:kern w:val="2"/>
      <w:sz w:val="22"/>
      <w:szCs w:val="24"/>
    </w:rPr>
  </w:style>
  <w:style w:type="paragraph" w:styleId="1">
    <w:name w:val="heading 1"/>
    <w:basedOn w:val="a0"/>
    <w:next w:val="a0"/>
    <w:qFormat/>
    <w:pPr>
      <w:keepNext/>
      <w:keepLines/>
      <w:spacing w:before="800" w:after="360" w:line="0" w:lineRule="atLeast"/>
      <w:ind w:firstLine="0"/>
      <w:jc w:val="left"/>
      <w:outlineLvl w:val="0"/>
    </w:pPr>
    <w:rPr>
      <w:rFonts w:eastAsia="方正大标宋简体"/>
      <w:bCs/>
      <w:kern w:val="44"/>
      <w:sz w:val="36"/>
      <w:szCs w:val="44"/>
    </w:rPr>
  </w:style>
  <w:style w:type="paragraph" w:styleId="2">
    <w:name w:val="heading 2"/>
    <w:basedOn w:val="a0"/>
    <w:next w:val="a0"/>
    <w:qFormat/>
    <w:pPr>
      <w:keepNext/>
      <w:keepLines/>
      <w:spacing w:before="160" w:after="100" w:line="0" w:lineRule="atLeast"/>
      <w:ind w:firstLine="0"/>
      <w:jc w:val="left"/>
      <w:outlineLvl w:val="1"/>
    </w:pPr>
    <w:rPr>
      <w:rFonts w:eastAsia="方正楷体简体"/>
      <w:bCs/>
      <w:sz w:val="24"/>
      <w:szCs w:val="32"/>
    </w:rPr>
  </w:style>
  <w:style w:type="paragraph" w:styleId="3">
    <w:name w:val="heading 3"/>
    <w:basedOn w:val="a0"/>
    <w:next w:val="a0"/>
    <w:qFormat/>
    <w:pPr>
      <w:keepNext/>
      <w:keepLines/>
      <w:spacing w:before="120" w:after="120"/>
      <w:ind w:right="680"/>
      <w:jc w:val="left"/>
      <w:outlineLvl w:val="2"/>
    </w:pPr>
    <w:rPr>
      <w:rFonts w:eastAsia="FangSong_GB2312"/>
      <w:bCs/>
      <w:sz w:val="18"/>
      <w:szCs w:val="32"/>
    </w:rPr>
  </w:style>
  <w:style w:type="paragraph" w:styleId="4">
    <w:name w:val="heading 4"/>
    <w:basedOn w:val="a0"/>
    <w:next w:val="a0"/>
    <w:qFormat/>
    <w:pPr>
      <w:keepNext/>
      <w:spacing w:before="440" w:after="440" w:line="0" w:lineRule="atLeast"/>
      <w:ind w:right="680" w:firstLine="0"/>
      <w:outlineLvl w:val="3"/>
    </w:pPr>
    <w:rPr>
      <w:b/>
      <w:bCs/>
      <w:snapToGrid/>
      <w:sz w:val="28"/>
      <w:szCs w:val="20"/>
    </w:rPr>
  </w:style>
  <w:style w:type="paragraph" w:styleId="5">
    <w:name w:val="heading 5"/>
    <w:basedOn w:val="a0"/>
    <w:next w:val="a0"/>
    <w:qFormat/>
    <w:pPr>
      <w:keepNext/>
      <w:spacing w:before="120" w:after="80"/>
      <w:ind w:right="680"/>
      <w:outlineLvl w:val="4"/>
    </w:pPr>
    <w:rPr>
      <w:rFonts w:eastAsia="宋体"/>
      <w:bCs/>
      <w:color w:val="000000"/>
      <w:sz w:val="24"/>
      <w:szCs w:val="21"/>
    </w:rPr>
  </w:style>
  <w:style w:type="paragraph" w:styleId="6">
    <w:name w:val="heading 6"/>
    <w:basedOn w:val="a0"/>
    <w:next w:val="a0"/>
    <w:qFormat/>
    <w:pPr>
      <w:keepNext/>
      <w:spacing w:before="120" w:after="360"/>
      <w:ind w:firstLine="0"/>
      <w:outlineLvl w:val="5"/>
    </w:pPr>
    <w:rPr>
      <w:bCs/>
      <w:sz w:val="20"/>
    </w:rPr>
  </w:style>
  <w:style w:type="paragraph" w:styleId="7">
    <w:name w:val="heading 7"/>
    <w:basedOn w:val="a0"/>
    <w:next w:val="a0"/>
    <w:qFormat/>
    <w:pPr>
      <w:keepNext/>
      <w:spacing w:before="240"/>
      <w:ind w:firstLine="0"/>
      <w:jc w:val="left"/>
      <w:outlineLvl w:val="6"/>
    </w:pPr>
    <w:rPr>
      <w:rFonts w:eastAsia="方正小标宋简体"/>
      <w:bCs/>
      <w:sz w:val="24"/>
    </w:rPr>
  </w:style>
  <w:style w:type="paragraph" w:styleId="8">
    <w:name w:val="heading 8"/>
    <w:basedOn w:val="a0"/>
    <w:next w:val="a0"/>
    <w:qFormat/>
    <w:pPr>
      <w:keepNext/>
      <w:ind w:firstLine="0"/>
      <w:outlineLvl w:val="7"/>
    </w:pPr>
    <w:rPr>
      <w:rFonts w:eastAsia="方正小标宋简体"/>
      <w:bCs/>
      <w:sz w:val="24"/>
    </w:rPr>
  </w:style>
  <w:style w:type="paragraph" w:styleId="9">
    <w:name w:val="heading 9"/>
    <w:basedOn w:val="a0"/>
    <w:next w:val="a0"/>
    <w:qFormat/>
    <w:pPr>
      <w:keepNext/>
      <w:spacing w:before="200" w:after="120"/>
      <w:outlineLvl w:val="8"/>
    </w:pPr>
    <w:rPr>
      <w:rFonts w:eastAsia="方正小标宋简体"/>
      <w:bCs/>
      <w:sz w:val="2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qFormat/>
    <w:pPr>
      <w:ind w:firstLineChars="200" w:firstLine="420"/>
    </w:pPr>
    <w:rPr>
      <w:snapToGrid/>
      <w:szCs w:val="20"/>
    </w:rPr>
  </w:style>
  <w:style w:type="paragraph" w:styleId="a5">
    <w:name w:val="caption"/>
    <w:basedOn w:val="a0"/>
    <w:next w:val="a0"/>
    <w:qFormat/>
    <w:rPr>
      <w:i/>
      <w:iCs/>
    </w:rPr>
  </w:style>
  <w:style w:type="paragraph" w:styleId="a6">
    <w:name w:val="Document Map"/>
    <w:basedOn w:val="a0"/>
    <w:semiHidden/>
    <w:qFormat/>
    <w:pPr>
      <w:shd w:val="clear" w:color="auto" w:fill="000080"/>
      <w:snapToGrid/>
      <w:spacing w:line="240" w:lineRule="auto"/>
      <w:ind w:firstLine="0"/>
    </w:pPr>
    <w:rPr>
      <w:rFonts w:eastAsia="宋体"/>
      <w:snapToGrid/>
      <w:spacing w:val="0"/>
      <w:sz w:val="21"/>
    </w:rPr>
  </w:style>
  <w:style w:type="paragraph" w:styleId="a7">
    <w:name w:val="annotation text"/>
    <w:basedOn w:val="a0"/>
    <w:semiHidden/>
    <w:qFormat/>
    <w:pPr>
      <w:snapToGrid/>
      <w:spacing w:line="240" w:lineRule="auto"/>
      <w:jc w:val="left"/>
    </w:pPr>
    <w:rPr>
      <w:rFonts w:eastAsia="宋体"/>
      <w:snapToGrid/>
      <w:spacing w:val="0"/>
      <w:sz w:val="21"/>
      <w:szCs w:val="21"/>
    </w:rPr>
  </w:style>
  <w:style w:type="paragraph" w:styleId="30">
    <w:name w:val="Body Text 3"/>
    <w:basedOn w:val="a0"/>
    <w:qFormat/>
    <w:rPr>
      <w:sz w:val="16"/>
      <w:szCs w:val="18"/>
    </w:rPr>
  </w:style>
  <w:style w:type="paragraph" w:styleId="a8">
    <w:name w:val="Body Text"/>
    <w:basedOn w:val="a0"/>
    <w:qFormat/>
    <w:rPr>
      <w:b/>
      <w:bCs/>
      <w:sz w:val="17"/>
    </w:rPr>
  </w:style>
  <w:style w:type="paragraph" w:styleId="a9">
    <w:name w:val="Body Text Indent"/>
    <w:basedOn w:val="a0"/>
    <w:qFormat/>
    <w:pPr>
      <w:ind w:firstLine="420"/>
    </w:pPr>
    <w:rPr>
      <w:szCs w:val="21"/>
    </w:rPr>
  </w:style>
  <w:style w:type="paragraph" w:styleId="aa">
    <w:name w:val="endnote text"/>
    <w:basedOn w:val="a0"/>
    <w:semiHidden/>
    <w:qFormat/>
    <w:pPr>
      <w:widowControl/>
      <w:snapToGrid/>
      <w:spacing w:line="240" w:lineRule="auto"/>
      <w:jc w:val="left"/>
    </w:pPr>
    <w:rPr>
      <w:rFonts w:ascii="Arial" w:eastAsia="宋体" w:hAnsi="Arial"/>
      <w:snapToGrid/>
      <w:spacing w:val="0"/>
      <w:kern w:val="0"/>
      <w:szCs w:val="20"/>
      <w:lang w:val="de-DE" w:eastAsia="de-DE"/>
    </w:rPr>
  </w:style>
  <w:style w:type="paragraph" w:styleId="ab">
    <w:name w:val="Balloon Text"/>
    <w:basedOn w:val="a0"/>
    <w:semiHidden/>
    <w:qFormat/>
    <w:pPr>
      <w:snapToGrid/>
      <w:spacing w:line="240" w:lineRule="auto"/>
    </w:pPr>
    <w:rPr>
      <w:rFonts w:eastAsia="宋体"/>
      <w:snapToGrid/>
      <w:spacing w:val="0"/>
      <w:sz w:val="18"/>
      <w:szCs w:val="18"/>
    </w:rPr>
  </w:style>
  <w:style w:type="paragraph" w:styleId="ac">
    <w:name w:val="footer"/>
    <w:basedOn w:val="a0"/>
    <w:qFormat/>
    <w:pPr>
      <w:tabs>
        <w:tab w:val="center" w:pos="4153"/>
        <w:tab w:val="right" w:pos="8306"/>
      </w:tabs>
      <w:jc w:val="left"/>
    </w:pPr>
    <w:rPr>
      <w:sz w:val="18"/>
      <w:szCs w:val="18"/>
    </w:rPr>
  </w:style>
  <w:style w:type="paragraph" w:styleId="ad">
    <w:name w:val="header"/>
    <w:basedOn w:val="a0"/>
    <w:link w:val="ae"/>
    <w:qFormat/>
    <w:pPr>
      <w:tabs>
        <w:tab w:val="center" w:pos="4153"/>
        <w:tab w:val="right" w:pos="8306"/>
      </w:tabs>
      <w:jc w:val="center"/>
    </w:pPr>
    <w:rPr>
      <w:snapToGrid/>
      <w:sz w:val="18"/>
      <w:szCs w:val="18"/>
    </w:rPr>
  </w:style>
  <w:style w:type="paragraph" w:styleId="af">
    <w:name w:val="Subtitle"/>
    <w:basedOn w:val="a0"/>
    <w:next w:val="a0"/>
    <w:qFormat/>
    <w:pPr>
      <w:overflowPunct w:val="0"/>
      <w:snapToGrid/>
      <w:spacing w:before="320" w:line="240" w:lineRule="auto"/>
      <w:ind w:firstLine="0"/>
      <w:outlineLvl w:val="0"/>
    </w:pPr>
    <w:rPr>
      <w:rFonts w:eastAsia="黑体"/>
      <w:snapToGrid/>
      <w:spacing w:val="0"/>
      <w:sz w:val="36"/>
      <w:szCs w:val="20"/>
    </w:rPr>
  </w:style>
  <w:style w:type="paragraph" w:styleId="af0">
    <w:name w:val="footnote text"/>
    <w:basedOn w:val="a0"/>
    <w:uiPriority w:val="99"/>
    <w:qFormat/>
    <w:pPr>
      <w:jc w:val="left"/>
    </w:pPr>
    <w:rPr>
      <w:sz w:val="18"/>
      <w:szCs w:val="18"/>
    </w:rPr>
  </w:style>
  <w:style w:type="paragraph" w:styleId="af1">
    <w:name w:val="table of figures"/>
    <w:basedOn w:val="a0"/>
    <w:next w:val="a0"/>
    <w:semiHidden/>
    <w:qFormat/>
  </w:style>
  <w:style w:type="paragraph" w:styleId="20">
    <w:name w:val="Body Text 2"/>
    <w:basedOn w:val="a0"/>
    <w:qFormat/>
    <w:pPr>
      <w:spacing w:after="60"/>
    </w:pPr>
    <w:rPr>
      <w:rFonts w:eastAsia="黑体"/>
      <w:b/>
      <w:bCs/>
      <w:sz w:val="16"/>
    </w:rPr>
  </w:style>
  <w:style w:type="paragraph" w:styleId="af2">
    <w:name w:val="Normal (Web)"/>
    <w:basedOn w:val="a0"/>
    <w:qFormat/>
    <w:pPr>
      <w:widowControl/>
      <w:snapToGrid/>
      <w:spacing w:before="100" w:beforeAutospacing="1" w:after="100" w:afterAutospacing="1" w:line="240" w:lineRule="auto"/>
      <w:jc w:val="left"/>
    </w:pPr>
    <w:rPr>
      <w:rFonts w:ascii="宋体" w:eastAsia="宋体" w:hAnsi="宋体" w:hint="eastAsia"/>
      <w:snapToGrid/>
      <w:spacing w:val="0"/>
      <w:kern w:val="0"/>
      <w:sz w:val="24"/>
    </w:rPr>
  </w:style>
  <w:style w:type="paragraph" w:styleId="af3">
    <w:name w:val="annotation subject"/>
    <w:basedOn w:val="a7"/>
    <w:next w:val="a7"/>
    <w:semiHidden/>
    <w:qFormat/>
    <w:rPr>
      <w:b/>
      <w:bCs/>
    </w:rPr>
  </w:style>
  <w:style w:type="table" w:styleId="af4">
    <w:name w:val="Table Grid"/>
    <w:basedOn w:val="a2"/>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Table Simple 1"/>
    <w:basedOn w:val="a2"/>
    <w:qFormat/>
    <w:pPr>
      <w:widowControl w:val="0"/>
      <w:snapToGrid w:val="0"/>
      <w:spacing w:line="264" w:lineRule="auto"/>
      <w:ind w:firstLine="51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character" w:styleId="af5">
    <w:name w:val="Strong"/>
    <w:qFormat/>
    <w:rPr>
      <w:b/>
      <w:bCs/>
    </w:rPr>
  </w:style>
  <w:style w:type="character" w:styleId="af6">
    <w:name w:val="page number"/>
    <w:basedOn w:val="a1"/>
    <w:qFormat/>
  </w:style>
  <w:style w:type="character" w:styleId="af7">
    <w:name w:val="FollowedHyperlink"/>
    <w:rPr>
      <w:color w:val="800080"/>
      <w:u w:val="single"/>
    </w:rPr>
  </w:style>
  <w:style w:type="character" w:styleId="af8">
    <w:name w:val="Emphasis"/>
    <w:qFormat/>
    <w:rPr>
      <w:i/>
      <w:iCs/>
    </w:rPr>
  </w:style>
  <w:style w:type="character" w:styleId="HTML">
    <w:name w:val="HTML Typewriter"/>
    <w:qFormat/>
    <w:rPr>
      <w:rFonts w:ascii="宋体" w:eastAsia="宋体" w:hAnsi="宋体" w:cs="宋体"/>
      <w:sz w:val="24"/>
      <w:szCs w:val="24"/>
    </w:rPr>
  </w:style>
  <w:style w:type="character" w:styleId="af9">
    <w:name w:val="Hyperlink"/>
    <w:rPr>
      <w:color w:val="0000FF"/>
      <w:u w:val="single"/>
    </w:rPr>
  </w:style>
  <w:style w:type="character" w:styleId="afa">
    <w:name w:val="annotation reference"/>
    <w:semiHidden/>
    <w:qFormat/>
    <w:rPr>
      <w:sz w:val="21"/>
      <w:szCs w:val="21"/>
    </w:rPr>
  </w:style>
  <w:style w:type="character" w:styleId="afb">
    <w:name w:val="footnote reference"/>
    <w:semiHidden/>
    <w:qFormat/>
    <w:rPr>
      <w:vertAlign w:val="superscript"/>
    </w:rPr>
  </w:style>
  <w:style w:type="paragraph" w:customStyle="1" w:styleId="11">
    <w:name w:val="样式1"/>
    <w:basedOn w:val="a0"/>
    <w:qFormat/>
    <w:pPr>
      <w:spacing w:after="160" w:line="288" w:lineRule="auto"/>
      <w:ind w:firstLine="0"/>
      <w:jc w:val="left"/>
    </w:pPr>
    <w:rPr>
      <w:rFonts w:eastAsia="方正楷体简体"/>
      <w:sz w:val="21"/>
    </w:rPr>
  </w:style>
  <w:style w:type="paragraph" w:customStyle="1" w:styleId="21">
    <w:name w:val="样式2"/>
    <w:basedOn w:val="a0"/>
    <w:qFormat/>
    <w:pPr>
      <w:spacing w:line="300" w:lineRule="auto"/>
      <w:ind w:firstLine="0"/>
    </w:pPr>
    <w:rPr>
      <w:rFonts w:eastAsia="方正楷体简体"/>
      <w:sz w:val="21"/>
    </w:rPr>
  </w:style>
  <w:style w:type="paragraph" w:customStyle="1" w:styleId="31">
    <w:name w:val="样式3"/>
    <w:basedOn w:val="a0"/>
    <w:pPr>
      <w:spacing w:line="280" w:lineRule="exact"/>
      <w:ind w:left="227" w:hanging="227"/>
    </w:pPr>
    <w:rPr>
      <w:spacing w:val="0"/>
      <w:sz w:val="21"/>
      <w:szCs w:val="18"/>
    </w:rPr>
  </w:style>
  <w:style w:type="paragraph" w:customStyle="1" w:styleId="40">
    <w:name w:val="样式4"/>
    <w:basedOn w:val="a0"/>
    <w:pPr>
      <w:spacing w:before="200" w:after="80" w:line="336" w:lineRule="auto"/>
      <w:ind w:firstLine="0"/>
    </w:pPr>
    <w:rPr>
      <w:spacing w:val="0"/>
      <w:sz w:val="21"/>
      <w:szCs w:val="18"/>
    </w:rPr>
  </w:style>
  <w:style w:type="character" w:customStyle="1" w:styleId="javascript">
    <w:name w:val="javascript"/>
    <w:basedOn w:val="a1"/>
  </w:style>
  <w:style w:type="paragraph" w:customStyle="1" w:styleId="100">
    <w:name w:val="标题10"/>
    <w:basedOn w:val="a0"/>
    <w:pPr>
      <w:spacing w:before="80" w:after="80"/>
    </w:pPr>
    <w:rPr>
      <w:rFonts w:eastAsia="KaiTi_GB2312"/>
      <w:color w:val="000000"/>
      <w:spacing w:val="10"/>
      <w:szCs w:val="21"/>
    </w:rPr>
  </w:style>
  <w:style w:type="paragraph" w:customStyle="1" w:styleId="a">
    <w:name w:val="参考文献"/>
    <w:basedOn w:val="a0"/>
    <w:pPr>
      <w:numPr>
        <w:numId w:val="1"/>
      </w:numPr>
      <w:spacing w:line="295" w:lineRule="auto"/>
    </w:pPr>
    <w:rPr>
      <w:color w:val="000000"/>
      <w:sz w:val="18"/>
      <w:szCs w:val="18"/>
    </w:rPr>
  </w:style>
  <w:style w:type="character" w:customStyle="1" w:styleId="datatitle1">
    <w:name w:val="datatitle1"/>
    <w:qFormat/>
    <w:rPr>
      <w:b/>
      <w:bCs/>
      <w:color w:val="10619F"/>
      <w:sz w:val="18"/>
      <w:szCs w:val="18"/>
    </w:rPr>
  </w:style>
  <w:style w:type="paragraph" w:customStyle="1" w:styleId="Default">
    <w:name w:val="Default"/>
    <w:pPr>
      <w:widowControl w:val="0"/>
      <w:autoSpaceDE w:val="0"/>
      <w:autoSpaceDN w:val="0"/>
      <w:adjustRightInd w:val="0"/>
    </w:pPr>
    <w:rPr>
      <w:color w:val="000000"/>
      <w:sz w:val="24"/>
      <w:szCs w:val="24"/>
    </w:rPr>
  </w:style>
  <w:style w:type="character" w:customStyle="1" w:styleId="wbr1">
    <w:name w:val="wbr1"/>
    <w:rPr>
      <w:rFonts w:ascii="Lucida Sans Unicode" w:hAnsi="Lucida Sans Unicode" w:cs="Lucida Sans Unicode" w:hint="default"/>
      <w:color w:val="FFFFFF"/>
      <w:spacing w:val="0"/>
      <w:sz w:val="2"/>
      <w:szCs w:val="2"/>
    </w:rPr>
  </w:style>
  <w:style w:type="character" w:customStyle="1" w:styleId="journaltitle3">
    <w:name w:val="journal_title3"/>
    <w:qFormat/>
    <w:rPr>
      <w:i/>
      <w:iCs/>
    </w:rPr>
  </w:style>
  <w:style w:type="paragraph" w:customStyle="1" w:styleId="afc">
    <w:name w:val="毕业论文正文"/>
    <w:basedOn w:val="a0"/>
    <w:pPr>
      <w:snapToGrid/>
      <w:spacing w:line="360" w:lineRule="exact"/>
      <w:ind w:firstLineChars="200" w:firstLine="200"/>
    </w:pPr>
    <w:rPr>
      <w:rFonts w:eastAsia="宋体"/>
      <w:snapToGrid/>
      <w:spacing w:val="0"/>
      <w:sz w:val="21"/>
      <w:szCs w:val="21"/>
    </w:rPr>
  </w:style>
  <w:style w:type="paragraph" w:customStyle="1" w:styleId="afd">
    <w:name w:val="毕业论文图名表头"/>
    <w:basedOn w:val="a0"/>
    <w:pPr>
      <w:snapToGrid/>
      <w:spacing w:beforeLines="50" w:afterLines="50" w:line="240" w:lineRule="exact"/>
      <w:jc w:val="center"/>
    </w:pPr>
    <w:rPr>
      <w:rFonts w:eastAsia="宋体"/>
      <w:b/>
      <w:snapToGrid/>
      <w:spacing w:val="0"/>
      <w:sz w:val="18"/>
      <w:szCs w:val="18"/>
    </w:rPr>
  </w:style>
  <w:style w:type="paragraph" w:customStyle="1" w:styleId="22">
    <w:name w:val="标题2"/>
    <w:basedOn w:val="2"/>
    <w:qFormat/>
    <w:pPr>
      <w:keepLines w:val="0"/>
      <w:snapToGrid/>
      <w:spacing w:beforeLines="100" w:afterLines="100" w:line="240" w:lineRule="auto"/>
      <w:jc w:val="both"/>
    </w:pPr>
    <w:rPr>
      <w:rFonts w:eastAsia="黑体"/>
      <w:bCs w:val="0"/>
      <w:snapToGrid/>
      <w:spacing w:val="0"/>
      <w:sz w:val="28"/>
      <w:szCs w:val="24"/>
    </w:rPr>
  </w:style>
  <w:style w:type="character" w:customStyle="1" w:styleId="Char">
    <w:name w:val="毕业论文正文 Char"/>
    <w:qFormat/>
    <w:rPr>
      <w:rFonts w:eastAsia="宋体"/>
      <w:kern w:val="2"/>
      <w:sz w:val="21"/>
      <w:szCs w:val="21"/>
      <w:lang w:val="en-US" w:eastAsia="zh-CN" w:bidi="ar-SA"/>
    </w:rPr>
  </w:style>
  <w:style w:type="character" w:customStyle="1" w:styleId="ti">
    <w:name w:val="ti"/>
    <w:basedOn w:val="a1"/>
    <w:qFormat/>
  </w:style>
  <w:style w:type="character" w:customStyle="1" w:styleId="afe">
    <w:name w:val="a"/>
    <w:basedOn w:val="a1"/>
    <w:qFormat/>
  </w:style>
  <w:style w:type="character" w:customStyle="1" w:styleId="aff1">
    <w:name w:val="aff1"/>
    <w:rPr>
      <w:rFonts w:ascii="Verdana" w:hAnsi="Verdana" w:hint="default"/>
      <w:color w:val="000000"/>
      <w:sz w:val="15"/>
      <w:szCs w:val="15"/>
    </w:rPr>
  </w:style>
  <w:style w:type="character" w:customStyle="1" w:styleId="itemfirstlastodd">
    <w:name w:val="item first last odd"/>
    <w:basedOn w:val="a1"/>
    <w:qFormat/>
  </w:style>
  <w:style w:type="character" w:customStyle="1" w:styleId="2Char">
    <w:name w:val="标题 2 Char"/>
    <w:rPr>
      <w:rFonts w:ascii="Arial" w:eastAsia="黑体" w:hAnsi="Arial"/>
      <w:b/>
      <w:bCs/>
      <w:kern w:val="2"/>
      <w:sz w:val="32"/>
      <w:szCs w:val="32"/>
    </w:rPr>
  </w:style>
  <w:style w:type="character" w:customStyle="1" w:styleId="Char0">
    <w:name w:val="页眉 Char"/>
    <w:qFormat/>
    <w:rPr>
      <w:kern w:val="2"/>
      <w:sz w:val="18"/>
      <w:szCs w:val="18"/>
    </w:rPr>
  </w:style>
  <w:style w:type="character" w:customStyle="1" w:styleId="Char1">
    <w:name w:val="页脚 Char"/>
    <w:rPr>
      <w:kern w:val="2"/>
      <w:sz w:val="18"/>
      <w:szCs w:val="18"/>
    </w:rPr>
  </w:style>
  <w:style w:type="character" w:customStyle="1" w:styleId="3Char">
    <w:name w:val="标题 3 Char"/>
    <w:rPr>
      <w:rFonts w:ascii="宋体" w:eastAsia="FangSong_GB2312" w:hAnsi="宋体"/>
      <w:b/>
      <w:bCs/>
      <w:sz w:val="21"/>
      <w:szCs w:val="27"/>
    </w:rPr>
  </w:style>
  <w:style w:type="character" w:customStyle="1" w:styleId="Char2">
    <w:name w:val="纯文本 Char"/>
    <w:qFormat/>
    <w:rPr>
      <w:rFonts w:ascii="宋体" w:hAnsi="Courier New" w:cs="Courier New"/>
      <w:kern w:val="2"/>
      <w:sz w:val="21"/>
      <w:szCs w:val="21"/>
    </w:rPr>
  </w:style>
  <w:style w:type="character" w:customStyle="1" w:styleId="Char3">
    <w:name w:val="正文文本 Char"/>
    <w:rPr>
      <w:rFonts w:ascii="宋体" w:hAnsi="宋体"/>
      <w:kern w:val="2"/>
      <w:sz w:val="21"/>
      <w:szCs w:val="24"/>
    </w:rPr>
  </w:style>
  <w:style w:type="character" w:customStyle="1" w:styleId="HTMLChar">
    <w:name w:val="HTML 预设格式 Char"/>
    <w:qFormat/>
    <w:rPr>
      <w:rFonts w:ascii="宋体" w:hAnsi="宋体"/>
      <w:color w:val="000000"/>
      <w:sz w:val="24"/>
      <w:szCs w:val="24"/>
    </w:rPr>
  </w:style>
  <w:style w:type="character" w:customStyle="1" w:styleId="Char4">
    <w:name w:val="日期 Char"/>
    <w:rPr>
      <w:kern w:val="2"/>
      <w:sz w:val="21"/>
      <w:szCs w:val="24"/>
    </w:rPr>
  </w:style>
  <w:style w:type="character" w:customStyle="1" w:styleId="Char5">
    <w:name w:val="批注框文本 Char"/>
    <w:rPr>
      <w:kern w:val="2"/>
      <w:sz w:val="18"/>
      <w:szCs w:val="18"/>
    </w:rPr>
  </w:style>
  <w:style w:type="character" w:customStyle="1" w:styleId="s1magstyle5magstyle8">
    <w:name w:val="s1 mag_style5  mag_style8"/>
    <w:basedOn w:val="a1"/>
  </w:style>
  <w:style w:type="character" w:customStyle="1" w:styleId="s5magstyle5">
    <w:name w:val="s5 mag_style5"/>
    <w:basedOn w:val="a1"/>
    <w:qFormat/>
  </w:style>
  <w:style w:type="character" w:customStyle="1" w:styleId="doi13">
    <w:name w:val="doi13"/>
    <w:basedOn w:val="a1"/>
  </w:style>
  <w:style w:type="paragraph" w:styleId="aff">
    <w:name w:val="No Spacing"/>
    <w:qFormat/>
    <w:pPr>
      <w:widowControl w:val="0"/>
      <w:jc w:val="both"/>
    </w:pPr>
    <w:rPr>
      <w:rFonts w:ascii="Calibri" w:hAnsi="Calibri"/>
      <w:kern w:val="2"/>
      <w:sz w:val="21"/>
      <w:szCs w:val="22"/>
    </w:rPr>
  </w:style>
  <w:style w:type="paragraph" w:styleId="aff0">
    <w:name w:val="List Paragraph"/>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1Char">
    <w:name w:val="标题 1 Char"/>
    <w:rPr>
      <w:rFonts w:ascii="宋体" w:eastAsia="宋体" w:hAnsi="宋体" w:cs="宋体"/>
      <w:b/>
      <w:bCs/>
      <w:kern w:val="36"/>
      <w:sz w:val="48"/>
      <w:szCs w:val="48"/>
    </w:rPr>
  </w:style>
  <w:style w:type="character" w:customStyle="1" w:styleId="journal8">
    <w:name w:val="journal8"/>
    <w:rPr>
      <w:i/>
      <w:iCs/>
    </w:rPr>
  </w:style>
  <w:style w:type="character" w:customStyle="1" w:styleId="jnumber1">
    <w:name w:val="jnumber1"/>
    <w:rPr>
      <w:b/>
      <w:bCs/>
    </w:rPr>
  </w:style>
  <w:style w:type="character" w:customStyle="1" w:styleId="atl">
    <w:name w:val="atl"/>
    <w:basedOn w:val="a1"/>
  </w:style>
  <w:style w:type="character" w:customStyle="1" w:styleId="jtl">
    <w:name w:val="jtl"/>
    <w:basedOn w:val="a1"/>
  </w:style>
  <w:style w:type="character" w:customStyle="1" w:styleId="vid">
    <w:name w:val="vid"/>
    <w:basedOn w:val="a1"/>
  </w:style>
  <w:style w:type="character" w:customStyle="1" w:styleId="cite-month-year">
    <w:name w:val="cite-month-year"/>
    <w:basedOn w:val="a1"/>
    <w:qFormat/>
  </w:style>
  <w:style w:type="character" w:customStyle="1" w:styleId="atl3">
    <w:name w:val="atl3"/>
    <w:basedOn w:val="a1"/>
  </w:style>
  <w:style w:type="character" w:customStyle="1" w:styleId="jtl1">
    <w:name w:val="jtl1"/>
    <w:rPr>
      <w:i/>
      <w:iCs/>
    </w:rPr>
  </w:style>
  <w:style w:type="character" w:customStyle="1" w:styleId="vid1">
    <w:name w:val="vid1"/>
    <w:qFormat/>
    <w:rPr>
      <w:b/>
      <w:bCs/>
    </w:rPr>
  </w:style>
  <w:style w:type="character" w:customStyle="1" w:styleId="articletext">
    <w:name w:val="articletext"/>
    <w:basedOn w:val="a1"/>
  </w:style>
  <w:style w:type="character" w:customStyle="1" w:styleId="hit">
    <w:name w:val="hit"/>
    <w:basedOn w:val="a1"/>
  </w:style>
  <w:style w:type="paragraph" w:customStyle="1" w:styleId="details3">
    <w:name w:val="details3"/>
    <w:basedOn w:val="a0"/>
    <w:pPr>
      <w:widowControl/>
      <w:snapToGrid/>
      <w:spacing w:line="300" w:lineRule="auto"/>
      <w:jc w:val="left"/>
    </w:pPr>
    <w:rPr>
      <w:rFonts w:ascii="宋体" w:eastAsia="宋体" w:hAnsi="宋体"/>
      <w:snapToGrid/>
      <w:spacing w:val="0"/>
      <w:kern w:val="0"/>
      <w:sz w:val="26"/>
      <w:szCs w:val="26"/>
    </w:rPr>
  </w:style>
  <w:style w:type="character" w:customStyle="1" w:styleId="i1">
    <w:name w:val="i1"/>
    <w:qFormat/>
    <w:rPr>
      <w:i/>
      <w:iCs/>
    </w:rPr>
  </w:style>
  <w:style w:type="character" w:customStyle="1" w:styleId="journalname">
    <w:name w:val="journalname"/>
    <w:rPr>
      <w:i/>
      <w:iCs/>
    </w:rPr>
  </w:style>
  <w:style w:type="character" w:customStyle="1" w:styleId="journalnumber">
    <w:name w:val="journalnumber"/>
    <w:rPr>
      <w:b/>
      <w:bCs/>
    </w:rPr>
  </w:style>
  <w:style w:type="character" w:customStyle="1" w:styleId="atl1">
    <w:name w:val="atl1"/>
    <w:basedOn w:val="a1"/>
    <w:qFormat/>
  </w:style>
  <w:style w:type="character" w:customStyle="1" w:styleId="style21">
    <w:name w:val="style21"/>
    <w:qFormat/>
    <w:rPr>
      <w:rFonts w:ascii="Verdana" w:hAnsi="Verdana" w:hint="default"/>
    </w:rPr>
  </w:style>
  <w:style w:type="character" w:customStyle="1" w:styleId="journalname1">
    <w:name w:val="journalname1"/>
    <w:qFormat/>
    <w:rPr>
      <w:i/>
      <w:iCs/>
    </w:rPr>
  </w:style>
  <w:style w:type="character" w:customStyle="1" w:styleId="cite-pages">
    <w:name w:val="cite-pages"/>
    <w:basedOn w:val="a1"/>
    <w:qFormat/>
  </w:style>
  <w:style w:type="character" w:customStyle="1" w:styleId="Char6">
    <w:name w:val="脚注文本 Char"/>
    <w:uiPriority w:val="99"/>
    <w:qFormat/>
    <w:rPr>
      <w:kern w:val="2"/>
      <w:sz w:val="18"/>
      <w:szCs w:val="18"/>
    </w:rPr>
  </w:style>
  <w:style w:type="character" w:customStyle="1" w:styleId="Char7">
    <w:name w:val="尾注文本 Char"/>
    <w:semiHidden/>
    <w:qFormat/>
    <w:rPr>
      <w:kern w:val="2"/>
      <w:sz w:val="21"/>
      <w:szCs w:val="22"/>
    </w:rPr>
  </w:style>
  <w:style w:type="character" w:customStyle="1" w:styleId="volume">
    <w:name w:val="volume"/>
    <w:basedOn w:val="a1"/>
    <w:qFormat/>
  </w:style>
  <w:style w:type="character" w:customStyle="1" w:styleId="issue">
    <w:name w:val="issue"/>
    <w:basedOn w:val="a1"/>
  </w:style>
  <w:style w:type="character" w:customStyle="1" w:styleId="pages">
    <w:name w:val="pages"/>
    <w:basedOn w:val="a1"/>
  </w:style>
  <w:style w:type="character" w:customStyle="1" w:styleId="style141">
    <w:name w:val="style141"/>
    <w:rPr>
      <w:color w:val="000000"/>
      <w:sz w:val="14"/>
      <w:szCs w:val="14"/>
    </w:rPr>
  </w:style>
  <w:style w:type="character" w:customStyle="1" w:styleId="magstyle5">
    <w:name w:val="mag_style5"/>
    <w:basedOn w:val="a1"/>
  </w:style>
  <w:style w:type="paragraph" w:customStyle="1" w:styleId="Pa54">
    <w:name w:val="Pa54"/>
    <w:basedOn w:val="Default"/>
    <w:next w:val="Default"/>
    <w:pPr>
      <w:spacing w:after="80" w:line="201" w:lineRule="atLeast"/>
    </w:pPr>
    <w:rPr>
      <w:rFonts w:ascii="Univers LT Std 55" w:eastAsia="Univers LT Std 55"/>
      <w:color w:val="auto"/>
    </w:rPr>
  </w:style>
  <w:style w:type="character" w:customStyle="1" w:styleId="A20">
    <w:name w:val="A2"/>
    <w:qFormat/>
    <w:rPr>
      <w:rFonts w:cs="Univers LT Std 55"/>
      <w:color w:val="221E1F"/>
      <w:sz w:val="16"/>
      <w:szCs w:val="16"/>
    </w:rPr>
  </w:style>
  <w:style w:type="character" w:customStyle="1" w:styleId="highlight1">
    <w:name w:val="highlight1"/>
    <w:qFormat/>
    <w:rPr>
      <w:sz w:val="21"/>
      <w:szCs w:val="21"/>
    </w:rPr>
  </w:style>
  <w:style w:type="character" w:customStyle="1" w:styleId="newtitle1">
    <w:name w:val="newtitle1"/>
    <w:rPr>
      <w:b/>
      <w:bCs/>
      <w:color w:val="104264"/>
    </w:rPr>
  </w:style>
  <w:style w:type="paragraph" w:customStyle="1" w:styleId="Web1">
    <w:name w:val="普通(Web)1"/>
    <w:basedOn w:val="a0"/>
    <w:qFormat/>
    <w:pPr>
      <w:widowControl/>
      <w:snapToGrid/>
      <w:spacing w:before="240" w:line="288" w:lineRule="atLeast"/>
      <w:ind w:left="120"/>
      <w:jc w:val="left"/>
    </w:pPr>
    <w:rPr>
      <w:rFonts w:ascii="宋体" w:eastAsia="宋体" w:hAnsi="宋体"/>
      <w:snapToGrid/>
      <w:color w:val="000000"/>
      <w:spacing w:val="0"/>
      <w:kern w:val="0"/>
      <w:szCs w:val="22"/>
    </w:rPr>
  </w:style>
  <w:style w:type="character" w:customStyle="1" w:styleId="ti2">
    <w:name w:val="ti2"/>
    <w:rPr>
      <w:sz w:val="22"/>
      <w:szCs w:val="22"/>
    </w:rPr>
  </w:style>
  <w:style w:type="paragraph" w:customStyle="1" w:styleId="220">
    <w:name w:val="标题 22"/>
    <w:basedOn w:val="a0"/>
    <w:qFormat/>
    <w:pPr>
      <w:widowControl/>
      <w:pBdr>
        <w:top w:val="single" w:sz="6" w:space="6" w:color="CCCCCC"/>
        <w:left w:val="single" w:sz="6" w:space="6" w:color="CCCCCC"/>
        <w:bottom w:val="single" w:sz="6" w:space="6" w:color="CCCCCC"/>
        <w:right w:val="single" w:sz="6" w:space="6" w:color="CCCCCC"/>
      </w:pBdr>
      <w:shd w:val="clear" w:color="auto" w:fill="F0F8FF"/>
      <w:snapToGrid/>
      <w:spacing w:before="240" w:after="240" w:line="240" w:lineRule="auto"/>
      <w:jc w:val="left"/>
      <w:outlineLvl w:val="2"/>
    </w:pPr>
    <w:rPr>
      <w:rFonts w:ascii="Arial" w:eastAsia="宋体" w:hAnsi="Arial" w:cs="Arial"/>
      <w:b/>
      <w:bCs/>
      <w:snapToGrid/>
      <w:color w:val="000000"/>
      <w:spacing w:val="0"/>
      <w:kern w:val="0"/>
      <w:sz w:val="23"/>
      <w:szCs w:val="23"/>
    </w:rPr>
  </w:style>
  <w:style w:type="character" w:customStyle="1" w:styleId="linkbar">
    <w:name w:val="linkbar"/>
    <w:basedOn w:val="a1"/>
  </w:style>
  <w:style w:type="paragraph" w:customStyle="1" w:styleId="affiliation2">
    <w:name w:val="affiliation2"/>
    <w:basedOn w:val="a0"/>
    <w:qFormat/>
    <w:pPr>
      <w:widowControl/>
      <w:snapToGrid/>
      <w:spacing w:before="240" w:after="120" w:line="288" w:lineRule="atLeast"/>
      <w:ind w:left="120"/>
      <w:jc w:val="left"/>
    </w:pPr>
    <w:rPr>
      <w:rFonts w:ascii="宋体" w:eastAsia="宋体" w:hAnsi="宋体"/>
      <w:snapToGrid/>
      <w:color w:val="000000"/>
      <w:spacing w:val="0"/>
      <w:kern w:val="0"/>
      <w:sz w:val="19"/>
      <w:szCs w:val="19"/>
    </w:rPr>
  </w:style>
  <w:style w:type="paragraph" w:customStyle="1" w:styleId="12">
    <w:name w:val="脚注文本1"/>
    <w:basedOn w:val="af0"/>
    <w:qFormat/>
    <w:pPr>
      <w:tabs>
        <w:tab w:val="left" w:pos="465"/>
      </w:tabs>
      <w:overflowPunct w:val="0"/>
      <w:spacing w:line="312" w:lineRule="auto"/>
      <w:ind w:firstLineChars="297" w:firstLine="297"/>
      <w:jc w:val="both"/>
    </w:pPr>
    <w:rPr>
      <w:rFonts w:eastAsia="宋体"/>
      <w:snapToGrid/>
      <w:spacing w:val="0"/>
      <w:sz w:val="15"/>
      <w:szCs w:val="20"/>
    </w:rPr>
  </w:style>
  <w:style w:type="paragraph" w:customStyle="1" w:styleId="aff2">
    <w:name w:val="单位"/>
    <w:qFormat/>
    <w:pPr>
      <w:ind w:left="70" w:hangingChars="70" w:hanging="70"/>
      <w:jc w:val="both"/>
    </w:pPr>
    <w:rPr>
      <w:sz w:val="17"/>
    </w:rPr>
  </w:style>
  <w:style w:type="paragraph" w:customStyle="1" w:styleId="DepartCorrespond">
    <w:name w:val="Depart.Correspond"/>
    <w:basedOn w:val="aff2"/>
    <w:qFormat/>
    <w:pPr>
      <w:ind w:left="66" w:hangingChars="66" w:hanging="66"/>
    </w:pPr>
    <w:rPr>
      <w:iCs/>
      <w:sz w:val="16"/>
    </w:rPr>
  </w:style>
  <w:style w:type="paragraph" w:customStyle="1" w:styleId="13">
    <w:name w:val="日期1"/>
    <w:basedOn w:val="DepartCorrespond"/>
    <w:next w:val="a0"/>
    <w:pPr>
      <w:spacing w:after="240"/>
    </w:pPr>
    <w:rPr>
      <w:sz w:val="18"/>
    </w:rPr>
  </w:style>
  <w:style w:type="paragraph" w:customStyle="1" w:styleId="aff3">
    <w:name w:val="首页页眉"/>
    <w:basedOn w:val="ad"/>
    <w:pPr>
      <w:pBdr>
        <w:bottom w:val="double" w:sz="6" w:space="1" w:color="auto"/>
      </w:pBdr>
      <w:tabs>
        <w:tab w:val="clear" w:pos="4153"/>
        <w:tab w:val="clear" w:pos="8306"/>
      </w:tabs>
      <w:overflowPunct w:val="0"/>
      <w:spacing w:line="240" w:lineRule="auto"/>
      <w:ind w:firstLine="0"/>
      <w:jc w:val="both"/>
    </w:pPr>
    <w:rPr>
      <w:rFonts w:eastAsia="宋体"/>
      <w:spacing w:val="0"/>
      <w:szCs w:val="20"/>
    </w:rPr>
  </w:style>
  <w:style w:type="paragraph" w:customStyle="1" w:styleId="Keywords">
    <w:name w:val="Key words"/>
    <w:basedOn w:val="a0"/>
    <w:next w:val="a0"/>
    <w:pPr>
      <w:tabs>
        <w:tab w:val="left" w:pos="1176"/>
      </w:tabs>
      <w:overflowPunct w:val="0"/>
      <w:adjustRightInd w:val="0"/>
      <w:snapToGrid/>
      <w:spacing w:after="290" w:line="240" w:lineRule="auto"/>
      <w:ind w:left="632" w:hangingChars="632" w:hanging="632"/>
    </w:pPr>
    <w:rPr>
      <w:rFonts w:eastAsia="KaiTi_GB2312"/>
      <w:spacing w:val="0"/>
      <w:sz w:val="18"/>
      <w:szCs w:val="20"/>
    </w:rPr>
  </w:style>
  <w:style w:type="paragraph" w:customStyle="1" w:styleId="aff4">
    <w:name w:val="关键词"/>
    <w:basedOn w:val="a0"/>
    <w:next w:val="aff5"/>
    <w:qFormat/>
    <w:pPr>
      <w:tabs>
        <w:tab w:val="left" w:pos="798"/>
      </w:tabs>
      <w:overflowPunct w:val="0"/>
      <w:adjustRightInd w:val="0"/>
      <w:snapToGrid/>
      <w:spacing w:line="240" w:lineRule="auto"/>
      <w:ind w:left="429" w:hangingChars="429" w:hanging="429"/>
    </w:pPr>
    <w:rPr>
      <w:rFonts w:eastAsia="KaiTi_GB2312"/>
      <w:spacing w:val="0"/>
      <w:sz w:val="18"/>
      <w:szCs w:val="20"/>
    </w:rPr>
  </w:style>
  <w:style w:type="paragraph" w:customStyle="1" w:styleId="aff5">
    <w:name w:val="分类号"/>
    <w:basedOn w:val="13"/>
    <w:next w:val="a8"/>
    <w:pPr>
      <w:tabs>
        <w:tab w:val="left" w:pos="1233"/>
      </w:tabs>
      <w:spacing w:after="320"/>
      <w:ind w:left="0" w:firstLineChars="0" w:firstLine="0"/>
    </w:pPr>
    <w:rPr>
      <w:rFonts w:eastAsia="黑体"/>
    </w:rPr>
  </w:style>
  <w:style w:type="paragraph" w:customStyle="1" w:styleId="14">
    <w:name w:val="标题1"/>
    <w:basedOn w:val="a0"/>
    <w:next w:val="Name"/>
    <w:pPr>
      <w:keepNext/>
      <w:keepLines/>
      <w:overflowPunct w:val="0"/>
      <w:spacing w:before="240" w:after="100" w:line="240" w:lineRule="auto"/>
      <w:ind w:firstLine="0"/>
      <w:outlineLvl w:val="0"/>
    </w:pPr>
    <w:rPr>
      <w:rFonts w:eastAsia="黑体"/>
      <w:b/>
      <w:snapToGrid/>
      <w:spacing w:val="0"/>
      <w:szCs w:val="20"/>
    </w:rPr>
  </w:style>
  <w:style w:type="paragraph" w:customStyle="1" w:styleId="Name">
    <w:name w:val="Name"/>
    <w:basedOn w:val="a0"/>
    <w:next w:val="DepartCorrespond"/>
    <w:qFormat/>
    <w:pPr>
      <w:keepNext/>
      <w:overflowPunct w:val="0"/>
      <w:snapToGrid/>
      <w:spacing w:before="220" w:after="180" w:line="0" w:lineRule="atLeast"/>
      <w:ind w:firstLine="0"/>
      <w:jc w:val="left"/>
    </w:pPr>
    <w:rPr>
      <w:rFonts w:eastAsia="宋体"/>
      <w:snapToGrid/>
      <w:spacing w:val="0"/>
      <w:sz w:val="18"/>
      <w:szCs w:val="20"/>
    </w:rPr>
  </w:style>
  <w:style w:type="paragraph" w:customStyle="1" w:styleId="Reference">
    <w:name w:val="Reference"/>
    <w:basedOn w:val="a0"/>
    <w:next w:val="TextofReference"/>
    <w:pPr>
      <w:overflowPunct w:val="0"/>
      <w:spacing w:before="280" w:line="240" w:lineRule="auto"/>
      <w:ind w:firstLine="0"/>
      <w:jc w:val="left"/>
      <w:outlineLvl w:val="0"/>
    </w:pPr>
    <w:rPr>
      <w:rFonts w:eastAsia="黑体"/>
      <w:b/>
      <w:snapToGrid/>
      <w:spacing w:val="0"/>
      <w:sz w:val="18"/>
      <w:szCs w:val="20"/>
    </w:rPr>
  </w:style>
  <w:style w:type="paragraph" w:customStyle="1" w:styleId="TextofReference">
    <w:name w:val="Text of Reference"/>
    <w:pPr>
      <w:tabs>
        <w:tab w:val="left" w:pos="419"/>
      </w:tabs>
      <w:spacing w:line="260" w:lineRule="exact"/>
      <w:ind w:left="419" w:hanging="79"/>
      <w:jc w:val="both"/>
    </w:pPr>
    <w:rPr>
      <w:sz w:val="15"/>
    </w:rPr>
  </w:style>
  <w:style w:type="character" w:customStyle="1" w:styleId="style541">
    <w:name w:val="style541"/>
    <w:rPr>
      <w:color w:val="000000"/>
    </w:rPr>
  </w:style>
  <w:style w:type="character" w:customStyle="1" w:styleId="mediumb-text">
    <w:name w:val="mediumb-text"/>
    <w:basedOn w:val="a1"/>
  </w:style>
  <w:style w:type="paragraph" w:customStyle="1" w:styleId="15">
    <w:name w:val="列出段落1"/>
    <w:basedOn w:val="a0"/>
    <w:qFormat/>
    <w:pPr>
      <w:snapToGrid/>
      <w:spacing w:line="240" w:lineRule="auto"/>
      <w:ind w:firstLineChars="200" w:firstLine="420"/>
    </w:pPr>
    <w:rPr>
      <w:rFonts w:ascii="Calibri" w:eastAsia="宋体" w:hAnsi="Calibri"/>
      <w:snapToGrid/>
      <w:spacing w:val="0"/>
      <w:sz w:val="21"/>
      <w:szCs w:val="22"/>
    </w:rPr>
  </w:style>
  <w:style w:type="character" w:customStyle="1" w:styleId="CharChar1">
    <w:name w:val="Char Char1"/>
    <w:qFormat/>
    <w:rPr>
      <w:rFonts w:eastAsia="黑体"/>
      <w:kern w:val="2"/>
      <w:sz w:val="36"/>
    </w:rPr>
  </w:style>
  <w:style w:type="character" w:customStyle="1" w:styleId="CharChar2">
    <w:name w:val="Char Char2"/>
    <w:qFormat/>
    <w:rPr>
      <w:kern w:val="2"/>
      <w:sz w:val="18"/>
    </w:rPr>
  </w:style>
  <w:style w:type="character" w:customStyle="1" w:styleId="CharChar3">
    <w:name w:val="Char Char3"/>
    <w:qFormat/>
    <w:rPr>
      <w:rFonts w:eastAsia="·s²Ó©úÅé"/>
      <w:sz w:val="18"/>
    </w:rPr>
  </w:style>
  <w:style w:type="character" w:customStyle="1" w:styleId="CharChar">
    <w:name w:val="Char Char"/>
    <w:qFormat/>
    <w:rPr>
      <w:rFonts w:ascii="Calibri" w:hAnsi="Calibri"/>
      <w:kern w:val="2"/>
      <w:sz w:val="18"/>
      <w:szCs w:val="18"/>
    </w:rPr>
  </w:style>
  <w:style w:type="character" w:customStyle="1" w:styleId="shorttext1">
    <w:name w:val="short_text1"/>
    <w:qFormat/>
    <w:rPr>
      <w:sz w:val="20"/>
      <w:szCs w:val="20"/>
    </w:rPr>
  </w:style>
  <w:style w:type="paragraph" w:customStyle="1" w:styleId="tu">
    <w:name w:val="tu"/>
    <w:basedOn w:val="a0"/>
    <w:qFormat/>
    <w:pPr>
      <w:spacing w:before="200" w:after="120"/>
      <w:ind w:firstLine="0"/>
      <w:jc w:val="center"/>
    </w:pPr>
  </w:style>
  <w:style w:type="paragraph" w:customStyle="1" w:styleId="aff6">
    <w:name w:val="英文作者简介"/>
    <w:basedOn w:val="af1"/>
    <w:pPr>
      <w:spacing w:line="336" w:lineRule="auto"/>
      <w:ind w:firstLine="0"/>
    </w:pPr>
    <w:rPr>
      <w:sz w:val="18"/>
    </w:rPr>
  </w:style>
  <w:style w:type="paragraph" w:customStyle="1" w:styleId="aff7">
    <w:name w:val="中文作者简介"/>
    <w:basedOn w:val="af1"/>
    <w:qFormat/>
    <w:pPr>
      <w:ind w:firstLine="0"/>
    </w:pPr>
    <w:rPr>
      <w:sz w:val="18"/>
    </w:rPr>
  </w:style>
  <w:style w:type="paragraph" w:customStyle="1" w:styleId="tus">
    <w:name w:val="tus"/>
    <w:basedOn w:val="a0"/>
    <w:qFormat/>
    <w:pPr>
      <w:spacing w:after="200"/>
      <w:ind w:firstLine="0"/>
      <w:jc w:val="center"/>
    </w:pPr>
    <w:rPr>
      <w:rFonts w:eastAsia="方正小标宋简体"/>
      <w:bCs/>
      <w:sz w:val="20"/>
    </w:rPr>
  </w:style>
  <w:style w:type="paragraph" w:customStyle="1" w:styleId="90">
    <w:name w:val="标题9"/>
    <w:basedOn w:val="a0"/>
    <w:pPr>
      <w:ind w:firstLine="0"/>
    </w:pPr>
    <w:rPr>
      <w:rFonts w:eastAsia="方正小标宋简体"/>
      <w:bCs/>
    </w:rPr>
  </w:style>
  <w:style w:type="paragraph" w:customStyle="1" w:styleId="DecimalAligned">
    <w:name w:val="Decimal Aligned"/>
    <w:basedOn w:val="a0"/>
    <w:uiPriority w:val="40"/>
    <w:qFormat/>
    <w:pPr>
      <w:widowControl/>
      <w:tabs>
        <w:tab w:val="decimal" w:pos="360"/>
      </w:tabs>
      <w:snapToGrid/>
      <w:spacing w:after="200" w:line="276" w:lineRule="auto"/>
      <w:ind w:firstLine="0"/>
      <w:jc w:val="left"/>
    </w:pPr>
    <w:rPr>
      <w:rFonts w:ascii="Calibri" w:eastAsia="宋体" w:hAnsi="Calibri"/>
      <w:snapToGrid/>
      <w:spacing w:val="0"/>
      <w:kern w:val="0"/>
      <w:szCs w:val="22"/>
    </w:rPr>
  </w:style>
  <w:style w:type="character" w:customStyle="1" w:styleId="Style134">
    <w:name w:val="_Style 134"/>
    <w:uiPriority w:val="19"/>
    <w:qFormat/>
    <w:rPr>
      <w:rFonts w:eastAsia="宋体" w:cs="Times New Roman"/>
      <w:i/>
      <w:iCs/>
      <w:color w:val="808080"/>
      <w:szCs w:val="22"/>
      <w:lang w:eastAsia="zh-CN"/>
    </w:rPr>
  </w:style>
  <w:style w:type="table" w:customStyle="1" w:styleId="-11">
    <w:name w:val="浅色底纹 - 强调文字颜色 11"/>
    <w:basedOn w:val="a2"/>
    <w:uiPriority w:val="60"/>
    <w:qFormat/>
    <w:rPr>
      <w:rFonts w:ascii="Calibri" w:hAnsi="Calibri"/>
      <w:color w:val="365F91"/>
      <w:sz w:val="22"/>
      <w:szCs w:val="22"/>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character" w:customStyle="1" w:styleId="style11">
    <w:name w:val="style11"/>
    <w:rPr>
      <w:color w:val="FF0000"/>
    </w:rPr>
  </w:style>
  <w:style w:type="character" w:customStyle="1" w:styleId="Style137">
    <w:name w:val="_Style 137"/>
    <w:uiPriority w:val="99"/>
    <w:semiHidden/>
    <w:unhideWhenUsed/>
    <w:rPr>
      <w:color w:val="605E5C"/>
      <w:shd w:val="clear" w:color="auto" w:fill="E1DFDD"/>
    </w:rPr>
  </w:style>
  <w:style w:type="character" w:customStyle="1" w:styleId="ae">
    <w:name w:val="页眉 字符"/>
    <w:link w:val="ad"/>
    <w:qFormat/>
    <w:rPr>
      <w:rFonts w:eastAsia="方正书宋简体"/>
      <w:snapToGrid/>
      <w:spacing w:val="2"/>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D:\&#21508;&#31181;&#21333;&#25454;\&#20889;&#20316;&#27169;&#26495;\&#20889;&#20316;&#27169;&#26495;&#65288;&#20013;&#25991;&#65289;-1226.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写作模板（中文）-1226.dot</Template>
  <TotalTime>255</TotalTime>
  <Pages>8</Pages>
  <Words>2281</Words>
  <Characters>13003</Characters>
  <Application>Microsoft Office Word</Application>
  <DocSecurity>0</DocSecurity>
  <Lines>108</Lines>
  <Paragraphs>30</Paragraphs>
  <ScaleCrop>false</ScaleCrop>
  <Company>scp</Company>
  <LinksUpToDate>false</LinksUpToDate>
  <CharactersWithSpaces>15254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creator>微软用户</dc:creator>
  <cp:lastModifiedBy>帆 杨</cp:lastModifiedBy>
  <cp:revision>45</cp:revision>
  <cp:lastPrinted>2024-12-03T06:07:00Z</cp:lastPrinted>
  <dcterms:created xsi:type="dcterms:W3CDTF">2024-12-03T03:17:00Z</dcterms:created>
  <dcterms:modified xsi:type="dcterms:W3CDTF">2026-06-15T11:44:00Z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TextFE=宋体_x000d_</vt:lpwstr>
  </property>
  <property fmtid="{D5CDD505-2E9C-101B-9397-08002B2CF9AE}" pid="3" name="MTPreferences 1">
    <vt:lpwstr>
_x000d_
[Sizes]_x000d_
Full=11 pt_x000d_
Script=8 pt_x000d_
ScriptScript=6 pt_x000d_
Symbol=150 %_x000d_
SubSymbol=100 %_x000d_
User1=75 %_x000d_
User2=150 %_x000d_
SmallLargeIncr=1 pt_x000d_
_x000d_
[Spacing]_x000d_
LineSpacing=150 %_x000d_
MatrixRowSpacing=150 %_x000d_
MatrixColSpacing=100 %_x000d_
SuperscriptHeight=45 %_x000d_
SubscriptDepth=25 </vt:lpwstr>
  </property>
  <property fmtid="{D5CDD505-2E9C-101B-9397-08002B2CF9AE}" pid="4" name="MTPreferences 2">
    <vt:lpwstr>%_x000d_
SubSupGap=8 %_x000d_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vt:lpwstr>
  </property>
  <property fmtid="{D5CDD505-2E9C-101B-9397-08002B2CF9AE}" pid="5" name="MTPreferences 3">
    <vt:lpwstr>inGap=8 %_x000d_
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MathType</vt:lpwstr>
  </property>
  <property fmtid="{D5CDD505-2E9C-101B-9397-08002B2CF9AE}" pid="7" name="MTWinEqns">
    <vt:bool>true</vt:bool>
  </property>
  <property fmtid="{D5CDD505-2E9C-101B-9397-08002B2CF9AE}" pid="8" name="KSOProductBuildVer">
    <vt:lpwstr>2052-12.1.0.24657</vt:lpwstr>
  </property>
  <property fmtid="{D5CDD505-2E9C-101B-9397-08002B2CF9AE}" pid="9" name="ICV">
    <vt:lpwstr>28DEEEA3D73E41E09CF3B3B6F164FFBC_13</vt:lpwstr>
  </property>
  <property fmtid="{D5CDD505-2E9C-101B-9397-08002B2CF9AE}" pid="10" name="KSOTemplateDocerSaveRecord">
    <vt:lpwstr>eyJoZGlkIjoiM2U1N2EzZmI0M2VhY2ZhMDRmMDZmODU0Y2Q2NDUwMWUiLCJ1c2VySWQiOiI5OTkwNTU4ODgifQ==</vt:lpwstr>
  </property>
</Properties>
</file>