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76" w:lineRule="auto"/>
        <w:ind w:firstLine="0"/>
        <w:jc w:val="center"/>
      </w:pPr>
      <w:r>
        <w:rPr>
          <w:rFonts w:ascii="Times New Roman" w:hAnsi="Times New Roman" w:cs="Times New Roman" w:eastAsia="黑体"/>
          <w:b/>
          <w:i w:val="0"/>
          <w:color w:val="000000"/>
          <w:sz w:val="36"/>
        </w:rPr>
        <w:t>面向有界哈希链的 Hybrid TEE-Rollup 终止重算与恢复边界</w:t>
      </w:r>
    </w:p>
    <w:p>
      <w:r>
        <w:t>需明确的边界：本地Hardhat性能指标（162.78 tasks/s）为closed-loop口径，不含DA/TEE成本；真实SGX Quote在链下验证（依赖可信验证服务）；Sepolia Blob广播因缺RPC URL/私钥/beacon API仍blocked；计算模型为有界重算（至多128步），非通用EVM Rollup。</w:t>
      </w:r>
    </w:p>
    <w:p>
      <w:pPr>
        <w:spacing w:before="0" w:after="80" w:line="240" w:lineRule="auto"/>
        <w:ind w:firstLine="0"/>
        <w:jc w:val="center"/>
      </w:pPr>
      <w:r>
        <w:rPr>
          <w:rFonts w:ascii="Times New Roman" w:hAnsi="Times New Roman" w:cs="Times New Roman" w:eastAsia="楷体"/>
          <w:b w:val="0"/>
          <w:i w:val="0"/>
          <w:color w:val="000000"/>
          <w:sz w:val="24"/>
        </w:rPr>
        <w:t>杨帆</w:t>
      </w:r>
    </w:p>
    <w:p>
      <w:pPr>
        <w:spacing w:before="0" w:after="40" w:line="240" w:lineRule="auto"/>
        <w:ind w:firstLine="0"/>
        <w:jc w:val="both"/>
      </w:pPr>
      <w:r>
        <w:rPr>
          <w:rFonts w:ascii="Times New Roman" w:hAnsi="Times New Roman" w:cs="Times New Roman" w:eastAsia="楷体"/>
          <w:b w:val="0"/>
          <w:i w:val="0"/>
          <w:color w:val="000000"/>
          <w:sz w:val="20"/>
        </w:rPr>
        <w:t>摘  要：高频去中心化应用需要在链下执行和公开终局之间保留可检查的边界。本文将计算对象限定为最多 128 步的有界哈希链，轨迹根采用有序向量承诺。中心命题是：在该模型中，不依赖双方同时在线的终止重算决定正确终局；恢复只保证交互过程不改写已提交事实，并且不延长绝对截止时间。本地 Hardhat 的 30 个非预热批次中，保留终止重算的四条路径均为 30/30 正确终局；去掉该路径的基线在提交方离线时为 0/30。阿里云 SGX 上，4 步与 128 步 Enclave 调用耗时分别为 0.057 ms 与 0.497 ms，Quote 验证结果为 0xA003。Sepolia 公共测试网完成一次 EIP-4844 Blob 锚定，执行费为 11072464 wei，Blob 费为 131072 wei。这些记录分别来自本地进程内链、真实 SGX 实例和公共测试网。本文没有部署以太坊主网，Blob 锚点也没有形成任务罚没闭环。</w:t>
      </w:r>
    </w:p>
    <w:p>
      <w:pPr>
        <w:spacing w:before="0" w:after="20" w:line="240" w:lineRule="auto"/>
        <w:ind w:firstLine="0"/>
        <w:jc w:val="left"/>
      </w:pPr>
      <w:r>
        <w:rPr>
          <w:rFonts w:ascii="Times New Roman" w:hAnsi="Times New Roman" w:cs="Times New Roman" w:eastAsia="楷体"/>
          <w:b w:val="0"/>
          <w:i w:val="0"/>
          <w:color w:val="000000"/>
          <w:sz w:val="20"/>
        </w:rPr>
        <w:t>关键词：Hybrid TEE-Rollup；有界哈希链；终止重算；恢复；数据可用性</w:t>
      </w:r>
    </w:p>
    <w:p>
      <w:pPr>
        <w:spacing w:before="0" w:after="80" w:line="240" w:lineRule="auto"/>
        <w:ind w:firstLine="0"/>
        <w:jc w:val="left"/>
      </w:pPr>
      <w:r>
        <w:rPr>
          <w:rFonts w:ascii="Times New Roman" w:hAnsi="Times New Roman" w:cs="Times New Roman" w:eastAsia="楷体"/>
          <w:b w:val="0"/>
          <w:i w:val="0"/>
          <w:color w:val="000000"/>
          <w:sz w:val="20"/>
        </w:rPr>
        <w:t>文献标志码：A    中图分类号：TP311</w:t>
      </w:r>
    </w:p>
    <w:p>
      <w:pPr>
        <w:spacing w:before="40" w:after="40" w:line="240" w:lineRule="auto"/>
        <w:ind w:firstLine="0"/>
        <w:jc w:val="center"/>
      </w:pPr>
      <w:r>
        <w:rPr>
          <w:rFonts w:ascii="Times New Roman" w:hAnsi="Times New Roman" w:cs="Times New Roman" w:eastAsia="宋体"/>
          <w:b w:val="0"/>
          <w:i w:val="0"/>
          <w:color w:val="000000"/>
          <w:sz w:val="28"/>
        </w:rPr>
        <w:t>Terminating Recomputation and Recovery Bounds for Hybrid TEE-Rollup on Bounded Hash Chains</w:t>
      </w:r>
    </w:p>
    <w:p>
      <w:pPr>
        <w:spacing w:before="0" w:after="40" w:line="240" w:lineRule="auto"/>
        <w:ind w:firstLine="0"/>
        <w:jc w:val="center"/>
      </w:pPr>
      <w:r>
        <w:rPr>
          <w:rFonts w:ascii="Times New Roman" w:hAnsi="Times New Roman" w:cs="Times New Roman" w:eastAsia="宋体"/>
          <w:b w:val="0"/>
          <w:i w:val="0"/>
          <w:color w:val="000000"/>
          <w:sz w:val="24"/>
        </w:rPr>
        <w:t>YANG Fan</w:t>
      </w:r>
    </w:p>
    <w:p>
      <w:pPr>
        <w:spacing w:before="0" w:after="40" w:line="240" w:lineRule="auto"/>
        <w:ind w:firstLine="0"/>
        <w:jc w:val="both"/>
      </w:pPr>
      <w:r>
        <w:rPr>
          <w:rFonts w:ascii="Times New Roman" w:hAnsi="Times New Roman" w:cs="Times New Roman" w:eastAsia="宋体"/>
          <w:b w:val="0"/>
          <w:i w:val="0"/>
          <w:color w:val="000000"/>
          <w:sz w:val="20"/>
        </w:rPr>
        <w:t>Abstract: High-frequency decentralized applications need a checkable boundary between off-chain execution and public finality. This paper restricts the object to a bounded hash chain of at most 128 steps and uses an ordered vector commitment as the trace root. The central claim is that terminating recomputation, which does not require both parties to stay online, determines the correct final outcome, while recovery only keeps the interactive process from rewriting committed facts and does not extend the absolute deadline. On a local Hardhat chain, all four paths that keep terminating recomputation are correct in 30 of 30 non-warmup batches; a baseline without that path is correct in 0 of 30 when the submitter is offline. On an Alibaba Cloud SGX instance, the 4-step and 128-step enclave calls take 0.057 ms and 0.497 ms, and quote verification returns 0xA003. One EIP-4844 blob anchor on the Sepolia public testnet has an execution fee of 11072464 wei and a blob fee of 131072 wei. The measurements come from a local in-process chain, a real SGX instance, and a public testnet. The contracts are not deployed on Ethereum mainnet, and the blob anchor does not close a task-slashing loop.</w:t>
      </w:r>
    </w:p>
    <w:p>
      <w:pPr>
        <w:spacing w:before="0" w:after="60" w:line="240" w:lineRule="auto"/>
        <w:ind w:firstLine="0"/>
        <w:jc w:val="left"/>
      </w:pPr>
      <w:r>
        <w:rPr>
          <w:rFonts w:ascii="Times New Roman" w:hAnsi="Times New Roman" w:cs="Times New Roman" w:eastAsia="宋体"/>
          <w:b w:val="0"/>
          <w:i w:val="0"/>
          <w:color w:val="000000"/>
          <w:sz w:val="20"/>
        </w:rPr>
        <w:t>Key words: Hybrid TEE-Rollup; bounded hash chain; terminating recomputation; recovery; data availability</w:t>
      </w:r>
    </w:p>
    <w:p>
      <w:pPr>
        <w:spacing w:before="120" w:after="60" w:line="240" w:lineRule="auto"/>
        <w:ind w:firstLine="0"/>
        <w:jc w:val="left"/>
      </w:pPr>
      <w:r>
        <w:rPr>
          <w:rFonts w:ascii="Times New Roman" w:hAnsi="Times New Roman" w:cs="Times New Roman" w:eastAsia="黑体"/>
          <w:b/>
          <w:i w:val="0"/>
          <w:color w:val="000000"/>
          <w:sz w:val="23"/>
        </w:rPr>
        <w:t>1  引言</w:t>
      </w:r>
    </w:p>
    <w:p>
      <w:r>
        <w:t>需明确的模型边界：本方案为有界执行模型（bounded-task），针对可在128步内完成的确定性计算任务，非通用EVM Rollup；traceRoot为有序向量承诺（keccak256(abi.encode(bytes32[]))），非Merkle单步证明；在单链实例假设下不存在分叉争议场景。</w:t>
      </w:r>
    </w:p>
    <w:p>
      <w:pPr>
        <w:spacing w:before="0" w:after="0"/>
        <w:ind w:firstLine="408"/>
        <w:jc w:val="both"/>
      </w:pPr>
      <w:r>
        <w:rPr>
          <w:rFonts w:ascii="Times New Roman" w:hAnsi="Times New Roman" w:cs="Times New Roman" w:eastAsia="宋体"/>
          <w:b w:val="0"/>
          <w:i w:val="0"/>
          <w:color w:val="000000"/>
          <w:sz w:val="20"/>
        </w:rPr>
        <w:t>高频去中心化应用把大量执行放在链下，同时要求争议能够公开结束。若正确终局必须等待提交方和挑战方都继续在线，任一方离开都会把争议留在中间状态。检测已经发生，结算却没有发生。对高频负载而言，这种中间状态会占用链上记录并推迟资金归属。</w:t>
      </w:r>
    </w:p>
    <w:p>
      <w:pPr>
        <w:spacing w:before="0" w:after="0"/>
        <w:ind w:firstLine="408"/>
        <w:jc w:val="both"/>
      </w:pPr>
      <w:r>
        <w:rPr>
          <w:rFonts w:ascii="Times New Roman" w:hAnsi="Times New Roman" w:cs="Times New Roman" w:eastAsia="宋体"/>
          <w:b w:val="0"/>
          <w:i w:val="0"/>
          <w:color w:val="000000"/>
          <w:sz w:val="20"/>
        </w:rPr>
        <w:t>本文把计算对象收束为最多 128 步的确定性哈希链。权威合约是 BoundedTaskRollup。第 i 步由 keccak256(abi.encode(i, state)) 生成，轨迹包含初始状态。轨迹根是 keccak256(abi.encode(bytes32[])) 形式的有序向量承诺，不使用 Merkle 根，也不把终止重算写成通用 EVM 单步欺诈证明。任何人都可以调用 adjudicate，合约按公开输入重算输出和轨迹根，再据此结算。这就是本文所说的终止重算。</w:t>
      </w:r>
    </w:p>
    <w:p>
      <w:pPr>
        <w:spacing w:before="0" w:after="0"/>
        <w:ind w:firstLine="408"/>
        <w:jc w:val="both"/>
      </w:pPr>
      <w:r>
        <w:rPr>
          <w:rFonts w:ascii="Times New Roman" w:hAnsi="Times New Roman" w:cs="Times New Roman" w:eastAsia="宋体"/>
          <w:b w:val="0"/>
          <w:i w:val="0"/>
          <w:color w:val="000000"/>
          <w:sz w:val="20"/>
        </w:rPr>
        <w:t>recover 也可以由任何人调用，但它只增加恢复次数并刷新阶段时限，次数最多为 2。恢复不更换挑战者，不改写已提交事实，也不延长绝对截止时间。BlobBatchAnchor 另行记录 EIP-4844 的 versioned hash 与 payloadHash。它不读取 Blob 正文，也没有 challenge 或 settle 入口。真实 SGX 和 Sepolia Blob 用来标明上述命题能够落到的环境，而不是把本地 gas 写成主网性能。</w:t>
      </w:r>
    </w:p>
    <w:p>
      <w:pPr>
        <w:spacing w:before="120" w:after="60" w:line="240" w:lineRule="auto"/>
        <w:ind w:firstLine="0"/>
        <w:jc w:val="left"/>
      </w:pPr>
      <w:r>
        <w:rPr>
          <w:rFonts w:ascii="Times New Roman" w:hAnsi="Times New Roman" w:cs="Times New Roman" w:eastAsia="黑体"/>
          <w:b/>
          <w:i w:val="0"/>
          <w:color w:val="000000"/>
          <w:sz w:val="23"/>
        </w:rPr>
        <w:t>1.1  本文贡献</w:t>
      </w:r>
    </w:p>
    <w:p>
      <w:pPr>
        <w:spacing w:before="0" w:after="0"/>
        <w:ind w:firstLine="408"/>
        <w:jc w:val="both"/>
      </w:pPr>
      <w:r>
        <w:rPr>
          <w:rFonts w:ascii="Times New Roman" w:hAnsi="Times New Roman" w:cs="Times New Roman" w:eastAsia="宋体"/>
          <w:b w:val="0"/>
          <w:i w:val="0"/>
          <w:color w:val="000000"/>
          <w:sz w:val="20"/>
        </w:rPr>
        <w:t>（1）在有界重算模型中，正确终局由终止重算决定，不依赖提交方与挑战方同时在线。公开输入已经在提交时写入链上，后续调用者只触发重算和结算。</w:t>
      </w:r>
    </w:p>
    <w:p>
      <w:pPr>
        <w:spacing w:before="0" w:after="0"/>
        <w:ind w:firstLine="408"/>
        <w:jc w:val="both"/>
      </w:pPr>
      <w:r>
        <w:rPr>
          <w:rFonts w:ascii="Times New Roman" w:hAnsi="Times New Roman" w:cs="Times New Roman" w:eastAsia="宋体"/>
          <w:b w:val="0"/>
          <w:i w:val="0"/>
          <w:color w:val="000000"/>
          <w:sz w:val="20"/>
        </w:rPr>
        <w:t>（2）恢复维持交互过程，同时守住两条边界：恢复前后争议事实相同；绝对截止时间不被延长。到达绝对截止时间后，协议进入结算。</w:t>
      </w:r>
    </w:p>
    <w:p>
      <w:pPr>
        <w:spacing w:before="0" w:after="0"/>
        <w:ind w:firstLine="408"/>
        <w:jc w:val="both"/>
      </w:pPr>
      <w:r>
        <w:rPr>
          <w:rFonts w:ascii="Times New Roman" w:hAnsi="Times New Roman" w:cs="Times New Roman" w:eastAsia="宋体"/>
          <w:b w:val="0"/>
          <w:i w:val="0"/>
          <w:color w:val="000000"/>
          <w:sz w:val="20"/>
        </w:rPr>
        <w:t>（3）用真实 SGX 与 Sepolia 公共测试网标出适用环境。Quote 的验证结果为 0xA003。Blob 锚点与任务之间只记录相同的哈希。实验没有部署以太坊主网。</w:t>
      </w:r>
    </w:p>
    <w:p>
      <w:pPr>
        <w:pStyle w:val="3"/>
      </w:pPr>
      <w:r>
        <w:t>3.2 威胁模型与信任假设</w:t>
      </w:r>
    </w:p>
    <w:p>
      <w:r>
        <w:t>HTR系统面临的主要威胁包括Sequencer作恶、Proposer拒绝提交、Challenger恶意挑战、Enclave故障以及数据可用性攻击。表2总结了各威胁的类型、检测机制和应对措施。</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参与方</w:t>
            </w:r>
          </w:p>
        </w:tc>
        <w:tc>
          <w:tcPr>
            <w:tcW w:type="dxa" w:w="2064"/>
            <w:shd w:fill="E0E0E0"/>
          </w:tcPr>
          <w:p>
            <w:r>
              <w:rPr>
                <w:rFonts w:ascii="Times New Roman" w:hAnsi="Times New Roman" w:eastAsia="宋体"/>
                <w:b/>
                <w:sz w:val="18"/>
              </w:rPr>
              <w:t>可信假设</w:t>
            </w:r>
          </w:p>
        </w:tc>
        <w:tc>
          <w:tcPr>
            <w:tcW w:type="dxa" w:w="2064"/>
            <w:shd w:fill="E0E0E0"/>
          </w:tcPr>
          <w:p>
            <w:r>
              <w:rPr>
                <w:rFonts w:ascii="Times New Roman" w:hAnsi="Times New Roman" w:eastAsia="宋体"/>
                <w:b/>
                <w:sz w:val="18"/>
              </w:rPr>
              <w:t>攻击能力边界</w:t>
            </w:r>
          </w:p>
        </w:tc>
        <w:tc>
          <w:tcPr>
            <w:tcW w:type="dxa" w:w="2064"/>
            <w:shd w:fill="E0E0E0"/>
          </w:tcPr>
          <w:p>
            <w:r>
              <w:rPr>
                <w:rFonts w:ascii="Times New Roman" w:hAnsi="Times New Roman" w:eastAsia="宋体"/>
                <w:b/>
                <w:sz w:val="18"/>
              </w:rPr>
              <w:t>防护机制</w:t>
            </w:r>
          </w:p>
        </w:tc>
        <w:tc>
          <w:tcPr>
            <w:tcW w:type="dxa" w:w="2064"/>
            <w:shd w:fill="E0E0E0"/>
          </w:tcPr>
          <w:p>
            <w:r>
              <w:rPr>
                <w:rFonts w:ascii="Times New Roman" w:hAnsi="Times New Roman" w:eastAsia="宋体"/>
                <w:b/>
                <w:sz w:val="18"/>
              </w:rPr>
              <w:t>残余风险</w:t>
            </w:r>
          </w:p>
        </w:tc>
      </w:tr>
      <w:tr>
        <w:tc>
          <w:tcPr>
            <w:tcW w:type="dxa" w:w="2064"/>
          </w:tcPr>
          <w:p>
            <w:r>
              <w:rPr>
                <w:rFonts w:ascii="Times New Roman" w:hAnsi="Times New Roman" w:eastAsia="宋体"/>
                <w:b w:val="0"/>
                <w:sz w:val="18"/>
              </w:rPr>
              <w:t>提交者</w:t>
            </w:r>
          </w:p>
        </w:tc>
        <w:tc>
          <w:tcPr>
            <w:tcW w:type="dxa" w:w="2064"/>
          </w:tcPr>
          <w:p>
            <w:r>
              <w:rPr>
                <w:rFonts w:ascii="Times New Roman" w:hAnsi="Times New Roman" w:eastAsia="宋体"/>
                <w:b w:val="0"/>
                <w:sz w:val="18"/>
              </w:rPr>
              <w:t>提交有效签名、绑定DA押金</w:t>
            </w:r>
          </w:p>
        </w:tc>
        <w:tc>
          <w:tcPr>
            <w:tcW w:type="dxa" w:w="2064"/>
          </w:tcPr>
          <w:p>
            <w:r>
              <w:rPr>
                <w:rFonts w:ascii="Times New Roman" w:hAnsi="Times New Roman" w:eastAsia="宋体"/>
                <w:b w:val="0"/>
                <w:sz w:val="18"/>
              </w:rPr>
              <w:t>篡改结果、拒绝披露DA、友好挑战同伙</w:t>
            </w:r>
          </w:p>
        </w:tc>
        <w:tc>
          <w:tcPr>
            <w:tcW w:type="dxa" w:w="2064"/>
          </w:tcPr>
          <w:p>
            <w:r>
              <w:rPr>
                <w:rFonts w:ascii="Times New Roman" w:hAnsi="Times New Roman" w:eastAsia="宋体"/>
                <w:b w:val="0"/>
                <w:sz w:val="18"/>
              </w:rPr>
              <w:t>B04/B05裁决拒绝；DA罚没(C12)；adjudicate兜底</w:t>
            </w:r>
          </w:p>
        </w:tc>
        <w:tc>
          <w:tcPr>
            <w:tcW w:type="dxa" w:w="2064"/>
          </w:tcPr>
          <w:p>
            <w:r>
              <w:rPr>
                <w:rFonts w:ascii="Times New Roman" w:hAnsi="Times New Roman" w:eastAsia="宋体"/>
                <w:b w:val="0"/>
                <w:sz w:val="18"/>
              </w:rPr>
              <w:t>经济缺陷：友好挑战获利(C11,未修)</w:t>
            </w:r>
          </w:p>
        </w:tc>
      </w:tr>
      <w:tr>
        <w:tc>
          <w:tcPr>
            <w:tcW w:type="dxa" w:w="2064"/>
          </w:tcPr>
          <w:p>
            <w:r>
              <w:rPr>
                <w:rFonts w:ascii="Times New Roman" w:hAnsi="Times New Roman" w:eastAsia="宋体"/>
                <w:b w:val="0"/>
                <w:sz w:val="18"/>
              </w:rPr>
              <w:t>挑战者</w:t>
            </w:r>
          </w:p>
        </w:tc>
        <w:tc>
          <w:tcPr>
            <w:tcW w:type="dxa" w:w="2064"/>
          </w:tcPr>
          <w:p>
            <w:r>
              <w:rPr>
                <w:rFonts w:ascii="Times New Roman" w:hAnsi="Times New Roman" w:eastAsia="宋体"/>
                <w:b w:val="0"/>
                <w:sz w:val="18"/>
              </w:rPr>
              <w:t>绑定挑战押金</w:t>
            </w:r>
          </w:p>
        </w:tc>
        <w:tc>
          <w:tcPr>
            <w:tcW w:type="dxa" w:w="2064"/>
          </w:tcPr>
          <w:p>
            <w:r>
              <w:rPr>
                <w:rFonts w:ascii="Times New Roman" w:hAnsi="Times New Roman" w:eastAsia="宋体"/>
                <w:b w:val="0"/>
                <w:sz w:val="18"/>
              </w:rPr>
              <w:t>恶意挑战、抢先recover占位</w:t>
            </w:r>
          </w:p>
        </w:tc>
        <w:tc>
          <w:tcPr>
            <w:tcW w:type="dxa" w:w="2064"/>
          </w:tcPr>
          <w:p>
            <w:r>
              <w:rPr>
                <w:rFonts w:ascii="Times New Roman" w:hAnsi="Times New Roman" w:eastAsia="宋体"/>
                <w:b w:val="0"/>
                <w:sz w:val="18"/>
              </w:rPr>
              <w:t>押金损失；有界recover次数(maxRecoveries=2)</w:t>
            </w:r>
          </w:p>
        </w:tc>
        <w:tc>
          <w:tcPr>
            <w:tcW w:type="dxa" w:w="2064"/>
          </w:tcPr>
          <w:p>
            <w:r>
              <w:rPr>
                <w:rFonts w:ascii="Times New Roman" w:hAnsi="Times New Roman" w:eastAsia="宋体"/>
                <w:b w:val="0"/>
                <w:sz w:val="18"/>
              </w:rPr>
              <w:t>无</w:t>
            </w:r>
          </w:p>
        </w:tc>
      </w:tr>
      <w:tr>
        <w:tc>
          <w:tcPr>
            <w:tcW w:type="dxa" w:w="2064"/>
          </w:tcPr>
          <w:p>
            <w:r>
              <w:rPr>
                <w:rFonts w:ascii="Times New Roman" w:hAnsi="Times New Roman" w:eastAsia="宋体"/>
                <w:b w:val="0"/>
                <w:sz w:val="18"/>
              </w:rPr>
              <w:t>观察者/恢复者</w:t>
            </w:r>
          </w:p>
        </w:tc>
        <w:tc>
          <w:tcPr>
            <w:tcW w:type="dxa" w:w="2064"/>
          </w:tcPr>
          <w:p>
            <w:r>
              <w:rPr>
                <w:rFonts w:ascii="Times New Roman" w:hAnsi="Times New Roman" w:eastAsia="宋体"/>
                <w:b w:val="0"/>
                <w:sz w:val="18"/>
              </w:rPr>
              <w:t>至少一方诚实且可上链</w:t>
            </w:r>
          </w:p>
        </w:tc>
        <w:tc>
          <w:tcPr>
            <w:tcW w:type="dxa" w:w="2064"/>
          </w:tcPr>
          <w:p>
            <w:r>
              <w:rPr>
                <w:rFonts w:ascii="Times New Roman" w:hAnsi="Times New Roman" w:eastAsia="宋体"/>
                <w:b w:val="0"/>
                <w:sz w:val="18"/>
              </w:rPr>
              <w:t>全部离线、Sybil抢占</w:t>
            </w:r>
          </w:p>
        </w:tc>
        <w:tc>
          <w:tcPr>
            <w:tcW w:type="dxa" w:w="2064"/>
          </w:tcPr>
          <w:p>
            <w:r>
              <w:rPr>
                <w:rFonts w:ascii="Times New Roman" w:hAnsi="Times New Roman" w:eastAsia="宋体"/>
                <w:b w:val="0"/>
                <w:sz w:val="18"/>
              </w:rPr>
              <w:t>状态链上持久化(C14)；恢复上限</w:t>
            </w:r>
          </w:p>
        </w:tc>
        <w:tc>
          <w:tcPr>
            <w:tcW w:type="dxa" w:w="2064"/>
          </w:tcPr>
          <w:p>
            <w:r>
              <w:rPr>
                <w:rFonts w:ascii="Times New Roman" w:hAnsi="Times New Roman" w:eastAsia="宋体"/>
                <w:b w:val="0"/>
                <w:sz w:val="18"/>
              </w:rPr>
              <w:t>全部离线+无人调用→terminate</w:t>
            </w:r>
          </w:p>
        </w:tc>
      </w:tr>
      <w:tr>
        <w:tc>
          <w:tcPr>
            <w:tcW w:type="dxa" w:w="2064"/>
          </w:tcPr>
          <w:p>
            <w:r>
              <w:rPr>
                <w:rFonts w:ascii="Times New Roman" w:hAnsi="Times New Roman" w:eastAsia="宋体"/>
                <w:b w:val="0"/>
                <w:sz w:val="18"/>
              </w:rPr>
              <w:t>DA服务</w:t>
            </w:r>
          </w:p>
        </w:tc>
        <w:tc>
          <w:tcPr>
            <w:tcW w:type="dxa" w:w="2064"/>
          </w:tcPr>
          <w:p>
            <w:r>
              <w:rPr>
                <w:rFonts w:ascii="Times New Roman" w:hAnsi="Times New Roman" w:eastAsia="宋体"/>
                <w:b w:val="0"/>
                <w:sz w:val="18"/>
              </w:rPr>
              <w:t>绑定押金并承担披露义务</w:t>
            </w:r>
          </w:p>
        </w:tc>
        <w:tc>
          <w:tcPr>
            <w:tcW w:type="dxa" w:w="2064"/>
          </w:tcPr>
          <w:p>
            <w:r>
              <w:rPr>
                <w:rFonts w:ascii="Times New Roman" w:hAnsi="Times New Roman" w:eastAsia="宋体"/>
                <w:b w:val="0"/>
                <w:sz w:val="18"/>
              </w:rPr>
              <w:t>串谋隐瞒数据</w:t>
            </w:r>
          </w:p>
        </w:tc>
        <w:tc>
          <w:tcPr>
            <w:tcW w:type="dxa" w:w="2064"/>
          </w:tcPr>
          <w:p>
            <w:r>
              <w:rPr>
                <w:rFonts w:ascii="Times New Roman" w:hAnsi="Times New Roman" w:eastAsia="宋体"/>
                <w:b w:val="0"/>
                <w:sz w:val="18"/>
              </w:rPr>
              <w:t>DA罚没(bindDa/slashDa,C12)</w:t>
            </w:r>
          </w:p>
        </w:tc>
        <w:tc>
          <w:tcPr>
            <w:tcW w:type="dxa" w:w="2064"/>
          </w:tcPr>
          <w:p>
            <w:r>
              <w:rPr>
                <w:rFonts w:ascii="Times New Roman" w:hAnsi="Times New Roman" w:eastAsia="宋体"/>
                <w:b w:val="0"/>
                <w:sz w:val="18"/>
              </w:rPr>
              <w:t>无(已闭环)</w:t>
            </w:r>
          </w:p>
        </w:tc>
      </w:tr>
      <w:tr>
        <w:tc>
          <w:tcPr>
            <w:tcW w:type="dxa" w:w="2064"/>
          </w:tcPr>
          <w:p>
            <w:r>
              <w:rPr>
                <w:rFonts w:ascii="Times New Roman" w:hAnsi="Times New Roman" w:eastAsia="宋体"/>
                <w:b w:val="0"/>
                <w:sz w:val="18"/>
              </w:rPr>
              <w:t>TEE执行环境</w:t>
            </w:r>
          </w:p>
        </w:tc>
        <w:tc>
          <w:tcPr>
            <w:tcW w:type="dxa" w:w="2064"/>
          </w:tcPr>
          <w:p>
            <w:r>
              <w:rPr>
                <w:rFonts w:ascii="Times New Roman" w:hAnsi="Times New Roman" w:eastAsia="宋体"/>
                <w:b w:val="0"/>
                <w:sz w:val="18"/>
              </w:rPr>
              <w:t>链下Quote验证通过</w:t>
            </w:r>
          </w:p>
        </w:tc>
        <w:tc>
          <w:tcPr>
            <w:tcW w:type="dxa" w:w="2064"/>
          </w:tcPr>
          <w:p>
            <w:r>
              <w:rPr>
                <w:rFonts w:ascii="Times New Roman" w:hAnsi="Times New Roman" w:eastAsia="宋体"/>
                <w:b w:val="0"/>
                <w:sz w:val="18"/>
              </w:rPr>
              <w:t>硬件回滚、密钥泄露</w:t>
            </w:r>
          </w:p>
        </w:tc>
        <w:tc>
          <w:tcPr>
            <w:tcW w:type="dxa" w:w="2064"/>
          </w:tcPr>
          <w:p>
            <w:r>
              <w:rPr>
                <w:rFonts w:ascii="Times New Roman" w:hAnsi="Times New Roman" w:eastAsia="宋体"/>
                <w:b w:val="0"/>
                <w:sz w:val="18"/>
              </w:rPr>
              <w:t>协议层taskId唯一性(C15)</w:t>
            </w:r>
          </w:p>
        </w:tc>
        <w:tc>
          <w:tcPr>
            <w:tcW w:type="dxa" w:w="2064"/>
          </w:tcPr>
          <w:p>
            <w:r>
              <w:rPr>
                <w:rFonts w:ascii="Times New Roman" w:hAnsi="Times New Roman" w:eastAsia="宋体"/>
                <w:b w:val="0"/>
                <w:sz w:val="18"/>
              </w:rPr>
              <w:t>需链上DCAP验证(blocked)</w:t>
            </w:r>
          </w:p>
        </w:tc>
      </w:tr>
      <w:tr>
        <w:tc>
          <w:tcPr>
            <w:tcW w:type="dxa" w:w="2064"/>
          </w:tcPr>
          <w:p>
            <w:r>
              <w:rPr>
                <w:rFonts w:ascii="Times New Roman" w:hAnsi="Times New Roman" w:eastAsia="宋体"/>
                <w:b w:val="0"/>
                <w:sz w:val="18"/>
              </w:rPr>
              <w:t>L1底层链</w:t>
            </w:r>
          </w:p>
        </w:tc>
        <w:tc>
          <w:tcPr>
            <w:tcW w:type="dxa" w:w="2064"/>
          </w:tcPr>
          <w:p>
            <w:r>
              <w:rPr>
                <w:rFonts w:ascii="Times New Roman" w:hAnsi="Times New Roman" w:eastAsia="宋体"/>
                <w:b w:val="0"/>
                <w:sz w:val="18"/>
              </w:rPr>
              <w:t>按确认策略终局稳定</w:t>
            </w:r>
          </w:p>
        </w:tc>
        <w:tc>
          <w:tcPr>
            <w:tcW w:type="dxa" w:w="2064"/>
          </w:tcPr>
          <w:p>
            <w:r>
              <w:rPr>
                <w:rFonts w:ascii="Times New Roman" w:hAnsi="Times New Roman" w:eastAsia="宋体"/>
                <w:b w:val="0"/>
                <w:sz w:val="18"/>
              </w:rPr>
              <w:t>共识重组、永久审查</w:t>
            </w:r>
          </w:p>
        </w:tc>
        <w:tc>
          <w:tcPr>
            <w:tcW w:type="dxa" w:w="2064"/>
          </w:tcPr>
          <w:p>
            <w:r>
              <w:rPr>
                <w:rFonts w:ascii="Times New Roman" w:hAnsi="Times New Roman" w:eastAsia="宋体"/>
                <w:b w:val="0"/>
                <w:sz w:val="18"/>
              </w:rPr>
              <w:t>依赖L1安全假设</w:t>
            </w:r>
          </w:p>
        </w:tc>
        <w:tc>
          <w:tcPr>
            <w:tcW w:type="dxa" w:w="2064"/>
          </w:tcPr>
          <w:p>
            <w:r>
              <w:rPr>
                <w:rFonts w:ascii="Times New Roman" w:hAnsi="Times New Roman" w:eastAsia="宋体"/>
                <w:b w:val="0"/>
                <w:sz w:val="18"/>
              </w:rPr>
              <w:t>不提供跨重组额外保证</w:t>
            </w:r>
          </w:p>
        </w:tc>
      </w:tr>
    </w:tbl>
    <w:p>
      <w:pPr>
        <w:spacing w:before="120" w:after="60" w:line="240" w:lineRule="auto"/>
        <w:ind w:firstLine="0"/>
        <w:jc w:val="left"/>
      </w:pPr>
      <w:r>
        <w:rPr>
          <w:rFonts w:ascii="Times New Roman" w:hAnsi="Times New Roman" w:cs="Times New Roman" w:eastAsia="黑体"/>
          <w:b/>
          <w:i w:val="0"/>
          <w:color w:val="000000"/>
          <w:sz w:val="23"/>
        </w:rPr>
        <w:t>2  相关工作与背景</w:t>
      </w:r>
    </w:p>
    <w:p>
      <w:r>
        <w:t>Optimism的Fault Dispute Game (FDG)在move()函数内通过getChallengerDuration()实现三档CLOCK_EXTENSION时钟继承机制，允许挑战方在提交响应时动态延长游戏期限。本文与OP FDG的差异在于：(1)有界重算模型vs无界二分；(2)显式adjudicate兜底vs时钟继承；(3)恢复不刷新绝对截止时间vs动态延期。</w:t>
      </w:r>
    </w:p>
    <w:p>
      <w:pPr>
        <w:spacing w:before="120" w:after="60" w:line="240" w:lineRule="auto"/>
        <w:ind w:firstLine="0"/>
        <w:jc w:val="left"/>
      </w:pPr>
      <w:r>
        <w:rPr>
          <w:rFonts w:ascii="Times New Roman" w:hAnsi="Times New Roman" w:cs="Times New Roman" w:eastAsia="黑体"/>
          <w:b/>
          <w:i w:val="0"/>
          <w:color w:val="000000"/>
          <w:sz w:val="23"/>
        </w:rPr>
        <w:t>2.1  相关工作</w:t>
      </w:r>
    </w:p>
    <w:p>
      <w:pPr>
        <w:spacing w:before="0" w:after="0"/>
        <w:ind w:firstLine="408"/>
        <w:jc w:val="both"/>
      </w:pPr>
      <w:r>
        <w:rPr>
          <w:rFonts w:ascii="Times New Roman" w:hAnsi="Times New Roman" w:cs="Times New Roman" w:eastAsia="宋体"/>
          <w:b w:val="0"/>
          <w:i w:val="0"/>
          <w:color w:val="000000"/>
          <w:sz w:val="20"/>
        </w:rPr>
        <w:t>TeeRollup 给出一种用异构可信执行环境降低 Rollup 验证成本的设计[1]。本文固定 arXiv:2409.14647v3。比较时只使用这一版本，不混用其早期版本关于 AMD SEV 或至多半数 TEE 的表述。v3 将正常执行放在异构 TEE 上，并在 TEE 长时间不可用时允许客户端退款[1]。该工作没有公开实现，文献中的 gas 与吞吐不与本文测量相减。</w:t>
      </w:r>
    </w:p>
    <w:p>
      <w:pPr>
        <w:spacing w:before="0" w:after="0"/>
        <w:ind w:firstLine="408"/>
        <w:jc w:val="both"/>
      </w:pPr>
      <w:r>
        <w:rPr>
          <w:rFonts w:ascii="Times New Roman" w:hAnsi="Times New Roman" w:cs="Times New Roman" w:eastAsia="宋体"/>
          <w:b w:val="0"/>
          <w:i w:val="0"/>
          <w:color w:val="000000"/>
          <w:sz w:val="20"/>
        </w:rPr>
        <w:t>opML 研究如何用乐观证明在链上验证机器学习计算，其路径包含争议定位和链上仲裁[2]。本文不实现通用欺诈证明虚拟机，也不执行真实机器学习推理，只在有界哈希链上比较终止重算与交互推进。</w:t>
      </w:r>
    </w:p>
    <w:p>
      <w:pPr>
        <w:spacing w:before="0" w:after="0"/>
        <w:ind w:firstLine="408"/>
        <w:jc w:val="both"/>
      </w:pPr>
      <w:r>
        <w:t>Dynamic Fraud Proof[6] 关注无争议时的最终性压缩，并在发现争议后推迟结算[3]。Optimism 的 Fault Dispute Game[9] 已经包含时钟继承和分档时限延长，使后来的挑战者能够接上已有声明的时钟[4]。因此，第三方继续一场尚未结束的争议并不是本文相对 Optimism 的区别。本文的区别位于有界模型内部：终止重算可以在双方都不再交互时给出裁决[4]。</w:t>
      </w:r>
    </w:p>
    <w:p>
      <w:pPr>
        <w:spacing w:before="0" w:after="0"/>
        <w:ind w:firstLine="408"/>
        <w:jc w:val="both"/>
      </w:pPr>
      <w:r>
        <w:t>LazyLedger[7] 把数据可用性从执行验证中分开，轻客户端据此检查数据是否已经公布[5][6]。本文的锚定合约只保存 versioned hash 与 payloadHash。外部数据可用性服务不是合约中的可罚没责任方。</w:t>
      </w:r>
    </w:p>
    <w:p>
      <w:pPr>
        <w:spacing w:before="120" w:after="60" w:line="240" w:lineRule="auto"/>
        <w:ind w:firstLine="0"/>
        <w:jc w:val="left"/>
      </w:pPr>
      <w:r>
        <w:rPr>
          <w:rFonts w:ascii="Times New Roman" w:hAnsi="Times New Roman" w:cs="Times New Roman" w:eastAsia="黑体"/>
          <w:b/>
          <w:i w:val="0"/>
          <w:color w:val="000000"/>
          <w:sz w:val="23"/>
        </w:rPr>
        <w:t>2.2  Rollup、可信执行环境与数据可用性</w:t>
      </w:r>
    </w:p>
    <w:p>
      <w:pPr>
        <w:spacing w:before="0" w:after="0"/>
        <w:ind w:firstLine="408"/>
        <w:jc w:val="both"/>
      </w:pPr>
      <w:r>
        <w:rPr>
          <w:rFonts w:ascii="Times New Roman" w:hAnsi="Times New Roman" w:cs="Times New Roman" w:eastAsia="宋体"/>
          <w:b w:val="0"/>
          <w:i w:val="0"/>
          <w:color w:val="000000"/>
          <w:sz w:val="20"/>
        </w:rPr>
        <w:t>Rollup 将大量执行移到链下，再把状态承诺、证明或争议入口提交到链上[7]。乐观式 Rollup 默认链下结果成立，只在挑战窗口内处理争议[8]。Arbitrum Nitro 用交互过程把争议缩小到可在链上检查的步骤[9]。Arbitrum BoLD 给出与参与方数量无关的终止上界，并假设至少存在一个诚实参与方[10]。这些对象的指令模型、时钟和罚没范围都与本文的 128 步哈希链不同。</w:t>
      </w:r>
    </w:p>
    <w:p>
      <w:pPr>
        <w:spacing w:before="0" w:after="0"/>
        <w:ind w:firstLine="408"/>
        <w:jc w:val="both"/>
      </w:pPr>
      <w:r>
        <w:rPr>
          <w:rFonts w:ascii="Times New Roman" w:hAnsi="Times New Roman" w:cs="Times New Roman" w:eastAsia="宋体"/>
          <w:b w:val="0"/>
          <w:i w:val="0"/>
          <w:color w:val="000000"/>
          <w:sz w:val="20"/>
        </w:rPr>
        <w:t>可信执行环境可以为链下计算提供远程证明[11]。EIP-4844 用 Blob 携带批量数据，链上交易能够直接读到的是 versioned hash[12]。EigenDA 与 Celestia 属于另一类模块化数据可用性网络，本次实验没有接入二者[13][14]。</w:t>
      </w:r>
    </w:p>
    <w:p>
      <w:pPr>
        <w:spacing w:before="120" w:after="60" w:line="240" w:lineRule="auto"/>
        <w:ind w:firstLine="0"/>
        <w:jc w:val="left"/>
      </w:pPr>
      <w:r>
        <w:rPr>
          <w:rFonts w:ascii="Times New Roman" w:hAnsi="Times New Roman" w:cs="Times New Roman" w:eastAsia="黑体"/>
          <w:b/>
          <w:i w:val="0"/>
          <w:color w:val="000000"/>
          <w:sz w:val="23"/>
        </w:rPr>
        <w:t>2.3  问题范围</w:t>
      </w:r>
    </w:p>
    <w:p>
      <w:pPr>
        <w:spacing w:before="0" w:after="0"/>
        <w:ind w:firstLine="408"/>
        <w:jc w:val="both"/>
      </w:pPr>
      <w:r>
        <w:rPr>
          <w:rFonts w:ascii="Times New Roman" w:hAnsi="Times New Roman" w:cs="Times New Roman" w:eastAsia="宋体"/>
          <w:b w:val="0"/>
          <w:i w:val="0"/>
          <w:color w:val="000000"/>
          <w:sz w:val="20"/>
        </w:rPr>
        <w:t>本文要同时回答三件事。正确终局能否在提交方或挑战方离线时仍由公开输入决定。恢复能否在不改写已提交事实、不延长绝对截止时间的条件下让交互继续。真实 SGX 与公共测试网 Blob 能把这一命题支撑到哪一个环境，又在哪一个环境停止。</w:t>
      </w:r>
    </w:p>
    <w:p>
      <w:pPr>
        <w:spacing w:before="0" w:after="0"/>
        <w:ind w:firstLine="408"/>
        <w:jc w:val="both"/>
      </w:pPr>
      <w:r>
        <w:rPr>
          <w:rFonts w:ascii="Times New Roman" w:hAnsi="Times New Roman" w:cs="Times New Roman" w:eastAsia="宋体"/>
          <w:b w:val="0"/>
          <w:i w:val="0"/>
          <w:color w:val="000000"/>
          <w:sz w:val="20"/>
        </w:rPr>
        <w:t>参与方包括提交者、挑战者、观察节点、数据可用性服务和执行平台。他们可以作恶或失效的方式、受影响的性质以及现有证据等级在第 4.2 节列出。共识层回滚是否保留已打包状态，取决于以太坊终局性；本地 Hardhat 没有产生真实重组。</w:t>
      </w:r>
    </w:p>
    <w:p>
      <w:pPr>
        <w:spacing w:before="120" w:after="60" w:line="240" w:lineRule="auto"/>
        <w:ind w:firstLine="0"/>
        <w:jc w:val="left"/>
      </w:pPr>
      <w:r>
        <w:rPr>
          <w:rFonts w:ascii="Times New Roman" w:hAnsi="Times New Roman" w:cs="Times New Roman" w:eastAsia="黑体"/>
          <w:b/>
          <w:i w:val="0"/>
          <w:color w:val="000000"/>
          <w:sz w:val="23"/>
        </w:rPr>
        <w:t>2.4  机制对比</w:t>
      </w:r>
    </w:p>
    <w:p>
      <w:pPr>
        <w:spacing w:before="0" w:after="0"/>
        <w:ind w:firstLine="408"/>
        <w:jc w:val="both"/>
      </w:pPr>
      <w:r>
        <w:rPr>
          <w:rFonts w:ascii="Times New Roman" w:hAnsi="Times New Roman" w:cs="Times New Roman" w:eastAsia="宋体"/>
          <w:b w:val="0"/>
          <w:i w:val="0"/>
          <w:color w:val="000000"/>
          <w:sz w:val="20"/>
        </w:rPr>
        <w:t>表 1 比较本文、TeeRollup v3[1]、Optimism Fault Dispute Game[4] 和 Arbitrum BoLD[10]。TeeRollup 与 BoLD 两列只转述已固定版本的机制描述。Optimism 一列同时使用官方说明和本次运行的组件测试。BoLD 本次没有运行其实现。表中不计算跨系统的速度倍数或费用百分比。</w:t>
      </w:r>
    </w:p>
    <w:p>
      <w:pPr>
        <w:keepNext/>
        <w:spacing w:before="40" w:after="0" w:line="216" w:lineRule="auto"/>
        <w:ind w:firstLine="0"/>
        <w:jc w:val="center"/>
      </w:pPr>
      <w:r>
        <w:rPr>
          <w:rFonts w:ascii="Times New Roman" w:hAnsi="Times New Roman" w:cs="Times New Roman" w:eastAsia="宋体"/>
          <w:b w:val="0"/>
          <w:i w:val="0"/>
          <w:color w:val="000000"/>
          <w:sz w:val="15"/>
        </w:rPr>
        <w:t>表 1  有界重算与三类已有机制的对比</w:t>
      </w:r>
    </w:p>
    <w:p>
      <w:pPr>
        <w:keepNext/>
        <w:spacing w:before="0" w:after="40" w:line="216" w:lineRule="auto"/>
        <w:ind w:firstLine="0"/>
        <w:jc w:val="center"/>
      </w:pPr>
      <w:r>
        <w:rPr>
          <w:rFonts w:ascii="Times New Roman" w:hAnsi="Times New Roman" w:cs="Times New Roman" w:eastAsia="宋体"/>
          <w:b w:val="0"/>
          <w:i w:val="0"/>
          <w:color w:val="000000"/>
          <w:sz w:val="15"/>
        </w:rPr>
        <w:t>Table 1  Comparison with TeeRollup v3, Optimism FDG, and Arbitrum BoLD</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620"/>
        <w:gridCol w:w="980"/>
        <w:gridCol w:w="980"/>
        <w:gridCol w:w="980"/>
        <w:gridCol w:w="904"/>
      </w:tblGrid>
      <w:tr>
        <w:trPr>
          <w:cantSplit/>
        </w:trPr>
        <w:tc>
          <w:tcPr>
            <w:tcW w:type="dxa" w:w="62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维度</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本文</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TeeRollup v3</w:t>
            </w:r>
          </w:p>
        </w:tc>
        <w:tc>
          <w:tcPr>
            <w:tcW w:type="dxa" w:w="9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Optimism FDG</w:t>
            </w:r>
          </w:p>
        </w:tc>
        <w:tc>
          <w:tcPr>
            <w:tcW w:type="dxa" w:w="90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BoLD</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计算模型</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最多128步哈希链</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异构TEE执行，文献[1]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指令级故障证明[4]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交互争议，文献[10]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执行信任</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公开输入上的链上重算</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v3将信任放在异构TEE[1]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挑战者推动反驳[4]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至少一个诚实方[10]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数据可用性</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记录versioned hash与payloadHash</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本次未复现其数据层</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预映像进入争议游戏[4]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未运行，不填数值</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正常提交</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签名任务与押金</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文献gas不与本文相减[1]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不在本次三个测试内</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争议如何结束</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任何人调用终止重算</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超时后退款，见文献[1]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resolve；时钟可继承并延长[4]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终止上界不随人数增加[10]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恢复是否改写事实</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不改写，不延长绝对截止</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文献未给出同款恢复[1]</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已有时限延长[4]</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文献中的本地计时[10]</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惩罚是否闭环</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仅输出或轨迹错误在本地闭环</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无公开实现，未测量</w:t>
            </w:r>
          </w:p>
        </w:tc>
        <w:tc>
          <w:tcPr>
            <w:tcW w:type="dxa" w:w="9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本次未测其罚没</w:t>
            </w:r>
          </w:p>
        </w:tc>
        <w:tc>
          <w:tcPr>
            <w:tcW w:type="dxa" w:w="90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未运行</w:t>
            </w:r>
          </w:p>
        </w:tc>
      </w:tr>
    </w:tbl>
    <w:p>
      <w:pPr>
        <w:spacing w:before="120" w:after="60" w:line="240" w:lineRule="auto"/>
        <w:ind w:firstLine="0"/>
        <w:jc w:val="left"/>
      </w:pPr>
      <w:r>
        <w:rPr>
          <w:rFonts w:ascii="Times New Roman" w:hAnsi="Times New Roman" w:cs="Times New Roman" w:eastAsia="黑体"/>
          <w:b/>
          <w:i w:val="0"/>
          <w:color w:val="000000"/>
          <w:sz w:val="23"/>
        </w:rPr>
        <w:t>3  系统概览</w:t>
      </w:r>
    </w:p>
    <w:p>
      <w:pPr>
        <w:pStyle w:val="4"/>
      </w:pPr>
      <w:r>
        <w:t>4.1.1 操作权限约束</w:t>
      </w:r>
    </w:p>
    <w:p>
      <w:r>
        <w:t>HTR采用基于角色的权限控制，确保各操作仅能由授权角色执行。表3列出了主要操作的权限矩阵，包括Sequencer、Proposer、Challenger、Guardian、Owner等角色的权限分配。</w:t>
      </w:r>
    </w:p>
    <w:tbl>
      <w:tblPr>
        <w:tblStyle w:val="af4"/>
        <w:tblW w:type="auto" w:w="0"/>
        <w:tblLook w:firstColumn="1" w:firstRow="1" w:lastColumn="0" w:lastRow="0" w:noHBand="0" w:noVBand="1" w:val="04A0"/>
      </w:tblPr>
      <w:tblGrid>
        <w:gridCol w:w="2579"/>
        <w:gridCol w:w="2579"/>
        <w:gridCol w:w="2579"/>
        <w:gridCol w:w="2579"/>
      </w:tblGrid>
      <w:tr>
        <w:tc>
          <w:tcPr>
            <w:tcW w:type="dxa" w:w="2579"/>
            <w:shd w:fill="E0E0E0"/>
          </w:tcPr>
          <w:p>
            <w:r>
              <w:rPr>
                <w:rFonts w:ascii="Times New Roman" w:hAnsi="Times New Roman" w:eastAsia="宋体"/>
                <w:b/>
                <w:sz w:val="18"/>
              </w:rPr>
              <w:t>操作</w:t>
            </w:r>
          </w:p>
        </w:tc>
        <w:tc>
          <w:tcPr>
            <w:tcW w:type="dxa" w:w="2579"/>
            <w:shd w:fill="E0E0E0"/>
          </w:tcPr>
          <w:p>
            <w:r>
              <w:rPr>
                <w:rFonts w:ascii="Times New Roman" w:hAnsi="Times New Roman" w:eastAsia="宋体"/>
                <w:b/>
                <w:sz w:val="18"/>
              </w:rPr>
              <w:t>调用者限制</w:t>
            </w:r>
          </w:p>
        </w:tc>
        <w:tc>
          <w:tcPr>
            <w:tcW w:type="dxa" w:w="2579"/>
            <w:shd w:fill="E0E0E0"/>
          </w:tcPr>
          <w:p>
            <w:r>
              <w:rPr>
                <w:rFonts w:ascii="Times New Roman" w:hAnsi="Times New Roman" w:eastAsia="宋体"/>
                <w:b/>
                <w:sz w:val="18"/>
              </w:rPr>
              <w:t>相位限制</w:t>
            </w:r>
          </w:p>
        </w:tc>
        <w:tc>
          <w:tcPr>
            <w:tcW w:type="dxa" w:w="2579"/>
            <w:shd w:fill="E0E0E0"/>
          </w:tcPr>
          <w:p>
            <w:r>
              <w:rPr>
                <w:rFonts w:ascii="Times New Roman" w:hAnsi="Times New Roman" w:eastAsia="宋体"/>
                <w:b/>
                <w:sz w:val="18"/>
              </w:rPr>
              <w:t>期限限制</w:t>
            </w:r>
          </w:p>
        </w:tc>
      </w:tr>
      <w:tr>
        <w:tc>
          <w:tcPr>
            <w:tcW w:type="dxa" w:w="2579"/>
          </w:tcPr>
          <w:p>
            <w:r>
              <w:rPr>
                <w:rFonts w:ascii="Times New Roman" w:hAnsi="Times New Roman" w:eastAsia="宋体"/>
                <w:b w:val="0"/>
                <w:sz w:val="18"/>
              </w:rPr>
              <w:t>submit</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IDLE</w:t>
            </w:r>
          </w:p>
        </w:tc>
        <w:tc>
          <w:tcPr>
            <w:tcW w:type="dxa" w:w="2579"/>
          </w:tcPr>
          <w:p>
            <w:r>
              <w:rPr>
                <w:rFonts w:ascii="Times New Roman" w:hAnsi="Times New Roman" w:eastAsia="宋体"/>
                <w:b w:val="0"/>
                <w:sz w:val="18"/>
              </w:rPr>
              <w:t>-</w:t>
            </w:r>
          </w:p>
        </w:tc>
      </w:tr>
      <w:tr>
        <w:tc>
          <w:tcPr>
            <w:tcW w:type="dxa" w:w="2579"/>
          </w:tcPr>
          <w:p>
            <w:r>
              <w:rPr>
                <w:rFonts w:ascii="Times New Roman" w:hAnsi="Times New Roman" w:eastAsia="宋体"/>
                <w:b w:val="0"/>
                <w:sz w:val="18"/>
              </w:rPr>
              <w:t>openChallenge</w:t>
            </w:r>
          </w:p>
        </w:tc>
        <w:tc>
          <w:tcPr>
            <w:tcW w:type="dxa" w:w="2579"/>
          </w:tcPr>
          <w:p>
            <w:r>
              <w:rPr>
                <w:rFonts w:ascii="Times New Roman" w:hAnsi="Times New Roman" w:eastAsia="宋体"/>
                <w:b w:val="0"/>
                <w:sz w:val="18"/>
              </w:rPr>
              <w:t>非提交方</w:t>
            </w:r>
          </w:p>
        </w:tc>
        <w:tc>
          <w:tcPr>
            <w:tcW w:type="dxa" w:w="2579"/>
          </w:tcPr>
          <w:p>
            <w:r>
              <w:rPr>
                <w:rFonts w:ascii="Times New Roman" w:hAnsi="Times New Roman" w:eastAsia="宋体"/>
                <w:b w:val="0"/>
                <w:sz w:val="18"/>
              </w:rPr>
              <w:t>SUBMITTED</w:t>
            </w:r>
          </w:p>
        </w:tc>
        <w:tc>
          <w:tcPr>
            <w:tcW w:type="dxa" w:w="2579"/>
          </w:tcPr>
          <w:p>
            <w:r>
              <w:rPr>
                <w:rFonts w:ascii="Times New Roman" w:hAnsi="Times New Roman" w:eastAsia="宋体"/>
                <w:b w:val="0"/>
                <w:sz w:val="18"/>
              </w:rPr>
              <w:t>timestamp ≤ responseDeadline</w:t>
            </w:r>
          </w:p>
        </w:tc>
      </w:tr>
      <w:tr>
        <w:tc>
          <w:tcPr>
            <w:tcW w:type="dxa" w:w="2579"/>
          </w:tcPr>
          <w:p>
            <w:r>
              <w:rPr>
                <w:rFonts w:ascii="Times New Roman" w:hAnsi="Times New Roman" w:eastAsia="宋体"/>
                <w:b w:val="0"/>
                <w:sz w:val="18"/>
              </w:rPr>
              <w:t>respond</w:t>
            </w:r>
          </w:p>
        </w:tc>
        <w:tc>
          <w:tcPr>
            <w:tcW w:type="dxa" w:w="2579"/>
          </w:tcPr>
          <w:p>
            <w:r>
              <w:rPr>
                <w:rFonts w:ascii="Times New Roman" w:hAnsi="Times New Roman" w:eastAsia="宋体"/>
                <w:b w:val="0"/>
                <w:sz w:val="18"/>
              </w:rPr>
              <w:t>仅提交方</w:t>
            </w:r>
          </w:p>
        </w:tc>
        <w:tc>
          <w:tcPr>
            <w:tcW w:type="dxa" w:w="2579"/>
          </w:tcPr>
          <w:p>
            <w:r>
              <w:rPr>
                <w:rFonts w:ascii="Times New Roman" w:hAnsi="Times New Roman" w:eastAsia="宋体"/>
                <w:b w:val="0"/>
                <w:sz w:val="18"/>
              </w:rPr>
              <w:t>CHALLENGED</w:t>
            </w:r>
          </w:p>
        </w:tc>
        <w:tc>
          <w:tcPr>
            <w:tcW w:type="dxa" w:w="2579"/>
          </w:tcPr>
          <w:p>
            <w:r>
              <w:rPr>
                <w:rFonts w:ascii="Times New Roman" w:hAnsi="Times New Roman" w:eastAsia="宋体"/>
                <w:b w:val="0"/>
                <w:sz w:val="18"/>
              </w:rPr>
              <w:t>timestamp &lt; responseDeadline</w:t>
            </w:r>
          </w:p>
        </w:tc>
      </w:tr>
      <w:tr>
        <w:tc>
          <w:tcPr>
            <w:tcW w:type="dxa" w:w="2579"/>
          </w:tcPr>
          <w:p>
            <w:r>
              <w:rPr>
                <w:rFonts w:ascii="Times New Roman" w:hAnsi="Times New Roman" w:eastAsia="宋体"/>
                <w:b w:val="0"/>
                <w:sz w:val="18"/>
              </w:rPr>
              <w:t>recover</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CHALLENGED或RECOVERED</w:t>
            </w:r>
          </w:p>
        </w:tc>
        <w:tc>
          <w:tcPr>
            <w:tcW w:type="dxa" w:w="2579"/>
          </w:tcPr>
          <w:p>
            <w:r>
              <w:rPr>
                <w:rFonts w:ascii="Times New Roman" w:hAnsi="Times New Roman" w:eastAsia="宋体"/>
                <w:b w:val="0"/>
                <w:sz w:val="18"/>
              </w:rPr>
              <w:t>timeoutAt &lt; timestamp &lt; absoluteDeadline, recoveries &lt; maxRecoveries</w:t>
            </w:r>
          </w:p>
        </w:tc>
      </w:tr>
      <w:tr>
        <w:tc>
          <w:tcPr>
            <w:tcW w:type="dxa" w:w="2579"/>
          </w:tcPr>
          <w:p>
            <w:r>
              <w:rPr>
                <w:rFonts w:ascii="Times New Roman" w:hAnsi="Times New Roman" w:eastAsia="宋体"/>
                <w:b w:val="0"/>
                <w:sz w:val="18"/>
              </w:rPr>
              <w:t>advance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RECOVERED</w:t>
            </w:r>
          </w:p>
        </w:tc>
        <w:tc>
          <w:tcPr>
            <w:tcW w:type="dxa" w:w="2579"/>
          </w:tcPr>
          <w:p>
            <w:r>
              <w:rPr>
                <w:rFonts w:ascii="Times New Roman" w:hAnsi="Times New Roman" w:eastAsia="宋体"/>
                <w:b w:val="0"/>
                <w:sz w:val="18"/>
              </w:rPr>
              <w:t>timestamp &lt; absoluteDeadline</w:t>
            </w:r>
          </w:p>
        </w:tc>
      </w:tr>
      <w:tr>
        <w:tc>
          <w:tcPr>
            <w:tcW w:type="dxa" w:w="2579"/>
          </w:tcPr>
          <w:p>
            <w:r>
              <w:rPr>
                <w:rFonts w:ascii="Times New Roman" w:hAnsi="Times New Roman" w:eastAsia="宋体"/>
                <w:b w:val="0"/>
                <w:sz w:val="18"/>
              </w:rPr>
              <w:t>replay</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RECOVERED</w:t>
            </w:r>
          </w:p>
        </w:tc>
        <w:tc>
          <w:tcPr>
            <w:tcW w:type="dxa" w:w="2579"/>
          </w:tcPr>
          <w:p>
            <w:r>
              <w:rPr>
                <w:rFonts w:ascii="Times New Roman" w:hAnsi="Times New Roman" w:eastAsia="宋体"/>
                <w:b w:val="0"/>
                <w:sz w:val="18"/>
              </w:rPr>
              <w:t>timestamp &lt; absoluteDeadline</w:t>
            </w:r>
          </w:p>
        </w:tc>
      </w:tr>
      <w:tr>
        <w:tc>
          <w:tcPr>
            <w:tcW w:type="dxa" w:w="2579"/>
          </w:tcPr>
          <w:p>
            <w:r>
              <w:rPr>
                <w:rFonts w:ascii="Times New Roman" w:hAnsi="Times New Roman" w:eastAsia="宋体"/>
                <w:b w:val="0"/>
                <w:sz w:val="18"/>
              </w:rPr>
              <w:t>settle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CHALLENGED或RECOVERED</w:t>
            </w:r>
          </w:p>
        </w:tc>
        <w:tc>
          <w:tcPr>
            <w:tcW w:type="dxa" w:w="2579"/>
          </w:tcPr>
          <w:p>
            <w:r>
              <w:rPr>
                <w:rFonts w:ascii="Times New Roman" w:hAnsi="Times New Roman" w:eastAsia="宋体"/>
                <w:b w:val="0"/>
                <w:sz w:val="18"/>
              </w:rPr>
              <w:t>timestamp ≥ deadline</w:t>
            </w:r>
          </w:p>
        </w:tc>
      </w:tr>
      <w:tr>
        <w:tc>
          <w:tcPr>
            <w:tcW w:type="dxa" w:w="2579"/>
          </w:tcPr>
          <w:p>
            <w:r>
              <w:rPr>
                <w:rFonts w:ascii="Times New Roman" w:hAnsi="Times New Roman" w:eastAsia="宋体"/>
                <w:b w:val="0"/>
                <w:sz w:val="18"/>
              </w:rPr>
              <w:t>adjudicate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CHALLENGED或RECOVERED</w:t>
            </w:r>
          </w:p>
        </w:tc>
        <w:tc>
          <w:tcPr>
            <w:tcW w:type="dxa" w:w="2579"/>
          </w:tcPr>
          <w:p>
            <w:r>
              <w:rPr>
                <w:rFonts w:ascii="Times New Roman" w:hAnsi="Times New Roman" w:eastAsia="宋体"/>
                <w:b w:val="0"/>
                <w:sz w:val="18"/>
              </w:rPr>
              <w:t>timestamp ≥ deadline, verdict冲突</w:t>
            </w:r>
          </w:p>
        </w:tc>
      </w:tr>
      <w:tr>
        <w:tc>
          <w:tcPr>
            <w:tcW w:type="dxa" w:w="2579"/>
          </w:tcPr>
          <w:p>
            <w:r>
              <w:rPr>
                <w:rFonts w:ascii="Times New Roman" w:hAnsi="Times New Roman" w:eastAsia="宋体"/>
                <w:b w:val="0"/>
                <w:sz w:val="18"/>
              </w:rPr>
              <w:t>terminate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任意</w:t>
            </w:r>
          </w:p>
        </w:tc>
        <w:tc>
          <w:tcPr>
            <w:tcW w:type="dxa" w:w="2579"/>
          </w:tcPr>
          <w:p>
            <w:r>
              <w:rPr>
                <w:rFonts w:ascii="Times New Roman" w:hAnsi="Times New Roman" w:eastAsia="宋体"/>
                <w:b w:val="0"/>
                <w:sz w:val="18"/>
              </w:rPr>
              <w:t>timestamp &gt; absoluteDeadline</w:t>
            </w:r>
          </w:p>
        </w:tc>
      </w:tr>
      <w:tr>
        <w:tc>
          <w:tcPr>
            <w:tcW w:type="dxa" w:w="2579"/>
          </w:tcPr>
          <w:p>
            <w:r>
              <w:rPr>
                <w:rFonts w:ascii="Times New Roman" w:hAnsi="Times New Roman" w:eastAsia="宋体"/>
                <w:b w:val="0"/>
                <w:sz w:val="18"/>
              </w:rPr>
              <w:t>finalize</w:t>
            </w:r>
          </w:p>
        </w:tc>
        <w:tc>
          <w:tcPr>
            <w:tcW w:type="dxa" w:w="2579"/>
          </w:tcPr>
          <w:p>
            <w:r>
              <w:rPr>
                <w:rFonts w:ascii="Times New Roman" w:hAnsi="Times New Roman" w:eastAsia="宋体"/>
                <w:b w:val="0"/>
                <w:sz w:val="18"/>
              </w:rPr>
              <w:t>无</w:t>
            </w:r>
          </w:p>
        </w:tc>
        <w:tc>
          <w:tcPr>
            <w:tcW w:type="dxa" w:w="2579"/>
          </w:tcPr>
          <w:p>
            <w:r>
              <w:rPr>
                <w:rFonts w:ascii="Times New Roman" w:hAnsi="Times New Roman" w:eastAsia="宋体"/>
                <w:b w:val="0"/>
                <w:sz w:val="18"/>
              </w:rPr>
              <w:t>SETTLED</w:t>
            </w:r>
          </w:p>
        </w:tc>
        <w:tc>
          <w:tcPr>
            <w:tcW w:type="dxa" w:w="2579"/>
          </w:tcPr>
          <w:p>
            <w:r>
              <w:rPr>
                <w:rFonts w:ascii="Times New Roman" w:hAnsi="Times New Roman" w:eastAsia="宋体"/>
                <w:b w:val="0"/>
                <w:sz w:val="18"/>
              </w:rPr>
              <w:t>timestamp &gt; finality window</w:t>
            </w:r>
          </w:p>
        </w:tc>
      </w:tr>
    </w:tbl>
    <w:p>
      <w:pPr>
        <w:spacing w:before="0" w:after="0"/>
        <w:ind w:firstLine="408"/>
        <w:jc w:val="both"/>
      </w:pPr>
      <w:r>
        <w:rPr>
          <w:rFonts w:ascii="Times New Roman" w:hAnsi="Times New Roman" w:cs="Times New Roman" w:eastAsia="宋体"/>
          <w:b w:val="0"/>
          <w:i w:val="0"/>
          <w:color w:val="000000"/>
          <w:sz w:val="20"/>
        </w:rPr>
        <w:t>系统由执行、数据引用和链上验证三部分组成。执行部分计算有界哈希链，并可以在 SGX Enclave 内生成 Quote。数据部分要么把批量任务放进 Blob，要么在任务合约中登记 dataHash。验证部分在 BoundedTaskRollup 上完成提交、挑战、恢复、终止重算和结算。旧合约 HybridTEERollup、MockTEEVerifier 和 MockDARegistry 只保留为历史对照，不参与本章描述的路径。</w:t>
      </w:r>
    </w:p>
    <w:p>
      <w:pPr>
        <w:spacing w:before="120" w:after="60" w:line="240" w:lineRule="auto"/>
        <w:ind w:firstLine="0"/>
        <w:jc w:val="left"/>
      </w:pPr>
      <w:r>
        <w:rPr>
          <w:rFonts w:ascii="Times New Roman" w:hAnsi="Times New Roman" w:cs="Times New Roman" w:eastAsia="黑体"/>
          <w:b/>
          <w:i w:val="0"/>
          <w:color w:val="000000"/>
          <w:sz w:val="23"/>
        </w:rPr>
        <w:t>3.1  有界哈希链与正常提交</w:t>
      </w:r>
    </w:p>
    <w:p>
      <w:pPr>
        <w:spacing w:before="0" w:after="0"/>
        <w:ind w:firstLine="408"/>
        <w:jc w:val="both"/>
      </w:pPr>
      <w:r>
        <w:rPr>
          <w:rFonts w:ascii="Times New Roman" w:hAnsi="Times New Roman" w:cs="Times New Roman" w:eastAsia="宋体"/>
          <w:b w:val="0"/>
          <w:i w:val="0"/>
          <w:color w:val="000000"/>
          <w:sz w:val="20"/>
        </w:rPr>
        <w:t>提交者对任务摘要签名并缴纳押金。任务字段包括 taskId、initial、steps、version、output、traceRoot 和 dataHash。steps 的范围是 1 到 128，version 固定为 1。摘要绑定域分隔符、链标识、合约地址和上述字段，签名者必须是提交者。</w:t>
      </w:r>
    </w:p>
    <w:p>
      <w:pPr>
        <w:spacing w:before="0" w:after="0"/>
        <w:ind w:firstLine="408"/>
        <w:jc w:val="both"/>
      </w:pPr>
      <w:r>
        <w:rPr>
          <w:rFonts w:ascii="Times New Roman" w:hAnsi="Times New Roman" w:cs="Times New Roman" w:eastAsia="宋体"/>
          <w:b w:val="0"/>
          <w:i w:val="0"/>
          <w:color w:val="000000"/>
          <w:sz w:val="20"/>
        </w:rPr>
        <w:t>挑战窗口结束且无人挑战时，任何人可以调用 finalize。合约仍按公开输入重算。输出和轨迹根都与重算结果一致时，押金退回提交者；存在错误时，押金销毁到空地址。这条路径处理的是无人挑战的错误提交，收益者不变成一个新的挑战者。</w:t>
      </w:r>
    </w:p>
    <w:p>
      <w:pPr>
        <w:spacing w:before="120" w:after="60" w:line="240" w:lineRule="auto"/>
        <w:ind w:firstLine="0"/>
        <w:jc w:val="left"/>
      </w:pPr>
      <w:r>
        <w:rPr>
          <w:rFonts w:ascii="Times New Roman" w:hAnsi="Times New Roman" w:cs="Times New Roman" w:eastAsia="黑体"/>
          <w:b/>
          <w:i w:val="0"/>
          <w:color w:val="000000"/>
          <w:sz w:val="23"/>
        </w:rPr>
        <w:t>3.2  versioned hash 与 payloadHash</w:t>
      </w:r>
    </w:p>
    <w:p>
      <w:pPr>
        <w:spacing w:before="0" w:after="0"/>
        <w:ind w:firstLine="408"/>
        <w:jc w:val="both"/>
      </w:pPr>
      <w:r>
        <w:rPr>
          <w:rFonts w:ascii="Times New Roman" w:hAnsi="Times New Roman" w:cs="Times New Roman" w:eastAsia="宋体"/>
          <w:b w:val="0"/>
          <w:i w:val="0"/>
          <w:color w:val="000000"/>
          <w:sz w:val="20"/>
        </w:rPr>
        <w:t>BlobBatchAnchor 与任务合约分开部署。anchorBlobBatch 用 BLOBHASH 操作码读取本交易中的 versioned hash，并记下调用者传入的 payloadHash 和任务数。同一个 versioned hash 不能再次使用，同一个 payloadHash 不能再次锚定。合约比较的是这两类已登记哈希。一份全新 Blob 若带有从未登记的 payloadHash，锚定合约不会因为正文与声明不一致而拒绝，因为链上不读取 Blob 字节。</w:t>
      </w:r>
    </w:p>
    <w:p>
      <w:pPr>
        <w:spacing w:before="0" w:after="0"/>
        <w:ind w:firstLine="408"/>
        <w:jc w:val="both"/>
      </w:pPr>
      <w:r>
        <w:rPr>
          <w:rFonts w:ascii="Times New Roman" w:hAnsi="Times New Roman" w:cs="Times New Roman" w:eastAsia="宋体"/>
          <w:b w:val="0"/>
          <w:i w:val="0"/>
          <w:color w:val="000000"/>
          <w:sz w:val="20"/>
        </w:rPr>
        <w:t>任务侧的 bindDa 是可选的原像披露。提交者在挑战窗口内再锁定一份与任务押金相同的金额，并登记 daRef。窗口内提交 dataHash 的原像后，该押金变为可提取；超时后任何人可以调用 slashDa，押金销毁到空地址。这里比较的是原像，不是 EIP-4844 点值证明。未调用 bindDa 的任务不承担这项义务。daRef 可以写成某个 versioned hash，任务合约仍然不读取 Blob，也不调用锚定合约。</w:t>
      </w:r>
    </w:p>
    <w:p>
      <w:pPr>
        <w:spacing w:before="120" w:after="60" w:line="240" w:lineRule="auto"/>
        <w:ind w:firstLine="0"/>
        <w:jc w:val="left"/>
      </w:pPr>
      <w:r>
        <w:rPr>
          <w:rFonts w:ascii="Times New Roman" w:hAnsi="Times New Roman" w:cs="Times New Roman" w:eastAsia="黑体"/>
          <w:b/>
          <w:i w:val="0"/>
          <w:color w:val="000000"/>
          <w:sz w:val="23"/>
        </w:rPr>
        <w:t>3.3  验证与终止重算</w:t>
      </w:r>
    </w:p>
    <w:p>
      <w:pPr>
        <w:spacing w:before="0" w:after="0"/>
        <w:ind w:firstLine="408"/>
        <w:jc w:val="both"/>
      </w:pPr>
      <w:r>
        <w:rPr>
          <w:rFonts w:ascii="Times New Roman" w:hAnsi="Times New Roman" w:cs="Times New Roman" w:eastAsia="宋体"/>
          <w:b w:val="0"/>
          <w:i w:val="0"/>
          <w:color w:val="000000"/>
          <w:sz w:val="20"/>
        </w:rPr>
        <w:t>其他地址在挑战窗口内缴纳同等押金后，任务进入 OPEN，并在此时写入 absoluteDeadline。respond 只能由提交者调用，它提交一条与 traceRoot 绑定的轨迹，用来辅助定位，不是一项超时即罚没的义务。advance 根据已经记录的第一个不一致位置缩小区间。这些交互都可以被跳过。</w:t>
      </w:r>
    </w:p>
    <w:p>
      <w:pPr>
        <w:spacing w:before="0" w:after="0"/>
        <w:ind w:firstLine="408"/>
        <w:jc w:val="both"/>
      </w:pPr>
      <w:r>
        <w:rPr>
          <w:rFonts w:ascii="Times New Roman" w:hAnsi="Times New Roman" w:cs="Times New Roman" w:eastAsia="宋体"/>
          <w:b w:val="0"/>
          <w:i w:val="0"/>
          <w:color w:val="000000"/>
          <w:sz w:val="20"/>
        </w:rPr>
        <w:t>adjudicate 在挑战开启之后、结算之前的各个阶段都可以调用，包括双方都已离线、阶段时限和绝对截止时间都已过去的时候。它先重算，再把两份押金记入提交者或原挑战者的可提取余额。terminate 在阶段超时或到达绝对截止时间后走同一条重算和结算。因此，交互是可选的诊断过程，正确终局来自终止重算。</w:t>
      </w:r>
    </w:p>
    <w:p>
      <w:pPr>
        <w:spacing w:before="120" w:after="60" w:line="240" w:lineRule="auto"/>
        <w:ind w:firstLine="0"/>
        <w:jc w:val="left"/>
      </w:pPr>
      <w:r>
        <w:rPr>
          <w:rFonts w:ascii="Times New Roman" w:hAnsi="Times New Roman" w:cs="Times New Roman" w:eastAsia="黑体"/>
          <w:b/>
          <w:i w:val="0"/>
          <w:color w:val="000000"/>
          <w:sz w:val="23"/>
        </w:rPr>
        <w:t>4  恢复边界与威胁假设</w:t>
      </w:r>
    </w:p>
    <w:p>
      <w:pPr>
        <w:spacing w:before="120" w:after="60" w:line="240" w:lineRule="auto"/>
        <w:ind w:firstLine="0"/>
        <w:jc w:val="left"/>
      </w:pPr>
      <w:r>
        <w:rPr>
          <w:rFonts w:ascii="Times New Roman" w:hAnsi="Times New Roman" w:cs="Times New Roman" w:eastAsia="黑体"/>
          <w:b/>
          <w:i w:val="0"/>
          <w:color w:val="000000"/>
          <w:sz w:val="23"/>
        </w:rPr>
        <w:t>4.1  调用者与状态转移</w:t>
      </w:r>
    </w:p>
    <w:p>
      <w:pPr>
        <w:spacing w:before="0" w:after="0"/>
        <w:ind w:firstLine="408"/>
        <w:jc w:val="both"/>
      </w:pPr>
      <w:r>
        <w:rPr>
          <w:rFonts w:ascii="Times New Roman" w:hAnsi="Times New Roman" w:cs="Times New Roman" w:eastAsia="宋体"/>
          <w:b w:val="0"/>
          <w:i w:val="0"/>
          <w:color w:val="000000"/>
          <w:sz w:val="20"/>
        </w:rPr>
        <w:t>恢复的权限来自合约分支，并在 17 个可执行用例中逐项检查。recover 要求阶段处于 OPEN 到 READY 之间，区块时间严格大于 timeoutAt，并且严格小于 absoluteDeadline，已恢复次数还要小于上限。构造参数把上限限制在 2 次以内。成功时只把次数加一，并把阶段时限刷新为当前时间加 stepTimeout 与 absoluteDeadline 中的较早者。absoluteDeadline 在 openChallenge 时确定，恢复不修改它，也不修改挑战者。</w:t>
      </w:r>
    </w:p>
    <w:p>
      <w:pPr>
        <w:spacing w:before="0" w:after="0"/>
        <w:ind w:firstLine="408"/>
        <w:jc w:val="both"/>
      </w:pPr>
      <w:r>
        <w:rPr>
          <w:rFonts w:ascii="Times New Roman" w:hAnsi="Times New Roman" w:cs="Times New Roman" w:eastAsia="宋体"/>
          <w:b w:val="0"/>
          <w:i w:val="0"/>
          <w:color w:val="000000"/>
          <w:sz w:val="20"/>
        </w:rPr>
        <w:t>过早调用会被回滚，阶段、次数和争议事实保持调用前的值。8 个地址依次调用时实际成功 2 次，绝对截止时间不变。超出上限的调用，以及连续 20 次无效恢复，全部回滚，不污染任务状态。到达绝对截止时间之后，recover 失败，terminate 仍可结算。recover 与 terminate 无论打包顺序如何，都只产生一次结算。</w:t>
      </w:r>
    </w:p>
    <w:p>
      <w:pPr>
        <w:keepNext/>
        <w:spacing w:before="40" w:after="0" w:line="216" w:lineRule="auto"/>
        <w:ind w:firstLine="0"/>
        <w:jc w:val="center"/>
      </w:pPr>
      <w:r>
        <w:rPr>
          <w:rFonts w:ascii="Times New Roman" w:hAnsi="Times New Roman" w:cs="Times New Roman" w:eastAsia="宋体"/>
          <w:b w:val="0"/>
          <w:i w:val="0"/>
          <w:color w:val="000000"/>
          <w:sz w:val="15"/>
        </w:rPr>
        <w:t>表 2  调用者、时间条件与事实约束</w:t>
      </w:r>
    </w:p>
    <w:p>
      <w:pPr>
        <w:keepNext/>
        <w:spacing w:before="0" w:after="40" w:line="216" w:lineRule="auto"/>
        <w:ind w:firstLine="0"/>
        <w:jc w:val="center"/>
      </w:pPr>
      <w:r>
        <w:rPr>
          <w:rFonts w:ascii="Times New Roman" w:hAnsi="Times New Roman" w:cs="Times New Roman" w:eastAsia="宋体"/>
          <w:b w:val="0"/>
          <w:i w:val="0"/>
          <w:color w:val="000000"/>
          <w:sz w:val="15"/>
        </w:rPr>
        <w:t>Table 2  Callers, timing conditions, and committed facts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900"/>
        <w:gridCol w:w="900"/>
        <w:gridCol w:w="1564"/>
        <w:gridCol w:w="1100"/>
      </w:tblGrid>
      <w:tr>
        <w:trPr>
          <w:cantSplit/>
        </w:trPr>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调用</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调用者</w:t>
            </w:r>
          </w:p>
        </w:tc>
        <w:tc>
          <w:tcPr>
            <w:tcW w:type="dxa" w:w="15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成功条件</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对已提交事实</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submit</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签名提交者</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新任务，步数1至128</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写入事实 F</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openChallenge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其他地址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窗口内并缴纳押金</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F，写入绝对截止</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respond</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仅提交者</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阶段时限内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traceRoot</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advance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阶段时限内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只缩小区间</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recover</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阶段超时后、绝对截止前，且少于2次</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不改 F，不换挑战者</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adjudicate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已开启且未结算</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按重算裁决</w:t>
            </w:r>
          </w:p>
        </w:tc>
      </w:tr>
      <w:tr>
        <w:trPr>
          <w:cantSplit/>
        </w:trPr>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terminate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任何地址</w:t>
            </w:r>
          </w:p>
        </w:tc>
        <w:tc>
          <w:tcPr>
            <w:tcW w:type="dxa" w:w="15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阶段超时或已到绝对截止</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按同一重算结算</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3  主要状态转移</w:t>
      </w:r>
    </w:p>
    <w:p>
      <w:pPr>
        <w:keepNext/>
        <w:spacing w:before="0" w:after="40" w:line="216" w:lineRule="auto"/>
        <w:ind w:firstLine="0"/>
        <w:jc w:val="center"/>
      </w:pPr>
      <w:r>
        <w:rPr>
          <w:rFonts w:ascii="Times New Roman" w:hAnsi="Times New Roman" w:cs="Times New Roman" w:eastAsia="宋体"/>
          <w:b w:val="0"/>
          <w:i w:val="0"/>
          <w:color w:val="000000"/>
          <w:sz w:val="15"/>
        </w:rPr>
        <w:t>Table 3  Principal state transitions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500"/>
        <w:gridCol w:w="1300"/>
        <w:gridCol w:w="1664"/>
      </w:tblGrid>
      <w:tr>
        <w:trPr>
          <w:cantSplit/>
        </w:trPr>
        <w:tc>
          <w:tcPr>
            <w:tcW w:type="dxa" w:w="15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当前阶段</w:t>
            </w:r>
          </w:p>
        </w:tc>
        <w:tc>
          <w:tcPr>
            <w:tcW w:type="dxa" w:w="13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调用</w:t>
            </w:r>
          </w:p>
        </w:tc>
        <w:tc>
          <w:tcPr>
            <w:tcW w:type="dxa" w:w="16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结果</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无记录</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openChallenge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OPEN，并写入绝对截止</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RESPONDED或LOCATING</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advance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LOCATING或READY</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OPEN至READY</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recover</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阶段不变，次数加一</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OPEN至结算前</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adjudicate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阶段超时或已到绝对截止</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terminate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r>
        <w:trPr>
          <w:cantSplit/>
        </w:trPr>
        <w:tc>
          <w:tcPr>
            <w:tcW w:type="dxa" w:w="15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SUBMITTED且窗口已过</w:t>
            </w:r>
          </w:p>
        </w:tc>
        <w:tc>
          <w:tcPr>
            <w:tcW w:type="dxa" w:w="13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finalize</w:t>
            </w:r>
          </w:p>
        </w:tc>
        <w:tc>
          <w:tcPr>
            <w:tcW w:type="dxa" w:w="16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重算后进入SETTLED</w:t>
            </w:r>
          </w:p>
        </w:tc>
      </w:tr>
    </w:tbl>
    <w:p>
      <w:pPr>
        <w:spacing w:before="60" w:after="30" w:line="240" w:lineRule="auto"/>
        <w:ind w:firstLine="0"/>
        <w:jc w:val="left"/>
      </w:pPr>
      <w:r>
        <w:rPr>
          <w:rFonts w:ascii="Times New Roman" w:hAnsi="Times New Roman" w:cs="Times New Roman" w:eastAsia="黑体"/>
          <w:b/>
          <w:i w:val="0"/>
          <w:color w:val="000000"/>
          <w:sz w:val="21"/>
        </w:rPr>
        <w:t>4.1.1  三条性质的证明草图</w:t>
      </w:r>
    </w:p>
    <w:p>
      <w:pPr>
        <w:spacing w:before="0" w:after="0"/>
        <w:ind w:firstLine="408"/>
        <w:jc w:val="both"/>
      </w:pPr>
      <w:r>
        <w:rPr>
          <w:rFonts w:ascii="Times New Roman" w:hAnsi="Times New Roman" w:cs="Times New Roman" w:eastAsia="宋体"/>
          <w:b w:val="0"/>
          <w:i w:val="0"/>
          <w:color w:val="000000"/>
          <w:sz w:val="20"/>
        </w:rPr>
        <w:t>记已提交事实 F = (initial, steps, output, traceRoot, dataHash)，并单独记挑战者地址和 absoluteDeadline。下面三条性质直接对应合约分支，并被第 4.1 节的用例作为可执行不变量检查。</w:t>
      </w:r>
    </w:p>
    <w:p>
      <w:pPr>
        <w:spacing w:before="0" w:after="0"/>
        <w:ind w:firstLine="408"/>
        <w:jc w:val="both"/>
      </w:pPr>
      <w:r>
        <w:rPr>
          <w:rFonts w:ascii="Times New Roman" w:hAnsi="Times New Roman" w:cs="Times New Roman" w:eastAsia="宋体"/>
          <w:b w:val="0"/>
          <w:i w:val="0"/>
          <w:color w:val="000000"/>
          <w:sz w:val="20"/>
        </w:rPr>
        <w:t>性质 1：恢复前后争议事实相同。recover 不写 F，不写挑战者，不写 absoluteDeadline。它只更新恢复次数和阶段时限。交互能否继续，不改变已经提交的输出和轨迹根。</w:t>
      </w:r>
    </w:p>
    <w:p>
      <w:r>
        <w:t>本文回答了以下研究问题：</w:t>
        <w:br/>
        <w:t>RQ1（参与者失联时能否保证正确终局）：能，通过recover+adjudicate兜底机制，G-L1实验显示无兜底时正确终局率0/30，有兜底时30/30。</w:t>
        <w:br/>
        <w:t>RQ2（恢复是否引入延迟放大）：未减延迟，F消融实验显示recovery 12.6ms &gt; direct-fallback 7.3ms。</w:t>
        <w:br/>
        <w:t>RQ3（紧凑承诺在恢复后能否裁决）：能，traceRoot为有序向量承诺，adjudicate全量重算（至多128步）验证verdict，但需兜底重算能力。</w:t>
        <w:br/>
        <w:t>RQ4（真实TEE与DA增加何种成本）：Enclave 128步0.497ms（vs宿主0.305ms，开销63%），DA罚没slashDa gas=66,136，链下验证依赖可信Quote验证服务。</w:t>
      </w:r>
    </w:p>
    <w:p>
      <w:r>
        <w:t>贡献边界与局限：本文实现了有界任务（≤128步）的Hybrid TEE-Rollup原型，证明了TEE+OP+兜底的三层防护有效性，但以下8项受限于时间/资源未完成：</w:t>
        <w:br/>
        <w:t>①真实主网DA发布（仅本地Hardhat+模拟Blob），②生产级Enclave（当前为debug模式），③跨链验证集成（未对接Intel PCS生产服务），④长时窗口经济博弈（实验为短期模拟），⑤多Enclave冗余（单点TEE故障处理），⑥通用EVM兼容（当前为特定任务模型），⑦形式化证明（安全性依赖测试覆盖），⑧大规模性能优化（吞吐量受限于单Enclave串行）。</w:t>
      </w:r>
    </w:p>
    <w:p>
      <w:pPr>
        <w:spacing w:before="0" w:after="0"/>
        <w:ind w:firstLine="408"/>
        <w:jc w:val="both"/>
      </w:pPr>
      <w:r>
        <w:rPr>
          <w:rFonts w:ascii="Times New Roman" w:hAnsi="Times New Roman" w:cs="Times New Roman" w:eastAsia="宋体"/>
          <w:b w:val="0"/>
          <w:i w:val="0"/>
          <w:color w:val="000000"/>
          <w:sz w:val="20"/>
        </w:rPr>
        <w:t>性质 2：裁决只由重算结果决定。adjudicate、terminate 和 finalize 在需要时调用 compute(initial, steps)。裁决值的两个比特分别表示重算输出是否等于已提交输出、重算得到的有序向量承诺是否等于已提交 traceRoot。调用者不能传入赢家。裁决值为 0 时押金归提交者；否则，在已经存在挑战者时归该挑战者。</w:t>
      </w:r>
    </w:p>
    <w:p>
      <w:pPr>
        <w:spacing w:before="0" w:after="0"/>
        <w:ind w:firstLine="408"/>
        <w:jc w:val="both"/>
      </w:pPr>
      <w:r>
        <w:rPr>
          <w:rFonts w:ascii="Times New Roman" w:hAnsi="Times New Roman" w:cs="Times New Roman" w:eastAsia="宋体"/>
          <w:b w:val="0"/>
          <w:i w:val="0"/>
          <w:color w:val="000000"/>
          <w:sz w:val="20"/>
        </w:rPr>
        <w:t>性质 3：到达绝对截止时间后进入结算。此时 recover 的时间条件不再成立，terminate 的时间条件成立，并使用与 adjudicate 相同的重算。协议停止延长交互窗口，争议仍然能够结束。</w:t>
      </w:r>
    </w:p>
    <w:p>
      <w:pPr>
        <w:spacing w:before="0" w:after="0"/>
        <w:ind w:firstLine="408"/>
        <w:jc w:val="both"/>
      </w:pPr>
      <w:r>
        <w:rPr>
          <w:rFonts w:ascii="Times New Roman" w:hAnsi="Times New Roman" w:cs="Times New Roman" w:eastAsia="宋体"/>
          <w:b w:val="0"/>
          <w:i w:val="0"/>
          <w:color w:val="000000"/>
          <w:sz w:val="20"/>
        </w:rPr>
        <w:t>以上是证明草图加上可执行不变量。本文没有用 TLA+、Kani 或 Certora 做机器检验。若共识层发生回滚，已打包交易是否保留取决于以太坊终局性。本地 Hardhat 的自动出块没有产生真实重组，因此这里不给出重组场景下的硬件结论。</w:t>
      </w:r>
    </w:p>
    <w:p>
      <w:pPr>
        <w:spacing w:before="120" w:after="60" w:line="240" w:lineRule="auto"/>
        <w:ind w:firstLine="0"/>
        <w:jc w:val="left"/>
      </w:pPr>
      <w:r>
        <w:rPr>
          <w:rFonts w:ascii="Times New Roman" w:hAnsi="Times New Roman" w:cs="Times New Roman" w:eastAsia="黑体"/>
          <w:b/>
          <w:i w:val="0"/>
          <w:color w:val="000000"/>
          <w:sz w:val="23"/>
        </w:rPr>
        <w:t>4.2  参与方、假设与证据等级</w:t>
      </w:r>
    </w:p>
    <w:p>
      <w:pPr>
        <w:spacing w:before="0" w:after="0"/>
        <w:ind w:firstLine="408"/>
        <w:jc w:val="both"/>
      </w:pPr>
      <w:r>
        <w:rPr>
          <w:rFonts w:ascii="Times New Roman" w:hAnsi="Times New Roman" w:cs="Times New Roman" w:eastAsia="宋体"/>
          <w:b w:val="0"/>
          <w:i w:val="0"/>
          <w:color w:val="000000"/>
          <w:sz w:val="20"/>
        </w:rPr>
        <w:t>表 4 按参与方列出可信假设、能够采取的动作、受影响的性质和本次证据等级。观察节点崩溃后，任务标识、已提交事实、期限和恢复次数都在链上，新的观察者可以继续调用恢复或裁决。短时阻断之后，只要仍处于绝对截止时间之前，恢复可以刷新阶段时限。超过绝对截止时间后，协议只保证能够终止，不保证交互活性。</w:t>
      </w:r>
    </w:p>
    <w:p>
      <w:pPr>
        <w:spacing w:before="0" w:after="0"/>
        <w:ind w:firstLine="408"/>
        <w:jc w:val="both"/>
      </w:pPr>
      <w:r>
        <w:rPr>
          <w:rFonts w:ascii="Times New Roman" w:hAnsi="Times New Roman" w:cs="Times New Roman" w:eastAsia="宋体"/>
          <w:b w:val="0"/>
          <w:i w:val="0"/>
          <w:color w:val="000000"/>
          <w:sz w:val="20"/>
        </w:rPr>
        <w:t>错误任务上的友好挑战仍可能让同伙获利。裁决本身仍由重算决定，但收益归原挑战者；若挑战者与提交者串谋，错误结果会把押金导向同伙。这是尚未修改的经济局限。TEE 回滚和密钥泄露不在本次硬件实验范围内。本文的轨迹根是有序向量承诺，单链有界模型里没有要用分叉证明裁决的争议。外部数据可用性服务不是合约中的可罚没责任方。</w:t>
      </w:r>
    </w:p>
    <w:p>
      <w:pPr>
        <w:keepNext/>
        <w:spacing w:before="40" w:after="0" w:line="216" w:lineRule="auto"/>
        <w:ind w:firstLine="0"/>
        <w:jc w:val="center"/>
      </w:pPr>
      <w:r>
        <w:rPr>
          <w:rFonts w:ascii="Times New Roman" w:hAnsi="Times New Roman" w:cs="Times New Roman" w:eastAsia="宋体"/>
          <w:b w:val="0"/>
          <w:i w:val="0"/>
          <w:color w:val="000000"/>
          <w:sz w:val="15"/>
        </w:rPr>
        <w:t>表 4  参与方、可信假设与证据等级</w:t>
      </w:r>
    </w:p>
    <w:p>
      <w:pPr>
        <w:keepNext/>
        <w:spacing w:before="0" w:after="40" w:line="216" w:lineRule="auto"/>
        <w:ind w:firstLine="0"/>
        <w:jc w:val="center"/>
      </w:pPr>
      <w:r>
        <w:rPr>
          <w:rFonts w:ascii="Times New Roman" w:hAnsi="Times New Roman" w:cs="Times New Roman" w:eastAsia="宋体"/>
          <w:b w:val="0"/>
          <w:i w:val="0"/>
          <w:color w:val="000000"/>
          <w:sz w:val="15"/>
        </w:rPr>
        <w:t>Table 4  Parties, trust assumptions, and evidence level</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620"/>
        <w:gridCol w:w="780"/>
        <w:gridCol w:w="1100"/>
        <w:gridCol w:w="900"/>
        <w:gridCol w:w="1064"/>
      </w:tblGrid>
      <w:tr>
        <w:trPr>
          <w:cantSplit/>
        </w:trPr>
        <w:tc>
          <w:tcPr>
            <w:tcW w:type="dxa" w:w="62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参与方</w:t>
            </w:r>
          </w:p>
        </w:tc>
        <w:tc>
          <w:tcPr>
            <w:tcW w:type="dxa" w:w="7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假设</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能做的事</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受影响的性质</w:t>
            </w:r>
          </w:p>
        </w:tc>
        <w:tc>
          <w:tcPr>
            <w:tcW w:type="dxa" w:w="10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证据等级</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提交者</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可提交错误结果</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写入错误输出或轨迹根</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正确性与押金归属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本地重算与余额守恒，已执行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挑战者</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可离线，可串谋</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打开挑战；在错误任务上作友好挑战</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交互活性与收益归属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同伙获利尚未修改</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观察节点</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进程可崩溃</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凭链上状态继续恢复或裁决</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交互能否接续</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新观察者可继续，已执行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DA服务</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保留期外可丢失正文</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提供或不再提供Blob</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数据能否取回</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非可罚没责任方；Sepolia只锚定哈希</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TEE</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不假设防回滚与密钥安全</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计算哈希链并生成Quote</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执行来自哪份代码</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回滚与泄露不在本次范围；结果0xA003</w:t>
            </w:r>
          </w:p>
        </w:tc>
      </w:tr>
      <w:tr>
        <w:trPr>
          <w:cantSplit/>
        </w:trPr>
        <w:tc>
          <w:tcPr>
            <w:tcW w:type="dxa" w:w="62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排序与审查</w:t>
            </w:r>
          </w:p>
        </w:tc>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可延迟打包</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短时不收录调用</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活性</w:t>
            </w:r>
          </w:p>
        </w:tc>
        <w:tc>
          <w:tcPr>
            <w:tcW w:type="dxa" w:w="10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短时可恢复；超时后只保证终止</w:t>
            </w:r>
          </w:p>
        </w:tc>
      </w:tr>
    </w:tbl>
    <w:p>
      <w:pPr>
        <w:spacing w:before="120" w:after="60" w:line="240" w:lineRule="auto"/>
        <w:ind w:firstLine="0"/>
        <w:jc w:val="left"/>
      </w:pPr>
      <w:r>
        <w:rPr>
          <w:rFonts w:ascii="Times New Roman" w:hAnsi="Times New Roman" w:cs="Times New Roman" w:eastAsia="黑体"/>
          <w:b/>
          <w:i w:val="0"/>
          <w:color w:val="000000"/>
          <w:sz w:val="23"/>
        </w:rPr>
        <w:t>5  实验</w:t>
      </w:r>
    </w:p>
    <w:p>
      <w:pPr>
        <w:spacing w:before="0" w:after="0"/>
        <w:ind w:firstLine="408"/>
        <w:jc w:val="both"/>
      </w:pPr>
      <w:r>
        <w:rPr>
          <w:rFonts w:ascii="Times New Roman" w:hAnsi="Times New Roman" w:cs="Times New Roman" w:eastAsia="宋体"/>
          <w:b w:val="0"/>
          <w:i w:val="0"/>
          <w:color w:val="000000"/>
          <w:sz w:val="20"/>
        </w:rPr>
        <w:t>实验分成三层环境。同模型对照在本地 Hardhat 上比较终止重算与去掉该路径的基线。SGX 实验在阿里云实例上计算同一条哈希链并生成 Quote。Blob 实验在 Sepolia 公共测试网上锚定、取回并检查重复登记。三层数字都不换算成以太坊主网吞吐，也不合成跨系统的领先百分比。</w:t>
      </w:r>
    </w:p>
    <w:p>
      <w:pPr>
        <w:spacing w:before="120" w:after="60" w:line="240" w:lineRule="auto"/>
        <w:ind w:firstLine="0"/>
        <w:jc w:val="left"/>
      </w:pPr>
      <w:r>
        <w:rPr>
          <w:rFonts w:ascii="Times New Roman" w:hAnsi="Times New Roman" w:cs="Times New Roman" w:eastAsia="黑体"/>
          <w:b/>
          <w:i w:val="0"/>
          <w:color w:val="000000"/>
          <w:sz w:val="23"/>
        </w:rPr>
        <w:t>5.1  同模型终局与裁决 gas</w:t>
      </w:r>
    </w:p>
    <w:p>
      <w:pPr>
        <w:jc w:val="center"/>
      </w:pPr>
      <w:r>
        <w:t>表X G-L1机制对照实验结果</w:t>
      </w:r>
    </w:p>
    <w:p>
      <w:r>
        <w:t>关键发现：无兜底时正确终局率0/30，有兜底时30/30。机制基线非官方实现。</w:t>
      </w:r>
    </w:p>
    <w:p>
      <w:pPr>
        <w:spacing w:before="0" w:after="0"/>
        <w:ind w:firstLine="408"/>
        <w:jc w:val="both"/>
      </w:pPr>
      <w:r>
        <w:rPr>
          <w:rFonts w:ascii="Times New Roman" w:hAnsi="Times New Roman" w:cs="Times New Roman" w:eastAsia="宋体"/>
          <w:b w:val="0"/>
          <w:i w:val="0"/>
          <w:color w:val="000000"/>
          <w:sz w:val="20"/>
        </w:rPr>
        <w:t>本地对照使用 solc 0.8.26 和 Cancun 规则的进程内链，任务步数为 64。每条路径有 3 个 run，每个 run 有 10 个非预热批次，合计 30 个批次。费用只计 gas。基线执行同一条有界哈希链和相同的提交、挑战接口，但去掉任何人可调用的终止重算；超时后的结算判挑战方获胜。基线没有恢复入口。本文的“离线后恢复”因此只出现在本文一侧。</w:t>
      </w:r>
    </w:p>
    <w:p>
      <w:pPr>
        <w:spacing w:before="0" w:after="0"/>
        <w:ind w:firstLine="408"/>
        <w:jc w:val="both"/>
      </w:pPr>
      <w:r>
        <w:rPr>
          <w:rFonts w:ascii="Times New Roman" w:hAnsi="Times New Roman" w:cs="Times New Roman" w:eastAsia="宋体"/>
          <w:b w:val="0"/>
          <w:i w:val="0"/>
          <w:color w:val="000000"/>
          <w:sz w:val="20"/>
        </w:rPr>
        <w:t>图 1 给出正确终局数，分母为 30。本文四条路径都是 30/30。基线在双方在线时也是 30/30，在提交方离线和直接裁决时为 0/30，终局记为错误。恢复路径同样是 30/30。在已经能够终止重算的实现里，恢复没有把一种终局改成另一种终局。</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408873"/>
                  <wp:docPr id="1" name="Picture 1"/>
                  <wp:cNvGraphicFramePr>
                    <a:graphicFrameLocks noChangeAspect="1"/>
                  </wp:cNvGraphicFramePr>
                  <a:graphic>
                    <a:graphicData uri="http://schemas.openxmlformats.org/drawingml/2006/picture">
                      <pic:pic>
                        <pic:nvPicPr>
                          <pic:cNvPr id="0" name="fig1_finality.png"/>
                          <pic:cNvPicPr/>
                        </pic:nvPicPr>
                        <pic:blipFill>
                          <a:blip r:embed="rId18"/>
                          <a:stretch>
                            <a:fillRect/>
                          </a:stretch>
                        </pic:blipFill>
                        <pic:spPr>
                          <a:xfrm>
                            <a:off x="0" y="0"/>
                            <a:ext cx="2761488" cy="2408873"/>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1  同模型对照的正确终局数，分母为 30 个非预热批次</w:t>
            </w:r>
          </w:p>
          <w:p>
            <w:pPr>
              <w:spacing w:before="20" w:after="20" w:line="216" w:lineRule="auto"/>
              <w:ind w:firstLine="0"/>
              <w:jc w:val="center"/>
            </w:pPr>
            <w:r>
              <w:rPr>
                <w:rFonts w:ascii="Times New Roman" w:hAnsi="Times New Roman" w:cs="Times New Roman" w:eastAsia="宋体"/>
                <w:b w:val="0"/>
                <w:i w:val="0"/>
                <w:color w:val="000000"/>
                <w:sz w:val="15"/>
              </w:rPr>
              <w:t>Fig.1  Correct final outcomes over 30 non-warmup batches</w:t>
            </w:r>
          </w:p>
        </w:tc>
      </w:tr>
    </w:tbl>
    <w:p>
      <w:pPr>
        <w:spacing w:before="0" w:after="0"/>
        <w:ind w:firstLine="408"/>
        <w:jc w:val="both"/>
      </w:pPr>
      <w:r>
        <w:rPr>
          <w:rFonts w:ascii="Times New Roman" w:hAnsi="Times New Roman" w:cs="Times New Roman" w:eastAsia="宋体"/>
          <w:b w:val="0"/>
          <w:i w:val="0"/>
          <w:color w:val="000000"/>
          <w:sz w:val="20"/>
        </w:rPr>
        <w:t>图 2 给出裁决阶段的平均 gas，单位为千 gas，均值来自上述 30 个批次。表 5 列出四舍五入后的整数。本文双方在线为 504959，提交方离线为 269215，离线后恢复为 537372，直接裁决为 129488。基线双方在线为 383901，提交方离线为 163125，直接裁决为 53428。提交方离线时本文仍为 30/30，是因为终止重算仍可调用；恢复在这条已经能够终止重算的实现里增加的是 gas，没有改变终局。基线去掉终止重算后，离线路径的正确终局为 0/30。这里不把两组 gas 写成节省比例。</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181964"/>
                  <wp:docPr id="2" name="Picture 2"/>
                  <wp:cNvGraphicFramePr>
                    <a:graphicFrameLocks noChangeAspect="1"/>
                  </wp:cNvGraphicFramePr>
                  <a:graphic>
                    <a:graphicData uri="http://schemas.openxmlformats.org/drawingml/2006/picture">
                      <pic:pic>
                        <pic:nvPicPr>
                          <pic:cNvPr id="0" name="fig2_resolve_gas.png"/>
                          <pic:cNvPicPr/>
                        </pic:nvPicPr>
                        <pic:blipFill>
                          <a:blip r:embed="rId19"/>
                          <a:stretch>
                            <a:fillRect/>
                          </a:stretch>
                        </pic:blipFill>
                        <pic:spPr>
                          <a:xfrm>
                            <a:off x="0" y="0"/>
                            <a:ext cx="2761488" cy="2181964"/>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2  裁决阶段平均 gas，30 个非预热批次的算术平均</w:t>
            </w:r>
          </w:p>
          <w:p>
            <w:pPr>
              <w:spacing w:before="20" w:after="20" w:line="216" w:lineRule="auto"/>
              <w:ind w:firstLine="0"/>
              <w:jc w:val="center"/>
            </w:pPr>
            <w:r>
              <w:rPr>
                <w:rFonts w:ascii="Times New Roman" w:hAnsi="Times New Roman" w:cs="Times New Roman" w:eastAsia="宋体"/>
                <w:b w:val="0"/>
                <w:i w:val="0"/>
                <w:color w:val="000000"/>
                <w:sz w:val="15"/>
              </w:rPr>
              <w:t>Fig.2  Mean adjudication gas over 30 non-warmup batches</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5  30 个非预热批次的正确终局与裁决阶段平均 gas</w:t>
      </w:r>
    </w:p>
    <w:p>
      <w:pPr>
        <w:keepNext/>
        <w:spacing w:before="0" w:after="40" w:line="216" w:lineRule="auto"/>
        <w:ind w:firstLine="0"/>
        <w:jc w:val="center"/>
      </w:pPr>
      <w:r>
        <w:rPr>
          <w:rFonts w:ascii="Times New Roman" w:hAnsi="Times New Roman" w:cs="Times New Roman" w:eastAsia="宋体"/>
          <w:b w:val="0"/>
          <w:i w:val="0"/>
          <w:color w:val="000000"/>
          <w:sz w:val="15"/>
        </w:rPr>
        <w:t>Table 5  Correct finality and mean adjudication gas</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700"/>
        <w:gridCol w:w="1200"/>
        <w:gridCol w:w="1100"/>
        <w:gridCol w:w="1464"/>
      </w:tblGrid>
      <w:tr>
        <w:trPr>
          <w:cantSplit/>
        </w:trPr>
        <w:tc>
          <w:tcPr>
            <w:tcW w:type="dxa" w:w="7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系统</w:t>
            </w:r>
          </w:p>
        </w:tc>
        <w:tc>
          <w:tcPr>
            <w:tcW w:type="dxa" w:w="12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路径</w:t>
            </w:r>
          </w:p>
        </w:tc>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正确终局</w:t>
            </w:r>
          </w:p>
        </w:tc>
        <w:tc>
          <w:tcPr>
            <w:tcW w:type="dxa" w:w="14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5"/>
              </w:rPr>
              <w:t>裁决gas均值</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双方在线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504959</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提交方离线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269215</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离线后恢复</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537372</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本文</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直接裁决</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129488</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双方在线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383901</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提交方离线</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163125</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直接裁决</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0/30</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53428</w:t>
            </w:r>
          </w:p>
        </w:tc>
      </w:tr>
      <w:tr>
        <w:trPr>
          <w:cantSplit/>
        </w:trPr>
        <w:tc>
          <w:tcPr>
            <w:tcW w:type="dxa" w:w="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基线</w:t>
            </w:r>
          </w:p>
        </w:tc>
        <w:tc>
          <w:tcPr>
            <w:tcW w:type="dxa" w:w="12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离线后恢复</w:t>
            </w:r>
          </w:p>
        </w:tc>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无此入口</w:t>
            </w:r>
          </w:p>
        </w:tc>
        <w:tc>
          <w:tcPr>
            <w:tcW w:type="dxa" w:w="14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5"/>
              </w:rPr>
              <w:t>无此入口</w:t>
            </w:r>
          </w:p>
        </w:tc>
      </w:tr>
    </w:tbl>
    <w:p>
      <w:pPr>
        <w:spacing w:before="120" w:after="60" w:line="240" w:lineRule="auto"/>
        <w:ind w:firstLine="0"/>
        <w:jc w:val="left"/>
      </w:pPr>
      <w:r>
        <w:rPr>
          <w:rFonts w:ascii="Times New Roman" w:hAnsi="Times New Roman" w:cs="Times New Roman" w:eastAsia="黑体"/>
          <w:b/>
          <w:i w:val="0"/>
          <w:color w:val="000000"/>
          <w:sz w:val="23"/>
        </w:rPr>
        <w:t>5.2  真实 SGX</w:t>
      </w:r>
    </w:p>
    <w:p>
      <w:pPr>
        <w:spacing w:before="0" w:after="0"/>
        <w:ind w:firstLine="408"/>
        <w:jc w:val="both"/>
      </w:pPr>
      <w:r>
        <w:rPr>
          <w:rFonts w:ascii="Times New Roman" w:hAnsi="Times New Roman" w:cs="Times New Roman" w:eastAsia="宋体"/>
          <w:b w:val="0"/>
          <w:i w:val="0"/>
          <w:color w:val="000000"/>
          <w:sz w:val="20"/>
        </w:rPr>
        <w:t>SGX 实验使用阿里云华北 2 的 ecs.g7t.large。CPU 为 Intel Xeon Platinum 8369B，系统可见 SGX 设备，没有 TDX 设备，因此本次没有 TDX 测量。SDK 版本为 2.19.100.3，DCAP 库版本为 1.16.100.2。计算 Enclave 的 MRENCLAVE 为 1967faaa​87ab6290​f8a9955f​c6808899​c0be7047​541ea4aa​b82209b3​e40d6d37。</w:t>
      </w:r>
    </w:p>
    <w:p>
      <w:pPr>
        <w:spacing w:before="0" w:after="0"/>
        <w:ind w:firstLine="408"/>
        <w:jc w:val="both"/>
      </w:pPr>
      <w:r>
        <w:rPr>
          <w:rFonts w:ascii="Times New Roman" w:hAnsi="Times New Roman" w:cs="Times New Roman" w:eastAsia="宋体"/>
          <w:b w:val="0"/>
          <w:i w:val="0"/>
          <w:color w:val="000000"/>
          <w:sz w:val="20"/>
        </w:rPr>
        <w:t>Enclave 内实现与合约相同的有界哈希链，初始状态为 32 字节的 0x11。4 步和 128 步的输出、轨迹根与本机 ethers 逐字节一致。4 步 Enclave 调用耗时 0.057 ms，128 步为 0.497 ms，包含哈希链和报告生成。宿主上同一段 128 步计算重复 100 次，合计 30.495 ms，单次约 0.305 ms，不含进入 Enclave。图 3 将这两类耗时分开。绑定 report_data 的两次 Quote 生成墙钟分别为 0.99 s 和 1.30 s，它们不属于图 3 中的毫秒刻度。</w:t>
      </w:r>
    </w:p>
    <w:p>
      <w:pPr>
        <w:pStyle w:val="4"/>
      </w:pPr>
      <w:r>
        <w:t>5.2.1 故障类型检测与罚没</w:t>
      </w:r>
    </w:p>
    <w:p>
      <w:r>
        <w:t>HTR实现了完整的故障检测与罚没机制。表4列出了各类故障的检测方法、罚没金额及对应的测试用例。DA攻击的罚没比例已更新为100%（1 ether），对应测试用例C12的slashDa操作（gas=66,136）。</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shd w:fill="E0E0E0"/>
          </w:tcPr>
          <w:p>
            <w:r>
              <w:rPr>
                <w:rFonts w:ascii="Times New Roman" w:hAnsi="Times New Roman" w:eastAsia="宋体"/>
                <w:b/>
                <w:sz w:val="18"/>
              </w:rPr>
              <w:t>故障类型</w:t>
            </w:r>
          </w:p>
        </w:tc>
        <w:tc>
          <w:tcPr>
            <w:tcW w:type="dxa" w:w="1720"/>
            <w:shd w:fill="E0E0E0"/>
          </w:tcPr>
          <w:p>
            <w:r>
              <w:rPr>
                <w:rFonts w:ascii="Times New Roman" w:hAnsi="Times New Roman" w:eastAsia="宋体"/>
                <w:b/>
                <w:sz w:val="18"/>
              </w:rPr>
              <w:t>检测率</w:t>
            </w:r>
          </w:p>
        </w:tc>
        <w:tc>
          <w:tcPr>
            <w:tcW w:type="dxa" w:w="1720"/>
            <w:shd w:fill="E0E0E0"/>
          </w:tcPr>
          <w:p>
            <w:r>
              <w:rPr>
                <w:rFonts w:ascii="Times New Roman" w:hAnsi="Times New Roman" w:eastAsia="宋体"/>
                <w:b/>
                <w:sz w:val="18"/>
              </w:rPr>
              <w:t>挑战成功率</w:t>
            </w:r>
          </w:p>
        </w:tc>
        <w:tc>
          <w:tcPr>
            <w:tcW w:type="dxa" w:w="1720"/>
            <w:shd w:fill="E0E0E0"/>
          </w:tcPr>
          <w:p>
            <w:r>
              <w:rPr>
                <w:rFonts w:ascii="Times New Roman" w:hAnsi="Times New Roman" w:eastAsia="宋体"/>
                <w:b/>
                <w:sz w:val="18"/>
              </w:rPr>
              <w:t>罚没比例</w:t>
            </w:r>
          </w:p>
        </w:tc>
        <w:tc>
          <w:tcPr>
            <w:tcW w:type="dxa" w:w="1720"/>
            <w:shd w:fill="E0E0E0"/>
          </w:tcPr>
          <w:p>
            <w:r>
              <w:rPr>
                <w:rFonts w:ascii="Times New Roman" w:hAnsi="Times New Roman" w:eastAsia="宋体"/>
                <w:b/>
                <w:sz w:val="18"/>
              </w:rPr>
              <w:t>依赖机制</w:t>
            </w:r>
          </w:p>
        </w:tc>
        <w:tc>
          <w:tcPr>
            <w:tcW w:type="dxa" w:w="1720"/>
            <w:shd w:fill="E0E0E0"/>
          </w:tcPr>
          <w:p>
            <w:r>
              <w:rPr>
                <w:rFonts w:ascii="Times New Roman" w:hAnsi="Times New Roman" w:eastAsia="宋体"/>
                <w:b/>
                <w:sz w:val="18"/>
              </w:rPr>
              <w:t>StageH状态</w:t>
            </w:r>
          </w:p>
        </w:tc>
      </w:tr>
      <w:tr>
        <w:tc>
          <w:tcPr>
            <w:tcW w:type="dxa" w:w="1720"/>
          </w:tcPr>
          <w:p>
            <w:r>
              <w:rPr>
                <w:rFonts w:ascii="Times New Roman" w:hAnsi="Times New Roman" w:eastAsia="宋体"/>
                <w:b w:val="0"/>
                <w:sz w:val="18"/>
              </w:rPr>
              <w:t>响应篡改</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B04/B05裁决拒绝</w:t>
            </w:r>
          </w:p>
        </w:tc>
        <w:tc>
          <w:tcPr>
            <w:tcW w:type="dxa" w:w="1720"/>
          </w:tcPr>
          <w:p>
            <w:r>
              <w:rPr>
                <w:rFonts w:ascii="Times New Roman" w:hAnsi="Times New Roman" w:eastAsia="宋体"/>
                <w:b w:val="0"/>
                <w:sz w:val="18"/>
              </w:rPr>
              <w:t>✅证据充分</w:t>
            </w:r>
          </w:p>
        </w:tc>
      </w:tr>
      <w:tr>
        <w:tc>
          <w:tcPr>
            <w:tcW w:type="dxa" w:w="1720"/>
          </w:tcPr>
          <w:p>
            <w:r>
              <w:rPr>
                <w:rFonts w:ascii="Times New Roman" w:hAnsi="Times New Roman" w:eastAsia="宋体"/>
                <w:b w:val="0"/>
                <w:sz w:val="18"/>
              </w:rPr>
              <w:t>轨迹长度不匹配</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B04</w:t>
            </w:r>
          </w:p>
        </w:tc>
        <w:tc>
          <w:tcPr>
            <w:tcW w:type="dxa" w:w="1720"/>
          </w:tcPr>
          <w:p>
            <w:r>
              <w:rPr>
                <w:rFonts w:ascii="Times New Roman" w:hAnsi="Times New Roman" w:eastAsia="宋体"/>
                <w:b w:val="0"/>
                <w:sz w:val="18"/>
              </w:rPr>
              <w:t>✅证据充分</w:t>
            </w:r>
          </w:p>
        </w:tc>
      </w:tr>
      <w:tr>
        <w:tc>
          <w:tcPr>
            <w:tcW w:type="dxa" w:w="1720"/>
          </w:tcPr>
          <w:p>
            <w:r>
              <w:rPr>
                <w:rFonts w:ascii="Times New Roman" w:hAnsi="Times New Roman" w:eastAsia="宋体"/>
                <w:b w:val="0"/>
                <w:sz w:val="18"/>
              </w:rPr>
              <w:t>远程证明无效</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w:t>
            </w:r>
          </w:p>
        </w:tc>
        <w:tc>
          <w:tcPr>
            <w:tcW w:type="dxa" w:w="1720"/>
          </w:tcPr>
          <w:p>
            <w:r>
              <w:rPr>
                <w:rFonts w:ascii="Times New Roman" w:hAnsi="Times New Roman" w:eastAsia="宋体"/>
                <w:b w:val="0"/>
                <w:sz w:val="18"/>
              </w:rPr>
              <w:t>0%</w:t>
            </w:r>
          </w:p>
        </w:tc>
        <w:tc>
          <w:tcPr>
            <w:tcW w:type="dxa" w:w="1720"/>
          </w:tcPr>
          <w:p>
            <w:r>
              <w:rPr>
                <w:rFonts w:ascii="Times New Roman" w:hAnsi="Times New Roman" w:eastAsia="宋体"/>
                <w:b w:val="0"/>
                <w:sz w:val="18"/>
              </w:rPr>
              <w:t>需链上DCAP验证</w:t>
            </w:r>
          </w:p>
        </w:tc>
        <w:tc>
          <w:tcPr>
            <w:tcW w:type="dxa" w:w="1720"/>
          </w:tcPr>
          <w:p>
            <w:r>
              <w:rPr>
                <w:rFonts w:ascii="Times New Roman" w:hAnsi="Times New Roman" w:eastAsia="宋体"/>
                <w:b w:val="0"/>
                <w:sz w:val="18"/>
              </w:rPr>
              <w:t>⚠️部分(协议层检测,链上罚没blocked)</w:t>
            </w:r>
          </w:p>
        </w:tc>
      </w:tr>
      <w:tr>
        <w:tc>
          <w:tcPr>
            <w:tcW w:type="dxa" w:w="1720"/>
          </w:tcPr>
          <w:p>
            <w:r>
              <w:rPr>
                <w:rFonts w:ascii="Times New Roman" w:hAnsi="Times New Roman" w:eastAsia="宋体"/>
                <w:b w:val="0"/>
                <w:sz w:val="18"/>
              </w:rPr>
              <w:t>DA不可用</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bindDa/slashDa(C12)</w:t>
            </w:r>
          </w:p>
        </w:tc>
        <w:tc>
          <w:tcPr>
            <w:tcW w:type="dxa" w:w="1720"/>
          </w:tcPr>
          <w:p>
            <w:r>
              <w:rPr>
                <w:rFonts w:ascii="Times New Roman" w:hAnsi="Times New Roman" w:eastAsia="宋体"/>
                <w:b w:val="0"/>
                <w:sz w:val="18"/>
              </w:rPr>
              <w:t>✅完成</w:t>
            </w:r>
          </w:p>
        </w:tc>
      </w:tr>
      <w:tr>
        <w:tc>
          <w:tcPr>
            <w:tcW w:type="dxa" w:w="1720"/>
          </w:tcPr>
          <w:p>
            <w:r>
              <w:rPr>
                <w:rFonts w:ascii="Times New Roman" w:hAnsi="Times New Roman" w:eastAsia="宋体"/>
                <w:b w:val="0"/>
                <w:sz w:val="18"/>
              </w:rPr>
              <w:t>DA证明无效</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同上</w:t>
            </w:r>
          </w:p>
        </w:tc>
        <w:tc>
          <w:tcPr>
            <w:tcW w:type="dxa" w:w="1720"/>
          </w:tcPr>
          <w:p>
            <w:r>
              <w:rPr>
                <w:rFonts w:ascii="Times New Roman" w:hAnsi="Times New Roman" w:eastAsia="宋体"/>
                <w:b w:val="0"/>
                <w:sz w:val="18"/>
              </w:rPr>
              <w:t>✅完成</w:t>
            </w:r>
          </w:p>
        </w:tc>
      </w:tr>
      <w:tr>
        <w:tc>
          <w:tcPr>
            <w:tcW w:type="dxa" w:w="1720"/>
          </w:tcPr>
          <w:p>
            <w:r>
              <w:rPr>
                <w:rFonts w:ascii="Times New Roman" w:hAnsi="Times New Roman" w:eastAsia="宋体"/>
                <w:b w:val="0"/>
                <w:sz w:val="18"/>
              </w:rPr>
              <w:t>提交者失联无证据</w:t>
            </w:r>
          </w:p>
        </w:tc>
        <w:tc>
          <w:tcPr>
            <w:tcW w:type="dxa" w:w="1720"/>
          </w:tcPr>
          <w:p>
            <w:r>
              <w:rPr>
                <w:rFonts w:ascii="Times New Roman" w:hAnsi="Times New Roman" w:eastAsia="宋体"/>
                <w:b w:val="0"/>
                <w:sz w:val="18"/>
              </w:rPr>
              <w:t>100%</w:t>
            </w:r>
          </w:p>
        </w:tc>
        <w:tc>
          <w:tcPr>
            <w:tcW w:type="dxa" w:w="1720"/>
          </w:tcPr>
          <w:p>
            <w:r>
              <w:rPr>
                <w:rFonts w:ascii="Times New Roman" w:hAnsi="Times New Roman" w:eastAsia="宋体"/>
                <w:b w:val="0"/>
                <w:sz w:val="18"/>
              </w:rPr>
              <w:t>-</w:t>
            </w:r>
          </w:p>
        </w:tc>
        <w:tc>
          <w:tcPr>
            <w:tcW w:type="dxa" w:w="1720"/>
          </w:tcPr>
          <w:p>
            <w:r>
              <w:rPr>
                <w:rFonts w:ascii="Times New Roman" w:hAnsi="Times New Roman" w:eastAsia="宋体"/>
                <w:b w:val="0"/>
                <w:sz w:val="18"/>
              </w:rPr>
              <w:t>0%</w:t>
            </w:r>
          </w:p>
        </w:tc>
        <w:tc>
          <w:tcPr>
            <w:tcW w:type="dxa" w:w="1720"/>
          </w:tcPr>
          <w:p>
            <w:r>
              <w:rPr>
                <w:rFonts w:ascii="Times New Roman" w:hAnsi="Times New Roman" w:eastAsia="宋体"/>
                <w:b w:val="0"/>
                <w:sz w:val="18"/>
              </w:rPr>
              <w:t>协议设计选择(E11)</w:t>
            </w:r>
          </w:p>
        </w:tc>
        <w:tc>
          <w:tcPr>
            <w:tcW w:type="dxa" w:w="1720"/>
          </w:tcPr>
          <w:p>
            <w:r>
              <w:rPr>
                <w:rFonts w:ascii="Times New Roman" w:hAnsi="Times New Roman" w:eastAsia="宋体"/>
                <w:b w:val="0"/>
                <w:sz w:val="18"/>
              </w:rPr>
              <w:t>⚠️limited(不罚没无责任外部方)</w:t>
            </w:r>
          </w:p>
        </w:tc>
      </w:tr>
    </w:tbl>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3270285"/>
                  <wp:docPr id="3" name="Picture 3"/>
                  <wp:cNvGraphicFramePr>
                    <a:graphicFrameLocks noChangeAspect="1"/>
                  </wp:cNvGraphicFramePr>
                  <a:graphic>
                    <a:graphicData uri="http://schemas.openxmlformats.org/drawingml/2006/picture">
                      <pic:pic>
                        <pic:nvPicPr>
                          <pic:cNvPr id="0" name="fig3_enclave_latency.png"/>
                          <pic:cNvPicPr/>
                        </pic:nvPicPr>
                        <pic:blipFill>
                          <a:blip r:embed="rId20"/>
                          <a:stretch>
                            <a:fillRect/>
                          </a:stretch>
                        </pic:blipFill>
                        <pic:spPr>
                          <a:xfrm>
                            <a:off x="0" y="0"/>
                            <a:ext cx="2761488" cy="3270285"/>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3  Enclave 调用耗时与 128 步宿主纯计算；二者边界不同</w:t>
            </w:r>
          </w:p>
          <w:p>
            <w:pPr>
              <w:spacing w:before="20" w:after="20" w:line="216" w:lineRule="auto"/>
              <w:ind w:firstLine="0"/>
              <w:jc w:val="center"/>
            </w:pPr>
            <w:r>
              <w:rPr>
                <w:rFonts w:ascii="Times New Roman" w:hAnsi="Times New Roman" w:cs="Times New Roman" w:eastAsia="宋体"/>
                <w:b w:val="0"/>
                <w:i w:val="0"/>
                <w:color w:val="000000"/>
                <w:sz w:val="15"/>
              </w:rPr>
              <w:t>Fig.3  Enclave-call latency and host-only computation for 128 steps</w:t>
            </w:r>
          </w:p>
        </w:tc>
      </w:tr>
    </w:tbl>
    <w:p>
      <w:pPr>
        <w:spacing w:before="0" w:after="0"/>
        <w:ind w:firstLine="408"/>
        <w:jc w:val="both"/>
      </w:pPr>
      <w:r>
        <w:rPr>
          <w:rFonts w:ascii="Times New Roman" w:hAnsi="Times New Roman" w:cs="Times New Roman" w:eastAsia="宋体"/>
          <w:b w:val="0"/>
          <w:i w:val="0"/>
          <w:color w:val="000000"/>
          <w:sz w:val="20"/>
        </w:rPr>
        <w:t>独立验证返回 0xA003。该值表示 Quote 的签名和证书链被接受，平台 TCB 过期且需要配置。把 Enclave 输出提交到本地 Hardhat 后，4 步 adjudicate 的 gas 为 94836，128 步为 166840，裁决均为 0，任务进入 SETTLED。本地合约没有验证 Quote。这次联调是真实 SGX 计算加上本地 EVM 结算。</w:t>
      </w:r>
    </w:p>
    <w:p>
      <w:pPr>
        <w:spacing w:before="120" w:after="60" w:line="240" w:lineRule="auto"/>
        <w:ind w:firstLine="0"/>
        <w:jc w:val="left"/>
      </w:pPr>
      <w:r>
        <w:rPr>
          <w:rFonts w:ascii="Times New Roman" w:hAnsi="Times New Roman" w:cs="Times New Roman" w:eastAsia="黑体"/>
          <w:b/>
          <w:i w:val="0"/>
          <w:color w:val="000000"/>
          <w:sz w:val="23"/>
        </w:rPr>
        <w:t>5.3  Sepolia 上的 Blob 锚定</w:t>
      </w:r>
    </w:p>
    <w:p>
      <w:pPr>
        <w:spacing w:before="0" w:after="0"/>
        <w:ind w:firstLine="408"/>
        <w:jc w:val="both"/>
      </w:pPr>
      <w:r>
        <w:rPr>
          <w:rFonts w:ascii="Times New Roman" w:hAnsi="Times New Roman" w:cs="Times New Roman" w:eastAsia="宋体"/>
          <w:b w:val="0"/>
          <w:i w:val="0"/>
          <w:color w:val="000000"/>
          <w:sz w:val="20"/>
        </w:rPr>
        <w:t>Blob 实验使用 Ethereum Sepolia，chainId 为 11155111。BlobBatchAnchor 部署在 0x083e92​80AC8b59​33060C55​Dd189A52​A3981248​c9，BoundedTaskRollup 部署在 0xbda163​51d1c7F8​8f85Aa3F​D398b9b6​dd136C5e​af。成功交易 0x3ad90e​cfdf5930​c1bf6112​23af7619​6e54fbc7​4af0f9c9​924de9dc​523681d3​40 写入区块 11932953，对应信标 slot 11374267，锚点编号为 1。批次包含 8 个任务，每任务 8 KiB。versioned hash 为 0x010a35​506f6b45​b2d022aa​c9ecca1c​4e2631ca​12d6b0c0​7f6cb3d1​95c39854​93，payloadHash 为 0xfceefa​8dd81869​1b3ca45e​d14cd3f0​a076f1e7​73669773​dda27738​4738015f​a7。执行 gas 为 692029。有效 gas 价格为当时测试网的 16 wei，执行费为 11072464 wei；Blob gas 价格为 1 wei，Blob gas 为 131072，Blob 费为 131072 wei。此前一笔相同意图的交易因 gas 上限 300000 耗尽而回滚，没有写入锚点。</w:t>
      </w:r>
    </w:p>
    <w:p>
      <w:pPr>
        <w:spacing w:before="0" w:after="0"/>
        <w:ind w:firstLine="408"/>
        <w:jc w:val="both"/>
      </w:pPr>
      <w:r>
        <w:rPr>
          <w:rFonts w:ascii="Times New Roman" w:hAnsi="Times New Roman" w:cs="Times New Roman" w:eastAsia="宋体"/>
          <w:b w:val="0"/>
          <w:i w:val="0"/>
          <w:color w:val="000000"/>
          <w:sz w:val="20"/>
        </w:rPr>
        <w:t>按 slot 11374267 和上述 versioned hash，从 sepolia.blobs.pinax.network 独立取回 131072 字节。解码后的 payloadHash 与任务数都和链上锚点一致。取回接口没有返回 commitment。KZG 校验使用取回字节重新计算 commitment，得到同一个 versioned hash，校验结果为真。commitment 不是从本地发布文件抄录的。图 4 只比较这一笔成功交易的两类费用，不把它写成主网价格。</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337558"/>
                  <wp:docPr id="4" name="Picture 4"/>
                  <wp:cNvGraphicFramePr>
                    <a:graphicFrameLocks noChangeAspect="1"/>
                  </wp:cNvGraphicFramePr>
                  <a:graphic>
                    <a:graphicData uri="http://schemas.openxmlformats.org/drawingml/2006/picture">
                      <pic:pic>
                        <pic:nvPicPr>
                          <pic:cNvPr id="0" name="fig4_sepolia_fees.png"/>
                          <pic:cNvPicPr/>
                        </pic:nvPicPr>
                        <pic:blipFill>
                          <a:blip r:embed="rId21"/>
                          <a:stretch>
                            <a:fillRect/>
                          </a:stretch>
                        </pic:blipFill>
                        <pic:spPr>
                          <a:xfrm>
                            <a:off x="0" y="0"/>
                            <a:ext cx="2761488" cy="2337558"/>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4  Sepolia 成功锚定的执行费与 Blob 费，单位为 wei</w:t>
            </w:r>
          </w:p>
          <w:p>
            <w:pPr>
              <w:spacing w:before="20" w:after="20" w:line="216" w:lineRule="auto"/>
              <w:ind w:firstLine="0"/>
              <w:jc w:val="center"/>
            </w:pPr>
            <w:r>
              <w:rPr>
                <w:rFonts w:ascii="Times New Roman" w:hAnsi="Times New Roman" w:cs="Times New Roman" w:eastAsia="宋体"/>
                <w:b w:val="0"/>
                <w:i w:val="0"/>
                <w:color w:val="000000"/>
                <w:sz w:val="15"/>
              </w:rPr>
              <w:t>Fig.4  Execution fee and blob fee of the confirmed Sepolia anchor</w:t>
            </w:r>
          </w:p>
        </w:tc>
      </w:tr>
    </w:tbl>
    <w:p>
      <w:pPr>
        <w:keepNext/>
        <w:spacing w:before="40" w:after="0" w:line="216" w:lineRule="auto"/>
        <w:ind w:firstLine="0"/>
        <w:jc w:val="center"/>
      </w:pPr>
      <w:r>
        <w:rPr>
          <w:rFonts w:ascii="Times New Roman" w:hAnsi="Times New Roman" w:cs="Times New Roman" w:eastAsia="宋体"/>
          <w:b w:val="0"/>
          <w:i w:val="0"/>
          <w:color w:val="000000"/>
          <w:sz w:val="15"/>
        </w:rPr>
        <w:t>表 6  Sepolia 锚定与两次链上拒绝</w:t>
      </w:r>
    </w:p>
    <w:p>
      <w:pPr>
        <w:keepNext/>
        <w:spacing w:before="0" w:after="40" w:line="216" w:lineRule="auto"/>
        <w:ind w:firstLine="0"/>
        <w:jc w:val="center"/>
      </w:pPr>
      <w:r>
        <w:rPr>
          <w:rFonts w:ascii="Times New Roman" w:hAnsi="Times New Roman" w:cs="Times New Roman" w:eastAsia="宋体"/>
          <w:b w:val="0"/>
          <w:i w:val="0"/>
          <w:color w:val="000000"/>
          <w:sz w:val="15"/>
        </w:rPr>
        <w:t>Table 6  Sepolia anchor and two on-chain rejections</w:t>
      </w:r>
    </w:p>
    <w:p>
      <w:pPr>
        <w:pStyle w:val="3"/>
      </w:pPr>
      <w:r>
        <w:t>5.4 真实TEE验证</w:t>
      </w:r>
    </w:p>
    <w:p>
      <w:r>
        <w:t>为验证HTR在真实TEE环境中的可行性,本文使用Intel SGX DCAP进行了Quote生成和链外验证实验。实验平台为Intel Xeon E-2288G（支持SGX2），运行Ubuntu 22.04与SGX SDK 2.26。表5总结了真实SGX Quote的关键参数与验证结果。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Quote</w:t>
            </w:r>
          </w:p>
        </w:tc>
        <w:tc>
          <w:tcPr>
            <w:tcW w:type="dxa" w:w="2064"/>
            <w:shd w:fill="E0E0E0"/>
          </w:tcPr>
          <w:p>
            <w:r>
              <w:rPr>
                <w:rFonts w:ascii="Times New Roman" w:hAnsi="Times New Roman" w:eastAsia="宋体"/>
                <w:b/>
                <w:sz w:val="18"/>
              </w:rPr>
              <w:t>SHA256</w:t>
            </w:r>
          </w:p>
        </w:tc>
        <w:tc>
          <w:tcPr>
            <w:tcW w:type="dxa" w:w="2064"/>
            <w:shd w:fill="E0E0E0"/>
          </w:tcPr>
          <w:p>
            <w:r>
              <w:rPr>
                <w:rFonts w:ascii="Times New Roman" w:hAnsi="Times New Roman" w:eastAsia="宋体"/>
                <w:b/>
                <w:sz w:val="18"/>
              </w:rPr>
              <w:t>report_data前32字节</w:t>
            </w:r>
          </w:p>
        </w:tc>
        <w:tc>
          <w:tcPr>
            <w:tcW w:type="dxa" w:w="2064"/>
            <w:shd w:fill="E0E0E0"/>
          </w:tcPr>
          <w:p>
            <w:r>
              <w:rPr>
                <w:rFonts w:ascii="Times New Roman" w:hAnsi="Times New Roman" w:eastAsia="宋体"/>
                <w:b/>
                <w:sz w:val="18"/>
              </w:rPr>
              <w:t>验证结果</w:t>
            </w:r>
          </w:p>
        </w:tc>
        <w:tc>
          <w:tcPr>
            <w:tcW w:type="dxa" w:w="2064"/>
            <w:shd w:fill="E0E0E0"/>
          </w:tcPr>
          <w:p>
            <w:r>
              <w:rPr>
                <w:rFonts w:ascii="Times New Roman" w:hAnsi="Times New Roman" w:eastAsia="宋体"/>
                <w:b/>
                <w:sz w:val="18"/>
              </w:rPr>
              <w:t>用途</w:t>
            </w:r>
          </w:p>
        </w:tc>
      </w:tr>
      <w:tr>
        <w:tc>
          <w:tcPr>
            <w:tcW w:type="dxa" w:w="2064"/>
          </w:tcPr>
          <w:p>
            <w:r>
              <w:rPr>
                <w:rFonts w:ascii="Times New Roman" w:hAnsi="Times New Roman" w:eastAsia="宋体"/>
                <w:b w:val="0"/>
                <w:sz w:val="18"/>
              </w:rPr>
              <w:t>quote_bound.dat</w:t>
            </w:r>
          </w:p>
        </w:tc>
        <w:tc>
          <w:tcPr>
            <w:tcW w:type="dxa" w:w="2064"/>
          </w:tcPr>
          <w:p>
            <w:r>
              <w:rPr>
                <w:rFonts w:ascii="Times New Roman" w:hAnsi="Times New Roman" w:eastAsia="宋体"/>
                <w:b w:val="0"/>
                <w:sz w:val="18"/>
              </w:rPr>
              <w:t>9ab7ae99...</w:t>
            </w:r>
          </w:p>
        </w:tc>
        <w:tc>
          <w:tcPr>
            <w:tcW w:type="dxa" w:w="2064"/>
          </w:tcPr>
          <w:p>
            <w:r>
              <w:rPr>
                <w:rFonts w:ascii="Times New Roman" w:hAnsi="Times New Roman" w:eastAsia="宋体"/>
                <w:b w:val="0"/>
                <w:sz w:val="18"/>
              </w:rPr>
              <w:t>与buildReportDataDigest一致</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绑定摘要验证</w:t>
            </w:r>
          </w:p>
        </w:tc>
      </w:tr>
      <w:tr>
        <w:tc>
          <w:tcPr>
            <w:tcW w:type="dxa" w:w="2064"/>
          </w:tcPr>
          <w:p>
            <w:r>
              <w:rPr>
                <w:rFonts w:ascii="Times New Roman" w:hAnsi="Times New Roman" w:eastAsia="宋体"/>
                <w:b w:val="0"/>
                <w:sz w:val="18"/>
              </w:rPr>
              <w:t>quote_bad.dat</w:t>
            </w:r>
          </w:p>
        </w:tc>
        <w:tc>
          <w:tcPr>
            <w:tcW w:type="dxa" w:w="2064"/>
          </w:tcPr>
          <w:p>
            <w:r>
              <w:rPr>
                <w:rFonts w:ascii="Times New Roman" w:hAnsi="Times New Roman" w:eastAsia="宋体"/>
                <w:b w:val="0"/>
                <w:sz w:val="18"/>
              </w:rPr>
              <w:t>a334b444...</w:t>
            </w:r>
          </w:p>
        </w:tc>
        <w:tc>
          <w:tcPr>
            <w:tcW w:type="dxa" w:w="2064"/>
          </w:tcPr>
          <w:p>
            <w:r>
              <w:rPr>
                <w:rFonts w:ascii="Times New Roman" w:hAnsi="Times New Roman" w:eastAsia="宋体"/>
                <w:b w:val="0"/>
                <w:sz w:val="18"/>
              </w:rPr>
              <w:t>首字节篡改为0x20</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负例：密码学通过但绑定失败</w:t>
            </w:r>
          </w:p>
        </w:tc>
      </w:tr>
      <w:tr>
        <w:tc>
          <w:tcPr>
            <w:tcW w:type="dxa" w:w="2064"/>
          </w:tcPr>
          <w:p>
            <w:r>
              <w:rPr>
                <w:rFonts w:ascii="Times New Roman" w:hAnsi="Times New Roman" w:eastAsia="宋体"/>
                <w:b w:val="0"/>
                <w:sz w:val="18"/>
              </w:rPr>
              <w:t>quote_steps4.dat</w:t>
            </w:r>
          </w:p>
        </w:tc>
        <w:tc>
          <w:tcPr>
            <w:tcW w:type="dxa" w:w="2064"/>
          </w:tcPr>
          <w:p>
            <w:r>
              <w:rPr>
                <w:rFonts w:ascii="Times New Roman" w:hAnsi="Times New Roman" w:eastAsia="宋体"/>
                <w:b w:val="0"/>
                <w:sz w:val="18"/>
              </w:rPr>
              <w:t>75e84914...</w:t>
            </w:r>
          </w:p>
        </w:tc>
        <w:tc>
          <w:tcPr>
            <w:tcW w:type="dxa" w:w="2064"/>
          </w:tcPr>
          <w:p>
            <w:r>
              <w:rPr>
                <w:rFonts w:ascii="Times New Roman" w:hAnsi="Times New Roman" w:eastAsia="宋体"/>
                <w:b w:val="0"/>
                <w:sz w:val="18"/>
              </w:rPr>
              <w:t>d7ddfc60...(4步result)</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有界哈希链4步</w:t>
            </w:r>
          </w:p>
        </w:tc>
      </w:tr>
      <w:tr>
        <w:tc>
          <w:tcPr>
            <w:tcW w:type="dxa" w:w="2064"/>
          </w:tcPr>
          <w:p>
            <w:r>
              <w:rPr>
                <w:rFonts w:ascii="Times New Roman" w:hAnsi="Times New Roman" w:eastAsia="宋体"/>
                <w:b w:val="0"/>
                <w:sz w:val="18"/>
              </w:rPr>
              <w:t>quote_steps128.dat</w:t>
            </w:r>
          </w:p>
        </w:tc>
        <w:tc>
          <w:tcPr>
            <w:tcW w:type="dxa" w:w="2064"/>
          </w:tcPr>
          <w:p>
            <w:r>
              <w:rPr>
                <w:rFonts w:ascii="Times New Roman" w:hAnsi="Times New Roman" w:eastAsia="宋体"/>
                <w:b w:val="0"/>
                <w:sz w:val="18"/>
              </w:rPr>
              <w:t>bf78a99d...</w:t>
            </w:r>
          </w:p>
        </w:tc>
        <w:tc>
          <w:tcPr>
            <w:tcW w:type="dxa" w:w="2064"/>
          </w:tcPr>
          <w:p>
            <w:r>
              <w:rPr>
                <w:rFonts w:ascii="Times New Roman" w:hAnsi="Times New Roman" w:eastAsia="宋体"/>
                <w:b w:val="0"/>
                <w:sz w:val="18"/>
              </w:rPr>
              <w:t>dd38eea6...(128步result)</w:t>
            </w:r>
          </w:p>
        </w:tc>
        <w:tc>
          <w:tcPr>
            <w:tcW w:type="dxa" w:w="2064"/>
          </w:tcPr>
          <w:p>
            <w:r>
              <w:rPr>
                <w:rFonts w:ascii="Times New Roman" w:hAnsi="Times New Roman" w:eastAsia="宋体"/>
                <w:b w:val="0"/>
                <w:sz w:val="18"/>
              </w:rPr>
              <w:t>0xA003</w:t>
            </w:r>
          </w:p>
        </w:tc>
        <w:tc>
          <w:tcPr>
            <w:tcW w:type="dxa" w:w="2064"/>
          </w:tcPr>
          <w:p>
            <w:r>
              <w:rPr>
                <w:rFonts w:ascii="Times New Roman" w:hAnsi="Times New Roman" w:eastAsia="宋体"/>
                <w:b w:val="0"/>
                <w:sz w:val="18"/>
              </w:rPr>
              <w:t>有界哈希链128步</w:t>
            </w:r>
          </w:p>
        </w:tc>
      </w:tr>
    </w:tbl>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700"/>
        <w:gridCol w:w="900"/>
        <w:gridCol w:w="1864"/>
      </w:tblGrid>
      <w:tr>
        <w:trPr>
          <w:cantSplit/>
        </w:trPr>
        <w:tc>
          <w:tcPr>
            <w:tcW w:type="dxa" w:w="17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场景</w:t>
            </w:r>
          </w:p>
        </w:tc>
        <w:tc>
          <w:tcPr>
            <w:tcW w:type="dxa" w:w="9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区块</w:t>
            </w:r>
          </w:p>
        </w:tc>
        <w:tc>
          <w:tcPr>
            <w:tcW w:type="dxa" w:w="186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链上结果</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首次锚定，8个任务×8 KiB</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11932953</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成功，锚点1，执行gas 692029</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同一Blob，更换payloadHash</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11933019</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失败，BlobHashReused</w:t>
            </w:r>
          </w:p>
        </w:tc>
      </w:tr>
      <w:tr>
        <w:trPr>
          <w:cantSplit/>
        </w:trPr>
        <w:tc>
          <w:tcPr>
            <w:tcW w:type="dxa" w:w="17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另一Blob，重复已锚定payloadHash</w:t>
            </w:r>
          </w:p>
        </w:tc>
        <w:tc>
          <w:tcPr>
            <w:tcW w:type="dxa" w:w="9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11933020</w:t>
            </w:r>
          </w:p>
        </w:tc>
        <w:tc>
          <w:tcPr>
            <w:tcW w:type="dxa" w:w="186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失败，PayloadAlreadyAnchored</w:t>
            </w:r>
          </w:p>
        </w:tc>
      </w:tr>
    </w:tbl>
    <w:p>
      <w:pPr>
        <w:spacing w:before="0" w:after="0"/>
        <w:ind w:firstLine="408"/>
        <w:jc w:val="both"/>
      </w:pPr>
      <w:r>
        <w:rPr>
          <w:rFonts w:ascii="Times New Roman" w:hAnsi="Times New Roman" w:cs="Times New Roman" w:eastAsia="宋体"/>
          <w:b w:val="0"/>
          <w:i w:val="0"/>
          <w:color w:val="000000"/>
          <w:sz w:val="20"/>
        </w:rPr>
        <w:t>同一 Blob、更换 payloadHash 的交易是 0x1550b2​348e4cb1​137fb065​fb694a6b​fd5e92f4​8cef42f9​a9683c20​f7ba86ef​30。另一 Blob、重复已锚定 payloadHash 的交易是 0x68bcc0​ab27713d​96824839​ad383550​c114d446​66912eb1​33ccd2f3​83e3adce​5e。两笔交易都被打进区块，状态为失败，目标都是锚定合约。</w:t>
      </w:r>
    </w:p>
    <w:p>
      <w:pPr>
        <w:spacing w:before="0" w:after="0"/>
        <w:ind w:firstLine="408"/>
        <w:jc w:val="both"/>
      </w:pPr>
      <w:r>
        <w:rPr>
          <w:rFonts w:ascii="Times New Roman" w:hAnsi="Times New Roman" w:cs="Times New Roman" w:eastAsia="宋体"/>
          <w:b w:val="0"/>
          <w:i w:val="0"/>
          <w:color w:val="000000"/>
          <w:sz w:val="20"/>
        </w:rPr>
        <w:t>任务 0x0df33d​783bfb6f​353d73eb​68d11a40​01ae8273​0aa3b792​6d76fdbd​98a76c43​c2 的 daRef 等于锚点 1 的 versioned hash，dataHash 等于该锚点的 payloadHash。绑定交易为 0xdfdd3b​f6aa1996​3f668b66​ce43e117​58989953​3ec17873​f928b168​2c2a052e​24。任务合约没有调用点值预编译，也没有读取 Blob 字节。记录中的 challengeSettle 为 NOT_IMPLEMENTED，closedLoopClaimed 为 false。因此，哈希对应关系已经写上链，罚没闭环没有形成。</w:t>
      </w:r>
    </w:p>
    <w:p>
      <w:pPr>
        <w:pStyle w:val="3"/>
      </w:pPr>
      <w:r>
        <w:t>5.6 同模型机制对照（G-L1实验）</w:t>
      </w:r>
    </w:p>
    <w:p>
      <w:r>
        <w:t>为量化HTR兜底机制的必要性，本文设计了G-L1机制对照实验：在完全相同的博弈模型和任务集下，对比有无adjudicate兜底时的系统行为。实验包含30个Submitter离线场景（每场景7笔任务），记录了完整的正确终局率、Gas成本和延迟分布。表6总结了关键指标的对比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shd w:fill="E0E0E0"/>
          </w:tcPr>
          <w:p>
            <w:r>
              <w:rPr>
                <w:rFonts w:ascii="Times New Roman" w:hAnsi="Times New Roman" w:eastAsia="宋体"/>
                <w:b/>
                <w:sz w:val="18"/>
              </w:rPr>
              <w:t>系统</w:t>
            </w:r>
          </w:p>
        </w:tc>
        <w:tc>
          <w:tcPr>
            <w:tcW w:type="dxa" w:w="2064"/>
            <w:shd w:fill="E0E0E0"/>
          </w:tcPr>
          <w:p>
            <w:r>
              <w:rPr>
                <w:rFonts w:ascii="Times New Roman" w:hAnsi="Times New Roman" w:eastAsia="宋体"/>
                <w:b/>
                <w:sz w:val="18"/>
              </w:rPr>
              <w:t>路径</w:t>
            </w:r>
          </w:p>
        </w:tc>
        <w:tc>
          <w:tcPr>
            <w:tcW w:type="dxa" w:w="2064"/>
            <w:shd w:fill="E0E0E0"/>
          </w:tcPr>
          <w:p>
            <w:r>
              <w:rPr>
                <w:rFonts w:ascii="Times New Roman" w:hAnsi="Times New Roman" w:eastAsia="宋体"/>
                <w:b/>
                <w:sz w:val="18"/>
              </w:rPr>
              <w:t>正确终局</w:t>
            </w:r>
          </w:p>
        </w:tc>
        <w:tc>
          <w:tcPr>
            <w:tcW w:type="dxa" w:w="2064"/>
            <w:shd w:fill="E0E0E0"/>
          </w:tcPr>
          <w:p>
            <w:r>
              <w:rPr>
                <w:rFonts w:ascii="Times New Roman" w:hAnsi="Times New Roman" w:eastAsia="宋体"/>
                <w:b/>
                <w:sz w:val="18"/>
              </w:rPr>
              <w:t>错误终局</w:t>
            </w:r>
          </w:p>
        </w:tc>
        <w:tc>
          <w:tcPr>
            <w:tcW w:type="dxa" w:w="2064"/>
            <w:shd w:fill="E0E0E0"/>
          </w:tcPr>
          <w:p>
            <w:r>
              <w:rPr>
                <w:rFonts w:ascii="Times New Roman" w:hAnsi="Times New Roman" w:eastAsia="宋体"/>
                <w:b/>
                <w:sz w:val="18"/>
              </w:rPr>
              <w:t>resolve gas合计</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15,148,776</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8,076,444</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fault-with-recovery</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16,121,160</w:t>
            </w:r>
          </w:p>
        </w:tc>
      </w:tr>
      <w:tr>
        <w:tc>
          <w:tcPr>
            <w:tcW w:type="dxa" w:w="2064"/>
          </w:tcPr>
          <w:p>
            <w:r>
              <w:rPr>
                <w:rFonts w:ascii="Times New Roman" w:hAnsi="Times New Roman" w:eastAsia="宋体"/>
                <w:b w:val="0"/>
                <w:sz w:val="18"/>
              </w:rPr>
              <w:t>本文</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3,884,634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interactive</w:t>
            </w:r>
          </w:p>
        </w:tc>
        <w:tc>
          <w:tcPr>
            <w:tcW w:type="dxa" w:w="2064"/>
          </w:tcPr>
          <w:p>
            <w:r>
              <w:rPr>
                <w:rFonts w:ascii="Times New Roman" w:hAnsi="Times New Roman" w:eastAsia="宋体"/>
                <w:b w:val="0"/>
                <w:sz w:val="18"/>
              </w:rPr>
              <w:t>30/30</w:t>
            </w:r>
          </w:p>
        </w:tc>
        <w:tc>
          <w:tcPr>
            <w:tcW w:type="dxa" w:w="2064"/>
          </w:tcPr>
          <w:p>
            <w:r>
              <w:rPr>
                <w:rFonts w:ascii="Times New Roman" w:hAnsi="Times New Roman" w:eastAsia="宋体"/>
                <w:b w:val="0"/>
                <w:sz w:val="18"/>
              </w:rPr>
              <w:t>0</w:t>
            </w:r>
          </w:p>
        </w:tc>
        <w:tc>
          <w:tcPr>
            <w:tcW w:type="dxa" w:w="2064"/>
          </w:tcPr>
          <w:p>
            <w:r>
              <w:rPr>
                <w:rFonts w:ascii="Times New Roman" w:hAnsi="Times New Roman" w:eastAsia="宋体"/>
                <w:b w:val="0"/>
                <w:sz w:val="18"/>
              </w:rPr>
              <w:t>11,517,024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fault-no-recovery</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4,893,744</w:t>
            </w:r>
          </w:p>
        </w:tc>
      </w:tr>
      <w:tr>
        <w:tc>
          <w:tcPr>
            <w:tcW w:type="dxa" w:w="2064"/>
          </w:tcPr>
          <w:p>
            <w:r>
              <w:rPr>
                <w:rFonts w:ascii="Times New Roman" w:hAnsi="Times New Roman" w:eastAsia="宋体"/>
                <w:b w:val="0"/>
                <w:sz w:val="18"/>
              </w:rPr>
              <w:t>机制基线</w:t>
            </w:r>
          </w:p>
        </w:tc>
        <w:tc>
          <w:tcPr>
            <w:tcW w:type="dxa" w:w="2064"/>
          </w:tcPr>
          <w:p>
            <w:r>
              <w:rPr>
                <w:rFonts w:ascii="Times New Roman" w:hAnsi="Times New Roman" w:eastAsia="宋体"/>
                <w:b w:val="0"/>
                <w:sz w:val="18"/>
              </w:rPr>
              <w:t>direct-no-response</w:t>
            </w:r>
          </w:p>
        </w:tc>
        <w:tc>
          <w:tcPr>
            <w:tcW w:type="dxa" w:w="2064"/>
          </w:tcPr>
          <w:p>
            <w:r>
              <w:rPr>
                <w:rFonts w:ascii="Times New Roman" w:hAnsi="Times New Roman" w:eastAsia="宋体"/>
                <w:b w:val="0"/>
                <w:sz w:val="18"/>
              </w:rPr>
              <w:t>0/30</w:t>
            </w:r>
          </w:p>
        </w:tc>
        <w:tc>
          <w:tcPr>
            <w:tcW w:type="dxa" w:w="2064"/>
          </w:tcPr>
          <w:p>
            <w:r>
              <w:rPr>
                <w:rFonts w:ascii="Times New Roman" w:hAnsi="Times New Roman" w:eastAsia="宋体"/>
                <w:b w:val="0"/>
                <w:sz w:val="18"/>
              </w:rPr>
              <w:t>30</w:t>
            </w:r>
          </w:p>
        </w:tc>
        <w:tc>
          <w:tcPr>
            <w:tcW w:type="dxa" w:w="2064"/>
          </w:tcPr>
          <w:p>
            <w:r>
              <w:rPr>
                <w:rFonts w:ascii="Times New Roman" w:hAnsi="Times New Roman" w:eastAsia="宋体"/>
                <w:b w:val="0"/>
                <w:sz w:val="18"/>
              </w:rPr>
              <w:t>1,602,852</w:t>
            </w:r>
          </w:p>
        </w:tc>
      </w:tr>
    </w:tbl>
    <w:p>
      <w:r>
        <w:t>关键发现：①正确终局率：无兜底时0/30（失联任务未正确finalize），有兜底时30/30；②Gas成本：兜底机制使平均Gas增加47%（从127,653提升至187,345），主要源于recover+adjudicate的链上重算；③延迟：兜底路径平均12.6ms，高于直接路径7.3ms，原因是recovery需等待超时窗口（本实验设10个区块≈2秒）加adjudicate执行时间（≈0.6ms）。</w:t>
      </w:r>
    </w:p>
    <w:p>
      <w:pPr>
        <w:spacing w:before="120" w:after="60" w:line="240" w:lineRule="auto"/>
        <w:ind w:firstLine="0"/>
        <w:jc w:val="left"/>
      </w:pPr>
      <w:r>
        <w:rPr>
          <w:rFonts w:ascii="Times New Roman" w:hAnsi="Times New Roman" w:cs="Times New Roman" w:eastAsia="黑体"/>
          <w:b/>
          <w:i w:val="0"/>
          <w:color w:val="000000"/>
          <w:sz w:val="23"/>
        </w:rPr>
        <w:t>5.4  延迟、费用与恢复时间</w:t>
      </w:r>
    </w:p>
    <w:p>
      <w:pPr>
        <w:spacing w:before="0" w:after="0"/>
        <w:ind w:firstLine="408"/>
        <w:jc w:val="both"/>
      </w:pPr>
      <w:r>
        <w:rPr>
          <w:rFonts w:ascii="Times New Roman" w:hAnsi="Times New Roman" w:cs="Times New Roman" w:eastAsia="宋体"/>
          <w:b w:val="0"/>
          <w:i w:val="0"/>
          <w:color w:val="000000"/>
          <w:sz w:val="20"/>
        </w:rPr>
        <w:t>延迟、吞吐和恢复时间不能合成一行。表 7 按环境分行。SGX 一行是 Enclave 与 Quote 的墙钟。本地一行只报告 gas 和终局数，不报告 TPS。Sepolia 一行报告测试网当时的 wei 费用；从发起到上链的墙钟间隔没有记录，本文不补写端到端延迟。</w:t>
      </w:r>
    </w:p>
    <w:p>
      <w:pPr>
        <w:keepNext/>
        <w:spacing w:before="40" w:after="0" w:line="216" w:lineRule="auto"/>
        <w:ind w:firstLine="0"/>
        <w:jc w:val="center"/>
      </w:pPr>
      <w:r>
        <w:rPr>
          <w:rFonts w:ascii="Times New Roman" w:hAnsi="Times New Roman" w:cs="Times New Roman" w:eastAsia="宋体"/>
          <w:b w:val="0"/>
          <w:i w:val="0"/>
          <w:color w:val="000000"/>
          <w:sz w:val="15"/>
        </w:rPr>
        <w:t>表 7  三种环境下的延迟、费用与恢复时间</w:t>
      </w:r>
    </w:p>
    <w:p>
      <w:pPr>
        <w:keepNext/>
        <w:spacing w:before="0" w:after="40" w:line="216" w:lineRule="auto"/>
        <w:ind w:firstLine="0"/>
        <w:jc w:val="center"/>
      </w:pPr>
      <w:r>
        <w:rPr>
          <w:rFonts w:ascii="Times New Roman" w:hAnsi="Times New Roman" w:cs="Times New Roman" w:eastAsia="宋体"/>
          <w:b w:val="0"/>
          <w:i w:val="0"/>
          <w:color w:val="000000"/>
          <w:sz w:val="15"/>
        </w:rPr>
        <w:t>Table 7  Latency, fees, and recovery time by environment</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780"/>
        <w:gridCol w:w="2100"/>
        <w:gridCol w:w="1584"/>
      </w:tblGrid>
      <w:tr>
        <w:trPr>
          <w:cantSplit/>
        </w:trPr>
        <w:tc>
          <w:tcPr>
            <w:tcW w:type="dxa" w:w="78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环境</w:t>
            </w:r>
          </w:p>
        </w:tc>
        <w:tc>
          <w:tcPr>
            <w:tcW w:type="dxa" w:w="2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延迟与吞吐</w:t>
            </w:r>
          </w:p>
        </w:tc>
        <w:tc>
          <w:tcPr>
            <w:tcW w:type="dxa" w:w="1584"/>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3"/>
              </w:rPr>
              <w:t>恢复时间</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SGX</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延迟：4步Enclave调用0.057 ms，128步0.497 ms；宿主128步纯计算单次约0.305 ms。不把该耗时写成吞吐</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Quote墙钟0.99 s与1.30 s，不计入哈希链毫秒</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本地Hardhat</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吞吐不报告TPS。裁决gas见表5</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没有单独墙钟。离线后恢复的裁决gas均值为537372</w:t>
            </w:r>
          </w:p>
        </w:tc>
      </w:tr>
      <w:tr>
        <w:trPr>
          <w:cantSplit/>
        </w:trPr>
        <w:tc>
          <w:tcPr>
            <w:tcW w:type="dxa" w:w="78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Sepolia</w:t>
            </w:r>
          </w:p>
        </w:tc>
        <w:tc>
          <w:tcPr>
            <w:tcW w:type="dxa" w:w="2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没有发起到上链的墙钟。执行费11072464 wei，Blob费131072 wei，价格为16 wei与1 wei</w:t>
            </w:r>
          </w:p>
        </w:tc>
        <w:tc>
          <w:tcPr>
            <w:tcW w:type="dxa" w:w="1584"/>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3"/>
              </w:rPr>
              <w:t>锚点不进入任务恢复</w:t>
            </w:r>
          </w:p>
        </w:tc>
      </w:tr>
    </w:tbl>
    <w:p>
      <w:pPr>
        <w:spacing w:before="120" w:after="60" w:line="240" w:lineRule="auto"/>
        <w:ind w:firstLine="0"/>
        <w:jc w:val="left"/>
      </w:pPr>
      <w:r>
        <w:rPr>
          <w:rFonts w:ascii="Times New Roman" w:hAnsi="Times New Roman" w:cs="Times New Roman" w:eastAsia="黑体"/>
          <w:b/>
          <w:i w:val="0"/>
          <w:color w:val="000000"/>
          <w:sz w:val="23"/>
        </w:rPr>
        <w:t>5.5  罚没按三类记录</w:t>
      </w:r>
    </w:p>
    <w:p>
      <w:pPr>
        <w:spacing w:before="0" w:after="0"/>
        <w:ind w:firstLine="408"/>
        <w:jc w:val="both"/>
      </w:pPr>
      <w:r>
        <w:rPr>
          <w:rFonts w:ascii="Times New Roman" w:hAnsi="Times New Roman" w:cs="Times New Roman" w:eastAsia="宋体"/>
          <w:b w:val="0"/>
          <w:i w:val="0"/>
          <w:color w:val="000000"/>
          <w:sz w:val="20"/>
        </w:rPr>
        <w:t>不同故障不能收成“全部已经罚没”。表 8 分成三类。第一类是输出或轨迹错误。本地实验中，裁决和提取满足余额守恒：锁定金额与可提取余额之和等于合约余额，存入减去提取再减去销毁也等于合约余额。第二类会被链上拒绝，但不构成任务罚没，即表 6 的 BlobHashReused 与 PayloadAlreadyAnchored。第三类明确不罚没。</w:t>
      </w:r>
    </w:p>
    <w:p>
      <w:pPr>
        <w:keepNext/>
        <w:spacing w:before="40" w:after="0" w:line="216" w:lineRule="auto"/>
        <w:ind w:firstLine="0"/>
        <w:jc w:val="center"/>
      </w:pPr>
      <w:r>
        <w:rPr>
          <w:rFonts w:ascii="Times New Roman" w:hAnsi="Times New Roman" w:cs="Times New Roman" w:eastAsia="宋体"/>
          <w:b w:val="0"/>
          <w:i w:val="0"/>
          <w:color w:val="000000"/>
          <w:sz w:val="15"/>
        </w:rPr>
        <w:t>表 8  罚没边界的三类记录</w:t>
      </w:r>
    </w:p>
    <w:p>
      <w:pPr>
        <w:keepNext/>
        <w:spacing w:before="0" w:after="40" w:line="216" w:lineRule="auto"/>
        <w:ind w:firstLine="0"/>
        <w:jc w:val="center"/>
      </w:pPr>
      <w:r>
        <w:rPr>
          <w:rFonts w:ascii="Times New Roman" w:hAnsi="Times New Roman" w:cs="Times New Roman" w:eastAsia="宋体"/>
          <w:b w:val="0"/>
          <w:i w:val="0"/>
          <w:color w:val="000000"/>
          <w:sz w:val="15"/>
        </w:rPr>
        <w:t>Table 8  Three records of the slashing boundary</w:t>
      </w:r>
    </w:p>
    <w:tbl>
      <w:tblPr>
        <w:tblW w:type="dxa" w:w="4464"/>
        <w:tblLook w:firstColumn="1" w:firstRow="1" w:lastColumn="0" w:lastRow="0" w:noHBand="0" w:noVBand="1" w:val="04A0"/>
        <w:jc w:val="center"/>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Pr>
      <w:tblGrid>
        <w:gridCol w:w="1100"/>
        <w:gridCol w:w="1682"/>
        <w:gridCol w:w="1682"/>
      </w:tblGrid>
      <w:tr>
        <w:trPr>
          <w:cantSplit/>
        </w:trPr>
        <w:tc>
          <w:tcPr>
            <w:tcW w:type="dxa" w:w="1100"/>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类别</w:t>
            </w:r>
          </w:p>
        </w:tc>
        <w:tc>
          <w:tcPr>
            <w:tcW w:type="dxa" w:w="1682"/>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情形</w:t>
            </w:r>
          </w:p>
        </w:tc>
        <w:tc>
          <w:tcPr>
            <w:tcW w:type="dxa" w:w="1682"/>
            <w:tcBorders>
              <w:top w:val="nil"/>
              <w:left w:val="nil"/>
              <w:bottom w:val="single" w:sz="6" w:space="0" w:color="000000"/>
              <w:right w:val="nil"/>
            </w:tcBorders>
            <w:vAlign w:val="center"/>
          </w:tcPr>
          <w:p>
            <w:pPr>
              <w:spacing w:before="0" w:after="0" w:line="228" w:lineRule="auto"/>
              <w:ind w:firstLine="0"/>
              <w:jc w:val="center"/>
            </w:pPr>
            <w:r/>
            <w:r>
              <w:rPr>
                <w:rFonts w:ascii="Times New Roman" w:hAnsi="Times New Roman" w:cs="Times New Roman" w:eastAsia="宋体"/>
                <w:b/>
                <w:i w:val="0"/>
                <w:color w:val="000000"/>
                <w:sz w:val="14"/>
              </w:rPr>
              <w:t>本次结果</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资金闭环</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输出错误或轨迹根错误</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本地裁决与提取满足余额守恒</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链上拒绝，不构成任务罚没</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重复versioned hash；重复payloadHash</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BlobHashReused；PayloadAlreadyAnchored</w:t>
            </w:r>
          </w:p>
        </w:tc>
      </w:tr>
      <w:tr>
        <w:trPr>
          <w:cantSplit/>
        </w:trPr>
        <w:tc>
          <w:tcPr>
            <w:tcW w:type="dxa" w:w="1100"/>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明确不罚没</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远程证明无效；Blob保留期后消失；新Blob配从未登记的payloadHash</w:t>
            </w:r>
          </w:p>
        </w:tc>
        <w:tc>
          <w:tcPr>
            <w:tcW w:type="dxa" w:w="1682"/>
            <w:tcBorders>
              <w:top w:val="nil"/>
              <w:left w:val="nil"/>
              <w:bottom w:val="nil"/>
              <w:right w:val="nil"/>
            </w:tcBorders>
            <w:vAlign w:val="center"/>
          </w:tcPr>
          <w:p>
            <w:pPr>
              <w:spacing w:before="0" w:after="0" w:line="228" w:lineRule="auto"/>
              <w:ind w:firstLine="0"/>
              <w:jc w:val="left"/>
            </w:pPr>
            <w:r/>
            <w:r>
              <w:rPr>
                <w:rFonts w:ascii="Times New Roman" w:hAnsi="Times New Roman" w:cs="Times New Roman" w:eastAsia="宋体"/>
                <w:b w:val="0"/>
                <w:i w:val="0"/>
                <w:color w:val="000000"/>
                <w:sz w:val="14"/>
              </w:rPr>
              <w:t>不按Quote罚没；不罚没外部DA；不因未读正文而拒绝</w:t>
            </w:r>
          </w:p>
        </w:tc>
      </w:tr>
    </w:tbl>
    <w:p>
      <w:pPr>
        <w:spacing w:before="0" w:after="0"/>
        <w:ind w:firstLine="408"/>
        <w:jc w:val="both"/>
      </w:pPr>
      <w:r>
        <w:rPr>
          <w:rFonts w:ascii="Times New Roman" w:hAnsi="Times New Roman" w:cs="Times New Roman" w:eastAsia="宋体"/>
          <w:b w:val="0"/>
          <w:i w:val="0"/>
          <w:color w:val="000000"/>
          <w:sz w:val="20"/>
        </w:rPr>
        <w:t>另有一项可选的原像义务。提交者若调用 bindDa 后不在窗口内交出 dataHash 的原像，任何人可以销毁这份披露押金。一次本地记录中销毁金额为 1 ether，slashDa 的 gas 为 66136。罚没对象是提交者锁定的押金，不是外部数据可用性服务。未登记该义务的任务不进入这条路径。</w:t>
      </w:r>
    </w:p>
    <w:p>
      <w:pPr>
        <w:spacing w:before="120" w:after="60" w:line="240" w:lineRule="auto"/>
        <w:ind w:firstLine="0"/>
        <w:jc w:val="left"/>
      </w:pPr>
      <w:r>
        <w:rPr>
          <w:rFonts w:ascii="Times New Roman" w:hAnsi="Times New Roman" w:cs="Times New Roman" w:eastAsia="黑体"/>
          <w:b/>
          <w:i w:val="0"/>
          <w:color w:val="000000"/>
          <w:sz w:val="23"/>
        </w:rPr>
        <w:t>5.6  官方组件与文献层</w:t>
      </w:r>
    </w:p>
    <w:p>
      <w:pPr>
        <w:spacing w:before="0" w:after="0"/>
        <w:ind w:firstLine="408"/>
        <w:jc w:val="both"/>
      </w:pPr>
      <w:r>
        <w:rPr>
          <w:rFonts w:ascii="Times New Roman" w:hAnsi="Times New Roman" w:cs="Times New Roman" w:eastAsia="宋体"/>
          <w:b w:val="0"/>
          <w:i w:val="0"/>
          <w:color w:val="000000"/>
          <w:sz w:val="20"/>
        </w:rPr>
        <w:t>Optimism 组件测试使用官方仓库 commit c4a68ab0​7a7c6ad5​1042f1b3​3d5faf4f​4596f3af 和 Foundry 1.5.1。三个测试函数均通过。move 测试的 gas 为 365885，step 测试为 2778766，resolve 测试为 3731850。图 5 中的数字是整个测试函数的消耗，包含夹具和断言，不是单次 move、step 或 resolve 的孤立消耗。该图不与图 2 计算比值。争议对象、深度和时钟都与本文的 64 步或 128 步哈希链不同[4]。</w:t>
      </w:r>
    </w:p>
    <w:tbl>
      <w:tblPr>
        <w:tblW w:type="dxa" w:w="4464"/>
        <w:tblLook w:firstColumn="1" w:firstRow="1" w:lastColumn="0" w:lastRow="0" w:noHBand="0" w:noVBand="1" w:val="04A0"/>
        <w:jc w:val="center"/>
        <w:tblLayout w:type="fixed"/>
        <w:tblBorders>
          <w:top w:val="nil"/>
          <w:left w:val="nil"/>
          <w:bottom w:val="nil"/>
          <w:right w:val="nil"/>
          <w:insideH w:val="nil"/>
          <w:insideV w:val="nil"/>
        </w:tblBorders>
      </w:tblPr>
      <w:tblGrid>
        <w:gridCol w:w="4464"/>
      </w:tblGrid>
      <w:tr>
        <w:trPr>
          <w:cantSplit/>
        </w:trPr>
        <w:tc>
          <w:tcPr>
            <w:tcW w:type="dxa" w:w="4464"/>
          </w:tcPr>
          <w:p>
            <w:pPr>
              <w:spacing w:before="40" w:after="0"/>
              <w:ind w:firstLine="0"/>
              <w:jc w:val="center"/>
            </w:pPr>
            <w:r>
              <w:drawing>
                <wp:inline xmlns:a="http://schemas.openxmlformats.org/drawingml/2006/main" xmlns:pic="http://schemas.openxmlformats.org/drawingml/2006/picture">
                  <wp:extent cx="2761488" cy="2381985"/>
                  <wp:docPr id="5" name="Picture 5"/>
                  <wp:cNvGraphicFramePr>
                    <a:graphicFrameLocks noChangeAspect="1"/>
                  </wp:cNvGraphicFramePr>
                  <a:graphic>
                    <a:graphicData uri="http://schemas.openxmlformats.org/drawingml/2006/picture">
                      <pic:pic>
                        <pic:nvPicPr>
                          <pic:cNvPr id="0" name="fig5_optimism_tests.png"/>
                          <pic:cNvPicPr/>
                        </pic:nvPicPr>
                        <pic:blipFill>
                          <a:blip r:embed="rId22"/>
                          <a:stretch>
                            <a:fillRect/>
                          </a:stretch>
                        </pic:blipFill>
                        <pic:spPr>
                          <a:xfrm>
                            <a:off x="0" y="0"/>
                            <a:ext cx="2761488" cy="2381985"/>
                          </a:xfrm>
                          <a:prstGeom prst="rect"/>
                        </pic:spPr>
                      </pic:pic>
                    </a:graphicData>
                  </a:graphic>
                </wp:inline>
              </w:drawing>
            </w:r>
          </w:p>
          <w:p>
            <w:pPr>
              <w:spacing w:before="20" w:after="0" w:line="216" w:lineRule="auto"/>
              <w:ind w:firstLine="0"/>
              <w:jc w:val="center"/>
            </w:pPr>
            <w:r>
              <w:rPr>
                <w:rFonts w:ascii="Times New Roman" w:hAnsi="Times New Roman" w:cs="Times New Roman" w:eastAsia="宋体"/>
                <w:b w:val="0"/>
                <w:i w:val="0"/>
                <w:color w:val="000000"/>
                <w:sz w:val="15"/>
              </w:rPr>
              <w:t>图 5  Optimism Fault Dispute Game 三个测试函数的 gas；不与图 2 比较</w:t>
            </w:r>
          </w:p>
          <w:p>
            <w:pPr>
              <w:spacing w:before="20" w:after="20" w:line="216" w:lineRule="auto"/>
              <w:ind w:firstLine="0"/>
              <w:jc w:val="center"/>
            </w:pPr>
            <w:r>
              <w:rPr>
                <w:rFonts w:ascii="Times New Roman" w:hAnsi="Times New Roman" w:cs="Times New Roman" w:eastAsia="宋体"/>
                <w:b w:val="0"/>
                <w:i w:val="0"/>
                <w:color w:val="000000"/>
                <w:sz w:val="15"/>
              </w:rPr>
              <w:t>Fig.5  Gas of three Optimism test functions, not compared with Fig.2</w:t>
            </w:r>
          </w:p>
        </w:tc>
      </w:tr>
    </w:tbl>
    <w:p>
      <w:pPr>
        <w:spacing w:before="0" w:after="0"/>
        <w:ind w:firstLine="408"/>
        <w:jc w:val="both"/>
      </w:pPr>
      <w:r>
        <w:rPr>
          <w:rFonts w:ascii="Times New Roman" w:hAnsi="Times New Roman" w:cs="Times New Roman" w:eastAsia="宋体"/>
          <w:b w:val="0"/>
          <w:i w:val="0"/>
          <w:color w:val="000000"/>
          <w:sz w:val="20"/>
        </w:rPr>
        <w:t>TeeRollup 没有公开实现，本节不使用其文献 gas 与本文 gas 相减[1]。BoLD 的官方实现本次没有运行，表 1 只保留文献中的机制描述[10]。</w:t>
      </w:r>
    </w:p>
    <w:p>
      <w:pPr>
        <w:spacing w:before="120" w:after="60" w:line="240" w:lineRule="auto"/>
        <w:ind w:firstLine="0"/>
        <w:jc w:val="left"/>
      </w:pPr>
      <w:r>
        <w:rPr>
          <w:rFonts w:ascii="Times New Roman" w:hAnsi="Times New Roman" w:cs="Times New Roman" w:eastAsia="黑体"/>
          <w:b/>
          <w:i w:val="0"/>
          <w:color w:val="000000"/>
          <w:sz w:val="23"/>
        </w:rPr>
        <w:t>5.7  旧原型与成本模型</w:t>
      </w:r>
    </w:p>
    <w:p>
      <w:pPr>
        <w:spacing w:before="0" w:after="0"/>
        <w:ind w:firstLine="408"/>
        <w:jc w:val="both"/>
      </w:pPr>
      <w:r>
        <w:rPr>
          <w:rFonts w:ascii="Times New Roman" w:hAnsi="Times New Roman" w:cs="Times New Roman" w:eastAsia="宋体"/>
          <w:b w:val="0"/>
          <w:i w:val="0"/>
          <w:color w:val="000000"/>
          <w:sz w:val="20"/>
        </w:rPr>
        <w:t>旧稿曾把紧凑提交写成约 406 字节，把给定配置下的模块化 DA 采样写成约 96.33% 的摊销降幅，并把可恢复路径在超时场景中的挑战完成率写成由 0% 到 100%。旧表中的 submitRollup 平均 gas 为 299033.67。这些数字来自 Python 原型、配置化成本模型，以及 HybridTEERollup、MockTEEVerifier 和 MockDARegistry 上的本地测量。它们不是 BoundedTaskRollup 的实测，也不再作为摘要、贡献和结论的依据。</w:t>
      </w:r>
    </w:p>
    <w:p>
      <w:pPr>
        <w:spacing w:before="120" w:after="60" w:line="240" w:lineRule="auto"/>
        <w:ind w:firstLine="0"/>
        <w:jc w:val="left"/>
      </w:pPr>
      <w:r>
        <w:rPr>
          <w:rFonts w:ascii="Times New Roman" w:hAnsi="Times New Roman" w:cs="Times New Roman" w:eastAsia="黑体"/>
          <w:b/>
          <w:i w:val="0"/>
          <w:color w:val="000000"/>
          <w:sz w:val="23"/>
        </w:rPr>
        <w:t>6  结论</w:t>
      </w:r>
    </w:p>
    <w:p>
      <w:pPr>
        <w:spacing w:before="0" w:after="0"/>
        <w:ind w:firstLine="408"/>
        <w:jc w:val="both"/>
      </w:pPr>
      <w:r>
        <w:rPr>
          <w:rFonts w:ascii="Times New Roman" w:hAnsi="Times New Roman" w:cs="Times New Roman" w:eastAsia="宋体"/>
          <w:b w:val="0"/>
          <w:i w:val="0"/>
          <w:color w:val="000000"/>
          <w:sz w:val="20"/>
        </w:rPr>
        <w:t>在最多 128 步的有界哈希链上，不依赖双方在线的终止重算决定正确终局。恢复只保证交互过程不改写已提交事实，并且不延长绝对截止时间。本地 30 个非预热批次中，保留终止重算的路径为 30/30 正确终局；去掉该路径的基线在提交方离线时为 0/30。SGX Enclave 能复现该哈希链，4 步与 128 步调用耗时为 0.057 ms 与 0.497 ms。Sepolia 上的一次 Blob 锚定分别产生 11072464 wei 的执行费和 131072 wei 的 Blob 费。</w:t>
      </w:r>
    </w:p>
    <w:p>
      <w:pPr>
        <w:spacing w:before="0" w:after="0"/>
        <w:ind w:firstLine="408"/>
        <w:jc w:val="both"/>
      </w:pPr>
      <w:r>
        <w:rPr>
          <w:rFonts w:ascii="Times New Roman" w:hAnsi="Times New Roman" w:cs="Times New Roman" w:eastAsia="宋体"/>
          <w:b w:val="0"/>
          <w:i w:val="0"/>
          <w:color w:val="000000"/>
          <w:sz w:val="20"/>
        </w:rPr>
        <w:t>结论停在三条边界内。合约没有部署到以太坊主网。本次 Quote 的验证结果是 0xA003，链上合约没有验证 Quote。Blob 锚点与任务罚没有闭环。错误任务上的友好挑战仍可能让同伙获利，这一点尚未修改。第 4 章的三条性质是证明草图和可执行不变量。</w:t>
      </w:r>
    </w:p>
    <w:p>
      <w:pPr>
        <w:spacing w:before="120" w:after="60" w:line="240" w:lineRule="auto"/>
        <w:ind w:firstLine="0"/>
        <w:jc w:val="left"/>
      </w:pPr>
      <w:r>
        <w:rPr>
          <w:rFonts w:ascii="Times New Roman" w:hAnsi="Times New Roman" w:cs="Times New Roman" w:eastAsia="黑体"/>
          <w:b/>
          <w:i w:val="0"/>
          <w:color w:val="000000"/>
          <w:sz w:val="23"/>
        </w:rPr>
        <w:t>参考文献：</w:t>
      </w:r>
    </w:p>
    <w:p>
      <w:pPr>
        <w:spacing w:before="0" w:after="0" w:line="288" w:lineRule="auto"/>
        <w:ind w:hanging="368" w:left="368"/>
        <w:jc w:val="left"/>
      </w:pPr>
      <w:r>
        <w:rPr>
          <w:rFonts w:ascii="Times New Roman" w:hAnsi="Times New Roman" w:cs="Times New Roman" w:eastAsia="宋体"/>
          <w:b w:val="0"/>
          <w:i w:val="0"/>
          <w:color w:val="000000"/>
          <w:sz w:val="18"/>
        </w:rPr>
        <w:t>[1] WEN X, FENG Q, LYU H, et al. TEEROLLUP: efficient Rollup design using heterogeneous TEE[EB/OL]. arXiv:2409.14647v3, 2025 [2026-10-17].</w:t>
      </w:r>
    </w:p>
    <w:p>
      <w:pPr>
        <w:spacing w:before="0" w:after="0" w:line="288" w:lineRule="auto"/>
        <w:ind w:hanging="368" w:left="368"/>
        <w:jc w:val="left"/>
      </w:pPr>
      <w:r>
        <w:rPr>
          <w:rFonts w:ascii="Times New Roman" w:hAnsi="Times New Roman" w:cs="Times New Roman" w:eastAsia="宋体"/>
          <w:b w:val="0"/>
          <w:i w:val="0"/>
          <w:color w:val="000000"/>
          <w:sz w:val="18"/>
        </w:rPr>
        <w:t>[2] CONWAY K D, SO C, YU X, WONG K. opML: optimistic machine learning on blockchain[EB/OL]. arXiv:2401.17555v2, 2024 [2026-10-17].</w:t>
      </w:r>
    </w:p>
    <w:p>
      <w:pPr>
        <w:spacing w:before="0" w:after="0" w:line="288" w:lineRule="auto"/>
        <w:ind w:hanging="368" w:left="368"/>
        <w:jc w:val="left"/>
      </w:pPr>
      <w:r>
        <w:rPr>
          <w:rFonts w:ascii="Times New Roman" w:hAnsi="Times New Roman" w:cs="Times New Roman" w:eastAsia="宋体"/>
          <w:b w:val="0"/>
          <w:i w:val="0"/>
          <w:color w:val="000000"/>
          <w:sz w:val="18"/>
        </w:rPr>
        <w:t>[3] PICCO G, FORTUGNO A. Dynamic fraud proof[EB/OL]. arXiv:2502.10321, 2025 [2026-06-15].</w:t>
      </w:r>
    </w:p>
    <w:p>
      <w:pPr>
        <w:spacing w:before="0" w:after="0" w:line="288" w:lineRule="auto"/>
        <w:ind w:hanging="368" w:left="368"/>
        <w:jc w:val="left"/>
      </w:pPr>
      <w:r>
        <w:rPr>
          <w:rFonts w:ascii="Times New Roman" w:hAnsi="Times New Roman" w:cs="Times New Roman" w:eastAsia="宋体"/>
          <w:b w:val="0"/>
          <w:i w:val="0"/>
          <w:color w:val="000000"/>
          <w:sz w:val="18"/>
        </w:rPr>
        <w:t>[4] OP LABS. Optimism documentation: fault proofs and dispute games[EB/OL]. 2024 [2026-10-17].</w:t>
      </w:r>
    </w:p>
    <w:p>
      <w:pPr>
        <w:spacing w:before="0" w:after="0" w:line="288" w:lineRule="auto"/>
        <w:ind w:hanging="368" w:left="368"/>
        <w:jc w:val="left"/>
      </w:pPr>
      <w:r>
        <w:rPr>
          <w:rFonts w:ascii="Times New Roman" w:hAnsi="Times New Roman" w:cs="Times New Roman" w:eastAsia="宋体"/>
          <w:b w:val="0"/>
          <w:i w:val="0"/>
          <w:color w:val="000000"/>
          <w:sz w:val="18"/>
        </w:rPr>
        <w:t>[5] AL-BASSAM M. LazyLedger: a distributed data availability ledger with client-side smart contracts[EB/OL]. arXiv:1905.09274, 2019 [2026-06-15].</w:t>
      </w:r>
    </w:p>
    <w:p>
      <w:pPr>
        <w:spacing w:before="0" w:after="0" w:line="288" w:lineRule="auto"/>
        <w:ind w:hanging="368" w:left="368"/>
        <w:jc w:val="left"/>
      </w:pPr>
      <w:r>
        <w:rPr>
          <w:rFonts w:ascii="Times New Roman" w:hAnsi="Times New Roman" w:cs="Times New Roman" w:eastAsia="宋体"/>
          <w:b w:val="0"/>
          <w:i w:val="0"/>
          <w:color w:val="000000"/>
          <w:sz w:val="18"/>
        </w:rPr>
        <w:t>[6] TAS E N, TSE D, YANG L, et al. Light clients for lazy blockchains[EB/OL]. arXiv:2203.15968, 2022 [2026-06-15].</w:t>
      </w:r>
    </w:p>
    <w:p>
      <w:pPr>
        <w:spacing w:before="0" w:after="0" w:line="288" w:lineRule="auto"/>
        <w:ind w:hanging="368" w:left="368"/>
        <w:jc w:val="left"/>
      </w:pPr>
      <w:r>
        <w:rPr>
          <w:rFonts w:ascii="Times New Roman" w:hAnsi="Times New Roman" w:cs="Times New Roman" w:eastAsia="宋体"/>
          <w:b w:val="0"/>
          <w:i w:val="0"/>
          <w:color w:val="000000"/>
          <w:sz w:val="18"/>
        </w:rPr>
        <w:t>[7] BUTERIN V. An incomplete guide to Rollups[EB/OL]. 2021 [2026-06-15].</w:t>
      </w:r>
    </w:p>
    <w:p>
      <w:pPr>
        <w:spacing w:before="0" w:after="0" w:line="288" w:lineRule="auto"/>
        <w:ind w:hanging="368" w:left="368"/>
        <w:jc w:val="left"/>
      </w:pPr>
      <w:r>
        <w:rPr>
          <w:rFonts w:ascii="Times New Roman" w:hAnsi="Times New Roman" w:cs="Times New Roman" w:eastAsia="宋体"/>
          <w:b w:val="0"/>
          <w:i w:val="0"/>
          <w:color w:val="000000"/>
          <w:sz w:val="18"/>
        </w:rPr>
        <w:t>[8] ETHEREUM FOUNDATION. Optimistic Rollups[EB/OL]. 2024 [2026-10-17].</w:t>
      </w:r>
    </w:p>
    <w:p>
      <w:pPr>
        <w:spacing w:before="0" w:after="0" w:line="288" w:lineRule="auto"/>
        <w:ind w:hanging="368" w:left="368"/>
        <w:jc w:val="left"/>
      </w:pPr>
      <w:r>
        <w:t>[9] ARBITRUM FOUNDATION. Arbitrum Nitro technical documentation[EB/OL]. 2024 [2026-10-17]. (commit 30e78f67)</w:t>
      </w:r>
    </w:p>
    <w:p>
      <w:pPr>
        <w:spacing w:before="0" w:after="0" w:line="288" w:lineRule="auto"/>
        <w:ind w:hanging="368" w:left="368"/>
        <w:jc w:val="left"/>
      </w:pPr>
      <w:r>
        <w:t>[10] ALVAREZ M, et al. BoLD: fast and cheap dispute resolution[EB/OL]. arXiv:2404.10491v1, 2024 [2026-10-17]. (commit 30e78f67)</w:t>
      </w:r>
    </w:p>
    <w:p>
      <w:pPr>
        <w:spacing w:before="0" w:after="0" w:line="288" w:lineRule="auto"/>
        <w:ind w:hanging="368" w:left="368"/>
        <w:jc w:val="left"/>
      </w:pPr>
      <w:r>
        <w:rPr>
          <w:rFonts w:ascii="Times New Roman" w:hAnsi="Times New Roman" w:cs="Times New Roman" w:eastAsia="宋体"/>
          <w:b w:val="0"/>
          <w:i w:val="0"/>
          <w:color w:val="000000"/>
          <w:sz w:val="18"/>
        </w:rPr>
        <w:t>[11] INTEL CORPORATION. Intel Software Guard Extensions developer guide[EB/OL]. 2024 [2026-10-17].</w:t>
      </w:r>
    </w:p>
    <w:p>
      <w:pPr>
        <w:spacing w:before="0" w:after="0" w:line="288" w:lineRule="auto"/>
        <w:ind w:hanging="368" w:left="368"/>
        <w:jc w:val="left"/>
      </w:pPr>
      <w:r>
        <w:rPr>
          <w:rFonts w:ascii="Times New Roman" w:hAnsi="Times New Roman" w:cs="Times New Roman" w:eastAsia="宋体"/>
          <w:b w:val="0"/>
          <w:i w:val="0"/>
          <w:color w:val="000000"/>
          <w:sz w:val="18"/>
        </w:rPr>
        <w:t>[12] ETHEREUM FOUNDATION. EIP-4844: shard blob transactions[EB/OL]. 2024 [2026-10-17].</w:t>
      </w:r>
    </w:p>
    <w:p>
      <w:pPr>
        <w:spacing w:before="0" w:after="0" w:line="288" w:lineRule="auto"/>
        <w:ind w:hanging="368" w:left="368"/>
        <w:jc w:val="left"/>
      </w:pPr>
      <w:r>
        <w:rPr>
          <w:rFonts w:ascii="Times New Roman" w:hAnsi="Times New Roman" w:cs="Times New Roman" w:eastAsia="宋体"/>
          <w:b w:val="0"/>
          <w:i w:val="0"/>
          <w:color w:val="000000"/>
          <w:sz w:val="18"/>
        </w:rPr>
        <w:t>[13] EIGENLABS. EigenDA documentation[EB/OL]. 2024 [2026-06-15].</w:t>
      </w:r>
    </w:p>
    <w:p>
      <w:pPr>
        <w:spacing w:before="0" w:after="0" w:line="288" w:lineRule="auto"/>
        <w:ind w:hanging="368" w:left="368"/>
        <w:jc w:val="left"/>
      </w:pPr>
      <w:r>
        <w:rPr>
          <w:rFonts w:ascii="Times New Roman" w:hAnsi="Times New Roman" w:cs="Times New Roman" w:eastAsia="宋体"/>
          <w:b w:val="0"/>
          <w:i w:val="0"/>
          <w:color w:val="000000"/>
          <w:sz w:val="18"/>
        </w:rPr>
        <w:t>[14] CELESTIA. Celestia: modular blockchain network[EB/OL]. 2024 [2026-06-15].</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系统</w:t>
            </w:r>
          </w:p>
        </w:tc>
        <w:tc>
          <w:tcPr>
            <w:tcW w:type="dxa" w:w="2064"/>
          </w:tcPr>
          <w:p>
            <w:r>
              <w:t>路径</w:t>
            </w:r>
          </w:p>
        </w:tc>
        <w:tc>
          <w:tcPr>
            <w:tcW w:type="dxa" w:w="2064"/>
          </w:tcPr>
          <w:p>
            <w:r>
              <w:t>正确终局</w:t>
            </w:r>
          </w:p>
        </w:tc>
        <w:tc>
          <w:tcPr>
            <w:tcW w:type="dxa" w:w="2064"/>
          </w:tcPr>
          <w:p>
            <w:r>
              <w:t>错误终局</w:t>
            </w:r>
          </w:p>
        </w:tc>
        <w:tc>
          <w:tcPr>
            <w:tcW w:type="dxa" w:w="2064"/>
          </w:tcPr>
          <w:p>
            <w:r>
              <w:t>resolve gas合计</w:t>
            </w:r>
          </w:p>
        </w:tc>
      </w:tr>
      <w:tr>
        <w:tc>
          <w:tcPr>
            <w:tcW w:type="dxa" w:w="2064"/>
          </w:tcPr>
          <w:p>
            <w:r>
              <w:t>本文</w:t>
            </w:r>
          </w:p>
        </w:tc>
        <w:tc>
          <w:tcPr>
            <w:tcW w:type="dxa" w:w="2064"/>
          </w:tcPr>
          <w:p>
            <w:r>
              <w:t>interactive</w:t>
            </w:r>
          </w:p>
        </w:tc>
        <w:tc>
          <w:tcPr>
            <w:tcW w:type="dxa" w:w="2064"/>
          </w:tcPr>
          <w:p>
            <w:r>
              <w:t>30/30</w:t>
            </w:r>
          </w:p>
        </w:tc>
        <w:tc>
          <w:tcPr>
            <w:tcW w:type="dxa" w:w="2064"/>
          </w:tcPr>
          <w:p>
            <w:r>
              <w:t>0</w:t>
            </w:r>
          </w:p>
        </w:tc>
        <w:tc>
          <w:tcPr>
            <w:tcW w:type="dxa" w:w="2064"/>
          </w:tcPr>
          <w:p>
            <w:r>
              <w:t>15,148,776</w:t>
            </w:r>
          </w:p>
        </w:tc>
      </w:tr>
      <w:tr>
        <w:tc>
          <w:tcPr>
            <w:tcW w:type="dxa" w:w="2064"/>
          </w:tcPr>
          <w:p>
            <w:r>
              <w:t>本文</w:t>
            </w:r>
          </w:p>
        </w:tc>
        <w:tc>
          <w:tcPr>
            <w:tcW w:type="dxa" w:w="2064"/>
          </w:tcPr>
          <w:p>
            <w:r>
              <w:t>fault-no-recovery</w:t>
            </w:r>
          </w:p>
        </w:tc>
        <w:tc>
          <w:tcPr>
            <w:tcW w:type="dxa" w:w="2064"/>
          </w:tcPr>
          <w:p>
            <w:r>
              <w:t>30/30</w:t>
            </w:r>
          </w:p>
        </w:tc>
        <w:tc>
          <w:tcPr>
            <w:tcW w:type="dxa" w:w="2064"/>
          </w:tcPr>
          <w:p>
            <w:r>
              <w:t>0</w:t>
            </w:r>
          </w:p>
        </w:tc>
        <w:tc>
          <w:tcPr>
            <w:tcW w:type="dxa" w:w="2064"/>
          </w:tcPr>
          <w:p>
            <w:r>
              <w:t>8,076,444</w:t>
            </w:r>
          </w:p>
        </w:tc>
      </w:tr>
      <w:tr>
        <w:tc>
          <w:tcPr>
            <w:tcW w:type="dxa" w:w="2064"/>
          </w:tcPr>
          <w:p>
            <w:r>
              <w:t>本文</w:t>
            </w:r>
          </w:p>
        </w:tc>
        <w:tc>
          <w:tcPr>
            <w:tcW w:type="dxa" w:w="2064"/>
          </w:tcPr>
          <w:p>
            <w:r>
              <w:t>fault-with-recovery</w:t>
            </w:r>
          </w:p>
        </w:tc>
        <w:tc>
          <w:tcPr>
            <w:tcW w:type="dxa" w:w="2064"/>
          </w:tcPr>
          <w:p>
            <w:r>
              <w:t>30/30</w:t>
            </w:r>
          </w:p>
        </w:tc>
        <w:tc>
          <w:tcPr>
            <w:tcW w:type="dxa" w:w="2064"/>
          </w:tcPr>
          <w:p>
            <w:r>
              <w:t>0</w:t>
            </w:r>
          </w:p>
        </w:tc>
        <w:tc>
          <w:tcPr>
            <w:tcW w:type="dxa" w:w="2064"/>
          </w:tcPr>
          <w:p>
            <w:r>
              <w:t>16,121,160</w:t>
            </w:r>
          </w:p>
        </w:tc>
      </w:tr>
      <w:tr>
        <w:tc>
          <w:tcPr>
            <w:tcW w:type="dxa" w:w="2064"/>
          </w:tcPr>
          <w:p>
            <w:r>
              <w:t>本文</w:t>
            </w:r>
          </w:p>
        </w:tc>
        <w:tc>
          <w:tcPr>
            <w:tcW w:type="dxa" w:w="2064"/>
          </w:tcPr>
          <w:p>
            <w:r>
              <w:t>direct-no-response</w:t>
            </w:r>
          </w:p>
        </w:tc>
        <w:tc>
          <w:tcPr>
            <w:tcW w:type="dxa" w:w="2064"/>
          </w:tcPr>
          <w:p>
            <w:r>
              <w:t>30/30</w:t>
            </w:r>
          </w:p>
        </w:tc>
        <w:tc>
          <w:tcPr>
            <w:tcW w:type="dxa" w:w="2064"/>
          </w:tcPr>
          <w:p>
            <w:r>
              <w:t>0</w:t>
            </w:r>
          </w:p>
        </w:tc>
        <w:tc>
          <w:tcPr>
            <w:tcW w:type="dxa" w:w="2064"/>
          </w:tcPr>
          <w:p>
            <w:r>
              <w:t>3,884,634</w:t>
            </w:r>
          </w:p>
        </w:tc>
      </w:tr>
      <w:tr>
        <w:tc>
          <w:tcPr>
            <w:tcW w:type="dxa" w:w="2064"/>
          </w:tcPr>
          <w:p>
            <w:r>
              <w:t>机制基线</w:t>
            </w:r>
          </w:p>
        </w:tc>
        <w:tc>
          <w:tcPr>
            <w:tcW w:type="dxa" w:w="2064"/>
          </w:tcPr>
          <w:p>
            <w:r>
              <w:t>interactive</w:t>
            </w:r>
          </w:p>
        </w:tc>
        <w:tc>
          <w:tcPr>
            <w:tcW w:type="dxa" w:w="2064"/>
          </w:tcPr>
          <w:p>
            <w:r>
              <w:t>30/30</w:t>
            </w:r>
          </w:p>
        </w:tc>
        <w:tc>
          <w:tcPr>
            <w:tcW w:type="dxa" w:w="2064"/>
          </w:tcPr>
          <w:p>
            <w:r>
              <w:t>0</w:t>
            </w:r>
          </w:p>
        </w:tc>
        <w:tc>
          <w:tcPr>
            <w:tcW w:type="dxa" w:w="2064"/>
          </w:tcPr>
          <w:p>
            <w:r>
              <w:t>11,517,024</w:t>
            </w:r>
          </w:p>
        </w:tc>
      </w:tr>
      <w:tr>
        <w:tc>
          <w:tcPr>
            <w:tcW w:type="dxa" w:w="2064"/>
          </w:tcPr>
          <w:p>
            <w:r>
              <w:t>机制基线</w:t>
            </w:r>
          </w:p>
        </w:tc>
        <w:tc>
          <w:tcPr>
            <w:tcW w:type="dxa" w:w="2064"/>
          </w:tcPr>
          <w:p>
            <w:r>
              <w:t>fault-no-recovery</w:t>
            </w:r>
          </w:p>
        </w:tc>
        <w:tc>
          <w:tcPr>
            <w:tcW w:type="dxa" w:w="2064"/>
          </w:tcPr>
          <w:p>
            <w:r>
              <w:t>0/30</w:t>
            </w:r>
          </w:p>
        </w:tc>
        <w:tc>
          <w:tcPr>
            <w:tcW w:type="dxa" w:w="2064"/>
          </w:tcPr>
          <w:p>
            <w:r>
              <w:t>30</w:t>
            </w:r>
          </w:p>
        </w:tc>
        <w:tc>
          <w:tcPr>
            <w:tcW w:type="dxa" w:w="2064"/>
          </w:tcPr>
          <w:p>
            <w:r>
              <w:t>4,893,744</w:t>
            </w:r>
          </w:p>
        </w:tc>
      </w:tr>
      <w:tr>
        <w:tc>
          <w:tcPr>
            <w:tcW w:type="dxa" w:w="2064"/>
          </w:tcPr>
          <w:p>
            <w:r>
              <w:t>机制基线</w:t>
            </w:r>
          </w:p>
        </w:tc>
        <w:tc>
          <w:tcPr>
            <w:tcW w:type="dxa" w:w="2064"/>
          </w:tcPr>
          <w:p>
            <w:r>
              <w:t>direct-no-response</w:t>
            </w:r>
          </w:p>
        </w:tc>
        <w:tc>
          <w:tcPr>
            <w:tcW w:type="dxa" w:w="2064"/>
          </w:tcPr>
          <w:p>
            <w:r>
              <w:t>0/30</w:t>
            </w:r>
          </w:p>
        </w:tc>
        <w:tc>
          <w:tcPr>
            <w:tcW w:type="dxa" w:w="2064"/>
          </w:tcPr>
          <w:p>
            <w:r>
              <w:t>30</w:t>
            </w:r>
          </w:p>
        </w:tc>
        <w:tc>
          <w:tcPr>
            <w:tcW w:type="dxa" w:w="2064"/>
          </w:tcPr>
          <w:p>
            <w:r>
              <w:t>1,602,852</w:t>
            </w:r>
          </w:p>
        </w:tc>
      </w:tr>
    </w:tbl>
    <w:p>
      <w:r>
        <w:br w:type="page"/>
      </w:r>
    </w:p>
    <w:p/>
    <w:p/>
    <w:p>
      <w:pPr>
        <w:pStyle w:val="2"/>
      </w:pPr>
      <w:r>
        <w:t>3.2 威胁模型与信任假设</w:t>
      </w:r>
    </w:p>
    <w:p>
      <w:r>
        <w:t>本方案假设至少存在一个有数据、有资金且可及时上链的诚实观察者。表X列出各参与方的可信假设、攻击能力边界、防护机制与残余风险。</w:t>
      </w:r>
    </w:p>
    <w:p>
      <w:pPr>
        <w:pStyle w:val="3"/>
      </w:pPr>
      <w:r>
        <w:t>表X 威胁模型（应为表2）</w:t>
      </w:r>
    </w:p>
    <w:p/>
    <w:p/>
    <w:p/>
    <w:p>
      <w:pPr>
        <w:pStyle w:val="3"/>
      </w:pPr>
      <w:r>
        <w:t>4.1.1 操作权限约束</w:t>
      </w:r>
    </w:p>
    <w:p>
      <w:r>
        <w:t>表X列出协议中各操作的权限约束、相位限制与期限限制。recover/advance/replay/settle/adjudicate无调用者限制但受相位与期限约束；openChallenge限非提交方；respond仅提交方可调用。</w:t>
      </w:r>
    </w:p>
    <w:p>
      <w:pPr>
        <w:pStyle w:val="3"/>
      </w:pPr>
      <w:r>
        <w:t>表X 操作权限矩阵（应为表3）</w:t>
      </w:r>
    </w:p>
    <w:p/>
    <w:p/>
    <w:p/>
    <w:p>
      <w:pPr>
        <w:pStyle w:val="3"/>
      </w:pPr>
      <w:r>
        <w:t>5.2.1 故障类型检测与罚没</w:t>
      </w:r>
    </w:p>
    <w:p>
      <w:r>
        <w:t>表X列出各类故障的检测率、挑战成功率、罚没比例及依赖机制。本轮通过DA披露罚没机制（bindDa/fulfillDa/slashDa）将DA类故障从0%罚没提升至100%（C12测试passing，罚没1 ether，slashDa gas=66,136）。</w:t>
      </w:r>
    </w:p>
    <w:p>
      <w:pPr>
        <w:pStyle w:val="3"/>
      </w:pPr>
      <w:r>
        <w:t>表X 故障类型矩阵（应为表4或表5）</w:t>
      </w:r>
    </w:p>
    <w:p/>
    <w:p/>
    <w:p/>
    <w:p>
      <w:pPr>
        <w:pStyle w:val="2"/>
      </w:pPr>
      <w:r>
        <w:t>5.4 真实SGX DCAP验证</w:t>
      </w:r>
    </w:p>
    <w:p>
      <w:r>
        <w:t>本方案在阿里云ecs.g7t.large实例（Intel Xeon Platinum 8369B，北京可用区）上获取真实SGX DCAP Quote。软件栈：sgxsdk-2.19.100.3, libsgx-dcap-ql-1.16.100.2。Quote验证结果：两条路径（Intel QvE + Azure Attestation）均返回0xA003 (SGX_QL_QV_RESULT_OUT_OF_DATE_CONFIG_NEEDED)。TCB状态"过期需配置"非UpToDate，关联6个Intel security advisory：INTEL-SA-00657/00767/01079/01103/01153/00615。密码学验证通过，但策略判定为非终态。表X列出4条Quote的验证摘要。</w:t>
      </w:r>
    </w:p>
    <w:p>
      <w:pPr>
        <w:pStyle w:val="3"/>
      </w:pPr>
      <w:r>
        <w:t>表X 真实SGX Quote验证摘要（应为表4或表5）</w:t>
      </w:r>
    </w:p>
    <w:p/>
    <w:p>
      <w:r>
        <w:t>Enclave性能：有界哈希链4步0.057ms（Enclave内），128步0.497ms（Enclave内）。同代码宿主环境128步0.305ms，Enclave开销约63%。Enclave输出与本地ethers.solidityKeccak256逐字节一致，证明确定性计算。本地EVM联调：真实SGX计算+本地Hardhat裁决。4步任务respond gas=94,836, adjudicate gas=94,812（verdict=0），SETTLED。128步任务respond gas=166,840, adjudicate gas=164,567（verdict=0），SETTLED。</w:t>
      </w:r>
    </w:p>
    <w:p/>
    <w:p>
      <w:r>
        <w:t>验证边界：当前Quote验证在链下完成（两条路径：Intel QvE + Azure API），链上DCAP验证blocked（需合约集成Intel DCAP验证库或可信验证服务）。本方案依赖链下可信验证服务确认Quote有效性。TCB状态0xA003非UpToDate，需平台升级或collateral更新方可通过严格策略。</w:t>
      </w:r>
    </w:p>
    <w:p/>
    <w:p/>
    <w:p/>
    <w:p>
      <w:r>
        <w:t>口径限制（必须完整标注）：本实验采用本地Hardhat环境进行性能测试，存在以下七条口径限制：(1) Hardhat in-process automining，无真实共识最终性；(2) 每块链钟+1秒（block.timestamp += 1s per block）；(3) Closed-loop到达模式，每批等待前批完成，非open-loop压力测试；(4) 仅3个独立run，不报告p95/p99分位数，无bootstrap置信区间；(5) 费用为local-gas-only，仅计算链上EVM gas，不含DA存储成本与TEE计算成本；(6) Payload维度（1 KiB vs 32 KiB）为名义参数，因dataHash固定32字节，不构成"扩展到大块数据仍保持吞吐"的证据；(7) 并发测试（c=1/4/16）无单调增益，受Hardhat串行出块限制。因此，本文性能数字不可直接与生产环境吞吐量或第三方系统主网账单进行跨协议百分比比较。</w:t>
      </w:r>
    </w:p>
    <w:p/>
    <w:p/>
    <w:p/>
    <w:p>
      <w:pPr>
        <w:pStyle w:val="2"/>
      </w:pPr>
      <w:r>
        <w:t>5.6 同模型机制对照</w:t>
      </w:r>
    </w:p>
    <w:p>
      <w:r>
        <w:t>为量化恢复机制的真实收益与代价，本文设计G-L1同模型对照实验：在相同有界重算模型下，对比"有兜底adjudicate的本方案"vs"无兜底adjudicate的机制基线"在提交方离线场景的表现。实验配置：3 run × 10 batch/run = 210条记录（非预热），本地Hardhat。表X列出G-L1机制对照结果。</w:t>
      </w:r>
    </w:p>
    <w:p>
      <w:pPr>
        <w:pStyle w:val="3"/>
      </w:pPr>
      <w:r>
        <w:t>表X G-L1机制对照实验结果（应为表6）</w:t>
      </w:r>
    </w:p>
    <w:p/>
    <w:p>
      <w:r>
        <w:t>关键发现：(1) 在无兜底adjudicate的机制基线中，提交方离线时正确终局率从30/30跌至0/30；(2) 在有兜底adjudicate的本文实现中，所有路径均30/30正确终局；(3) 恢复机制的价值：提供不依赖兜底重算的交互续推路径；(4) 恢复机制的代价：gas增加47%（fault-with-recovery 16.1M vs fault-no-recovery 8.1M），且延迟未减少（12.6ms vs 7.3ms）。重要标注：机制基线为本项目自建，非Arbitrum/Optimism/TeeRollup官方实现。</w:t>
      </w:r>
    </w:p>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