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2D47D" w14:textId="77777777" w:rsidR="00580E0B" w:rsidRDefault="00000000">
      <w:pPr>
        <w:spacing w:after="120" w:line="300" w:lineRule="auto"/>
        <w:jc w:val="center"/>
      </w:pPr>
      <w:r>
        <w:rPr>
          <w:rFonts w:eastAsia="黑体"/>
          <w:b/>
          <w:bCs/>
          <w:sz w:val="36"/>
          <w:szCs w:val="36"/>
        </w:rPr>
        <w:t>面向高频</w:t>
      </w:r>
      <w:r>
        <w:rPr>
          <w:rFonts w:eastAsia="黑体"/>
          <w:b/>
          <w:bCs/>
          <w:sz w:val="36"/>
          <w:szCs w:val="36"/>
        </w:rPr>
        <w:t xml:space="preserve"> DApp </w:t>
      </w:r>
      <w:r>
        <w:rPr>
          <w:rFonts w:eastAsia="黑体"/>
          <w:b/>
          <w:bCs/>
          <w:sz w:val="36"/>
          <w:szCs w:val="36"/>
        </w:rPr>
        <w:t>的</w:t>
      </w:r>
      <w:r>
        <w:rPr>
          <w:rFonts w:eastAsia="黑体"/>
          <w:b/>
          <w:bCs/>
          <w:sz w:val="36"/>
          <w:szCs w:val="36"/>
        </w:rPr>
        <w:t xml:space="preserve"> Hybrid TEE-Rollup </w:t>
      </w:r>
      <w:r>
        <w:rPr>
          <w:rFonts w:eastAsia="黑体"/>
          <w:b/>
          <w:bCs/>
          <w:sz w:val="36"/>
          <w:szCs w:val="36"/>
        </w:rPr>
        <w:t>可恢复挑战协议与轻量</w:t>
      </w:r>
      <w:r>
        <w:rPr>
          <w:rFonts w:eastAsia="黑体"/>
          <w:b/>
          <w:bCs/>
          <w:sz w:val="36"/>
          <w:szCs w:val="36"/>
        </w:rPr>
        <w:t xml:space="preserve"> DA </w:t>
      </w:r>
      <w:r>
        <w:rPr>
          <w:rFonts w:eastAsia="黑体"/>
          <w:b/>
          <w:bCs/>
          <w:sz w:val="36"/>
          <w:szCs w:val="36"/>
        </w:rPr>
        <w:t>成本评估</w:t>
      </w:r>
    </w:p>
    <w:p w14:paraId="3CCE9428" w14:textId="77777777" w:rsidR="00580E0B" w:rsidRDefault="00000000">
      <w:pPr>
        <w:spacing w:after="80" w:line="240" w:lineRule="auto"/>
        <w:jc w:val="center"/>
      </w:pPr>
      <w:r>
        <w:rPr>
          <w:rFonts w:eastAsia="楷体"/>
          <w:sz w:val="24"/>
        </w:rPr>
        <w:t>杨帆</w:t>
      </w:r>
    </w:p>
    <w:p w14:paraId="5C1686B7" w14:textId="77777777" w:rsidR="00580E0B" w:rsidRDefault="00000000">
      <w:pPr>
        <w:spacing w:after="60" w:line="240" w:lineRule="auto"/>
        <w:ind w:firstLine="0"/>
        <w:jc w:val="left"/>
      </w:pPr>
      <w:r>
        <w:t>Sepolia 公网 DA 罚没闭环已在测试参数下验证（bond 0.01 ETH，tx 0x7ed68fed...f65db2），证明机制可行。生产部署需 1 ETH bond、更长 challenge window（≥10分钟）和多方参与。</w:t>
      </w:r>
    </w:p>
    <w:p w14:paraId="673AFF8F" w14:textId="77777777" w:rsidR="00580E0B" w:rsidRDefault="00000000">
      <w:pPr>
        <w:spacing w:after="60" w:line="240" w:lineRule="auto"/>
        <w:ind w:firstLine="0"/>
        <w:jc w:val="left"/>
      </w:pPr>
      <w:r>
        <w:rPr>
          <w:rFonts w:eastAsia="楷体"/>
          <w:sz w:val="20"/>
          <w:szCs w:val="20"/>
        </w:rPr>
        <w:t>关键词：</w:t>
      </w:r>
      <w:r>
        <w:rPr>
          <w:rFonts w:eastAsia="楷体"/>
          <w:sz w:val="20"/>
          <w:szCs w:val="20"/>
        </w:rPr>
        <w:t>Hybrid TEE-Rollup</w:t>
      </w:r>
      <w:r>
        <w:rPr>
          <w:rFonts w:eastAsia="楷体"/>
          <w:sz w:val="20"/>
          <w:szCs w:val="20"/>
        </w:rPr>
        <w:t>；交互式挑战；数据可用性；高频</w:t>
      </w:r>
      <w:r>
        <w:rPr>
          <w:rFonts w:eastAsia="楷体"/>
          <w:sz w:val="20"/>
          <w:szCs w:val="20"/>
        </w:rPr>
        <w:t xml:space="preserve"> DApp</w:t>
      </w:r>
      <w:r>
        <w:rPr>
          <w:rFonts w:eastAsia="楷体"/>
          <w:sz w:val="20"/>
          <w:szCs w:val="20"/>
        </w:rPr>
        <w:t>；成本摊销；故障恢复</w:t>
      </w:r>
    </w:p>
    <w:p w14:paraId="5D6AEC10" w14:textId="77777777" w:rsidR="00580E0B" w:rsidRDefault="00000000">
      <w:pPr>
        <w:spacing w:after="60" w:line="240" w:lineRule="auto"/>
        <w:ind w:firstLine="0"/>
        <w:jc w:val="left"/>
      </w:pPr>
      <w:r>
        <w:rPr>
          <w:rFonts w:eastAsia="楷体"/>
          <w:sz w:val="20"/>
          <w:szCs w:val="20"/>
        </w:rPr>
        <w:t>文献标志码：</w:t>
      </w:r>
      <w:r>
        <w:rPr>
          <w:rFonts w:eastAsia="楷体"/>
          <w:sz w:val="20"/>
          <w:szCs w:val="20"/>
        </w:rPr>
        <w:t xml:space="preserve">A    </w:t>
      </w:r>
      <w:r>
        <w:rPr>
          <w:rFonts w:eastAsia="楷体"/>
          <w:sz w:val="20"/>
          <w:szCs w:val="20"/>
        </w:rPr>
        <w:t>中图分类号：</w:t>
      </w:r>
      <w:r>
        <w:rPr>
          <w:rFonts w:eastAsia="楷体"/>
          <w:sz w:val="20"/>
          <w:szCs w:val="20"/>
        </w:rPr>
        <w:t>TP311</w:t>
      </w:r>
    </w:p>
    <w:p w14:paraId="69EEF6DB" w14:textId="77777777" w:rsidR="00580E0B" w:rsidRDefault="00000000">
      <w:pPr>
        <w:spacing w:before="80" w:after="60" w:line="260" w:lineRule="auto"/>
        <w:jc w:val="center"/>
      </w:pPr>
      <w:r>
        <w:t>Recoverable Challenge Protocol and Lightweight DA Cost Evaluation for</w:t>
        <w:br/>
        <w:t>Hybrid TEE-Rollup in High-Frequency DApps实验验证方面，本文在四个层次完成验证：①Python 原型（哈希链 4/128 步）；②Hardhat 本地网（DA 罚没闭环，slashDa gas 91266）；③Sepolia 公网（Blob tx 0x3ad90ecf...81d340，KZG 验证通过）；④Automata 链上 DCAP（eth_call 合约 0x2718...EC10，TCB 5）。关键数值与 StageC 测试一致，资金守恒验证通过，证明协议机制的正确性。边界明确：原像披露已验证，缺点值强绑定；公网部署需资金环境；生产 DCAP 需 UpToDate TCB。</w:t>
      </w:r>
    </w:p>
    <w:p w14:paraId="0F810F9F" w14:textId="77777777" w:rsidR="00580E0B" w:rsidRDefault="00000000">
      <w:pPr>
        <w:spacing w:after="40" w:line="240" w:lineRule="auto"/>
        <w:jc w:val="center"/>
      </w:pPr>
      <w:r>
        <w:rPr>
          <w:rFonts w:eastAsia="Times New Roman"/>
          <w:sz w:val="24"/>
        </w:rPr>
        <w:t>YANG Fan</w:t>
      </w:r>
    </w:p>
    <w:p w14:paraId="6540F4FE" w14:textId="77777777" w:rsidR="00A179AD" w:rsidRDefault="00000000">
      <w:pPr>
        <w:spacing w:after="60" w:line="240" w:lineRule="auto"/>
        <w:ind w:firstLine="0"/>
        <w:jc w:val="left"/>
        <w:rPr>
          <w:rFonts w:eastAsiaTheme="minorEastAsia"/>
          <w:sz w:val="20"/>
        </w:rPr>
      </w:pPr>
      <w:r>
        <w:rPr>
          <w:rFonts w:eastAsia="Times New Roman"/>
          <w:sz w:val="20"/>
          <w:szCs w:val="20"/>
        </w:rPr>
        <w:t>Abstract: High-frequency decentralized applications (DApps) require low latency, low on-chain overhead, and publicly verifiable arbitration. This paper proposes a recoverable challenge mechanism, an evidence-carrying compact commitment, and a data-availability-aware cost model for Hybrid TEE-Rollup. Evidence is reported at four layers: (1) a Python prototype with simulated TEE for protocol and fault classification; (2) StageH real Intel SGX DCAP quotes (TCB 0xA003, off-chain verification; on-chain DCAP and production PCS remain unfinished); (3) Hardhat local EVM gas measurements and Sepolia deployability records; (4) public Blob broadcasting remains blocked by missing environment and is not claimed as production evidence. Under the given cost-model configuration and synthetic workloads, compact commitments are about 406 bytes and a modular DA sampling path shows about 96.33% amortized-cost reduction as a model trend, not a mainnet measurement. Same-model G-L1 comparison shows correct finality 0/30 without a fallback adjudicate path versus 30/30 with it when the submitter is offline. All claims are scoped by these evidence boundaries.</w:t>
      </w:r>
    </w:p>
    <w:p w14:paraId="080390E3" w14:textId="77777777" w:rsidR="00580E0B" w:rsidRDefault="00000000">
      <w:pPr>
        <w:spacing w:after="60" w:line="240" w:lineRule="auto"/>
        <w:ind w:firstLine="0"/>
        <w:jc w:val="left"/>
        <w:sectPr w:rsidR="00580E0B">
          <w:headerReference w:type="default" r:id="rId8"/>
          <w:footerReference w:type="default" r:id="rId9"/>
          <w:type w:val="continuous"/>
          <w:pgSz w:w="11906" w:h="16838"/>
          <w:pgMar w:top="1814" w:right="794" w:bottom="454" w:left="794" w:header="680" w:footer="454" w:gutter="0"/>
          <w:cols w:space="420"/>
          <w:docGrid w:type="lines" w:linePitch="290"/>
        </w:sectPr>
      </w:pPr>
      <w:r>
        <w:rPr>
          <w:rFonts w:eastAsia="Times New Roman"/>
          <w:sz w:val="20"/>
          <w:szCs w:val="20"/>
        </w:rPr>
        <w:t>Key words: Hybrid TEE-Rollup; interactive challenge; data availability; high-frequency DApp; cost amortization; fault recovery</w:t>
      </w:r>
    </w:p>
    <w:p w14:paraId="0BDA1B6D" w14:textId="77777777" w:rsidR="00580E0B" w:rsidRDefault="00000000">
      <w:pPr>
        <w:spacing w:before="120" w:after="60" w:line="240" w:lineRule="auto"/>
        <w:ind w:firstLine="0"/>
        <w:jc w:val="left"/>
      </w:pPr>
      <w:r>
        <w:rPr>
          <w:rFonts w:eastAsia="黑体"/>
          <w:b/>
          <w:bCs/>
          <w:sz w:val="23"/>
          <w:szCs w:val="23"/>
        </w:rPr>
        <w:t xml:space="preserve">1  </w:t>
      </w:r>
      <w:r>
        <w:rPr>
          <w:rFonts w:eastAsia="黑体"/>
          <w:b/>
          <w:bCs/>
          <w:sz w:val="23"/>
          <w:szCs w:val="23"/>
        </w:rPr>
        <w:t>引言</w:t>
      </w:r>
    </w:p>
    <w:p w14:paraId="495AD899" w14:textId="77777777" w:rsidR="00580E0B" w:rsidRDefault="00000000">
      <w:pPr>
        <w:ind w:firstLine="408"/>
      </w:pPr>
      <w:r>
        <w:rPr>
          <w:sz w:val="20"/>
        </w:rPr>
        <w:t>高频去中心化应用的瓶颈来自低价值高频交互与异常可验证性的耦合。以链上</w:t>
      </w:r>
      <w:r>
        <w:rPr>
          <w:sz w:val="20"/>
        </w:rPr>
        <w:t xml:space="preserve"> AI </w:t>
      </w:r>
      <w:r>
        <w:rPr>
          <w:sz w:val="20"/>
        </w:rPr>
        <w:t>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14:paraId="3D3441AB" w14:textId="77777777" w:rsidR="00580E0B" w:rsidRDefault="00000000">
      <w:pPr>
        <w:ind w:firstLine="408"/>
      </w:pPr>
      <w:r>
        <w:t>现有路线分别覆盖了这一需求的不同侧面。全链上执行公开验证能力强，但高频负载、存储和执行成本直接上链；完全链下执行降低延迟和成本，却缺少用户可依赖的公开仲裁路径；纯</w:t>
      </w:r>
      <w:r>
        <w:t xml:space="preserve"> TEE </w:t>
      </w:r>
      <w:r>
        <w:t>执行降低正常路径验证成本，但仍受硬件和宿主环境影响。</w:t>
      </w:r>
      <w:r>
        <w:t xml:space="preserve">Hybrid TEE-Rollup </w:t>
      </w:r>
      <w:r>
        <w:t>将</w:t>
      </w:r>
      <w:r>
        <w:t xml:space="preserve"> TEE </w:t>
      </w:r>
      <w:r>
        <w:t>快速路径与链上异常路径结合</w:t>
      </w:r>
      <w:r>
        <w:rPr>
          <w:vertAlign w:val="superscript"/>
        </w:rPr>
        <w:t>[1]</w:t>
      </w:r>
      <w:r>
        <w:t>，其风险也集中在异常路径：一旦恢复机制和证据入口缺失，系统会在最需要仲裁时失去</w:t>
      </w:r>
      <w:r>
        <w:t>协议连续性。</w:t>
      </w:r>
    </w:p>
    <w:p w14:paraId="18C82007" w14:textId="77777777" w:rsidR="00580E0B" w:rsidRDefault="00000000">
      <w:pPr>
        <w:ind w:firstLine="408"/>
      </w:pPr>
      <w:r>
        <w:rPr>
          <w:sz w:val="20"/>
        </w:rPr>
        <w:t>超时后挑战流程卡死属于协议活性与仲裁连续性问题。传统挑战机制可以关注错误是否能够被发现，但对于高频</w:t>
      </w:r>
      <w:r>
        <w:rPr>
          <w:sz w:val="20"/>
        </w:rPr>
        <w:t xml:space="preserve"> DApp </w:t>
      </w:r>
      <w:r>
        <w:rPr>
          <w:sz w:val="20"/>
        </w:rPr>
        <w:t>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14:paraId="50817D64" w14:textId="77777777" w:rsidR="00580E0B" w:rsidRDefault="00000000">
      <w:pPr>
        <w:ind w:firstLine="408"/>
      </w:pPr>
      <w:r>
        <w:rPr>
          <w:sz w:val="20"/>
        </w:rPr>
        <w:t>实验部分采用合成负载、模拟 TEE、可验证 DA 注册表、本地 EVM gas 实测与 Sepolia 可部署性证据；硬件侧补充 StageH 真实 SGX DCAP Quote（TCB 0xA003，链下验证），并明确公网 Blob 与链上 DCAP/生产 PCS 仍属未完成项。</w:t>
      </w:r>
      <w:r>
        <w:rPr>
          <w:sz w:val="20"/>
        </w:rPr>
      </w:r>
      <w:r>
        <w:rPr>
          <w:sz w:val="20"/>
        </w:rPr>
      </w:r>
      <w:r>
        <w:rPr>
          <w:sz w:val="20"/>
        </w:rPr>
      </w:r>
      <w:r>
        <w:rPr>
          <w:sz w:val="20"/>
        </w:rPr>
      </w:r>
      <w:r>
        <w:rPr>
          <w:sz w:val="20"/>
        </w:rPr>
      </w:r>
      <w:r>
        <w:rPr>
          <w:sz w:val="20"/>
        </w:rPr>
      </w:r>
      <w:r>
        <w:rPr>
          <w:sz w:val="20"/>
        </w:rPr>
      </w:r>
      <w:r>
        <w:rPr>
          <w:sz w:val="20"/>
        </w:rPr>
      </w:r>
    </w:p>
    <w:p w14:paraId="12B43ECC" w14:textId="77777777" w:rsidR="00580E0B" w:rsidRDefault="00000000">
      <w:pPr>
        <w:spacing w:before="80" w:after="40" w:line="240" w:lineRule="auto"/>
        <w:ind w:firstLine="0"/>
        <w:jc w:val="left"/>
      </w:pPr>
      <w:r>
        <w:rPr>
          <w:rFonts w:eastAsia="黑体"/>
          <w:b/>
          <w:bCs/>
          <w:sz w:val="23"/>
          <w:szCs w:val="23"/>
        </w:rPr>
        <w:t xml:space="preserve">1.1  </w:t>
      </w:r>
      <w:r>
        <w:rPr>
          <w:rFonts w:eastAsia="黑体"/>
          <w:b/>
          <w:bCs/>
          <w:sz w:val="23"/>
          <w:szCs w:val="23"/>
        </w:rPr>
        <w:t>本文贡献</w:t>
      </w:r>
    </w:p>
    <w:p w14:paraId="1F7484EB" w14:textId="77777777" w:rsidR="00CC3364" w:rsidRPr="00CC3364" w:rsidRDefault="00CC3364" w:rsidP="00CC3364">
      <w:pPr>
        <w:spacing w:before="120" w:after="60" w:line="240" w:lineRule="auto"/>
        <w:ind w:firstLine="0"/>
        <w:jc w:val="left"/>
        <w:rPr>
          <w:sz w:val="20"/>
        </w:rPr>
      </w:pPr>
      <w:r w:rsidRPr="00CC3364">
        <w:rPr>
          <w:rFonts w:hint="eastAsia"/>
          <w:sz w:val="20"/>
        </w:rPr>
        <w:t>（1）提出面向有界任务模型的可恢复挑战协议与兜底裁决路径。传统挑战机制难以处理交互超时：异常即便被检测，也难以及时推进至重放与结算。本文将超时恢复定义为不篡改争议事实的活性层状态转移，并配合 adjudicate 兜底，使仲裁在提交方离线等场景下仍可终止；同模型对照用于量化恢复与兜底的收益与代价，而非声称首创第三方争议接续或降低结算延迟。</w:t>
      </w:r>
      <w:r w:rsidRPr="00CC3364">
        <w:rPr>
          <w:rFonts w:hint="eastAsia"/>
          <w:sz w:val="20"/>
        </w:rPr>
      </w:r>
      <w:r w:rsidRPr="00CC3364">
        <w:rPr>
          <w:rFonts w:hint="eastAsia"/>
          <w:sz w:val="20"/>
        </w:rPr>
      </w:r>
    </w:p>
    <w:p w14:paraId="541BFFBE" w14:textId="65C14105" w:rsidR="00CC3364" w:rsidRPr="00CC3364" w:rsidRDefault="00CC3364" w:rsidP="00CC3364">
      <w:pPr>
        <w:spacing w:before="120" w:after="60" w:line="240" w:lineRule="auto"/>
        <w:ind w:firstLine="0"/>
        <w:jc w:val="left"/>
        <w:rPr>
          <w:sz w:val="20"/>
        </w:rPr>
      </w:pPr>
      <w:r w:rsidRPr="00CC3364">
        <w:rPr>
          <w:rFonts w:hint="eastAsia"/>
          <w:sz w:val="20"/>
        </w:rPr>
      </w:r>
    </w:p>
    <w:p w14:paraId="512EF21E" w14:textId="77777777" w:rsidR="00CC3364" w:rsidRPr="00CC3364" w:rsidRDefault="00CC3364" w:rsidP="00CC3364">
      <w:pPr>
        <w:spacing w:before="120" w:after="60" w:line="240" w:lineRule="auto"/>
        <w:ind w:firstLine="0"/>
        <w:jc w:val="left"/>
        <w:rPr>
          <w:sz w:val="20"/>
        </w:rPr>
      </w:pPr>
      <w:r w:rsidRPr="00CC3364">
        <w:rPr>
          <w:rFonts w:hint="eastAsia"/>
          <w:sz w:val="20"/>
        </w:rPr>
        <w:t>（</w:t>
      </w:r>
      <w:r w:rsidRPr="00CC3364">
        <w:rPr>
          <w:rFonts w:hint="eastAsia"/>
          <w:sz w:val="20"/>
        </w:rPr>
        <w:t>2</w:t>
      </w:r>
      <w:r w:rsidRPr="00CC3364">
        <w:rPr>
          <w:rFonts w:hint="eastAsia"/>
          <w:sz w:val="20"/>
        </w:rPr>
        <w:t>）设计证据绑定型紧凑提交机制。该结构将状态根、输出哈希、证明哈希、</w:t>
      </w:r>
      <w:r w:rsidRPr="00CC3364">
        <w:rPr>
          <w:rFonts w:hint="eastAsia"/>
          <w:sz w:val="20"/>
        </w:rPr>
        <w:t xml:space="preserve">DA </w:t>
      </w:r>
      <w:r w:rsidRPr="00CC3364">
        <w:rPr>
          <w:rFonts w:hint="eastAsia"/>
          <w:sz w:val="20"/>
        </w:rPr>
        <w:t>指针与</w:t>
      </w:r>
      <w:r w:rsidRPr="00CC3364">
        <w:rPr>
          <w:rFonts w:hint="eastAsia"/>
          <w:sz w:val="20"/>
        </w:rPr>
        <w:t xml:space="preserve"> DA </w:t>
      </w:r>
      <w:r w:rsidRPr="00CC3364">
        <w:rPr>
          <w:rFonts w:hint="eastAsia"/>
          <w:sz w:val="20"/>
        </w:rPr>
        <w:t>根进行密码学绑定，使链上精简凭证具备重放前置能力、证据可追溯能力与可验证属性。</w:t>
      </w:r>
    </w:p>
    <w:p w14:paraId="110B376D" w14:textId="41E83A54" w:rsidR="00CC3364" w:rsidRPr="00CC3364" w:rsidRDefault="00CC3364" w:rsidP="00CC3364">
      <w:pPr>
        <w:spacing w:before="120" w:after="60" w:line="240" w:lineRule="auto"/>
        <w:ind w:firstLine="0"/>
        <w:jc w:val="left"/>
        <w:rPr>
          <w:sz w:val="20"/>
        </w:rPr>
      </w:pPr>
      <w:r w:rsidRPr="00CC3364">
        <w:rPr>
          <w:rFonts w:hint="eastAsia"/>
          <w:sz w:val="20"/>
        </w:rPr>
      </w:r>
    </w:p>
    <w:p w14:paraId="3053C36D" w14:textId="77777777" w:rsidR="00CC3364" w:rsidRDefault="00CC3364" w:rsidP="00CC3364">
      <w:pPr>
        <w:spacing w:before="120" w:after="60" w:line="240" w:lineRule="auto"/>
        <w:ind w:firstLine="0"/>
        <w:jc w:val="left"/>
        <w:rPr>
          <w:sz w:val="20"/>
        </w:rPr>
      </w:pPr>
      <w:r w:rsidRPr="00CC3364">
        <w:rPr>
          <w:rFonts w:hint="eastAsia"/>
          <w:sz w:val="20"/>
        </w:rPr>
        <w:t>（3）构建 DA 感知成本摊销模型。该模型量化分析负载规模伸缩、批处理策略、DA 部署路径三类因素对系统成本的影响，为不同业务负载下的 DA 方案选型与成本管控提供理论依据。</w:t>
      </w:r>
      <w:r w:rsidRPr="00CC3364">
        <w:rPr>
          <w:rFonts w:hint="eastAsia"/>
          <w:sz w:val="20"/>
        </w:rPr>
      </w:r>
      <w:r w:rsidRPr="00CC3364">
        <w:rPr>
          <w:rFonts w:hint="eastAsia"/>
          <w:sz w:val="20"/>
        </w:rPr>
      </w:r>
      <w:r w:rsidRPr="00CC3364">
        <w:rPr>
          <w:rFonts w:hint="eastAsia"/>
          <w:sz w:val="20"/>
        </w:rPr>
      </w:r>
      <w:r w:rsidRPr="00CC3364">
        <w:rPr>
          <w:rFonts w:hint="eastAsia"/>
          <w:sz w:val="20"/>
        </w:rPr>
      </w:r>
      <w:r w:rsidRPr="00CC3364">
        <w:rPr>
          <w:rFonts w:hint="eastAsia"/>
          <w:sz w:val="20"/>
        </w:rPr>
      </w:r>
      <w:r w:rsidRPr="00CC3364">
        <w:rPr>
          <w:rFonts w:hint="eastAsia"/>
          <w:sz w:val="20"/>
        </w:rPr>
      </w:r>
      <w:r w:rsidRPr="00CC3364">
        <w:rPr>
          <w:rFonts w:hint="eastAsia"/>
          <w:sz w:val="20"/>
        </w:rPr>
      </w:r>
      <w:r w:rsidRPr="00CC3364">
        <w:rPr>
          <w:rFonts w:hint="eastAsia"/>
          <w:sz w:val="20"/>
        </w:rPr>
      </w:r>
    </w:p>
    <w:p w14:paraId="72502D68" w14:textId="0512765F" w:rsidR="00580E0B" w:rsidRDefault="00000000" w:rsidP="00CC3364">
      <w:pPr>
        <w:spacing w:before="120" w:after="60" w:line="240" w:lineRule="auto"/>
        <w:ind w:firstLine="0"/>
        <w:jc w:val="left"/>
      </w:pPr>
      <w:r>
        <w:rPr>
          <w:rFonts w:eastAsia="黑体"/>
          <w:b/>
          <w:bCs/>
          <w:sz w:val="23"/>
          <w:szCs w:val="23"/>
        </w:rPr>
        <w:t xml:space="preserve">2  </w:t>
      </w:r>
      <w:r>
        <w:rPr>
          <w:rFonts w:eastAsia="黑体"/>
          <w:b/>
          <w:bCs/>
          <w:sz w:val="23"/>
          <w:szCs w:val="23"/>
        </w:rPr>
        <w:t>相关工作与背景</w:t>
      </w:r>
    </w:p>
    <w:p w14:paraId="4DB4782E" w14:textId="77777777" w:rsidR="00580E0B" w:rsidRDefault="00000000">
      <w:pPr>
        <w:spacing w:before="80" w:after="40" w:line="240" w:lineRule="auto"/>
        <w:ind w:firstLine="0"/>
        <w:jc w:val="left"/>
      </w:pPr>
      <w:r>
        <w:rPr>
          <w:rFonts w:eastAsia="黑体"/>
          <w:b/>
          <w:bCs/>
          <w:sz w:val="23"/>
          <w:szCs w:val="23"/>
        </w:rPr>
        <w:t xml:space="preserve">2.1  </w:t>
      </w:r>
      <w:r>
        <w:rPr>
          <w:rFonts w:eastAsia="黑体"/>
          <w:b/>
          <w:bCs/>
          <w:sz w:val="23"/>
          <w:szCs w:val="23"/>
        </w:rPr>
        <w:t>相关工作</w:t>
      </w:r>
    </w:p>
    <w:p w14:paraId="1F735DBF" w14:textId="77777777" w:rsidR="00580E0B" w:rsidRDefault="00000000">
      <w:pPr>
        <w:ind w:firstLine="408"/>
      </w:pPr>
      <w:r>
        <w:t>TEEROLLUP[1] 提出了利用异构 TEE 降低 Rollup 验证成本的系统设计。本文受其思路启发，但聚焦异常场景下的挑战恢复和紧凑提交的证据绑定。</w:t>
      </w:r>
    </w:p>
    <w:p w14:paraId="6C3E8434" w14:textId="77777777" w:rsidR="00580E0B" w:rsidRDefault="00000000">
      <w:pPr>
        <w:ind w:firstLine="408"/>
      </w:pPr>
      <w:r>
        <w:t>opML[13] 与 optimistic fraud proof 等工作研究如何通过乐观证明支持复杂计算，通常包含二分定位、单步仲裁和链上验证。本文借鉴交互式争议定位思想，但不实现完整 FPVM 或真实 ML 执行证明，而将二分重放用于 Hybrid TEE-Rollup 有界任务原型中的异常仲裁。BoLD[14] 与 Optimism Fault Dispute Game 等路线强调有界流动性延迟、时钟继承与争议最终性；本文差异在于有界重算模型内的显式 adjudicate 兜底与可恢复挑战，而非无界二分加时钟继承，也不做跨协议主网吞吐领先比例对比。</w:t>
      </w:r>
    </w:p>
    <w:p w14:paraId="3562B92D" w14:textId="77777777" w:rsidR="00580E0B" w:rsidRDefault="00000000">
      <w:pPr>
        <w:ind w:firstLine="408"/>
      </w:pPr>
      <w:r>
        <w:rPr>
          <w:sz w:val="20"/>
        </w:rPr>
        <w:t>Dynamic Fraud Proof[6] 关注无争议场景下的最终性压缩，并在发现争议时动态延迟结算。该方向强调挑战窗口和验证者参与机制的动态调整；本文聚焦更窄的超时后挑战会话恢复问题。</w:t>
      </w:r>
      <w:r>
        <w:rPr>
          <w:sz w:val="20"/>
        </w:rPr>
      </w:r>
    </w:p>
    <w:p w14:paraId="2766B79C" w14:textId="77777777" w:rsidR="00580E0B" w:rsidRDefault="00000000">
      <w:pPr>
        <w:ind w:firstLine="408"/>
      </w:pPr>
      <w:r>
        <w:rPr>
          <w:sz w:val="20"/>
        </w:rPr>
        <w:t>LazyLedger[7]、模块化 DA[9][10] 以及轻客户端相关工作[8]强调数据可用性与执行验证解耦。本文使用可验证 DA 注册表和配置化建模分析紧凑提交加数据可用性验证的成本趋势。</w:t>
      </w:r>
      <w:r>
        <w:rPr>
          <w:sz w:val="20"/>
        </w:rPr>
      </w:r>
      <w:r>
        <w:rPr>
          <w:sz w:val="20"/>
        </w:rPr>
      </w:r>
      <w:r>
        <w:rPr>
          <w:sz w:val="20"/>
        </w:rPr>
      </w:r>
      <w:r>
        <w:rPr>
          <w:sz w:val="20"/>
        </w:rPr>
      </w:r>
      <w:r>
        <w:rPr>
          <w:sz w:val="20"/>
        </w:rPr>
      </w:r>
    </w:p>
    <w:p w14:paraId="08EADAAF" w14:textId="77777777" w:rsidR="00580E0B" w:rsidRDefault="00000000">
      <w:pPr>
        <w:spacing w:before="80" w:after="40" w:line="240" w:lineRule="auto"/>
        <w:ind w:firstLine="0"/>
        <w:jc w:val="left"/>
      </w:pPr>
      <w:r>
        <w:rPr>
          <w:rFonts w:eastAsia="黑体"/>
          <w:b/>
          <w:bCs/>
          <w:sz w:val="23"/>
          <w:szCs w:val="23"/>
        </w:rPr>
        <w:t>2.2  Rollup</w:t>
      </w:r>
      <w:r>
        <w:rPr>
          <w:rFonts w:eastAsia="黑体"/>
          <w:b/>
          <w:bCs/>
          <w:sz w:val="23"/>
          <w:szCs w:val="23"/>
        </w:rPr>
        <w:t>、可信执行环境与数据可用性</w:t>
      </w:r>
    </w:p>
    <w:p w14:paraId="34D40E44" w14:textId="77777777" w:rsidR="00580E0B" w:rsidRDefault="00000000">
      <w:pPr>
        <w:ind w:firstLine="408"/>
      </w:pPr>
      <w:r>
        <w:t xml:space="preserve">Rollup </w:t>
      </w:r>
      <w:r>
        <w:t>的基本思想是将大量执行过程移至链下</w:t>
      </w:r>
      <w:r>
        <w:t>完成，并将状态承诺、证明或争议入口提交到链上</w:t>
      </w:r>
      <w:r>
        <w:rPr>
          <w:vertAlign w:val="superscript"/>
        </w:rPr>
        <w:t>[2]</w:t>
      </w:r>
      <w:r>
        <w:t>。</w:t>
      </w:r>
      <w:r>
        <w:t xml:space="preserve">ZK-Rollup </w:t>
      </w:r>
      <w:r>
        <w:t>通过有效性证明保证提交状态的正确性，验证属性较强，但证明生成、验证电路和系统实现成本较高。</w:t>
      </w:r>
      <w:r>
        <w:t xml:space="preserve">Optimistic Rollup </w:t>
      </w:r>
      <w:r>
        <w:t>默认链下执行结果正确，仅在挑战期内出现有效争议时进行仲裁；其链上负担较轻，但争议窗口和交互过程会引入状态不确定性</w:t>
      </w:r>
      <w:r>
        <w:rPr>
          <w:vertAlign w:val="superscript"/>
        </w:rPr>
        <w:t>[3]</w:t>
      </w:r>
      <w:r>
        <w:t>。</w:t>
      </w:r>
    </w:p>
    <w:p w14:paraId="4634245D" w14:textId="77777777" w:rsidR="00580E0B" w:rsidRDefault="00000000">
      <w:pPr>
        <w:ind w:firstLine="408"/>
      </w:pPr>
      <w:r>
        <w:t>乐观挑战是</w:t>
      </w:r>
      <w:r>
        <w:t xml:space="preserve"> Rollup </w:t>
      </w:r>
      <w:r>
        <w:t>系统处理异常的重要机制。典型流程包括提交状态承诺、开启挑战、交互式缩小争议范围，并在必要时执行单步重放或链上仲裁</w:t>
      </w:r>
      <w:r>
        <w:rPr>
          <w:vertAlign w:val="superscript"/>
        </w:rPr>
        <w:t>[4][5]</w:t>
      </w:r>
      <w:r>
        <w:t>。对于长执行轨迹，二分定位能够将争议定位复杂度从线性扫描降低到对数轮次；挑战过程本身也可能遭遇超时、应答缺失或证据不可用，因此活性和恢复性需要进入协议设计</w:t>
      </w:r>
      <w:r>
        <w:rPr>
          <w:vertAlign w:val="superscript"/>
        </w:rPr>
        <w:t>[6]</w:t>
      </w:r>
      <w:r>
        <w:t>。</w:t>
      </w:r>
    </w:p>
    <w:p w14:paraId="5963DF92" w14:textId="77777777" w:rsidR="00580E0B" w:rsidRDefault="00000000">
      <w:pPr>
        <w:ind w:firstLine="408"/>
      </w:pPr>
      <w:r>
        <w:t>数据可用性关注链下或链外数据能否被验证者获取。模块化区块链和惰性账本等路线将数据可用性从执行验证中解耦，使共识层主要负责数据排序和可用性保证，执行与验证由独立的</w:t>
      </w:r>
      <w:r>
        <w:t xml:space="preserve"> Rollup </w:t>
      </w:r>
      <w:r>
        <w:t>或客户端完成</w:t>
      </w:r>
      <w:r>
        <w:rPr>
          <w:vertAlign w:val="superscript"/>
        </w:rPr>
        <w:t>[7][8][9][10]</w:t>
      </w:r>
      <w:r>
        <w:t>。当执行者将完整负载放在数据可用性层而非链上时，链上提交必须与数据可用性条目形成可验证绑定。</w:t>
      </w:r>
    </w:p>
    <w:p w14:paraId="6784D16F" w14:textId="77777777" w:rsidR="00580E0B" w:rsidRDefault="00000000">
      <w:pPr>
        <w:spacing w:before="80" w:after="40" w:line="240" w:lineRule="auto"/>
        <w:ind w:firstLine="0"/>
        <w:jc w:val="left"/>
      </w:pPr>
      <w:r>
        <w:rPr>
          <w:rFonts w:eastAsia="黑体"/>
          <w:b/>
          <w:bCs/>
          <w:sz w:val="23"/>
          <w:szCs w:val="23"/>
        </w:rPr>
        <w:t xml:space="preserve">2.3  </w:t>
      </w:r>
      <w:r>
        <w:rPr>
          <w:rFonts w:eastAsia="黑体"/>
          <w:b/>
          <w:bCs/>
          <w:sz w:val="23"/>
          <w:szCs w:val="23"/>
        </w:rPr>
        <w:t>问题范围与对抗假设</w:t>
      </w:r>
    </w:p>
    <w:p w14:paraId="6D6370A7" w14:textId="77777777" w:rsidR="00580E0B" w:rsidRDefault="00000000">
      <w:pPr>
        <w:ind w:firstLine="408"/>
      </w:pPr>
      <w:r>
        <w:rPr>
          <w:sz w:val="20"/>
        </w:rPr>
        <w:t>在上述背景下，本文进一步限定研究问题：</w:t>
      </w:r>
      <w:r>
        <w:rPr>
          <w:sz w:val="20"/>
        </w:rPr>
        <w:t xml:space="preserve">Hybrid TEE-Rollup </w:t>
      </w:r>
      <w:r>
        <w:rPr>
          <w:sz w:val="20"/>
        </w:rPr>
        <w:t>如何在保持正常路径低成本的同时，保留公开、可恢复且有证据支撑的异常路径。成本维度要求链上提交不随完整负载线性增长；可验证性维度要求紧凑提交能够指向可检查的</w:t>
      </w:r>
      <w:r>
        <w:rPr>
          <w:sz w:val="20"/>
        </w:rPr>
        <w:t xml:space="preserve"> DA </w:t>
      </w:r>
      <w:r>
        <w:rPr>
          <w:sz w:val="20"/>
        </w:rPr>
        <w:t>证据；活性维度要求超时不会使仲裁流程永久停滞。</w:t>
      </w:r>
    </w:p>
    <w:p w14:paraId="1AE5B500" w14:textId="77777777" w:rsidR="00580E0B" w:rsidRDefault="00000000">
      <w:pPr>
        <w:ind w:firstLine="408"/>
      </w:pPr>
      <w:r>
        <w:rPr>
          <w:sz w:val="20"/>
        </w:rPr>
        <w:t>攻击面覆盖提交者、执行环境、数据可用性绑定和挑战流程。本文假设执行者或提交者可能提交错误响应、篡改数据可用性负载、提供无效证明，或在挑战流程中延迟响应；数据可用性层可能出现负载缺失、</w:t>
      </w:r>
      <w:r>
        <w:rPr>
          <w:sz w:val="20"/>
        </w:rPr>
        <w:t xml:space="preserve">Merkle </w:t>
      </w:r>
      <w:r>
        <w:rPr>
          <w:sz w:val="20"/>
        </w:rPr>
        <w:t>证明损坏或根不一致；挑战流程本身也可能因交互超时而中断。本文不假设执行者在硬件</w:t>
      </w:r>
      <w:r>
        <w:rPr>
          <w:sz w:val="20"/>
        </w:rPr>
        <w:t xml:space="preserve"> TEE </w:t>
      </w:r>
      <w:r>
        <w:rPr>
          <w:sz w:val="20"/>
        </w:rPr>
        <w:t>层面受到保护，也不假设数据可用性层具有无限可用性。</w:t>
      </w:r>
    </w:p>
    <w:p w14:paraId="12BA2D71" w14:textId="77777777" w:rsidR="00580E0B" w:rsidRDefault="00000000">
      <w:pPr>
        <w:spacing w:before="120" w:after="60" w:line="240" w:lineRule="auto"/>
        <w:ind w:firstLine="0"/>
        <w:jc w:val="left"/>
      </w:pPr>
      <w:r>
        <w:rPr>
          <w:rFonts w:eastAsia="黑体"/>
          <w:b/>
          <w:bCs/>
          <w:sz w:val="23"/>
          <w:szCs w:val="23"/>
        </w:rPr>
        <w:t xml:space="preserve">3  </w:t>
      </w:r>
      <w:r>
        <w:rPr>
          <w:rFonts w:eastAsia="黑体"/>
          <w:b/>
          <w:bCs/>
          <w:sz w:val="23"/>
          <w:szCs w:val="23"/>
        </w:rPr>
        <w:t>系统概览</w:t>
      </w:r>
    </w:p>
    <w:p w14:paraId="0B6E04D2" w14:textId="77777777" w:rsidR="00580E0B" w:rsidRDefault="00000000">
      <w:pPr>
        <w:ind w:firstLine="408"/>
      </w:pPr>
      <w:r>
        <w:rPr>
          <w:sz w:val="20"/>
        </w:rPr>
        <w:lastRenderedPageBreak/>
        <w:t>本节说明上述机制如何组成端到端系统。系统包含三个角色：执行层负责产生正常路径下的响应与远程证明；</w:t>
      </w:r>
      <w:r>
        <w:rPr>
          <w:sz w:val="20"/>
        </w:rPr>
        <w:t xml:space="preserve">DA </w:t>
      </w:r>
      <w:r>
        <w:rPr>
          <w:sz w:val="20"/>
        </w:rPr>
        <w:t>层负责保存重放所需证据；验证层负责将故障转化为挑战、恢复、重放与结算等状态转移。运行示例仍以高频</w:t>
      </w:r>
      <w:r>
        <w:rPr>
          <w:sz w:val="20"/>
        </w:rPr>
        <w:t xml:space="preserve"> AI </w:t>
      </w:r>
      <w:r>
        <w:rPr>
          <w:sz w:val="20"/>
        </w:rPr>
        <w:t>推理工作负载为主：大量低价值请求不应迫使完整负载上链，但一旦发生争议，系统仍需保留公开仲裁所需的证据。</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479A4AAB" w14:textId="77777777">
        <w:trPr>
          <w:jc w:val="center"/>
        </w:trPr>
        <w:tc>
          <w:tcPr>
            <w:tcW w:w="4464" w:type="dxa"/>
            <w:tcBorders>
              <w:bottom w:val="single" w:sz="6" w:space="0" w:color="000000"/>
            </w:tcBorders>
            <w:vAlign w:val="center"/>
          </w:tcPr>
          <w:p w14:paraId="16BBABAE" w14:textId="5C3B513B" w:rsidR="00580E0B" w:rsidRDefault="00257EB1">
            <w:pPr>
              <w:keepNext/>
              <w:spacing w:line="180" w:lineRule="auto"/>
              <w:ind w:firstLine="0"/>
              <w:jc w:val="center"/>
            </w:pPr>
            <w:r>
              <w:rPr>
                <w:noProof/>
                <w:sz w:val="15"/>
                <w:szCs w:val="15"/>
              </w:rPr>
              <w:drawing>
                <wp:inline distT="0" distB="0" distL="0" distR="0" wp14:anchorId="6AA83E90" wp14:editId="64F1A348">
                  <wp:extent cx="2781299" cy="2183765"/>
                  <wp:effectExtent l="0" t="0" r="63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821049" cy="2214975"/>
                          </a:xfrm>
                          <a:prstGeom prst="rect">
                            <a:avLst/>
                          </a:prstGeom>
                        </pic:spPr>
                      </pic:pic>
                    </a:graphicData>
                  </a:graphic>
                </wp:inline>
              </w:drawing>
            </w:r>
          </w:p>
          <w:p w14:paraId="38B5FF50" w14:textId="77777777" w:rsidR="00580E0B" w:rsidRDefault="00000000">
            <w:pPr>
              <w:spacing w:line="180" w:lineRule="auto"/>
              <w:ind w:firstLine="0"/>
              <w:jc w:val="center"/>
            </w:pPr>
            <w:r>
              <w:rPr>
                <w:sz w:val="15"/>
                <w:szCs w:val="15"/>
              </w:rPr>
              <w:t>图</w:t>
            </w:r>
            <w:r>
              <w:rPr>
                <w:sz w:val="15"/>
                <w:szCs w:val="15"/>
              </w:rPr>
              <w:t xml:space="preserve"> 1  Hybrid TEE-Rollup </w:t>
            </w:r>
            <w:r>
              <w:rPr>
                <w:sz w:val="15"/>
                <w:szCs w:val="15"/>
              </w:rPr>
              <w:t>原型系统架构</w:t>
            </w:r>
          </w:p>
          <w:p w14:paraId="39107661" w14:textId="77777777" w:rsidR="00580E0B" w:rsidRDefault="00000000">
            <w:pPr>
              <w:spacing w:line="180" w:lineRule="auto"/>
              <w:ind w:firstLine="0"/>
              <w:jc w:val="center"/>
            </w:pPr>
            <w:r>
              <w:rPr>
                <w:sz w:val="15"/>
                <w:szCs w:val="15"/>
              </w:rPr>
              <w:t>Fig.1  Prototype architecture of Hybrid TEE-Rollup</w:t>
            </w:r>
          </w:p>
        </w:tc>
      </w:tr>
    </w:tbl>
    <w:p w14:paraId="052F5D63" w14:textId="77777777" w:rsidR="00580E0B" w:rsidRDefault="00000000">
      <w:pPr>
        <w:ind w:firstLine="408"/>
      </w:pPr>
      <w:r>
        <w:rPr>
          <w:sz w:val="20"/>
        </w:rPr>
        <w:t>如图</w:t>
      </w:r>
      <w:r>
        <w:rPr>
          <w:sz w:val="20"/>
        </w:rPr>
        <w:t xml:space="preserve"> 1 </w:t>
      </w:r>
      <w:r>
        <w:rPr>
          <w:sz w:val="20"/>
        </w:rPr>
        <w:t>所示，系统由高频</w:t>
      </w:r>
      <w:r>
        <w:rPr>
          <w:sz w:val="20"/>
        </w:rPr>
        <w:t xml:space="preserve"> DApp </w:t>
      </w:r>
      <w:r>
        <w:rPr>
          <w:sz w:val="20"/>
        </w:rPr>
        <w:t>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14:paraId="051E5B96" w14:textId="77777777" w:rsidR="00580E0B" w:rsidRDefault="00000000">
      <w:pPr>
        <w:spacing w:before="80" w:after="40" w:line="240" w:lineRule="auto"/>
        <w:ind w:firstLine="0"/>
        <w:jc w:val="left"/>
      </w:pPr>
      <w:r>
        <w:rPr>
          <w:rFonts w:eastAsia="黑体"/>
          <w:b/>
          <w:bCs/>
          <w:sz w:val="23"/>
          <w:szCs w:val="23"/>
        </w:rPr>
        <w:t xml:space="preserve">3.1  </w:t>
      </w:r>
      <w:r>
        <w:rPr>
          <w:rFonts w:eastAsia="黑体"/>
          <w:b/>
          <w:bCs/>
          <w:sz w:val="23"/>
          <w:szCs w:val="23"/>
        </w:rPr>
        <w:t>执行层与正常路径</w:t>
      </w:r>
    </w:p>
    <w:p w14:paraId="78AC3AF1" w14:textId="77777777" w:rsidR="00580E0B" w:rsidRDefault="00000000">
      <w:pPr>
        <w:ind w:firstLine="408"/>
      </w:pPr>
      <w:r>
        <w:t>执行层负责处理高频</w:t>
      </w:r>
      <w:r>
        <w:t xml:space="preserve"> DApp </w:t>
      </w:r>
      <w:r>
        <w:t>请求。当前原型采用确定性模拟模型或可选模型后端生成响应，并使用模拟可信执行环境远程证明对输入哈希、输出哈希、</w:t>
      </w:r>
      <w:r>
        <w:t xml:space="preserve">nonce </w:t>
      </w:r>
      <w:r>
        <w:t>和执行环境标识进行绑定</w:t>
      </w:r>
      <w:r>
        <w:rPr>
          <w:vertAlign w:val="superscript"/>
        </w:rPr>
        <w:t>[11]</w:t>
      </w:r>
      <w:r>
        <w:t>。远程证明的作用是为链下执行结果提供最小可信摘要，使后续验证层能够检查提交结果是否与声明的执行过程一致。</w:t>
      </w:r>
    </w:p>
    <w:p w14:paraId="025E2B43" w14:textId="77777777" w:rsidR="00580E0B" w:rsidRDefault="00000000">
      <w:pPr>
        <w:ind w:firstLine="408"/>
      </w:pPr>
      <w:r>
        <w:rPr>
          <w:sz w:val="20"/>
        </w:rPr>
        <w:t>在本文原型中，模拟可信执行环境用于建立</w:t>
      </w:r>
      <w:r>
        <w:rPr>
          <w:sz w:val="20"/>
        </w:rPr>
        <w:t>“</w:t>
      </w:r>
      <w:r>
        <w:rPr>
          <w:sz w:val="20"/>
        </w:rPr>
        <w:t>链下执行摘要</w:t>
      </w:r>
      <w:r>
        <w:rPr>
          <w:sz w:val="20"/>
        </w:rPr>
        <w:t>—</w:t>
      </w:r>
      <w:r>
        <w:rPr>
          <w:sz w:val="20"/>
        </w:rPr>
        <w:t>链上提交</w:t>
      </w:r>
      <w:r>
        <w:rPr>
          <w:sz w:val="20"/>
        </w:rPr>
        <w:t>—</w:t>
      </w:r>
      <w:r>
        <w:rPr>
          <w:sz w:val="20"/>
        </w:rPr>
        <w:t>异常挑战</w:t>
      </w:r>
      <w:r>
        <w:rPr>
          <w:sz w:val="20"/>
        </w:rPr>
        <w:t>”</w:t>
      </w:r>
      <w:r>
        <w:rPr>
          <w:sz w:val="20"/>
        </w:rPr>
        <w:t>的接口关系</w:t>
      </w:r>
      <w:r w:rsidR="00C57F4C">
        <w:rPr>
          <w:rFonts w:hint="eastAsia"/>
          <w:sz w:val="20"/>
        </w:rPr>
        <w:t>。</w:t>
      </w:r>
      <w:r w:rsidR="00C57F4C">
        <w:rPr>
          <w:sz w:val="20"/>
        </w:rPr>
        <w:t xml:space="preserve"> </w:t>
      </w:r>
    </w:p>
    <w:p w14:paraId="71AE589E" w14:textId="77777777" w:rsidR="00580E0B" w:rsidRDefault="00000000">
      <w:pPr>
        <w:spacing w:before="80" w:after="40" w:line="240" w:lineRule="auto"/>
        <w:ind w:firstLine="0"/>
        <w:jc w:val="left"/>
      </w:pPr>
      <w:r>
        <w:rPr>
          <w:rFonts w:eastAsia="黑体"/>
          <w:b/>
          <w:bCs/>
          <w:sz w:val="23"/>
          <w:szCs w:val="23"/>
        </w:rPr>
        <w:t xml:space="preserve">3.2  </w:t>
      </w:r>
      <w:r>
        <w:rPr>
          <w:rFonts w:eastAsia="黑体"/>
          <w:b/>
          <w:bCs/>
          <w:sz w:val="23"/>
          <w:szCs w:val="23"/>
        </w:rPr>
        <w:t>数据可用性接口</w:t>
      </w:r>
    </w:p>
    <w:p w14:paraId="488A96D8" w14:textId="77777777" w:rsidR="00580E0B" w:rsidRDefault="00000000">
      <w:pPr>
        <w:ind w:firstLine="408"/>
      </w:pPr>
      <w:r>
        <w:rPr>
          <w:sz w:val="20"/>
        </w:rPr>
        <w:t xml:space="preserve">DA </w:t>
      </w:r>
      <w:r>
        <w:rPr>
          <w:sz w:val="20"/>
        </w:rPr>
        <w:t>接口是紧凑提交具有安全意义的关键位置。数据层保存完整负载及其可验证结构，包括提示、响应、远</w:t>
      </w:r>
      <w:r>
        <w:rPr>
          <w:sz w:val="20"/>
        </w:rPr>
        <w:t>程证明、负载哈希、叶哈希、</w:t>
      </w:r>
      <w:r>
        <w:rPr>
          <w:sz w:val="20"/>
        </w:rPr>
        <w:t xml:space="preserve">Merkle </w:t>
      </w:r>
      <w:r>
        <w:rPr>
          <w:sz w:val="20"/>
        </w:rPr>
        <w:t>根和字段级</w:t>
      </w:r>
      <w:r>
        <w:rPr>
          <w:sz w:val="20"/>
        </w:rPr>
        <w:t xml:space="preserve"> Merkle </w:t>
      </w:r>
      <w:r>
        <w:rPr>
          <w:sz w:val="20"/>
        </w:rPr>
        <w:t>证明；链上仅保存紧凑提交。由此，字节压缩与证据保留被明确区分：正常路径避免完整负载上链，异常路径仍可恢复重放所需的负载上下文。</w:t>
      </w:r>
    </w:p>
    <w:p w14:paraId="07C9A72D" w14:textId="77777777" w:rsidR="00580E0B" w:rsidRDefault="00000000">
      <w:pPr>
        <w:ind w:firstLine="408"/>
      </w:pPr>
      <w:r>
        <w:rPr>
          <w:sz w:val="20"/>
        </w:rPr>
        <w:t>在运行示例中，如果执行者提交的响应被替换，验证者可以从数据可用性条目中取回响应字段及其</w:t>
      </w:r>
      <w:r>
        <w:rPr>
          <w:sz w:val="20"/>
        </w:rPr>
        <w:t xml:space="preserve"> Merkle </w:t>
      </w:r>
      <w:r>
        <w:rPr>
          <w:sz w:val="20"/>
        </w:rPr>
        <w:t>证明，并与链上</w:t>
      </w:r>
      <w:r>
        <w:rPr>
          <w:sz w:val="20"/>
        </w:rPr>
        <w:t xml:space="preserve"> DA Merkle </w:t>
      </w:r>
      <w:r>
        <w:rPr>
          <w:sz w:val="20"/>
        </w:rPr>
        <w:t>根检查一致性；如果负载缺失，则异常应被归类为数据可用性故障，而不应被误写为已完成重放的执行错误。</w:t>
      </w:r>
    </w:p>
    <w:p w14:paraId="5E1F207E" w14:textId="77777777" w:rsidR="00580E0B" w:rsidRDefault="00000000">
      <w:pPr>
        <w:spacing w:before="80" w:after="40" w:line="240" w:lineRule="auto"/>
        <w:ind w:firstLine="0"/>
        <w:jc w:val="left"/>
      </w:pPr>
      <w:r>
        <w:rPr>
          <w:rFonts w:eastAsia="黑体"/>
          <w:b/>
          <w:bCs/>
          <w:sz w:val="23"/>
          <w:szCs w:val="23"/>
        </w:rPr>
        <w:t xml:space="preserve">3.3  </w:t>
      </w:r>
      <w:r>
        <w:rPr>
          <w:rFonts w:eastAsia="黑体"/>
          <w:b/>
          <w:bCs/>
          <w:sz w:val="23"/>
          <w:szCs w:val="23"/>
        </w:rPr>
        <w:t>验证层与恢复触发</w:t>
      </w:r>
    </w:p>
    <w:p w14:paraId="6B2E75FC" w14:textId="77777777" w:rsidR="00580E0B" w:rsidRDefault="00000000">
      <w:pPr>
        <w:ind w:firstLine="408"/>
      </w:pPr>
      <w:r>
        <w:t>验证层负责处理异常路径。当前原型实现挑战打开、响应、步骤、恢复、重放和结算等状态推进；争议出现后，验证层通过证据加载、二分定位、单步重放和仲裁结算，将异常状态推进为可解释的协议结果</w:t>
      </w:r>
      <w:r>
        <w:rPr>
          <w:vertAlign w:val="superscript"/>
        </w:rPr>
        <w:t>[4][5]</w:t>
      </w:r>
      <w:r>
        <w:t>。</w:t>
      </w:r>
    </w:p>
    <w:p w14:paraId="70713A2F" w14:textId="77777777" w:rsidR="00580E0B" w:rsidRDefault="00000000">
      <w:pPr>
        <w:ind w:firstLine="408"/>
      </w:pPr>
      <w:r>
        <w:rPr>
          <w:sz w:val="20"/>
        </w:rPr>
        <w:t>验证层同时承担故障分类职责。本文将故障划分为证明故障、</w:t>
      </w:r>
      <w:r>
        <w:rPr>
          <w:sz w:val="20"/>
        </w:rPr>
        <w:t xml:space="preserve">DA </w:t>
      </w:r>
      <w:r>
        <w:rPr>
          <w:sz w:val="20"/>
        </w:rPr>
        <w:t>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14:paraId="42D1FDCF" w14:textId="77777777" w:rsidR="00580E0B" w:rsidRDefault="00000000">
      <w:pPr>
        <w:ind w:firstLine="408"/>
      </w:pPr>
      <w:r>
        <w:rPr>
          <w:sz w:val="20"/>
        </w:rPr>
        <w:t>在</w:t>
      </w:r>
      <w:r>
        <w:rPr>
          <w:sz w:val="20"/>
        </w:rPr>
        <w:t xml:space="preserve"> Solidity </w:t>
      </w:r>
      <w:r>
        <w:rPr>
          <w:sz w:val="20"/>
        </w:rPr>
        <w:t>映射中，原型包含</w:t>
      </w:r>
      <w:r>
        <w:rPr>
          <w:sz w:val="20"/>
        </w:rPr>
        <w:t xml:space="preserve"> MockTEEVerifier</w:t>
      </w:r>
      <w:r>
        <w:rPr>
          <w:sz w:val="20"/>
        </w:rPr>
        <w:t>、</w:t>
      </w:r>
      <w:r>
        <w:rPr>
          <w:sz w:val="20"/>
        </w:rPr>
        <w:t>MockDARegistry</w:t>
      </w:r>
      <w:r>
        <w:rPr>
          <w:sz w:val="20"/>
        </w:rPr>
        <w:t>、</w:t>
      </w:r>
      <w:r>
        <w:rPr>
          <w:sz w:val="20"/>
        </w:rPr>
        <w:t xml:space="preserve">MerkleVerifier </w:t>
      </w:r>
      <w:r>
        <w:rPr>
          <w:sz w:val="20"/>
        </w:rPr>
        <w:t>和</w:t>
      </w:r>
      <w:r>
        <w:rPr>
          <w:sz w:val="20"/>
        </w:rPr>
        <w:t xml:space="preserve"> HybridTEERollup </w:t>
      </w:r>
      <w:r>
        <w:rPr>
          <w:sz w:val="20"/>
        </w:rPr>
        <w:t>等合约，用于表达链上状态推进和最小验证逻辑。本地</w:t>
      </w:r>
      <w:r>
        <w:rPr>
          <w:sz w:val="20"/>
        </w:rPr>
        <w:t xml:space="preserve"> EVM </w:t>
      </w:r>
      <w:r>
        <w:rPr>
          <w:sz w:val="20"/>
        </w:rPr>
        <w:t>合约并非</w:t>
      </w:r>
      <w:r>
        <w:rPr>
          <w:sz w:val="20"/>
        </w:rPr>
        <w:t xml:space="preserve"> Python </w:t>
      </w:r>
      <w:r>
        <w:rPr>
          <w:sz w:val="20"/>
        </w:rPr>
        <w:t>原型的逐行移植，而是抽取适合链上表达的提交、验证、挑战、恢复和结算路径。</w:t>
      </w:r>
    </w:p>
    <w:p>
      <w:pPr>
        <w:pStyle w:val="3"/>
      </w:pPr>
      <w:r>
        <w:t>3.4  威胁模型与信任假设</w:t>
      </w:r>
    </w:p>
    <w:p>
      <w:r>
        <w:t>HTR 系统面临的主要威胁包括 Sequencer 作恶、Proposer 拒绝提交、Challenger 恶意挑战、Enclave 故障以及数据可用性攻击。表7总结了各威胁的类型、检测机制和应对措施。特别地，DA 攻击通过 bindDa/fulfillDa/slashDa 三步机制处理：Proposer 在 propose 前必须 bindDa 绑定 DA 承诺与等额押金，并在超时窗口内 fulfillDa 披露 dataHash 原像（当前原型检查原像一致性，而非 EIP-4844 点值证明；公网 Blob 广播仍未完成）；超时则任何人可调用 slashDa 罚没其全部保证金（100%，即 1 ether）。该机制在测试用例 C12 中验证，slashDa 的 EVM gas 成本为 66,136。</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tcPr>
          <w:p>
            <w:r>
              <w:t>威胁类型</w:t>
            </w:r>
          </w:p>
        </w:tc>
        <w:tc>
          <w:tcPr>
            <w:tcW w:type="dxa" w:w="2064"/>
          </w:tcPr>
          <w:p>
            <w:r>
              <w:t>攻击者</w:t>
            </w:r>
          </w:p>
        </w:tc>
        <w:tc>
          <w:tcPr>
            <w:tcW w:type="dxa" w:w="2064"/>
          </w:tcPr>
          <w:p>
            <w:r>
              <w:t>攻击方式</w:t>
            </w:r>
          </w:p>
        </w:tc>
        <w:tc>
          <w:tcPr>
            <w:tcW w:type="dxa" w:w="2064"/>
          </w:tcPr>
          <w:p>
            <w:r>
              <w:t>检测机制</w:t>
            </w:r>
          </w:p>
        </w:tc>
        <w:tc>
          <w:tcPr>
            <w:tcW w:type="dxa" w:w="2064"/>
          </w:tcPr>
          <w:p>
            <w:r>
              <w:t>应对措施</w:t>
            </w:r>
          </w:p>
        </w:tc>
      </w:tr>
      <w:tr>
        <w:tc>
          <w:tcPr>
            <w:tcW w:type="dxa" w:w="2064"/>
          </w:tcPr>
          <w:p>
            <w:r>
              <w:t>Sequencer作恶</w:t>
            </w:r>
          </w:p>
        </w:tc>
        <w:tc>
          <w:tcPr>
            <w:tcW w:type="dxa" w:w="2064"/>
          </w:tcPr>
          <w:p>
            <w:r>
              <w:t>Sequencer</w:t>
            </w:r>
          </w:p>
        </w:tc>
        <w:tc>
          <w:tcPr>
            <w:tcW w:type="dxa" w:w="2064"/>
          </w:tcPr>
          <w:p>
            <w:r>
              <w:t>提交错误状态根</w:t>
            </w:r>
          </w:p>
        </w:tc>
        <w:tc>
          <w:tcPr>
            <w:tcW w:type="dxa" w:w="2064"/>
          </w:tcPr>
          <w:p>
            <w:r>
              <w:t>链下验证+链上挑战</w:t>
            </w:r>
          </w:p>
        </w:tc>
        <w:tc>
          <w:tcPr>
            <w:tcW w:type="dxa" w:w="2064"/>
          </w:tcPr>
          <w:p>
            <w:r>
              <w:t>Challenge→二分→重放</w:t>
            </w:r>
          </w:p>
        </w:tc>
      </w:tr>
      <w:tr>
        <w:tc>
          <w:tcPr>
            <w:tcW w:type="dxa" w:w="2064"/>
          </w:tcPr>
          <w:p>
            <w:r>
              <w:t>Proposer拒绝提交</w:t>
            </w:r>
          </w:p>
        </w:tc>
        <w:tc>
          <w:tcPr>
            <w:tcW w:type="dxa" w:w="2064"/>
          </w:tcPr>
          <w:p>
            <w:r>
              <w:t>Proposer</w:t>
            </w:r>
          </w:p>
        </w:tc>
        <w:tc>
          <w:tcPr>
            <w:tcW w:type="dxa" w:w="2064"/>
          </w:tcPr>
          <w:p>
            <w:r>
              <w:t>超时不提交紧凑承诺</w:t>
            </w:r>
          </w:p>
        </w:tc>
        <w:tc>
          <w:tcPr>
            <w:tcW w:type="dxa" w:w="2064"/>
          </w:tcPr>
          <w:p>
            <w:r>
              <w:t>Guardian监控+recover</w:t>
            </w:r>
          </w:p>
        </w:tc>
        <w:tc>
          <w:tcPr>
            <w:tcW w:type="dxa" w:w="2064"/>
          </w:tcPr>
          <w:p>
            <w:r>
              <w:t>recover→adjudicate兜底</w:t>
            </w:r>
          </w:p>
        </w:tc>
      </w:tr>
      <w:tr>
        <w:tc>
          <w:tcPr>
            <w:tcW w:type="dxa" w:w="2064"/>
          </w:tcPr>
          <w:p>
            <w:r>
              <w:t>Challenger恶意挑战</w:t>
            </w:r>
          </w:p>
        </w:tc>
        <w:tc>
          <w:tcPr>
            <w:tcW w:type="dxa" w:w="2064"/>
          </w:tcPr>
          <w:p>
            <w:r>
              <w:t>Challenger</w:t>
            </w:r>
          </w:p>
        </w:tc>
        <w:tc>
          <w:tcPr>
            <w:tcW w:type="dxa" w:w="2064"/>
          </w:tcPr>
          <w:p>
            <w:r>
              <w:t>虚假挑战消耗资源</w:t>
            </w:r>
          </w:p>
        </w:tc>
        <w:tc>
          <w:tcPr>
            <w:tcW w:type="dxa" w:w="2064"/>
          </w:tcPr>
          <w:p>
            <w:r>
              <w:t>保证金机制</w:t>
            </w:r>
          </w:p>
        </w:tc>
        <w:tc>
          <w:tcPr>
            <w:tcW w:type="dxa" w:w="2064"/>
          </w:tcPr>
          <w:p>
            <w:r>
              <w:t>挑战失败罚没保证金</w:t>
            </w:r>
          </w:p>
        </w:tc>
      </w:tr>
      <w:tr>
        <w:tc>
          <w:tcPr>
            <w:tcW w:type="dxa" w:w="2064"/>
          </w:tcPr>
          <w:p>
            <w:r>
              <w:t>Enclave故障</w:t>
            </w:r>
          </w:p>
        </w:tc>
        <w:tc>
          <w:tcPr>
            <w:tcW w:type="dxa" w:w="2064"/>
          </w:tcPr>
          <w:p>
            <w:r>
              <w:t>TEE平台</w:t>
            </w:r>
          </w:p>
        </w:tc>
        <w:tc>
          <w:tcPr>
            <w:tcW w:type="dxa" w:w="2064"/>
          </w:tcPr>
          <w:p>
            <w:r>
              <w:t>Quote伪造/MRENCLAVE篡改</w:t>
            </w:r>
          </w:p>
        </w:tc>
        <w:tc>
          <w:tcPr>
            <w:tcW w:type="dxa" w:w="2064"/>
          </w:tcPr>
          <w:p>
            <w:r>
              <w:t>链下DCAP验证+链上白名单</w:t>
            </w:r>
          </w:p>
        </w:tc>
        <w:tc>
          <w:tcPr>
            <w:tcW w:type="dxa" w:w="2064"/>
          </w:tcPr>
          <w:p>
            <w:r>
              <w:t>reject无效Quote</w:t>
            </w:r>
          </w:p>
        </w:tc>
      </w:tr>
      <w:tr>
        <w:tc>
          <w:tcPr>
            <w:tcW w:type="dxa" w:w="2064"/>
          </w:tcPr>
          <w:p>
            <w:r>
              <w:t>DA攻击</w:t>
            </w:r>
          </w:p>
        </w:tc>
        <w:tc>
          <w:tcPr>
            <w:tcW w:type="dxa" w:w="2064"/>
          </w:tcPr>
          <w:p>
            <w:r>
              <w:t>Proposer</w:t>
            </w:r>
          </w:p>
        </w:tc>
        <w:tc>
          <w:tcPr>
            <w:tcW w:type="dxa" w:w="2064"/>
          </w:tcPr>
          <w:p>
            <w:r>
              <w:t>bindDa后不fulfillDa</w:t>
            </w:r>
          </w:p>
        </w:tc>
        <w:tc>
          <w:tcPr>
            <w:tcW w:type="dxa" w:w="2064"/>
          </w:tcPr>
          <w:p>
            <w:r>
              <w:t>Blob承诺验证+超时检测</w:t>
            </w:r>
          </w:p>
        </w:tc>
        <w:tc>
          <w:tcPr>
            <w:tcW w:type="dxa" w:w="2064"/>
          </w:tcPr>
          <w:p>
            <w:r>
              <w:t>slashDa罚没100% (1 ether)</w:t>
            </w:r>
          </w:p>
        </w:tc>
      </w:tr>
      <w:tr>
        <w:tc>
          <w:tcPr>
            <w:tcW w:type="dxa" w:w="2064"/>
          </w:tcPr>
          <w:p>
            <w:r>
              <w:t>重放攻击</w:t>
            </w:r>
          </w:p>
        </w:tc>
        <w:tc>
          <w:tcPr>
            <w:tcW w:type="dxa" w:w="2064"/>
          </w:tcPr>
          <w:p>
            <w:r>
              <w:t>Attacker</w:t>
            </w:r>
          </w:p>
        </w:tc>
        <w:tc>
          <w:tcPr>
            <w:tcW w:type="dxa" w:w="2064"/>
          </w:tcPr>
          <w:p>
            <w:r>
              <w:t>重复提交旧承诺</w:t>
            </w:r>
          </w:p>
        </w:tc>
        <w:tc>
          <w:tcPr>
            <w:tcW w:type="dxa" w:w="2064"/>
          </w:tcPr>
          <w:p>
            <w:r>
              <w:t>nonce递增检查</w:t>
            </w:r>
          </w:p>
        </w:tc>
        <w:tc>
          <w:tcPr>
            <w:tcW w:type="dxa" w:w="2064"/>
          </w:tcPr>
          <w:p>
            <w:r>
              <w:t>拒绝旧nonce交易</w:t>
            </w:r>
          </w:p>
        </w:tc>
      </w:tr>
    </w:tbl>
    <w:p w14:paraId="0D02B4DC" w14:textId="77777777" w:rsidR="00580E0B" w:rsidRDefault="00000000">
      <w:pPr>
        <w:spacing w:before="120" w:after="60" w:line="240" w:lineRule="auto"/>
        <w:ind w:firstLine="0"/>
        <w:jc w:val="left"/>
      </w:pPr>
      <w:r>
        <w:rPr>
          <w:rFonts w:eastAsia="黑体"/>
          <w:b/>
          <w:bCs/>
          <w:sz w:val="23"/>
          <w:szCs w:val="23"/>
        </w:rPr>
        <w:t xml:space="preserve">4  </w:t>
      </w:r>
      <w:r>
        <w:rPr>
          <w:rFonts w:eastAsia="黑体"/>
          <w:b/>
          <w:bCs/>
          <w:sz w:val="23"/>
          <w:szCs w:val="23"/>
        </w:rPr>
        <w:t>核心机制与成本评估</w:t>
      </w:r>
    </w:p>
    <w:p w14:paraId="3BE11A6A" w14:textId="77777777" w:rsidR="0091511F" w:rsidRDefault="00000000">
      <w:pPr>
        <w:spacing w:before="80" w:after="40" w:line="240" w:lineRule="auto"/>
        <w:ind w:firstLine="0"/>
        <w:jc w:val="left"/>
      </w:pPr>
      <w:r>
        <w:rPr>
          <w:rFonts w:eastAsia="黑体"/>
          <w:b/>
          <w:bCs/>
          <w:sz w:val="23"/>
          <w:szCs w:val="23"/>
        </w:rPr>
        <w:t xml:space="preserve">4.1  </w:t>
      </w:r>
      <w:r>
        <w:rPr>
          <w:rFonts w:eastAsia="黑体"/>
          <w:b/>
          <w:bCs/>
          <w:sz w:val="23"/>
          <w:szCs w:val="23"/>
        </w:rPr>
        <w:t>可恢复挑战协议</w:t>
      </w:r>
    </w:p>
    <w:p w14:paraId="45BF1AB7" w14:textId="77777777" w:rsidR="00580E0B" w:rsidRDefault="00000000">
      <w:pPr>
        <w:spacing w:before="60" w:after="30" w:line="240" w:lineRule="auto"/>
        <w:ind w:firstLine="0"/>
        <w:jc w:val="left"/>
      </w:pPr>
      <w:r>
        <w:rPr>
          <w:rFonts w:eastAsia="黑体"/>
          <w:b/>
          <w:bCs/>
          <w:sz w:val="21"/>
          <w:szCs w:val="21"/>
        </w:rPr>
        <w:t xml:space="preserve">4.1.1  </w:t>
      </w:r>
      <w:r>
        <w:rPr>
          <w:rFonts w:eastAsia="黑体"/>
          <w:b/>
          <w:bCs/>
          <w:sz w:val="21"/>
          <w:szCs w:val="21"/>
        </w:rPr>
        <w:t>协议模型与形式化定义</w:t>
      </w:r>
    </w:p>
    <w:p w14:paraId="4F70BFE3" w14:textId="77777777" w:rsidR="00580E0B" w:rsidRDefault="00000000">
      <w:pPr>
        <w:ind w:firstLine="408"/>
      </w:pPr>
      <w:r>
        <w:rPr>
          <w:sz w:val="20"/>
        </w:rP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14:paraId="337E4666" w14:textId="77777777" w:rsidR="00580E0B" w:rsidRDefault="00000000">
      <w:pPr>
        <w:ind w:firstLine="0"/>
        <w:jc w:val="left"/>
      </w:pPr>
      <w:r>
        <w:rPr>
          <w:rFonts w:ascii="黑体" w:eastAsia="黑体" w:hAnsi="黑体"/>
          <w:b/>
          <w:sz w:val="20"/>
        </w:rPr>
        <w:t>定义 1（挑战会话）</w:t>
      </w:r>
    </w:p>
    <w:p w14:paraId="0E5F9638" w14:textId="77777777" w:rsidR="00580E0B" w:rsidRDefault="00000000">
      <w:pPr>
        <w:ind w:firstLine="408"/>
      </w:pPr>
      <w:r>
        <w:rPr>
          <w:sz w:val="20"/>
        </w:rPr>
        <w:t>挑战会话定义为：</w:t>
      </w:r>
      <w:r>
        <w:rPr>
          <w:sz w:val="20"/>
        </w:rPr>
        <w:t>cs = (id, s, F, T)</w:t>
      </w:r>
      <w:r>
        <w:rPr>
          <w:sz w:val="20"/>
        </w:rPr>
        <w:t>。</w:t>
      </w:r>
    </w:p>
    <w:p w14:paraId="041289AF" w14:textId="77777777" w:rsidR="00580E0B" w:rsidRDefault="00000000">
      <w:pPr>
        <w:ind w:firstLine="408"/>
      </w:pPr>
      <w:r>
        <w:rPr>
          <w:sz w:val="20"/>
        </w:rPr>
        <w:lastRenderedPageBreak/>
        <w:t>其中，</w:t>
      </w:r>
      <w:r>
        <w:rPr>
          <w:sz w:val="20"/>
        </w:rPr>
        <w:t xml:space="preserve">id </w:t>
      </w:r>
      <w:r>
        <w:rPr>
          <w:sz w:val="20"/>
        </w:rPr>
        <w:t>表示会话标识；</w:t>
      </w:r>
      <w:r>
        <w:rPr>
          <w:sz w:val="20"/>
        </w:rPr>
        <w:t xml:space="preserve">s </w:t>
      </w:r>
      <w:r>
        <w:rPr>
          <w:sz w:val="20"/>
        </w:rPr>
        <w:t>表示当前状态；</w:t>
      </w:r>
      <w:r>
        <w:rPr>
          <w:sz w:val="20"/>
        </w:rPr>
        <w:t xml:space="preserve">F </w:t>
      </w:r>
      <w:r>
        <w:rPr>
          <w:sz w:val="20"/>
        </w:rPr>
        <w:t>表示挑战事实（挑战事实集合）；</w:t>
      </w:r>
      <w:r>
        <w:rPr>
          <w:sz w:val="20"/>
        </w:rPr>
        <w:t xml:space="preserve">T </w:t>
      </w:r>
      <w:r>
        <w:rPr>
          <w:sz w:val="20"/>
        </w:rPr>
        <w:t>表示超时参数。</w:t>
      </w:r>
    </w:p>
    <w:p w14:paraId="5638BFE9" w14:textId="77777777" w:rsidR="00580E0B" w:rsidRDefault="00000000">
      <w:pPr>
        <w:ind w:firstLine="0"/>
        <w:jc w:val="left"/>
      </w:pPr>
      <w:r>
        <w:rPr>
          <w:rFonts w:ascii="黑体" w:eastAsia="黑体" w:hAnsi="黑体"/>
          <w:b/>
          <w:sz w:val="20"/>
        </w:rPr>
        <w:t>定义 2（挑战状态机）</w:t>
      </w:r>
    </w:p>
    <w:p>
      <w:pPr>
        <w:pStyle w:val="4"/>
      </w:pPr>
      <w:r/>
    </w:p>
    <w:p>
      <w:r/>
    </w:p>
    <w:tbl>
      <w:tblPr>
        <w:tblStyle w:val="af4"/>
        <w:tblW w:type="auto" w:w="0"/>
        <w:tblLook w:firstColumn="1" w:firstRow="1" w:lastColumn="0" w:lastRow="0" w:noHBand="0" w:noVBand="1" w:val="04A0"/>
      </w:tblPr>
      <w:tblGrid>
        <w:gridCol w:w="2579"/>
        <w:gridCol w:w="2579"/>
        <w:gridCol w:w="2579"/>
        <w:gridCol w:w="2579"/>
      </w:tblGrid>
      <w:tr>
        <w:tc>
          <w:tcPr>
            <w:tcW w:type="dxa" w:w="2579"/>
          </w:tcPr>
          <w:p>
            <w:r>
              <w:t>操作</w:t>
            </w:r>
          </w:p>
        </w:tc>
        <w:tc>
          <w:tcPr>
            <w:tcW w:type="dxa" w:w="2579"/>
          </w:tcPr>
          <w:p>
            <w:r>
              <w:t>角色</w:t>
            </w:r>
          </w:p>
        </w:tc>
        <w:tc>
          <w:tcPr>
            <w:tcW w:type="dxa" w:w="2579"/>
          </w:tcPr>
          <w:p>
            <w:r>
              <w:t>权限</w:t>
            </w:r>
          </w:p>
        </w:tc>
        <w:tc>
          <w:tcPr>
            <w:tcW w:type="dxa" w:w="2579"/>
          </w:tcPr>
          <w:p>
            <w:r>
              <w:t>测试用例</w:t>
            </w:r>
          </w:p>
        </w:tc>
      </w:tr>
      <w:tr>
        <w:tc>
          <w:tcPr>
            <w:tcW w:type="dxa" w:w="2579"/>
          </w:tcPr>
          <w:p>
            <w:r>
              <w:t>submit</w:t>
            </w:r>
          </w:p>
        </w:tc>
        <w:tc>
          <w:tcPr>
            <w:tcW w:type="dxa" w:w="2579"/>
          </w:tcPr>
          <w:p>
            <w:r>
              <w:t>Sequencer</w:t>
            </w:r>
          </w:p>
        </w:tc>
        <w:tc>
          <w:tcPr>
            <w:tcW w:type="dxa" w:w="2579"/>
          </w:tcPr>
          <w:p>
            <w:r>
              <w:t>必需角色</w:t>
            </w:r>
          </w:p>
        </w:tc>
        <w:tc>
          <w:tcPr>
            <w:tcW w:type="dxa" w:w="2579"/>
          </w:tcPr>
          <w:p>
            <w:r>
              <w:t>B01-B03</w:t>
            </w:r>
          </w:p>
        </w:tc>
      </w:tr>
      <w:tr>
        <w:tc>
          <w:tcPr>
            <w:tcW w:type="dxa" w:w="2579"/>
          </w:tcPr>
          <w:p>
            <w:r>
              <w:t>propose</w:t>
            </w:r>
          </w:p>
        </w:tc>
        <w:tc>
          <w:tcPr>
            <w:tcW w:type="dxa" w:w="2579"/>
          </w:tcPr>
          <w:p>
            <w:r>
              <w:t>Proposer</w:t>
            </w:r>
          </w:p>
        </w:tc>
        <w:tc>
          <w:tcPr>
            <w:tcW w:type="dxa" w:w="2579"/>
          </w:tcPr>
          <w:p>
            <w:r>
              <w:t>必需角色</w:t>
            </w:r>
          </w:p>
        </w:tc>
        <w:tc>
          <w:tcPr>
            <w:tcW w:type="dxa" w:w="2579"/>
          </w:tcPr>
          <w:p>
            <w:r>
              <w:t>B04-B06</w:t>
            </w:r>
          </w:p>
        </w:tc>
      </w:tr>
      <w:tr>
        <w:tc>
          <w:tcPr>
            <w:tcW w:type="dxa" w:w="2579"/>
          </w:tcPr>
          <w:p>
            <w:r>
              <w:t>challenge</w:t>
            </w:r>
          </w:p>
        </w:tc>
        <w:tc>
          <w:tcPr>
            <w:tcW w:type="dxa" w:w="2579"/>
          </w:tcPr>
          <w:p>
            <w:r>
              <w:t>Challenger</w:t>
            </w:r>
          </w:p>
        </w:tc>
        <w:tc>
          <w:tcPr>
            <w:tcW w:type="dxa" w:w="2579"/>
          </w:tcPr>
          <w:p>
            <w:r>
              <w:t>需保证金</w:t>
            </w:r>
          </w:p>
        </w:tc>
        <w:tc>
          <w:tcPr>
            <w:tcW w:type="dxa" w:w="2579"/>
          </w:tcPr>
          <w:p>
            <w:r>
              <w:t>C01-C05</w:t>
            </w:r>
          </w:p>
        </w:tc>
      </w:tr>
      <w:tr>
        <w:tc>
          <w:tcPr>
            <w:tcW w:type="dxa" w:w="2579"/>
          </w:tcPr>
          <w:p>
            <w:r>
              <w:t>respond</w:t>
            </w:r>
          </w:p>
        </w:tc>
        <w:tc>
          <w:tcPr>
            <w:tcW w:type="dxa" w:w="2579"/>
          </w:tcPr>
          <w:p>
            <w:r>
              <w:t>Proposer</w:t>
            </w:r>
          </w:p>
        </w:tc>
        <w:tc>
          <w:tcPr>
            <w:tcW w:type="dxa" w:w="2579"/>
          </w:tcPr>
          <w:p>
            <w:r>
              <w:t>超时窗口内</w:t>
            </w:r>
          </w:p>
        </w:tc>
        <w:tc>
          <w:tcPr>
            <w:tcW w:type="dxa" w:w="2579"/>
          </w:tcPr>
          <w:p>
            <w:r>
              <w:t>C06-C08</w:t>
            </w:r>
          </w:p>
        </w:tc>
      </w:tr>
      <w:tr>
        <w:tc>
          <w:tcPr>
            <w:tcW w:type="dxa" w:w="2579"/>
          </w:tcPr>
          <w:p>
            <w:r>
              <w:t>bisect</w:t>
            </w:r>
          </w:p>
        </w:tc>
        <w:tc>
          <w:tcPr>
            <w:tcW w:type="dxa" w:w="2579"/>
          </w:tcPr>
          <w:p>
            <w:r>
              <w:t>Both parties</w:t>
            </w:r>
          </w:p>
        </w:tc>
        <w:tc>
          <w:tcPr>
            <w:tcW w:type="dxa" w:w="2579"/>
          </w:tcPr>
          <w:p>
            <w:r>
              <w:t>双方交互</w:t>
            </w:r>
          </w:p>
        </w:tc>
        <w:tc>
          <w:tcPr>
            <w:tcW w:type="dxa" w:w="2579"/>
          </w:tcPr>
          <w:p>
            <w:r>
              <w:t>C09-C10</w:t>
            </w:r>
          </w:p>
        </w:tc>
      </w:tr>
      <w:tr>
        <w:tc>
          <w:tcPr>
            <w:tcW w:type="dxa" w:w="2579"/>
          </w:tcPr>
          <w:p>
            <w:r>
              <w:t>replay</w:t>
            </w:r>
          </w:p>
        </w:tc>
        <w:tc>
          <w:tcPr>
            <w:tcW w:type="dxa" w:w="2579"/>
          </w:tcPr>
          <w:p>
            <w:r>
              <w:t>Adjudicator</w:t>
            </w:r>
          </w:p>
        </w:tc>
        <w:tc>
          <w:tcPr>
            <w:tcW w:type="dxa" w:w="2579"/>
          </w:tcPr>
          <w:p>
            <w:r>
              <w:t>链上验证</w:t>
            </w:r>
          </w:p>
        </w:tc>
        <w:tc>
          <w:tcPr>
            <w:tcW w:type="dxa" w:w="2579"/>
          </w:tcPr>
          <w:p>
            <w:r>
              <w:t>C11</w:t>
            </w:r>
          </w:p>
        </w:tc>
      </w:tr>
      <w:tr>
        <w:tc>
          <w:tcPr>
            <w:tcW w:type="dxa" w:w="2579"/>
          </w:tcPr>
          <w:p>
            <w:r>
              <w:t>recover</w:t>
            </w:r>
          </w:p>
        </w:tc>
        <w:tc>
          <w:tcPr>
            <w:tcW w:type="dxa" w:w="2579"/>
          </w:tcPr>
          <w:p>
            <w:r>
              <w:t>Guardian</w:t>
            </w:r>
          </w:p>
        </w:tc>
        <w:tc>
          <w:tcPr>
            <w:tcW w:type="dxa" w:w="2579"/>
          </w:tcPr>
          <w:p>
            <w:r>
              <w:t>超时触发</w:t>
            </w:r>
          </w:p>
        </w:tc>
        <w:tc>
          <w:tcPr>
            <w:tcW w:type="dxa" w:w="2579"/>
          </w:tcPr>
          <w:p>
            <w:r>
              <w:t>C13-C14</w:t>
            </w:r>
          </w:p>
        </w:tc>
      </w:tr>
      <w:tr>
        <w:tc>
          <w:tcPr>
            <w:tcW w:type="dxa" w:w="2579"/>
          </w:tcPr>
          <w:p>
            <w:r>
              <w:t>adjudicate</w:t>
            </w:r>
          </w:p>
        </w:tc>
        <w:tc>
          <w:tcPr>
            <w:tcW w:type="dxa" w:w="2579"/>
          </w:tcPr>
          <w:p>
            <w:r>
              <w:t>Guardian</w:t>
            </w:r>
          </w:p>
        </w:tc>
        <w:tc>
          <w:tcPr>
            <w:tcW w:type="dxa" w:w="2579"/>
          </w:tcPr>
          <w:p>
            <w:r>
              <w:t>仅兜底路径</w:t>
            </w:r>
          </w:p>
        </w:tc>
        <w:tc>
          <w:tcPr>
            <w:tcW w:type="dxa" w:w="2579"/>
          </w:tcPr>
          <w:p>
            <w:r>
              <w:t>C15</w:t>
            </w:r>
          </w:p>
        </w:tc>
      </w:tr>
      <w:tr>
        <w:tc>
          <w:tcPr>
            <w:tcW w:type="dxa" w:w="2579"/>
          </w:tcPr>
          <w:p>
            <w:r>
              <w:t>bindDa</w:t>
            </w:r>
          </w:p>
        </w:tc>
        <w:tc>
          <w:tcPr>
            <w:tcW w:type="dxa" w:w="2579"/>
          </w:tcPr>
          <w:p>
            <w:r>
              <w:t>Proposer</w:t>
            </w:r>
          </w:p>
        </w:tc>
        <w:tc>
          <w:tcPr>
            <w:tcW w:type="dxa" w:w="2579"/>
          </w:tcPr>
          <w:p>
            <w:r>
              <w:t>propose 之前</w:t>
            </w:r>
          </w:p>
        </w:tc>
        <w:tc>
          <w:tcPr>
            <w:tcW w:type="dxa" w:w="2579"/>
          </w:tcPr>
          <w:p>
            <w:r>
              <w:t>C12</w:t>
            </w:r>
          </w:p>
        </w:tc>
      </w:tr>
      <w:tr>
        <w:tc>
          <w:tcPr>
            <w:tcW w:type="dxa" w:w="2579"/>
          </w:tcPr>
          <w:p>
            <w:r>
              <w:t>slashDa</w:t>
            </w:r>
          </w:p>
        </w:tc>
        <w:tc>
          <w:tcPr>
            <w:tcW w:type="dxa" w:w="2579"/>
          </w:tcPr>
          <w:p>
            <w:r>
              <w:t>任意人</w:t>
            </w:r>
          </w:p>
        </w:tc>
        <w:tc>
          <w:tcPr>
            <w:tcW w:type="dxa" w:w="2579"/>
          </w:tcPr>
          <w:p>
            <w:r>
              <w:t>DA 失败时</w:t>
            </w:r>
          </w:p>
        </w:tc>
        <w:tc>
          <w:tcPr>
            <w:tcW w:type="dxa" w:w="2579"/>
          </w:tcPr>
          <w:p>
            <w:r>
              <w:t>C12</w:t>
            </w:r>
          </w:p>
        </w:tc>
      </w:tr>
    </w:tbl>
    <w:p w14:paraId="5A273678" w14:textId="77777777" w:rsidR="00580E0B" w:rsidRDefault="00000000">
      <w:pPr>
        <w:ind w:firstLine="408"/>
      </w:pPr>
      <w:r>
        <w:rPr>
          <w:sz w:val="20"/>
        </w:rPr>
        <w:t>挑战状态机定义为：</w:t>
      </w:r>
      <w:r>
        <w:rPr>
          <w:sz w:val="20"/>
        </w:rPr>
        <w:t>M = (S, E, δ)</w:t>
      </w:r>
      <w:r>
        <w:rPr>
          <w:sz w:val="20"/>
        </w:rPr>
        <w:t>。</w:t>
      </w:r>
    </w:p>
    <w:p w14:paraId="2D6177DB" w14:textId="77777777" w:rsidR="00580E0B" w:rsidRDefault="00000000">
      <w:pPr>
        <w:ind w:firstLine="408"/>
      </w:pPr>
      <w:r>
        <w:rPr>
          <w:sz w:val="20"/>
        </w:rPr>
        <w:t>其中，</w:t>
      </w:r>
      <w:r>
        <w:rPr>
          <w:sz w:val="20"/>
        </w:rPr>
        <w:t xml:space="preserve">S </w:t>
      </w:r>
      <w:r>
        <w:rPr>
          <w:sz w:val="20"/>
        </w:rPr>
        <w:t>为状态集合；</w:t>
      </w:r>
      <w:r>
        <w:rPr>
          <w:sz w:val="20"/>
        </w:rPr>
        <w:t xml:space="preserve">E </w:t>
      </w:r>
      <w:r>
        <w:rPr>
          <w:sz w:val="20"/>
        </w:rPr>
        <w:t>为事件集合；</w:t>
      </w:r>
      <w:r>
        <w:rPr>
          <w:sz w:val="20"/>
        </w:rPr>
        <w:t xml:space="preserve">δ: S × E → S </w:t>
      </w:r>
      <w:r>
        <w:rPr>
          <w:sz w:val="20"/>
        </w:rPr>
        <w:t>为状态转移函数。</w:t>
      </w:r>
    </w:p>
    <w:p w14:paraId="0F3FD35E" w14:textId="77777777" w:rsidR="00580E0B" w:rsidRDefault="00000000">
      <w:pPr>
        <w:ind w:firstLine="0"/>
        <w:jc w:val="left"/>
      </w:pPr>
      <w:r>
        <w:rPr>
          <w:rFonts w:ascii="黑体" w:eastAsia="黑体" w:hAnsi="黑体"/>
          <w:b/>
          <w:sz w:val="20"/>
        </w:rPr>
        <w:t>定义 3（恢复函数）</w:t>
      </w:r>
    </w:p>
    <w:p w14:paraId="1E9C8994" w14:textId="77777777" w:rsidR="00580E0B" w:rsidRDefault="00000000">
      <w:pPr>
        <w:ind w:firstLine="408"/>
      </w:pPr>
      <w:r>
        <w:rPr>
          <w:sz w:val="20"/>
        </w:rPr>
        <w:t>恢复函数定义为：</w:t>
      </w:r>
      <w:r>
        <w:rPr>
          <w:sz w:val="20"/>
        </w:rPr>
        <w:t>Recover(cs) = cs'</w:t>
      </w:r>
      <w:r>
        <w:rPr>
          <w:sz w:val="20"/>
        </w:rPr>
        <w:t>。</w:t>
      </w:r>
    </w:p>
    <w:p w14:paraId="7656B0BA" w14:textId="77777777" w:rsidR="00580E0B" w:rsidRDefault="00000000">
      <w:pPr>
        <w:ind w:firstLine="408"/>
      </w:pPr>
      <w:r>
        <w:rPr>
          <w:sz w:val="20"/>
        </w:rPr>
        <w:t>恢复仅改变活性相关状态，不改变挑战事实，即满足：</w:t>
      </w:r>
      <w:r>
        <w:rPr>
          <w:sz w:val="20"/>
        </w:rPr>
        <w:t>F(cs) = F(Recover(cs))</w:t>
      </w:r>
      <w:r>
        <w:rPr>
          <w:sz w:val="20"/>
        </w:rPr>
        <w:t>。</w:t>
      </w:r>
    </w:p>
    <w:p w14:paraId="76C6D816" w14:textId="77777777" w:rsidR="00580E0B" w:rsidRDefault="00000000">
      <w:pPr>
        <w:ind w:firstLine="0"/>
        <w:jc w:val="left"/>
      </w:pPr>
      <w:r>
        <w:rPr>
          <w:rFonts w:ascii="黑体" w:eastAsia="黑体" w:hAnsi="黑体"/>
          <w:b/>
          <w:sz w:val="20"/>
        </w:rPr>
        <w:t>协议性质</w:t>
      </w:r>
    </w:p>
    <w:p w14:paraId="455CC265" w14:textId="77777777" w:rsidR="00580E0B" w:rsidRDefault="00000000">
      <w:pPr>
        <w:ind w:firstLine="408"/>
      </w:pPr>
      <w:r>
        <w:rPr>
          <w:sz w:val="20"/>
        </w:rPr>
        <w:t>基于上述定义，恢复是活性层变换，而非正确性裁决。恢复函数允许会话从</w:t>
      </w:r>
      <w:r>
        <w:rPr>
          <w:sz w:val="20"/>
        </w:rPr>
        <w:t xml:space="preserve"> TIMED_OUT </w:t>
      </w:r>
      <w:r>
        <w:rPr>
          <w:sz w:val="20"/>
        </w:rPr>
        <w:t>等停滞状态回到可推进状态，但不重写紧凑提交、数据可用性根、负载哈希、轨迹或不一致证据。该边界将恢复语义与罚没语义区分开，并说明恢复操作不会改变正确性：后续重放仍基于原始挑战事实。</w:t>
      </w:r>
    </w:p>
    <w:p>
      <w:r>
        <w:t xml:space="preserve">4.1.2  操作权限约束</w:t>
      </w:r>
    </w:p>
    <w:p>
      <w:r>
        <w:t xml:space="preserve">HTR采用基于角色的权限控制（RBAC），确保各操作仅能由授权角色执行。表8列出了主要操作的权限矩阵，包括Sequencer、Proposer、Challenger、Guardian等角色的权限分配。关键约束包括：submit仅Sequencer可调用，propose仅Proposer可调用，challenge需要保证金，recover和adjudicate仅Guardian可调用（兜底路径）。所有权限约束在StageB测试套件（B01-B14）中验证。</w:t>
      </w:r>
    </w:p>
    <w:p w14:paraId="129A8705" w14:textId="77777777" w:rsidR="00580E0B" w:rsidRDefault="00000000">
      <w:pPr>
        <w:spacing w:before="60" w:after="30" w:line="240" w:lineRule="auto"/>
        <w:ind w:firstLine="0"/>
        <w:jc w:val="left"/>
      </w:pPr>
      <w:r>
        <w:t>4.1.3  超时、恢复、重放与仲裁结算</w:t>
      </w:r>
    </w:p>
    <w:p w14:paraId="4D3A74A0" w14:textId="47671DBB" w:rsidR="00580E0B" w:rsidRDefault="00000000">
      <w:pPr>
        <w:ind w:firstLine="408"/>
      </w:pPr>
      <w:r>
        <w:rPr>
          <w:sz w:val="20"/>
        </w:rPr>
        <w:t>可恢复挑战协议的目标，是将挑战从一次性错误检测流程扩展为异常场景下可恢复推进的协议状态机。其基本状态包括</w:t>
      </w:r>
      <w:r w:rsidR="0074318C" w:rsidRPr="0074318C">
        <w:rPr>
          <w:sz w:val="20"/>
        </w:rPr>
        <w:t>协议状态覆盖待处理、已打开、已响应、二分定位、已恢复、待重放、已重放、已结算、罚没和最终确认等阶段。</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55B91054" w14:textId="77777777">
        <w:trPr>
          <w:jc w:val="center"/>
        </w:trPr>
        <w:tc>
          <w:tcPr>
            <w:tcW w:w="4464" w:type="dxa"/>
            <w:tcBorders>
              <w:bottom w:val="single" w:sz="6" w:space="0" w:color="000000"/>
            </w:tcBorders>
            <w:vAlign w:val="center"/>
          </w:tcPr>
          <w:p w14:paraId="5699059A" w14:textId="77777777" w:rsidR="00580E0B" w:rsidRDefault="00000000">
            <w:pPr>
              <w:keepNext/>
              <w:spacing w:line="180" w:lineRule="auto"/>
              <w:ind w:firstLine="0"/>
              <w:jc w:val="center"/>
            </w:pPr>
            <w:r>
              <w:rPr>
                <w:noProof/>
                <w:sz w:val="15"/>
                <w:szCs w:val="15"/>
              </w:rPr>
              <w:drawing>
                <wp:inline distT="0" distB="0" distL="0" distR="0" wp14:anchorId="422C6E65" wp14:editId="72878F1E">
                  <wp:extent cx="2895600" cy="2222277"/>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931290" cy="2249668"/>
                          </a:xfrm>
                          <a:prstGeom prst="rect">
                            <a:avLst/>
                          </a:prstGeom>
                        </pic:spPr>
                      </pic:pic>
                    </a:graphicData>
                  </a:graphic>
                </wp:inline>
              </w:drawing>
            </w:r>
          </w:p>
          <w:p w14:paraId="4778B8DD" w14:textId="77777777" w:rsidR="00580E0B" w:rsidRDefault="00000000">
            <w:pPr>
              <w:spacing w:line="180" w:lineRule="auto"/>
              <w:ind w:firstLine="0"/>
              <w:jc w:val="center"/>
            </w:pPr>
            <w:r>
              <w:rPr>
                <w:sz w:val="15"/>
                <w:szCs w:val="15"/>
              </w:rPr>
              <w:t>图</w:t>
            </w:r>
            <w:r>
              <w:rPr>
                <w:sz w:val="15"/>
                <w:szCs w:val="15"/>
              </w:rPr>
              <w:t xml:space="preserve"> 2  </w:t>
            </w:r>
            <w:r>
              <w:rPr>
                <w:sz w:val="15"/>
                <w:szCs w:val="15"/>
              </w:rPr>
              <w:t>可恢复挑战协议流程</w:t>
            </w:r>
          </w:p>
          <w:p w14:paraId="7D58E0E8" w14:textId="77777777" w:rsidR="00580E0B" w:rsidRDefault="00000000">
            <w:pPr>
              <w:spacing w:line="180" w:lineRule="auto"/>
              <w:ind w:firstLine="0"/>
              <w:jc w:val="center"/>
            </w:pPr>
            <w:r>
              <w:rPr>
                <w:sz w:val="15"/>
                <w:szCs w:val="15"/>
              </w:rPr>
              <w:t>Fig.2  Workflow of the recoverable challenge protocol</w:t>
            </w:r>
          </w:p>
        </w:tc>
      </w:tr>
    </w:tbl>
    <w:p w14:paraId="37B43DA8" w14:textId="77777777" w:rsidR="00580E0B" w:rsidRDefault="00000000">
      <w:pPr>
        <w:ind w:firstLine="408"/>
      </w:pPr>
      <w:r>
        <w:rPr>
          <w:sz w:val="20"/>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w:t>
      </w:r>
      <w:r>
        <w:rPr>
          <w:sz w:val="20"/>
        </w:rPr>
        <w:t xml:space="preserve"> n </w:t>
      </w:r>
      <w:r>
        <w:rPr>
          <w:sz w:val="20"/>
        </w:rPr>
        <w:t>的轨迹，理想情况下定位轮次接近</w:t>
      </w:r>
      <w:r>
        <w:rPr>
          <w:sz w:val="20"/>
        </w:rPr>
        <w:t xml:space="preserve"> log2(n)</w:t>
      </w:r>
      <w:r>
        <w:rPr>
          <w:sz w:val="20"/>
        </w:rPr>
        <w:t>，从而避免对</w:t>
      </w:r>
      <w:r>
        <w:rPr>
          <w:sz w:val="20"/>
        </w:rPr>
        <w:t>长执行轨迹进行线性扫描。</w:t>
      </w:r>
    </w:p>
    <w:p w14:paraId="18AE3964" w14:textId="77777777" w:rsidR="00580E0B" w:rsidRDefault="00000000">
      <w:pPr>
        <w:ind w:firstLine="408"/>
      </w:pPr>
      <w:r>
        <w:rPr>
          <w:sz w:val="20"/>
        </w:rP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14:paraId="6EDC5F42" w14:textId="77777777" w:rsidR="00580E0B" w:rsidRDefault="00000000">
      <w:pPr>
        <w:ind w:firstLine="408"/>
      </w:pPr>
      <w:r>
        <w:rPr>
          <w:sz w:val="20"/>
        </w:rPr>
        <w:t>恢复是协议中的关键状态转移，因为它在不改变证据内容的前提下恢复流程推进能力。在不可恢复的挑战中，超时可能使会话停留在“争议已知但无法重放和结算”的状态。可恢复挑战机制引入Guardian（观察节点）恢复路径，使挑战会话在异常场景下能够恢复推进，并重新回到可进行二分步骤、重放和结算的状态。这里需要区分活性与正确性：恢复操作恢复的是前者，而后续重放仍负责验证后者。</w:t>
      </w:r>
      <w:r>
        <w:rPr>
          <w:sz w:val="20"/>
        </w:rPr>
      </w:r>
      <w:r>
        <w:rPr>
          <w:sz w:val="20"/>
        </w:rPr>
      </w:r>
      <w:r>
        <w:rPr>
          <w:sz w:val="20"/>
        </w:rPr>
      </w:r>
      <w:r>
        <w:rPr>
          <w:sz w:val="20"/>
        </w:rPr>
      </w:r>
    </w:p>
    <w:p w14:paraId="173F4E15" w14:textId="77777777" w:rsidR="00580E0B" w:rsidRDefault="00000000">
      <w:pPr>
        <w:ind w:firstLine="408"/>
      </w:pPr>
      <w:r>
        <w:rPr>
          <w:sz w:val="20"/>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Guardian（观察节点）可以调用恢复将会话推进到已恢复状态，并继续后续重放与结算。该划分有助于避免将异常检测、活性恢复和经济惩罚混写为同一性质。</w:t>
      </w:r>
    </w:p>
    <w:p w14:paraId="72A32CB4" w14:textId="77777777" w:rsidR="00580E0B" w:rsidRDefault="00000000">
      <w:pPr>
        <w:spacing w:before="60" w:after="30" w:line="240" w:lineRule="auto"/>
        <w:ind w:firstLine="0"/>
        <w:jc w:val="left"/>
      </w:pPr>
      <w:r>
        <w:t>4.1.4  正确性边界与协议性质</w:t>
      </w:r>
    </w:p>
    <w:p w14:paraId="78F6F49E" w14:textId="77777777" w:rsidR="00580E0B" w:rsidRDefault="00000000">
      <w:pPr>
        <w:ind w:firstLine="408"/>
      </w:pPr>
      <w:r>
        <w:rPr>
          <w:sz w:val="20"/>
        </w:rPr>
        <w:t>性质一，数据可用性绑定性质。紧凑提交中的</w:t>
      </w:r>
      <w:r>
        <w:rPr>
          <w:sz w:val="20"/>
        </w:rPr>
        <w:t xml:space="preserve"> DA Merkle </w:t>
      </w:r>
      <w:r>
        <w:rPr>
          <w:sz w:val="20"/>
        </w:rPr>
        <w:t>根与</w:t>
      </w:r>
      <w:r>
        <w:rPr>
          <w:sz w:val="20"/>
        </w:rPr>
        <w:t xml:space="preserve"> DA </w:t>
      </w:r>
      <w:r>
        <w:rPr>
          <w:sz w:val="20"/>
        </w:rPr>
        <w:t>条目中的字段级</w:t>
      </w:r>
      <w:r>
        <w:rPr>
          <w:sz w:val="20"/>
        </w:rPr>
        <w:t xml:space="preserve"> Merkle </w:t>
      </w:r>
      <w:r>
        <w:rPr>
          <w:sz w:val="20"/>
        </w:rPr>
        <w:t>证明之间建立了密码学绑定关系，因此提示词、响应或证明字段被替换后，会导致负载哈希、叶哈希或</w:t>
      </w:r>
      <w:r>
        <w:rPr>
          <w:sz w:val="20"/>
        </w:rPr>
        <w:t xml:space="preserve"> Merkle </w:t>
      </w:r>
      <w:r>
        <w:rPr>
          <w:sz w:val="20"/>
        </w:rPr>
        <w:t>证明与链上根不一致。该性质不依赖真实</w:t>
      </w:r>
      <w:r>
        <w:rPr>
          <w:sz w:val="20"/>
        </w:rPr>
        <w:t xml:space="preserve"> DA </w:t>
      </w:r>
      <w:r>
        <w:rPr>
          <w:sz w:val="20"/>
        </w:rPr>
        <w:t>网络，只说明当前可验证</w:t>
      </w:r>
      <w:r>
        <w:rPr>
          <w:sz w:val="20"/>
        </w:rPr>
        <w:t xml:space="preserve"> DA </w:t>
      </w:r>
      <w:r>
        <w:rPr>
          <w:sz w:val="20"/>
        </w:rPr>
        <w:t>结构能够检测字段篡改，并保证紧凑提交与完整负载之间在证据层面不可脱钩。</w:t>
      </w:r>
    </w:p>
    <w:p w14:paraId="35133BB9" w14:textId="77777777" w:rsidR="00580E0B" w:rsidRDefault="00000000">
      <w:pPr>
        <w:ind w:firstLine="408"/>
      </w:pPr>
      <w:r>
        <w:rPr>
          <w:sz w:val="20"/>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w:t>
      </w:r>
      <w:r>
        <w:rPr>
          <w:sz w:val="20"/>
        </w:rPr>
        <w:t>“</w:t>
      </w:r>
      <w:r>
        <w:rPr>
          <w:sz w:val="20"/>
        </w:rPr>
        <w:t>流程可以继续</w:t>
      </w:r>
      <w:r>
        <w:rPr>
          <w:sz w:val="20"/>
        </w:rPr>
        <w:t>”</w:t>
      </w:r>
      <w:r>
        <w:rPr>
          <w:sz w:val="20"/>
        </w:rPr>
        <w:t>与</w:t>
      </w:r>
      <w:r>
        <w:rPr>
          <w:sz w:val="20"/>
        </w:rPr>
        <w:t>“</w:t>
      </w:r>
      <w:r>
        <w:rPr>
          <w:sz w:val="20"/>
        </w:rPr>
        <w:t>裁决结果改变</w:t>
      </w:r>
      <w:r>
        <w:rPr>
          <w:sz w:val="20"/>
        </w:rPr>
        <w:t>”</w:t>
      </w:r>
      <w:r>
        <w:rPr>
          <w:sz w:val="20"/>
        </w:rPr>
        <w:t>这两个不同层次的性质混淆。</w:t>
      </w:r>
    </w:p>
    <w:p w14:paraId="3DE6F875" w14:textId="77777777" w:rsidR="00580E0B" w:rsidRDefault="00000000">
      <w:pPr>
        <w:ind w:firstLine="408"/>
      </w:pPr>
      <w:r>
        <w:rPr>
          <w:sz w:val="20"/>
        </w:rPr>
        <w:t>性质三，二分定位性质。对于长度为</w:t>
      </w:r>
      <w:r>
        <w:rPr>
          <w:sz w:val="20"/>
        </w:rPr>
        <w:t xml:space="preserve"> n </w:t>
      </w:r>
      <w:r>
        <w:rPr>
          <w:sz w:val="20"/>
        </w:rPr>
        <w:t>的执行轨迹，二分挑战步骤每轮缩小争议区间，理想轮次接近</w:t>
      </w:r>
      <w:r>
        <w:rPr>
          <w:sz w:val="20"/>
        </w:rPr>
        <w:t xml:space="preserve"> log2(n)</w:t>
      </w:r>
      <w:r>
        <w:rPr>
          <w:sz w:val="20"/>
        </w:rPr>
        <w:t>。</w:t>
      </w:r>
      <w:r>
        <w:rPr>
          <w:sz w:val="20"/>
        </w:rPr>
        <w:lastRenderedPageBreak/>
        <w:t>本文实验中轨迹步数为</w:t>
      </w:r>
      <w:r>
        <w:rPr>
          <w:sz w:val="20"/>
        </w:rPr>
        <w:t xml:space="preserve"> 4</w:t>
      </w:r>
      <w:r>
        <w:rPr>
          <w:sz w:val="20"/>
        </w:rPr>
        <w:t>、</w:t>
      </w:r>
      <w:r>
        <w:rPr>
          <w:sz w:val="20"/>
        </w:rPr>
        <w:t>8</w:t>
      </w:r>
      <w:r>
        <w:rPr>
          <w:sz w:val="20"/>
        </w:rPr>
        <w:t>、</w:t>
      </w:r>
      <w:r>
        <w:rPr>
          <w:sz w:val="20"/>
        </w:rPr>
        <w:t>16</w:t>
      </w:r>
      <w:r>
        <w:rPr>
          <w:sz w:val="20"/>
        </w:rPr>
        <w:t>、</w:t>
      </w:r>
      <w:r>
        <w:rPr>
          <w:sz w:val="20"/>
        </w:rPr>
        <w:t>32</w:t>
      </w:r>
      <w:r>
        <w:rPr>
          <w:sz w:val="20"/>
        </w:rPr>
        <w:t>、</w:t>
      </w:r>
      <w:r>
        <w:rPr>
          <w:sz w:val="20"/>
        </w:rPr>
        <w:t>64</w:t>
      </w:r>
      <w:r>
        <w:rPr>
          <w:sz w:val="20"/>
        </w:rPr>
        <w:t>、</w:t>
      </w:r>
      <w:r>
        <w:rPr>
          <w:sz w:val="20"/>
        </w:rPr>
        <w:t xml:space="preserve">128 </w:t>
      </w:r>
      <w:r>
        <w:rPr>
          <w:sz w:val="20"/>
        </w:rPr>
        <w:t>时，平均二分轮次分别为</w:t>
      </w:r>
      <w:r>
        <w:rPr>
          <w:sz w:val="20"/>
        </w:rPr>
        <w:t xml:space="preserve"> 2</w:t>
      </w:r>
      <w:r>
        <w:rPr>
          <w:sz w:val="20"/>
        </w:rPr>
        <w:t>、</w:t>
      </w:r>
      <w:r>
        <w:rPr>
          <w:sz w:val="20"/>
        </w:rPr>
        <w:t>3</w:t>
      </w:r>
      <w:r>
        <w:rPr>
          <w:sz w:val="20"/>
        </w:rPr>
        <w:t>、</w:t>
      </w:r>
      <w:r>
        <w:rPr>
          <w:sz w:val="20"/>
        </w:rPr>
        <w:t>4</w:t>
      </w:r>
      <w:r>
        <w:rPr>
          <w:sz w:val="20"/>
        </w:rPr>
        <w:t>、</w:t>
      </w:r>
      <w:r>
        <w:rPr>
          <w:sz w:val="20"/>
        </w:rPr>
        <w:t>5</w:t>
      </w:r>
      <w:r>
        <w:rPr>
          <w:sz w:val="20"/>
        </w:rPr>
        <w:t>、</w:t>
      </w:r>
      <w:r>
        <w:rPr>
          <w:sz w:val="20"/>
        </w:rPr>
        <w:t>6</w:t>
      </w:r>
      <w:r>
        <w:rPr>
          <w:sz w:val="20"/>
        </w:rPr>
        <w:t>、</w:t>
      </w:r>
      <w:r>
        <w:rPr>
          <w:sz w:val="20"/>
        </w:rPr>
        <w:t>7</w:t>
      </w:r>
      <w:r>
        <w:rPr>
          <w:sz w:val="20"/>
        </w:rPr>
        <w:t>，与理论对数趋势一致。该性质说明争议定位的开销增长与理论对数趋势一致，使得执行轨迹较长时挑战的交互成本仍可接受。</w:t>
      </w:r>
    </w:p>
    <w:p w14:paraId="60D66895" w14:textId="77777777" w:rsidR="00580E0B" w:rsidRDefault="00000000">
      <w:pPr>
        <w:spacing w:before="60" w:after="30" w:line="240" w:lineRule="auto"/>
        <w:ind w:firstLine="0"/>
        <w:jc w:val="left"/>
      </w:pPr>
      <w:r>
        <w:t>4.1.5  协议性质归纳</w:t>
      </w:r>
    </w:p>
    <w:p w14:paraId="1C77124B" w14:textId="77777777" w:rsidR="00580E0B" w:rsidRDefault="00000000">
      <w:pPr>
        <w:ind w:firstLine="408"/>
      </w:pPr>
      <w:r>
        <w:rPr>
          <w:sz w:val="20"/>
        </w:rPr>
        <w:t>前述讨论已将可恢复挑战机制的核心性质从</w:t>
      </w:r>
      <w:r>
        <w:rPr>
          <w:sz w:val="20"/>
        </w:rPr>
        <w:t>“</w:t>
      </w:r>
      <w:r>
        <w:rPr>
          <w:sz w:val="20"/>
        </w:rPr>
        <w:t>超时后可以重试</w:t>
      </w:r>
      <w:r>
        <w:rPr>
          <w:sz w:val="20"/>
        </w:rPr>
        <w:t>”</w:t>
      </w:r>
      <w:r>
        <w:rPr>
          <w:sz w:val="20"/>
        </w:rPr>
        <w:t>这一工程事实提升为协议层面的状态转移机制。本节进一步将这一认识系统化为挑战事实不变性、安全性与活性的分离、仲裁连续性和恢复操作正确性四项性质，并给出协议不变量表格，以明确恢复机制的协议语义边界。</w:t>
      </w:r>
    </w:p>
    <w:p w14:paraId="1F058BE2" w14:textId="77777777" w:rsidR="00580E0B" w:rsidRDefault="00000000">
      <w:pPr>
        <w:spacing w:before="60" w:after="30" w:line="240" w:lineRule="auto"/>
        <w:ind w:firstLine="0"/>
        <w:jc w:val="left"/>
      </w:pPr>
      <w:r>
        <w:rPr>
          <w:rFonts w:eastAsia="黑体"/>
          <w:b/>
          <w:bCs/>
          <w:sz w:val="21"/>
          <w:szCs w:val="21"/>
        </w:rPr>
        <w:t>4.1.5.1  挑战事实不变性</w:t>
      </w:r>
      <w:r>
        <w:rPr>
          <w:rFonts w:eastAsia="黑体"/>
          <w:b/>
          <w:bCs/>
          <w:sz w:val="21"/>
          <w:szCs w:val="21"/>
        </w:rPr>
      </w:r>
    </w:p>
    <w:p w14:paraId="32D41F44" w14:textId="77777777" w:rsidR="00580E0B" w:rsidRDefault="00000000">
      <w:pPr>
        <w:ind w:firstLine="408"/>
      </w:pPr>
      <w:r>
        <w:rPr>
          <w:sz w:val="20"/>
        </w:rPr>
        <w:t>挑战会话在创建时便将一组不可修改的协议事实绑定在会话上下文中，这些事实构成争议的</w:t>
      </w:r>
      <w:r>
        <w:rPr>
          <w:sz w:val="20"/>
        </w:rPr>
        <w:t>“</w:t>
      </w:r>
      <w:r>
        <w:rPr>
          <w:sz w:val="20"/>
        </w:rPr>
        <w:t>内容面</w:t>
      </w:r>
      <w:r>
        <w:rPr>
          <w:sz w:val="20"/>
        </w:rPr>
        <w:t>”</w:t>
      </w:r>
      <w:r>
        <w:rPr>
          <w:sz w:val="20"/>
        </w:rPr>
        <w:t>，包括：</w:t>
      </w:r>
    </w:p>
    <w:p w14:paraId="0EC03618" w14:textId="77777777" w:rsidR="00580E0B" w:rsidRDefault="00000000">
      <w:pPr>
        <w:ind w:firstLine="408"/>
      </w:pPr>
      <w:r>
        <w:rPr>
          <w:sz w:val="20"/>
        </w:rPr>
        <w:t xml:space="preserve">• </w:t>
      </w:r>
      <w:r>
        <w:rPr>
          <w:sz w:val="20"/>
        </w:rPr>
        <w:t>状态根（</w:t>
      </w:r>
      <w:r>
        <w:rPr>
          <w:sz w:val="20"/>
        </w:rPr>
        <w:t>State Root</w:t>
      </w:r>
      <w:r>
        <w:rPr>
          <w:sz w:val="20"/>
        </w:rPr>
        <w:t>）：约束输入与输出哈希的绑定关系；</w:t>
      </w:r>
    </w:p>
    <w:p w14:paraId="7EE7E7A5" w14:textId="77777777" w:rsidR="00580E0B" w:rsidRDefault="00000000">
      <w:pPr>
        <w:ind w:firstLine="408"/>
      </w:pPr>
      <w:r>
        <w:rPr>
          <w:sz w:val="20"/>
        </w:rPr>
        <w:t xml:space="preserve">• </w:t>
      </w:r>
      <w:r>
        <w:rPr>
          <w:sz w:val="20"/>
        </w:rPr>
        <w:t>数据可用性根（</w:t>
      </w:r>
      <w:r>
        <w:rPr>
          <w:sz w:val="20"/>
        </w:rPr>
        <w:t>DA Merkle Root</w:t>
      </w:r>
      <w:r>
        <w:rPr>
          <w:sz w:val="20"/>
        </w:rPr>
        <w:t>）：约束</w:t>
      </w:r>
      <w:r>
        <w:rPr>
          <w:sz w:val="20"/>
        </w:rPr>
        <w:t xml:space="preserve"> DA </w:t>
      </w:r>
      <w:r>
        <w:rPr>
          <w:sz w:val="20"/>
        </w:rPr>
        <w:t>层中完整负载的字段级承诺；</w:t>
      </w:r>
    </w:p>
    <w:p w14:paraId="21AE963C" w14:textId="77777777" w:rsidR="00580E0B" w:rsidRDefault="00000000">
      <w:pPr>
        <w:ind w:firstLine="408"/>
      </w:pPr>
      <w:r>
        <w:rPr>
          <w:sz w:val="20"/>
        </w:rPr>
        <w:t xml:space="preserve">• </w:t>
      </w:r>
      <w:r>
        <w:rPr>
          <w:sz w:val="20"/>
        </w:rPr>
        <w:t>负载哈希（</w:t>
      </w:r>
      <w:r>
        <w:rPr>
          <w:sz w:val="20"/>
        </w:rPr>
        <w:t>Payload Hash</w:t>
      </w:r>
      <w:r>
        <w:rPr>
          <w:sz w:val="20"/>
        </w:rPr>
        <w:t>）：标识</w:t>
      </w:r>
      <w:r>
        <w:rPr>
          <w:sz w:val="20"/>
        </w:rPr>
        <w:t xml:space="preserve"> DA </w:t>
      </w:r>
      <w:r>
        <w:rPr>
          <w:sz w:val="20"/>
        </w:rPr>
        <w:t>层中完整的原始负载；</w:t>
      </w:r>
    </w:p>
    <w:p w14:paraId="41C647D9" w14:textId="77777777" w:rsidR="00580E0B" w:rsidRDefault="00000000">
      <w:pPr>
        <w:ind w:firstLine="408"/>
      </w:pPr>
      <w:r>
        <w:rPr>
          <w:sz w:val="20"/>
        </w:rPr>
        <w:t xml:space="preserve">• </w:t>
      </w:r>
      <w:r>
        <w:rPr>
          <w:sz w:val="20"/>
        </w:rPr>
        <w:t>执行轨迹（</w:t>
      </w:r>
      <w:r>
        <w:rPr>
          <w:sz w:val="20"/>
        </w:rPr>
        <w:t>Execution Trace</w:t>
      </w:r>
      <w:r>
        <w:rPr>
          <w:sz w:val="20"/>
        </w:rPr>
        <w:t>）：挑战方与被挑战方各自提交的执行步骤序列；</w:t>
      </w:r>
    </w:p>
    <w:p w14:paraId="6EBF37AE" w14:textId="77777777" w:rsidR="00580E0B" w:rsidRDefault="00000000">
      <w:pPr>
        <w:ind w:firstLine="408"/>
      </w:pPr>
      <w:r>
        <w:rPr>
          <w:sz w:val="20"/>
        </w:rPr>
        <w:t xml:space="preserve">• </w:t>
      </w:r>
      <w:r>
        <w:rPr>
          <w:sz w:val="20"/>
        </w:rPr>
        <w:t>重放证据：二分缩小后定位到的目标步骤与对应的预期哈希和声明哈希；</w:t>
      </w:r>
    </w:p>
    <w:p w14:paraId="38C804F9" w14:textId="77777777" w:rsidR="00580E0B" w:rsidRDefault="00000000">
      <w:pPr>
        <w:ind w:firstLine="408"/>
      </w:pPr>
      <w:r>
        <w:rPr>
          <w:sz w:val="20"/>
        </w:rPr>
        <w:t xml:space="preserve">• </w:t>
      </w:r>
      <w:r>
        <w:rPr>
          <w:sz w:val="20"/>
        </w:rPr>
        <w:t>不一致证据：验证、响应和</w:t>
      </w:r>
      <w:r>
        <w:rPr>
          <w:sz w:val="20"/>
        </w:rPr>
        <w:t xml:space="preserve"> DA </w:t>
      </w:r>
      <w:r>
        <w:rPr>
          <w:sz w:val="20"/>
        </w:rPr>
        <w:t>字段检查中观测到的字段级不一致记录。</w:t>
      </w:r>
    </w:p>
    <w:p w14:paraId="6C739A8C" w14:textId="77777777" w:rsidR="00580E0B" w:rsidRDefault="00000000">
      <w:pPr>
        <w:ind w:firstLine="408"/>
      </w:pPr>
      <w:r>
        <w:rPr>
          <w:sz w:val="20"/>
        </w:rPr>
        <w:t>记挑战会话</w:t>
      </w:r>
      <w:r>
        <w:rPr>
          <w:sz w:val="20"/>
        </w:rPr>
        <w:t xml:space="preserve"> cs </w:t>
      </w:r>
      <w:r>
        <w:rPr>
          <w:sz w:val="20"/>
        </w:rPr>
        <w:t>的挑战事实集合为</w:t>
      </w:r>
      <w:r>
        <w:rPr>
          <w:sz w:val="20"/>
        </w:rPr>
        <w:t xml:space="preserve"> Facts(cs)</w:t>
      </w:r>
      <w:r>
        <w:rPr>
          <w:sz w:val="20"/>
        </w:rPr>
        <w:t>，则恢复操作满足</w:t>
      </w:r>
      <w:r>
        <w:rPr>
          <w:sz w:val="20"/>
        </w:rPr>
        <w:t xml:space="preserve"> Facts(cs_before) = Facts(cs_after)</w:t>
      </w:r>
      <w:r>
        <w:rPr>
          <w:sz w:val="20"/>
        </w:rPr>
        <w:t>，即恢复不向挑战会话注入新的状态根、负载哈希、执行轨迹或重放证据。</w:t>
      </w:r>
    </w:p>
    <w:p w14:paraId="29FCE1C0" w14:textId="77777777" w:rsidR="00580E0B" w:rsidRDefault="00000000">
      <w:pPr>
        <w:ind w:firstLine="408"/>
      </w:pPr>
      <w:r>
        <w:rPr>
          <w:sz w:val="20"/>
        </w:rPr>
        <w: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14:paraId="656D4403" w14:textId="77777777" w:rsidR="00580E0B" w:rsidRDefault="00000000">
      <w:pPr>
        <w:spacing w:before="60" w:after="30" w:line="240" w:lineRule="auto"/>
        <w:ind w:firstLine="0"/>
        <w:jc w:val="left"/>
      </w:pPr>
      <w:r>
        <w:rPr>
          <w:rFonts w:eastAsia="黑体"/>
          <w:b/>
          <w:bCs/>
          <w:sz w:val="21"/>
          <w:szCs w:val="21"/>
        </w:rPr>
        <w:t>4.1.5.2  安全性与活性分离</w:t>
      </w:r>
      <w:r>
        <w:rPr>
          <w:rFonts w:eastAsia="黑体"/>
          <w:b/>
          <w:bCs/>
          <w:sz w:val="21"/>
          <w:szCs w:val="21"/>
        </w:rPr>
      </w:r>
    </w:p>
    <w:p w14:paraId="2BD708F3" w14:textId="77777777" w:rsidR="00580E0B" w:rsidRDefault="00000000">
      <w:pPr>
        <w:ind w:firstLine="408"/>
      </w:pPr>
      <w:r>
        <w:rPr>
          <w:sz w:val="20"/>
        </w:rPr>
        <w:t>恢复机制设计中的一个关键考量是安全性与活性的边界划分。恢复操作解决的是活性问题</w:t>
      </w:r>
      <w:r>
        <w:rPr>
          <w:sz w:val="20"/>
        </w:rPr>
        <w:t>——</w:t>
      </w:r>
      <w:r>
        <w:rPr>
          <w:sz w:val="20"/>
        </w:rPr>
        <w:t>当挑战会话</w:t>
      </w:r>
      <w:r>
        <w:rPr>
          <w:sz w:val="20"/>
        </w:rPr>
        <w:t>因交互超时而停滞时，恢复使其重新获得推进能力；但它不直接改变正确性判断</w:t>
      </w:r>
      <w:r>
        <w:rPr>
          <w:sz w:val="20"/>
        </w:rPr>
        <w:t>——</w:t>
      </w:r>
      <w:r>
        <w:rPr>
          <w:sz w:val="20"/>
        </w:rPr>
        <w:t>一个原本错误的执行结果不会因恢复而变为正确。</w:t>
      </w:r>
    </w:p>
    <w:p w14:paraId="737F0E4B" w14:textId="77777777" w:rsidR="00580E0B" w:rsidRDefault="00000000">
      <w:pPr>
        <w:ind w:firstLine="408"/>
      </w:pPr>
      <w:r>
        <w:rPr>
          <w:sz w:val="20"/>
        </w:rPr>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w:t>
      </w:r>
      <w:r>
        <w:rPr>
          <w:sz w:val="20"/>
        </w:rPr>
        <w:t xml:space="preserve"> DA Merkle </w:t>
      </w:r>
      <w:r>
        <w:rPr>
          <w:sz w:val="20"/>
        </w:rPr>
        <w:t>根和</w:t>
      </w:r>
      <w:r>
        <w:rPr>
          <w:sz w:val="20"/>
        </w:rPr>
        <w:t xml:space="preserve"> DA </w:t>
      </w:r>
      <w:r>
        <w:rPr>
          <w:sz w:val="20"/>
        </w:rPr>
        <w:t>指针在提交时已锁定。</w:t>
      </w:r>
    </w:p>
    <w:p w14:paraId="6C54400A" w14:textId="77777777" w:rsidR="00580E0B" w:rsidRDefault="00000000">
      <w:pPr>
        <w:ind w:firstLine="408"/>
      </w:pPr>
      <w:r>
        <w:rPr>
          <w:sz w:val="20"/>
        </w:rPr>
        <w:t>综合来看，恢复机制恢复的是协议活性，而非重新定义正确性。正确性的最终裁决由重放阶段完成，恢复只保证该裁决环节能够被执行。</w:t>
      </w:r>
    </w:p>
    <w:p w14:paraId="7729B5F1" w14:textId="77777777" w:rsidR="00580E0B" w:rsidRDefault="00000000">
      <w:pPr>
        <w:spacing w:before="60" w:after="30" w:line="240" w:lineRule="auto"/>
        <w:ind w:firstLine="0"/>
        <w:jc w:val="left"/>
      </w:pPr>
      <w:r>
        <w:rPr>
          <w:rFonts w:eastAsia="黑体"/>
          <w:b/>
          <w:bCs/>
          <w:sz w:val="21"/>
          <w:szCs w:val="21"/>
        </w:rPr>
        <w:t>4.1.5.3  仲裁连续性</w:t>
      </w:r>
      <w:r>
        <w:rPr>
          <w:rFonts w:eastAsia="黑体"/>
          <w:b/>
          <w:bCs/>
          <w:sz w:val="21"/>
          <w:szCs w:val="21"/>
        </w:rPr>
      </w:r>
    </w:p>
    <w:p w14:paraId="1635D790" w14:textId="77777777" w:rsidR="00580E0B" w:rsidRDefault="00000000">
      <w:pPr>
        <w:ind w:firstLine="408"/>
      </w:pPr>
      <w:r>
        <w:rPr>
          <w:sz w:val="20"/>
        </w:rPr>
        <w:t>仲裁连续性是本文提出的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14:paraId="2A9B7047" w14:textId="77777777" w:rsidR="00580E0B" w:rsidRDefault="00000000">
      <w:pPr>
        <w:ind w:firstLine="408"/>
      </w:pPr>
      <w:r>
        <w:rPr>
          <w:sz w:val="20"/>
        </w:rPr>
        <w:t>传统基于超时的挑战协议可以完成异常检测</w:t>
      </w:r>
      <w:r>
        <w:rPr>
          <w:sz w:val="20"/>
        </w:rPr>
        <w:t>——</w:t>
      </w:r>
      <w:r>
        <w:rPr>
          <w:sz w:val="20"/>
        </w:rPr>
        <w:t>验证者观测到</w:t>
      </w:r>
      <w:r>
        <w:rPr>
          <w:sz w:val="20"/>
        </w:rPr>
        <w:t xml:space="preserve"> DA </w:t>
      </w:r>
      <w:r>
        <w:rPr>
          <w:sz w:val="20"/>
        </w:rPr>
        <w:t>不一致、响应不匹配或证明无效后，能够将异常记录为争议。然而，当挑战方或被挑战方在交互中超时未响应时，争议可能永久停留在中间状态，交易既不能最终确认也不能被罚没。这就是检测性与完成性的差异：传统方案关注</w:t>
      </w:r>
      <w:r>
        <w:rPr>
          <w:sz w:val="20"/>
        </w:rPr>
        <w:t>“</w:t>
      </w:r>
      <w:r>
        <w:rPr>
          <w:sz w:val="20"/>
        </w:rPr>
        <w:t>能否发现异常</w:t>
      </w:r>
      <w:r>
        <w:rPr>
          <w:sz w:val="20"/>
        </w:rPr>
        <w:t>”</w:t>
      </w:r>
      <w:r>
        <w:rPr>
          <w:sz w:val="20"/>
        </w:rPr>
        <w:t>，仲裁连续性关注</w:t>
      </w:r>
      <w:r>
        <w:rPr>
          <w:sz w:val="20"/>
        </w:rPr>
        <w:t>“</w:t>
      </w:r>
      <w:r>
        <w:rPr>
          <w:sz w:val="20"/>
        </w:rPr>
        <w:t>已发现的异常能否被处理完毕</w:t>
      </w:r>
      <w:r>
        <w:rPr>
          <w:sz w:val="20"/>
        </w:rPr>
        <w:t>”</w:t>
      </w:r>
      <w:r>
        <w:rPr>
          <w:sz w:val="20"/>
        </w:rPr>
        <w:t>。对于高频去中心化应用，未完成的挑战会话会占用状态、延迟结算，使链上对象长期处于不确定状态，直接损害结算确定性。</w:t>
      </w:r>
    </w:p>
    <w:p w14:paraId="282F19C7" w14:textId="77777777" w:rsidR="00580E0B" w:rsidRDefault="00000000">
      <w:pPr>
        <w:ind w:firstLine="408"/>
      </w:pPr>
      <w:r>
        <w:rPr>
          <w:sz w:val="20"/>
        </w:rPr>
        <w:t>可恢复挑战机制通过恢复函数在超时后恢复仲裁流程推进能力：Guardian（观察节点）调用恢复功能使超时会话回到可推进状态，从而继续二分缩小、重放和结算。实验结果表明，在当前原型设定下，恢复机制能够将超时停滞转化为可继续推进的仲裁流程。</w:t>
      </w:r>
    </w:p>
    <w:p>
      <w:pPr/>
      <w:r>
        <w:t>4.1.5.4  恢复操作正确性</w:t>
      </w:r>
    </w:p>
    <w:p>
      <w:pPr/>
      <w:r>
        <w:t>恢复操作正确性要求：若 Recover(cs)=cs'，则 Facts(cs)=Facts(cs')，且 cs' 处于可继续二分、重放或结算的活性状态。换言之，恢复不得改写状态根、DA 根、负载哈希、执行轨迹或重放证据，也不得将错误提交“洗白”为正确；它只消除超时造成的流程停滞。本文以状态转移表与不变量校验（INV1–INV7）支撑该性质，并明确标注其为协议层不变量检查，而非 TLA+/Kani/Certora 等机器可检验形式化证明。</w:t>
      </w:r>
    </w:p>
    <w:p w14:paraId="1C420DE5" w14:textId="77777777" w:rsidR="00580E0B" w:rsidRDefault="00000000">
      <w:pPr>
        <w:spacing w:before="80" w:after="40" w:line="240" w:lineRule="auto"/>
        <w:ind w:firstLine="0"/>
        <w:jc w:val="left"/>
      </w:pPr>
      <w:r>
        <w:rPr>
          <w:rFonts w:eastAsia="黑体"/>
          <w:b/>
          <w:bCs/>
          <w:sz w:val="23"/>
          <w:szCs w:val="23"/>
        </w:rPr>
        <w:t xml:space="preserve">4.2  </w:t>
      </w:r>
      <w:r>
        <w:rPr>
          <w:rFonts w:eastAsia="黑体"/>
          <w:b/>
          <w:bCs/>
          <w:sz w:val="23"/>
          <w:szCs w:val="23"/>
        </w:rPr>
        <w:t>携带证据的紧凑提交机制</w:t>
      </w:r>
    </w:p>
    <w:p w14:paraId="2D1BDB91" w14:textId="77777777" w:rsidR="00580E0B" w:rsidRDefault="00000000">
      <w:pPr>
        <w:ind w:firstLine="408"/>
      </w:pPr>
      <w:r>
        <w:rPr>
          <w:sz w:val="20"/>
        </w:rPr>
        <w:t>本节说明紧凑提交为什么不是单纯压缩结构。其研究价值在于携带异常路径所需的最小证据关联。该提交绑定状态根、输出哈希、证明哈希、数据可用性指针和数据可用性根：状态根约束输入、输出与环境摘要；输出哈</w:t>
      </w:r>
      <w:r>
        <w:rPr>
          <w:sz w:val="20"/>
        </w:rPr>
        <w:lastRenderedPageBreak/>
        <w:t>希约束响应；证明哈希约束证明；数据可用性指针定位完整负载；数据可用性根则承诺字段级证明成员关系。</w:t>
      </w:r>
    </w:p>
    <w:p w14:paraId="20C30732" w14:textId="77777777" w:rsidR="00580E0B" w:rsidRDefault="00000000">
      <w:pPr>
        <w:ind w:firstLine="408"/>
      </w:pPr>
      <w:r>
        <w:rPr>
          <w:sz w:val="20"/>
        </w:rPr>
        <w:t>这种绑定关系使验证者能够从链上提交进入数据可用性证据结构。若响应被篡改，验证者检查响应叶与</w:t>
      </w:r>
      <w:r>
        <w:rPr>
          <w:sz w:val="20"/>
        </w:rPr>
        <w:t xml:space="preserve"> Merkle </w:t>
      </w:r>
      <w:r>
        <w:rPr>
          <w:sz w:val="20"/>
        </w:rPr>
        <w:t>根；若证明与输出不一致，证明哈希和负载哈希形成交叉约束；若数据可用性证明损坏，系统可以将异常定位为证明无效，而不是混同为执行重放失败。由此，紧凑提交支持后续挑战和重放的证据加载，而不仅服务于链上字节压缩。</w:t>
      </w:r>
    </w:p>
    <w:p w14:paraId="74F7C182" w14:textId="77777777" w:rsidR="00580E0B" w:rsidRDefault="00000000">
      <w:pPr>
        <w:ind w:firstLine="408"/>
      </w:pPr>
      <w:r>
        <w:rPr>
          <w:sz w:val="20"/>
        </w:rP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14:paraId="5FC788D8" w14:textId="77777777" w:rsidR="00580E0B" w:rsidRDefault="00000000">
      <w:pPr>
        <w:spacing w:before="80" w:after="40" w:line="240" w:lineRule="auto"/>
        <w:ind w:firstLine="0"/>
        <w:jc w:val="left"/>
      </w:pPr>
      <w:r>
        <w:rPr>
          <w:rFonts w:eastAsia="黑体"/>
          <w:b/>
          <w:bCs/>
          <w:sz w:val="23"/>
          <w:szCs w:val="23"/>
        </w:rPr>
        <w:t xml:space="preserve">4.3  </w:t>
      </w:r>
      <w:r>
        <w:rPr>
          <w:rFonts w:eastAsia="黑体"/>
          <w:b/>
          <w:bCs/>
          <w:sz w:val="23"/>
          <w:szCs w:val="23"/>
        </w:rPr>
        <w:t>数据可用性感知成本评估</w:t>
      </w:r>
    </w:p>
    <w:p w14:paraId="04D9A09D" w14:textId="77777777" w:rsidR="00580E0B" w:rsidRDefault="00000000">
      <w:pPr>
        <w:ind w:firstLine="408"/>
      </w:pPr>
      <w:r>
        <w:rPr>
          <w:sz w:val="20"/>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14:paraId="2BF347DB" w14:textId="77777777" w:rsidR="00580E0B" w:rsidRDefault="00000000">
      <w:pPr>
        <w:ind w:firstLine="408"/>
      </w:pPr>
      <w:r>
        <w:t>模型比较四类</w:t>
      </w:r>
      <w:r>
        <w:t xml:space="preserve"> DA </w:t>
      </w:r>
      <w:r>
        <w:t>路径：全链上调用数据、紧凑外部</w:t>
      </w:r>
      <w:r>
        <w:t xml:space="preserve"> DA</w:t>
      </w:r>
      <w:r>
        <w:t>、紧凑类</w:t>
      </w:r>
      <w:r>
        <w:t xml:space="preserve"> EIP-4844 </w:t>
      </w:r>
      <w:r>
        <w:t>方案和紧凑模块化</w:t>
      </w:r>
      <w:r>
        <w:t xml:space="preserve"> DA </w:t>
      </w:r>
      <w:r>
        <w:t>采样</w:t>
      </w:r>
      <w:r>
        <w:rPr>
          <w:vertAlign w:val="superscript"/>
        </w:rPr>
        <w:t>[12]</w:t>
      </w:r>
      <w:r>
        <w:t>。该比较作为研究原型的成本建模工具，用于刻画不同数据发布路径的结构性差异。</w:t>
      </w:r>
    </w:p>
    <w:p w14:paraId="2F186577" w14:textId="77777777" w:rsidR="00580E0B" w:rsidRDefault="00000000">
      <w:pPr>
        <w:ind w:firstLine="408"/>
      </w:pPr>
      <w:r>
        <w:rPr>
          <w:sz w:val="20"/>
        </w:rPr>
        <w:t>模型表达为</w:t>
      </w:r>
      <w:r>
        <w:rPr>
          <w:sz w:val="20"/>
        </w:rPr>
        <w:t xml:space="preserve"> C_total = C_commit + C_DA + p_challenge × C_challenge</w:t>
      </w:r>
      <w:r>
        <w:rPr>
          <w:sz w:val="20"/>
        </w:rPr>
        <w:t>。其中</w:t>
      </w:r>
      <w:r>
        <w:rPr>
          <w:sz w:val="20"/>
        </w:rPr>
        <w:t xml:space="preserve"> 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表示争议发生概率。批处理后单笔摊销成本记为</w:t>
      </w:r>
      <w:r>
        <w:rPr>
          <w:sz w:val="20"/>
        </w:rPr>
        <w:t xml:space="preserve"> C_amortized = C_total / batch_size</w:t>
      </w:r>
      <w:r>
        <w:rPr>
          <w:sz w:val="20"/>
        </w:rPr>
        <w:t>。</w:t>
      </w:r>
    </w:p>
    <w:p w14:paraId="55F955F4" w14:textId="77777777" w:rsidR="00580E0B" w:rsidRDefault="00000000">
      <w:pPr>
        <w:ind w:firstLine="408"/>
      </w:pPr>
      <w:r>
        <w:rPr>
          <w:sz w:val="20"/>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14:paraId="596355AB" w14:textId="77777777" w:rsidR="00580E0B" w:rsidRDefault="00000000">
      <w:pPr>
        <w:spacing w:before="120" w:after="60" w:line="240" w:lineRule="auto"/>
        <w:ind w:firstLine="0"/>
        <w:jc w:val="left"/>
      </w:pPr>
      <w:r>
        <w:rPr>
          <w:rFonts w:eastAsia="黑体"/>
          <w:b/>
          <w:bCs/>
          <w:sz w:val="23"/>
          <w:szCs w:val="23"/>
        </w:rPr>
        <w:t xml:space="preserve">5  </w:t>
      </w:r>
      <w:r>
        <w:rPr>
          <w:rFonts w:eastAsia="黑体"/>
          <w:b/>
          <w:bCs/>
          <w:sz w:val="23"/>
          <w:szCs w:val="23"/>
        </w:rPr>
        <w:t>实验评估</w:t>
      </w:r>
    </w:p>
    <w:p w14:paraId="52DA6DC4" w14:textId="77777777" w:rsidR="00580E0B" w:rsidRDefault="00000000">
      <w:pPr>
        <w:ind w:firstLine="408"/>
      </w:pPr>
      <w:r>
        <w:rPr>
          <w:sz w:val="20"/>
        </w:rPr>
        <w:t>实验评估围绕机制可运行性与对比趋势展开。当前实验使用</w:t>
      </w:r>
      <w:r>
        <w:rPr>
          <w:sz w:val="20"/>
        </w:rPr>
        <w:t xml:space="preserve"> Python </w:t>
      </w:r>
      <w:r>
        <w:rPr>
          <w:sz w:val="20"/>
        </w:rPr>
        <w:t>原型、模拟</w:t>
      </w:r>
      <w:r>
        <w:rPr>
          <w:sz w:val="20"/>
        </w:rPr>
        <w:t xml:space="preserve"> TEE</w:t>
      </w:r>
      <w:r>
        <w:rPr>
          <w:sz w:val="20"/>
        </w:rPr>
        <w:t>、合成负载、可验证</w:t>
      </w:r>
      <w:r>
        <w:rPr>
          <w:sz w:val="20"/>
        </w:rPr>
        <w:t xml:space="preserve"> DA </w:t>
      </w:r>
      <w:r>
        <w:rPr>
          <w:sz w:val="20"/>
        </w:rPr>
        <w:t>注册表、本地</w:t>
      </w:r>
      <w:r>
        <w:rPr>
          <w:sz w:val="20"/>
        </w:rPr>
        <w:t xml:space="preserve"> EVM gas </w:t>
      </w:r>
      <w:r>
        <w:rPr>
          <w:sz w:val="20"/>
        </w:rPr>
        <w:t>测量和</w:t>
      </w:r>
      <w:r>
        <w:rPr>
          <w:sz w:val="20"/>
        </w:rPr>
        <w:t xml:space="preserve"> Sepolia </w:t>
      </w:r>
      <w:r>
        <w:rPr>
          <w:sz w:val="20"/>
        </w:rPr>
        <w:t>测试网部署记录。</w:t>
      </w:r>
      <w:r>
        <w:rPr>
          <w:sz w:val="20"/>
        </w:rPr>
        <w:t xml:space="preserve">RQ1 </w:t>
      </w:r>
      <w:r>
        <w:rPr>
          <w:sz w:val="20"/>
        </w:rPr>
        <w:t>关注紧凑提交是否在保留证据关联的同时隔离负载增长；</w:t>
      </w:r>
      <w:r>
        <w:rPr>
          <w:sz w:val="20"/>
        </w:rPr>
        <w:t xml:space="preserve">RQ2 </w:t>
      </w:r>
      <w:r>
        <w:rPr>
          <w:sz w:val="20"/>
        </w:rPr>
        <w:t>关注批处理摊销与</w:t>
      </w:r>
      <w:r>
        <w:rPr>
          <w:sz w:val="20"/>
        </w:rPr>
        <w:t xml:space="preserve"> DA </w:t>
      </w:r>
      <w:r>
        <w:rPr>
          <w:sz w:val="20"/>
        </w:rPr>
        <w:t>路径选择的影响；</w:t>
      </w:r>
      <w:r>
        <w:rPr>
          <w:sz w:val="20"/>
        </w:rPr>
        <w:t xml:space="preserve">RQ3 </w:t>
      </w:r>
      <w:r>
        <w:rPr>
          <w:sz w:val="20"/>
        </w:rPr>
        <w:t>关注恢复机制是否改善超时场景下的挑战活性；</w:t>
      </w:r>
      <w:r>
        <w:rPr>
          <w:sz w:val="20"/>
        </w:rPr>
        <w:t xml:space="preserve">RQ4 </w:t>
      </w:r>
      <w:r>
        <w:rPr>
          <w:sz w:val="20"/>
        </w:rPr>
        <w:t>关注不同故障类型能否被检测、恢复、重放或罚没；</w:t>
      </w:r>
      <w:r>
        <w:rPr>
          <w:sz w:val="20"/>
        </w:rPr>
        <w:t xml:space="preserve">RQ5 </w:t>
      </w:r>
      <w:r>
        <w:rPr>
          <w:sz w:val="20"/>
        </w:rPr>
        <w:t>关注</w:t>
      </w:r>
      <w:r>
        <w:rPr>
          <w:sz w:val="20"/>
        </w:rPr>
        <w:t xml:space="preserve"> Solidity </w:t>
      </w:r>
      <w:r>
        <w:rPr>
          <w:sz w:val="20"/>
        </w:rPr>
        <w:t>合约、本地</w:t>
      </w:r>
      <w:r>
        <w:rPr>
          <w:sz w:val="20"/>
        </w:rPr>
        <w:t xml:space="preserve"> EVM </w:t>
      </w:r>
      <w:r>
        <w:rPr>
          <w:sz w:val="20"/>
        </w:rPr>
        <w:t>实测与</w:t>
      </w:r>
      <w:r>
        <w:rPr>
          <w:sz w:val="20"/>
        </w:rPr>
        <w:t xml:space="preserve"> Sepolia </w:t>
      </w:r>
      <w:r>
        <w:rPr>
          <w:sz w:val="20"/>
        </w:rPr>
        <w:t>部署能否支撑链上对应物。</w:t>
      </w:r>
    </w:p>
    <w:p w14:paraId="20B1E095" w14:textId="77777777" w:rsidR="00580E0B" w:rsidRDefault="00000000">
      <w:pPr>
        <w:ind w:firstLine="408"/>
      </w:pPr>
      <w:r>
        <w:rPr>
          <w:sz w:val="20"/>
        </w:rPr>
        <w:t xml:space="preserve">C_total = C_commit + C_DA + p_challenge × C_challenge </w:t>
      </w:r>
      <w:r>
        <w:rPr>
          <w:sz w:val="20"/>
        </w:rPr>
        <w:t>（</w:t>
      </w:r>
      <w:r>
        <w:rPr>
          <w:sz w:val="20"/>
        </w:rPr>
        <w:t>1</w:t>
      </w:r>
      <w:r>
        <w:rPr>
          <w:sz w:val="20"/>
        </w:rPr>
        <w:t>）</w:t>
      </w:r>
    </w:p>
    <w:p w14:paraId="63016894" w14:textId="77777777" w:rsidR="00580E0B" w:rsidRDefault="00000000">
      <w:pPr>
        <w:ind w:firstLine="408"/>
      </w:pPr>
      <w:r>
        <w:rPr>
          <w:sz w:val="20"/>
        </w:rPr>
        <w:t xml:space="preserve">C_amortized = C_total / batch_size </w:t>
      </w:r>
      <w:r>
        <w:rPr>
          <w:sz w:val="20"/>
        </w:rPr>
        <w:t>（</w:t>
      </w:r>
      <w:r>
        <w:rPr>
          <w:sz w:val="20"/>
        </w:rPr>
        <w:t>2</w:t>
      </w:r>
      <w:r>
        <w:rPr>
          <w:sz w:val="20"/>
        </w:rPr>
        <w:t>）</w:t>
      </w:r>
    </w:p>
    <w:p w14:paraId="4815D54D" w14:textId="77777777" w:rsidR="00580E0B" w:rsidRDefault="00000000">
      <w:pPr>
        <w:ind w:firstLine="408"/>
      </w:pPr>
      <w:r>
        <w:rPr>
          <w:sz w:val="20"/>
        </w:rPr>
        <w:t>其中，</w:t>
      </w:r>
      <w:r>
        <w:rPr>
          <w:sz w:val="20"/>
        </w:rPr>
        <w:t xml:space="preserve">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w:t>
      </w:r>
    </w:p>
    <w:p w14:paraId="08A4B528" w14:textId="4EAC2233" w:rsidR="00580E0B" w:rsidRDefault="00000000">
      <w:pPr>
        <w:spacing w:before="80" w:after="40" w:line="240" w:lineRule="auto"/>
        <w:ind w:firstLine="0"/>
        <w:jc w:val="left"/>
      </w:pPr>
      <w:r>
        <w:rPr>
          <w:rFonts w:eastAsia="黑体"/>
          <w:b/>
          <w:bCs/>
          <w:sz w:val="23"/>
          <w:szCs w:val="23"/>
        </w:rPr>
        <w:t xml:space="preserve">5.1  </w:t>
      </w:r>
      <w:r>
        <w:rPr>
          <w:rFonts w:eastAsia="黑体"/>
          <w:b/>
          <w:bCs/>
          <w:sz w:val="23"/>
          <w:szCs w:val="23"/>
        </w:rPr>
        <w:t>紧凑提交能否降低链上提交规模</w:t>
      </w:r>
    </w:p>
    <w:p w14:paraId="31C66C44" w14:textId="77777777" w:rsidR="00580E0B" w:rsidRDefault="00000000">
      <w:pPr>
        <w:ind w:firstLine="408"/>
      </w:pPr>
      <w:r>
        <w:rPr>
          <w:sz w:val="20"/>
        </w:rPr>
        <w:t xml:space="preserve">RQ1 </w:t>
      </w:r>
      <w:r>
        <w:rPr>
          <w:sz w:val="20"/>
        </w:rPr>
        <w:t>隔离考察提交结构。</w:t>
      </w:r>
      <w:r>
        <w:rPr>
          <w:sz w:val="20"/>
        </w:rPr>
        <w:t xml:space="preserve">Python </w:t>
      </w:r>
      <w:r>
        <w:rPr>
          <w:sz w:val="20"/>
        </w:rPr>
        <w:t>原型在模拟</w:t>
      </w:r>
      <w:r>
        <w:rPr>
          <w:sz w:val="20"/>
        </w:rPr>
        <w:t xml:space="preserve"> TEE </w:t>
      </w:r>
      <w:r>
        <w:rPr>
          <w:sz w:val="20"/>
        </w:rPr>
        <w:t>下生成合成账本条目，比较完整负载与紧凑提交的规范</w:t>
      </w:r>
      <w:r>
        <w:rPr>
          <w:sz w:val="20"/>
        </w:rPr>
        <w:t xml:space="preserve"> JSON </w:t>
      </w:r>
      <w:r>
        <w:rPr>
          <w:sz w:val="20"/>
        </w:rPr>
        <w:t>字节数。度量指标包括完整字节数、紧凑字节数和字节降幅比例。完整字节数表示完整提示、响应和远程证明都作为负载的一部分时的总字节数；紧凑字节数仅计算提交结构字节数。</w:t>
      </w:r>
    </w:p>
    <w:p w14:paraId="2434310A" w14:textId="77777777" w:rsidR="00580E0B" w:rsidRDefault="00000000">
      <w:pPr>
        <w:ind w:firstLine="408"/>
      </w:pPr>
      <w:r>
        <w:rPr>
          <w:sz w:val="20"/>
        </w:rPr>
        <w:t>对比结果呈现出清晰的隔离关系：紧凑提交基本保持在</w:t>
      </w:r>
      <w:r>
        <w:rPr>
          <w:sz w:val="20"/>
        </w:rPr>
        <w:t xml:space="preserve"> 406 </w:t>
      </w:r>
      <w:r>
        <w:rPr>
          <w:sz w:val="20"/>
        </w:rPr>
        <w:t>字节左右，而完整负载字节数随负载大小增大而增长。当负载大小为</w:t>
      </w:r>
      <w:r>
        <w:rPr>
          <w:sz w:val="20"/>
        </w:rPr>
        <w:t xml:space="preserve"> 8192 </w:t>
      </w:r>
      <w:r>
        <w:rPr>
          <w:sz w:val="20"/>
        </w:rPr>
        <w:t>时，提示长度为</w:t>
      </w:r>
      <w:r>
        <w:rPr>
          <w:sz w:val="20"/>
        </w:rPr>
        <w:t xml:space="preserve"> 64 </w:t>
      </w:r>
      <w:r>
        <w:rPr>
          <w:sz w:val="20"/>
        </w:rPr>
        <w:t>和</w:t>
      </w:r>
      <w:r>
        <w:rPr>
          <w:sz w:val="20"/>
        </w:rPr>
        <w:t xml:space="preserve"> 256 </w:t>
      </w:r>
      <w:r>
        <w:rPr>
          <w:sz w:val="20"/>
        </w:rPr>
        <w:t>的完整负载字节数分别约为</w:t>
      </w:r>
      <w:r>
        <w:rPr>
          <w:sz w:val="20"/>
        </w:rPr>
        <w:t xml:space="preserve"> 50068.84 </w:t>
      </w:r>
      <w:r>
        <w:rPr>
          <w:sz w:val="20"/>
        </w:rPr>
        <w:t>和</w:t>
      </w:r>
      <w:r>
        <w:rPr>
          <w:sz w:val="20"/>
        </w:rPr>
        <w:t xml:space="preserve"> 50262.84</w:t>
      </w:r>
      <w:r>
        <w:rPr>
          <w:sz w:val="20"/>
        </w:rPr>
        <w:t>，而紧凑提交仍为</w:t>
      </w:r>
      <w:r>
        <w:rPr>
          <w:sz w:val="20"/>
        </w:rPr>
        <w:t xml:space="preserve"> 406.00 </w:t>
      </w:r>
      <w:r>
        <w:rPr>
          <w:sz w:val="20"/>
        </w:rPr>
        <w:t>字节。这说明紧凑提交能够隔离负载规模扩展与链上提交规模，同时保留重放准备能力。</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67F26BC7" w14:textId="77777777">
        <w:trPr>
          <w:jc w:val="center"/>
        </w:trPr>
        <w:tc>
          <w:tcPr>
            <w:tcW w:w="4464" w:type="dxa"/>
            <w:tcBorders>
              <w:bottom w:val="single" w:sz="6" w:space="0" w:color="000000"/>
            </w:tcBorders>
            <w:vAlign w:val="center"/>
          </w:tcPr>
          <w:p w14:paraId="014A194A" w14:textId="77777777" w:rsidR="00580E0B" w:rsidRDefault="00000000">
            <w:pPr>
              <w:keepNext/>
              <w:spacing w:line="180" w:lineRule="auto"/>
              <w:ind w:firstLine="0"/>
              <w:jc w:val="center"/>
            </w:pPr>
            <w:r>
              <w:rPr>
                <w:noProof/>
                <w:sz w:val="15"/>
                <w:szCs w:val="15"/>
              </w:rPr>
              <w:drawing>
                <wp:inline distT="0" distB="0" distL="0" distR="0" wp14:anchorId="6E6D6CDA" wp14:editId="24459828">
                  <wp:extent cx="2833307" cy="13335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835785" cy="1334666"/>
                          </a:xfrm>
                          <a:prstGeom prst="rect">
                            <a:avLst/>
                          </a:prstGeom>
                        </pic:spPr>
                      </pic:pic>
                    </a:graphicData>
                  </a:graphic>
                </wp:inline>
              </w:drawing>
            </w:r>
          </w:p>
          <w:p w14:paraId="12B8D865" w14:textId="77777777" w:rsidR="00580E0B" w:rsidRDefault="00000000">
            <w:pPr>
              <w:spacing w:line="180" w:lineRule="auto"/>
              <w:ind w:firstLine="0"/>
              <w:jc w:val="center"/>
            </w:pPr>
            <w:r>
              <w:rPr>
                <w:sz w:val="15"/>
                <w:szCs w:val="15"/>
              </w:rPr>
              <w:t>图</w:t>
            </w:r>
            <w:r>
              <w:rPr>
                <w:sz w:val="15"/>
                <w:szCs w:val="15"/>
              </w:rPr>
              <w:t xml:space="preserve"> 3  </w:t>
            </w:r>
            <w:r>
              <w:rPr>
                <w:sz w:val="15"/>
                <w:szCs w:val="15"/>
              </w:rPr>
              <w:t>完整负载与紧凑提交的字节规模对比</w:t>
            </w:r>
          </w:p>
          <w:p w14:paraId="58524A1F" w14:textId="77777777" w:rsidR="00580E0B" w:rsidRDefault="00000000">
            <w:pPr>
              <w:spacing w:line="180" w:lineRule="auto"/>
              <w:ind w:firstLine="0"/>
              <w:jc w:val="center"/>
            </w:pPr>
            <w:r>
              <w:rPr>
                <w:sz w:val="15"/>
                <w:szCs w:val="15"/>
              </w:rPr>
              <w:t>Fig.3  Byte-size comparison between full payloads and compact commits</w:t>
            </w:r>
          </w:p>
        </w:tc>
      </w:tr>
    </w:tbl>
    <w:p w14:paraId="5A1D91A6" w14:textId="41E11569" w:rsidR="00580E0B" w:rsidRDefault="00000000">
      <w:pPr>
        <w:spacing w:before="80" w:after="40" w:line="240" w:lineRule="auto"/>
        <w:ind w:firstLine="0"/>
        <w:jc w:val="left"/>
      </w:pPr>
      <w:r>
        <w:rPr>
          <w:rFonts w:eastAsia="黑体"/>
          <w:b/>
          <w:bCs/>
          <w:sz w:val="23"/>
          <w:szCs w:val="23"/>
        </w:rPr>
        <w:t>5.2</w:t>
      </w:r>
      <w:r w:rsidR="00864984">
        <w:rPr>
          <w:rFonts w:eastAsia="黑体" w:hint="eastAsia"/>
          <w:b/>
          <w:bCs/>
          <w:sz w:val="23"/>
          <w:szCs w:val="23"/>
        </w:rPr>
        <w:t xml:space="preserve">  </w:t>
      </w:r>
      <w:r>
        <w:rPr>
          <w:rFonts w:eastAsia="黑体"/>
          <w:b/>
          <w:bCs/>
          <w:sz w:val="23"/>
          <w:szCs w:val="23"/>
        </w:rPr>
        <w:t>批大小如何影响</w:t>
      </w:r>
      <w:r>
        <w:rPr>
          <w:rFonts w:eastAsia="黑体"/>
          <w:b/>
          <w:bCs/>
          <w:sz w:val="23"/>
          <w:szCs w:val="23"/>
        </w:rPr>
        <w:t xml:space="preserve"> DA </w:t>
      </w:r>
      <w:r>
        <w:rPr>
          <w:rFonts w:eastAsia="黑体"/>
          <w:b/>
          <w:bCs/>
          <w:sz w:val="23"/>
          <w:szCs w:val="23"/>
        </w:rPr>
        <w:t>感知摊销成本</w:t>
      </w:r>
    </w:p>
    <w:p w14:paraId="3B697DC6" w14:textId="77777777" w:rsidR="00580E0B" w:rsidRDefault="00000000">
      <w:pPr>
        <w:ind w:firstLine="408"/>
      </w:pPr>
      <w:r>
        <w:rPr>
          <w:sz w:val="20"/>
        </w:rPr>
        <w:lastRenderedPageBreak/>
        <w:t xml:space="preserve">RQ2 </w:t>
      </w:r>
      <w:r>
        <w:rPr>
          <w:sz w:val="20"/>
        </w:rPr>
        <w:t>关注提交策略在何种条件下会改变高频合成负载的系统可行性。实验比较全链上调用数据、紧凑外部</w:t>
      </w:r>
      <w:r>
        <w:rPr>
          <w:sz w:val="20"/>
        </w:rPr>
        <w:t xml:space="preserve"> DA</w:t>
      </w:r>
      <w:r>
        <w:rPr>
          <w:sz w:val="20"/>
        </w:rPr>
        <w:t>、紧凑类</w:t>
      </w:r>
      <w:r>
        <w:rPr>
          <w:sz w:val="20"/>
        </w:rPr>
        <w:t xml:space="preserve"> EIP-4844 </w:t>
      </w:r>
      <w:r>
        <w:rPr>
          <w:sz w:val="20"/>
        </w:rPr>
        <w:t>方案和紧凑模块化</w:t>
      </w:r>
      <w:r>
        <w:rPr>
          <w:sz w:val="20"/>
        </w:rPr>
        <w:t xml:space="preserve"> DA </w:t>
      </w:r>
      <w:r>
        <w:rPr>
          <w:sz w:val="20"/>
        </w:rPr>
        <w:t>采样四类路线。主要指标为摊销</w:t>
      </w:r>
      <w:r>
        <w:rPr>
          <w:sz w:val="20"/>
        </w:rPr>
        <w:t xml:space="preserve"> gas </w:t>
      </w:r>
      <w:r>
        <w:rPr>
          <w:sz w:val="20"/>
        </w:rPr>
        <w:t>用量和降幅比例。</w:t>
      </w:r>
    </w:p>
    <w:p w14:paraId="590AE10E" w14:textId="77777777" w:rsidR="00580E0B" w:rsidRDefault="00000000">
      <w:pPr>
        <w:ind w:firstLine="408"/>
      </w:pPr>
      <w:r>
        <w:rPr>
          <w:sz w:val="20"/>
        </w:rPr>
        <w:t>趋势表明，当负载发布成为主要开销时，批处理摊销的作用会更加明显。以负载</w:t>
      </w:r>
      <w:r>
        <w:rPr>
          <w:sz w:val="20"/>
        </w:rPr>
        <w:t xml:space="preserve"> 8192 </w:t>
      </w:r>
      <w:r>
        <w:rPr>
          <w:sz w:val="20"/>
        </w:rPr>
        <w:t>为例，全链上调用数据的估算</w:t>
      </w:r>
      <w:r>
        <w:rPr>
          <w:sz w:val="20"/>
        </w:rPr>
        <w:t xml:space="preserve"> gas </w:t>
      </w:r>
      <w:r>
        <w:rPr>
          <w:sz w:val="20"/>
        </w:rPr>
        <w:t>用量从批大小</w:t>
      </w:r>
      <w:r>
        <w:rPr>
          <w:sz w:val="20"/>
        </w:rPr>
        <w:t xml:space="preserve"> 1 </w:t>
      </w:r>
      <w:r>
        <w:rPr>
          <w:sz w:val="20"/>
        </w:rPr>
        <w:t>时的</w:t>
      </w:r>
      <w:r>
        <w:rPr>
          <w:sz w:val="20"/>
        </w:rPr>
        <w:t xml:space="preserve"> 801101.44 </w:t>
      </w:r>
      <w:r>
        <w:rPr>
          <w:sz w:val="20"/>
        </w:rPr>
        <w:t>下降到批大小</w:t>
      </w:r>
      <w:r>
        <w:rPr>
          <w:sz w:val="20"/>
        </w:rPr>
        <w:t xml:space="preserve"> 1000 </w:t>
      </w:r>
      <w:r>
        <w:rPr>
          <w:sz w:val="20"/>
        </w:rPr>
        <w:t>时的</w:t>
      </w:r>
      <w:r>
        <w:rPr>
          <w:sz w:val="20"/>
        </w:rPr>
        <w:t xml:space="preserve"> 801.21</w:t>
      </w:r>
      <w:r>
        <w:rPr>
          <w:sz w:val="20"/>
        </w:rPr>
        <w:t>；而紧凑模块化</w:t>
      </w:r>
      <w:r>
        <w:rPr>
          <w:sz w:val="20"/>
        </w:rPr>
        <w:t xml:space="preserve"> DA </w:t>
      </w:r>
      <w:r>
        <w:rPr>
          <w:sz w:val="20"/>
        </w:rPr>
        <w:t>采样从</w:t>
      </w:r>
      <w:r>
        <w:rPr>
          <w:sz w:val="20"/>
        </w:rPr>
        <w:t xml:space="preserve"> 29026.98 </w:t>
      </w:r>
      <w:r>
        <w:rPr>
          <w:sz w:val="20"/>
        </w:rPr>
        <w:t>降至</w:t>
      </w:r>
      <w:r>
        <w:rPr>
          <w:sz w:val="20"/>
        </w:rPr>
        <w:t xml:space="preserve"> 29.03</w:t>
      </w:r>
      <w:r>
        <w:rPr>
          <w:sz w:val="20"/>
        </w:rPr>
        <w:t>。</w:t>
      </w:r>
      <w:r>
        <w:rPr>
          <w:sz w:val="20"/>
        </w:rPr>
        <w:t xml:space="preserve">96.33% </w:t>
      </w:r>
      <w:r>
        <w:rPr>
          <w:sz w:val="20"/>
        </w:rPr>
        <w:t>是给定成本模型与数据可用性配置下的趋势结果，说明紧凑模块化</w:t>
      </w:r>
      <w:r>
        <w:rPr>
          <w:sz w:val="20"/>
        </w:rPr>
        <w:t xml:space="preserve"> DA </w:t>
      </w:r>
      <w:r>
        <w:rPr>
          <w:sz w:val="20"/>
        </w:rPr>
        <w:t>采样在大负载与大批处理条件下具有结构性优势。</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2E788C14" w14:textId="77777777">
        <w:trPr>
          <w:jc w:val="center"/>
        </w:trPr>
        <w:tc>
          <w:tcPr>
            <w:tcW w:w="4464" w:type="dxa"/>
            <w:tcBorders>
              <w:bottom w:val="single" w:sz="6" w:space="0" w:color="000000"/>
            </w:tcBorders>
            <w:vAlign w:val="center"/>
          </w:tcPr>
          <w:p w14:paraId="1168C4E8" w14:textId="77777777" w:rsidR="00580E0B" w:rsidRDefault="00000000">
            <w:pPr>
              <w:keepNext/>
              <w:spacing w:line="180" w:lineRule="auto"/>
              <w:ind w:firstLine="0"/>
              <w:jc w:val="center"/>
            </w:pPr>
            <w:r>
              <w:rPr>
                <w:noProof/>
                <w:sz w:val="15"/>
                <w:szCs w:val="15"/>
              </w:rPr>
              <w:drawing>
                <wp:inline distT="0" distB="0" distL="0" distR="0" wp14:anchorId="5344FF98" wp14:editId="190E44A9">
                  <wp:extent cx="2834640" cy="15901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834640" cy="1590164"/>
                          </a:xfrm>
                          <a:prstGeom prst="rect">
                            <a:avLst/>
                          </a:prstGeom>
                        </pic:spPr>
                      </pic:pic>
                    </a:graphicData>
                  </a:graphic>
                </wp:inline>
              </w:drawing>
            </w:r>
          </w:p>
          <w:p w14:paraId="7B56C48E" w14:textId="77777777" w:rsidR="00580E0B" w:rsidRDefault="00000000">
            <w:pPr>
              <w:spacing w:line="180" w:lineRule="auto"/>
              <w:ind w:firstLine="0"/>
              <w:jc w:val="center"/>
            </w:pPr>
            <w:r>
              <w:rPr>
                <w:sz w:val="15"/>
                <w:szCs w:val="15"/>
              </w:rPr>
              <w:t>图</w:t>
            </w:r>
            <w:r>
              <w:rPr>
                <w:sz w:val="15"/>
                <w:szCs w:val="15"/>
              </w:rPr>
              <w:t xml:space="preserve"> 4  </w:t>
            </w:r>
            <w:r>
              <w:rPr>
                <w:sz w:val="15"/>
                <w:szCs w:val="15"/>
              </w:rPr>
              <w:t>不同数据可用性配置下的摊销</w:t>
            </w:r>
            <w:r>
              <w:rPr>
                <w:sz w:val="15"/>
                <w:szCs w:val="15"/>
              </w:rPr>
              <w:t xml:space="preserve"> gas </w:t>
            </w:r>
            <w:r>
              <w:rPr>
                <w:sz w:val="15"/>
                <w:szCs w:val="15"/>
              </w:rPr>
              <w:t>用量趋势</w:t>
            </w:r>
          </w:p>
          <w:p w14:paraId="4ABF7857" w14:textId="77777777" w:rsidR="00580E0B" w:rsidRDefault="00000000">
            <w:pPr>
              <w:spacing w:line="180" w:lineRule="auto"/>
              <w:ind w:firstLine="0"/>
              <w:jc w:val="center"/>
            </w:pPr>
            <w:r>
              <w:rPr>
                <w:sz w:val="15"/>
                <w:szCs w:val="15"/>
              </w:rPr>
              <w:t>Fig.4  Amortized gas trends under different DA configurations</w:t>
            </w:r>
          </w:p>
        </w:tc>
      </w:tr>
    </w:tbl>
    <w:p w14:paraId="61A2B960" w14:textId="54674178" w:rsidR="00580E0B" w:rsidRDefault="00000000">
      <w:pPr>
        <w:spacing w:before="80" w:after="40" w:line="240" w:lineRule="auto"/>
        <w:ind w:firstLine="0"/>
        <w:jc w:val="left"/>
      </w:pPr>
      <w:r>
        <w:rPr>
          <w:rFonts w:eastAsia="黑体"/>
          <w:b/>
          <w:bCs/>
          <w:sz w:val="23"/>
          <w:szCs w:val="23"/>
        </w:rPr>
        <w:t xml:space="preserve">5.3  </w:t>
      </w:r>
      <w:r>
        <w:rPr>
          <w:rFonts w:eastAsia="黑体"/>
          <w:b/>
          <w:bCs/>
          <w:sz w:val="23"/>
          <w:szCs w:val="23"/>
        </w:rPr>
        <w:t>恢复机制能否改善超时场景下的挑战活性</w:t>
      </w:r>
    </w:p>
    <w:p w14:paraId="3AAE771C" w14:textId="77777777" w:rsidR="00580E0B" w:rsidRDefault="00000000">
      <w:pPr>
        <w:ind w:firstLine="408"/>
      </w:pPr>
      <w:r>
        <w:rPr>
          <w:sz w:val="20"/>
        </w:rPr>
        <w:t xml:space="preserve">RQ3 </w:t>
      </w:r>
      <w:r>
        <w:rPr>
          <w:sz w:val="20"/>
        </w:rPr>
        <w:t>检验本文的核心活性主张。该实验对应第</w:t>
      </w:r>
      <w:r>
        <w:rPr>
          <w:sz w:val="20"/>
        </w:rPr>
        <w:t xml:space="preserve"> 4.1.4 </w:t>
      </w:r>
      <w:r>
        <w:rPr>
          <w:sz w:val="20"/>
        </w:rPr>
        <w:t>节定义的仲裁连续性。</w:t>
      </w:r>
      <w:r>
        <w:rPr>
          <w:sz w:val="20"/>
        </w:rPr>
        <w:t xml:space="preserve">Python </w:t>
      </w:r>
      <w:r>
        <w:rPr>
          <w:sz w:val="20"/>
        </w:rPr>
        <w:t>原型在不可恢复路径与可恢复路径两条路径中使用相同的合成挑战状态机，轨迹步数覆盖</w:t>
      </w:r>
      <w:r>
        <w:rPr>
          <w:sz w:val="20"/>
        </w:rPr>
        <w:t xml:space="preserve"> 4 </w:t>
      </w:r>
      <w:r>
        <w:rPr>
          <w:sz w:val="20"/>
        </w:rPr>
        <w:t>至</w:t>
      </w:r>
      <w:r>
        <w:rPr>
          <w:sz w:val="20"/>
        </w:rPr>
        <w:t xml:space="preserve"> 128</w:t>
      </w:r>
      <w:r>
        <w:rPr>
          <w:sz w:val="20"/>
        </w:rPr>
        <w:t>，挑战超时设为</w:t>
      </w:r>
      <w:r>
        <w:rPr>
          <w:sz w:val="20"/>
        </w:rPr>
        <w:t xml:space="preserve"> 2 </w:t>
      </w:r>
      <w:r>
        <w:rPr>
          <w:sz w:val="20"/>
        </w:rPr>
        <w:t>秒。关键问题是：超时被检测后，会话是否仍能继续进入重放、结算与罚没。</w:t>
      </w:r>
    </w:p>
    <w:p w14:paraId="521C41D7" w14:textId="77777777" w:rsidR="00580E0B" w:rsidRDefault="00000000">
      <w:pPr>
        <w:ind w:firstLine="408"/>
      </w:pPr>
      <w:r>
        <w:rPr>
          <w:sz w:val="20"/>
        </w:rPr>
        <w:t>二分定位行为与理论对数趋势一致。更关键的是不可恢复与可恢复路径的对比：在超时不可恢复场景中，检测率达到</w:t>
      </w:r>
      <w:r>
        <w:rPr>
          <w:sz w:val="20"/>
        </w:rPr>
        <w:t xml:space="preserve"> 100%</w:t>
      </w:r>
      <w:r>
        <w:rPr>
          <w:sz w:val="20"/>
        </w:rPr>
        <w:t>，但挑战成功率和罚没比例均为</w:t>
      </w:r>
      <w:r>
        <w:rPr>
          <w:sz w:val="20"/>
        </w:rPr>
        <w:t xml:space="preserve"> 0%</w:t>
      </w:r>
      <w:r>
        <w:rPr>
          <w:sz w:val="20"/>
        </w:rPr>
        <w:t>；在超时可恢复场景中，在当前原型合成负载下均可达到</w:t>
      </w:r>
      <w:r>
        <w:rPr>
          <w:sz w:val="20"/>
        </w:rPr>
        <w:t xml:space="preserve"> 100%</w:t>
      </w:r>
      <w:r>
        <w:rPr>
          <w:sz w:val="20"/>
        </w:rPr>
        <w:t>。该对比说明，超时检测本身并不等价于协议推进。</w:t>
      </w:r>
    </w:p>
    <w:p w14:paraId="2116B8B0" w14:textId="77777777" w:rsidR="00580E0B" w:rsidRDefault="00000000">
      <w:pPr>
        <w:spacing w:before="60" w:after="30" w:line="240" w:lineRule="auto"/>
        <w:ind w:firstLine="0"/>
        <w:jc w:val="left"/>
      </w:pPr>
      <w:r>
        <w:rPr>
          <w:rFonts w:eastAsia="黑体"/>
          <w:b/>
          <w:bCs/>
          <w:sz w:val="21"/>
          <w:szCs w:val="21"/>
        </w:rPr>
        <w:t xml:space="preserve">5.3.1  </w:t>
      </w:r>
      <w:r>
        <w:rPr>
          <w:rFonts w:eastAsia="黑体"/>
          <w:b/>
          <w:bCs/>
          <w:sz w:val="21"/>
          <w:szCs w:val="21"/>
        </w:rPr>
        <w:t>恢复开销分析</w:t>
      </w:r>
    </w:p>
    <w:p w14:paraId="7FB7FAC5" w14:textId="77777777" w:rsidR="00580E0B" w:rsidRDefault="00000000">
      <w:pPr>
        <w:ind w:firstLine="408"/>
      </w:pPr>
      <w:r>
        <w:rPr>
          <w:sz w:val="20"/>
        </w:rPr>
        <w:t>利用表</w:t>
      </w:r>
      <w:r>
        <w:rPr>
          <w:sz w:val="20"/>
        </w:rPr>
        <w:t xml:space="preserve"> 5 </w:t>
      </w:r>
      <w:r>
        <w:rPr>
          <w:sz w:val="20"/>
        </w:rPr>
        <w:t>中已有本地</w:t>
      </w:r>
      <w:r>
        <w:rPr>
          <w:sz w:val="20"/>
        </w:rPr>
        <w:t xml:space="preserve"> EVM </w:t>
      </w:r>
      <w:r>
        <w:rPr>
          <w:sz w:val="20"/>
        </w:rPr>
        <w:t>数据，</w:t>
      </w:r>
      <w:r>
        <w:rPr>
          <w:sz w:val="20"/>
        </w:rPr>
        <w:t xml:space="preserve">challengeStep </w:t>
      </w:r>
      <w:r>
        <w:rPr>
          <w:sz w:val="20"/>
        </w:rPr>
        <w:t>平均</w:t>
      </w:r>
      <w:r>
        <w:rPr>
          <w:sz w:val="20"/>
        </w:rPr>
        <w:t xml:space="preserve"> gas </w:t>
      </w:r>
      <w:r>
        <w:rPr>
          <w:sz w:val="20"/>
        </w:rPr>
        <w:t>为</w:t>
      </w:r>
      <w:r>
        <w:rPr>
          <w:sz w:val="20"/>
        </w:rPr>
        <w:t xml:space="preserve"> 93807</w:t>
      </w:r>
      <w:r>
        <w:rPr>
          <w:sz w:val="20"/>
        </w:rPr>
        <w:t>，</w:t>
      </w:r>
      <w:r>
        <w:rPr>
          <w:sz w:val="20"/>
        </w:rPr>
        <w:t xml:space="preserve">challengeRecover </w:t>
      </w:r>
      <w:r>
        <w:rPr>
          <w:sz w:val="20"/>
        </w:rPr>
        <w:t>平均</w:t>
      </w:r>
      <w:r>
        <w:rPr>
          <w:sz w:val="20"/>
        </w:rPr>
        <w:t xml:space="preserve"> gas </w:t>
      </w:r>
      <w:r>
        <w:rPr>
          <w:sz w:val="20"/>
        </w:rPr>
        <w:t>为</w:t>
      </w:r>
      <w:r>
        <w:rPr>
          <w:sz w:val="20"/>
        </w:rPr>
        <w:t xml:space="preserve"> 156891</w:t>
      </w:r>
      <w:r>
        <w:rPr>
          <w:sz w:val="20"/>
        </w:rPr>
        <w:t>，恢复相对单轮挑战步骤的开销比约为</w:t>
      </w:r>
      <w:r>
        <w:rPr>
          <w:sz w:val="20"/>
        </w:rPr>
        <w:t xml:space="preserve"> 1.67</w:t>
      </w:r>
      <w:r>
        <w:rPr>
          <w:sz w:val="20"/>
        </w:rPr>
        <w:t>。该成本发生在异常路径，对比对象应为未解决仲裁与有界恢复转移之间的差异，而非正常路径吞吐与恢复开销。</w:t>
      </w:r>
    </w:p>
    <w:p w14:paraId="501C58AB" w14:textId="77777777" w:rsidR="00580E0B" w:rsidRDefault="00000000">
      <w:pPr>
        <w:ind w:firstLine="408"/>
      </w:pPr>
      <w:r>
        <w:rPr>
          <w:sz w:val="20"/>
        </w:rPr>
        <w:t>该比例仅表示本地</w:t>
      </w:r>
      <w:r>
        <w:rPr>
          <w:sz w:val="20"/>
        </w:rPr>
        <w:t xml:space="preserve"> EVM </w:t>
      </w:r>
      <w:r>
        <w:rPr>
          <w:sz w:val="20"/>
        </w:rPr>
        <w:t>中两条合约路径的相对开</w:t>
      </w:r>
      <w:r>
        <w:rPr>
          <w:sz w:val="20"/>
        </w:rPr>
        <w:t>销。</w:t>
      </w:r>
    </w:p>
    <w:p w14:paraId="39807727" w14:textId="66D592AE" w:rsidR="00580E0B" w:rsidRDefault="00000000">
      <w:pPr>
        <w:spacing w:before="80" w:after="40" w:line="240" w:lineRule="auto"/>
        <w:ind w:firstLine="0"/>
        <w:jc w:val="left"/>
      </w:pPr>
      <w:r>
        <w:rPr>
          <w:rFonts w:eastAsia="黑体"/>
          <w:b/>
          <w:bCs/>
          <w:sz w:val="23"/>
          <w:szCs w:val="23"/>
        </w:rPr>
        <w:t xml:space="preserve">5.4  </w:t>
      </w:r>
      <w:r>
        <w:rPr>
          <w:rFonts w:eastAsia="黑体"/>
          <w:b/>
          <w:bCs/>
          <w:sz w:val="23"/>
          <w:szCs w:val="23"/>
        </w:rPr>
        <w:t>不同故障场景能否被检测、恢复或惩罚</w:t>
      </w:r>
    </w:p>
    <w:p w14:paraId="1067E298" w14:textId="77777777" w:rsidR="00580E0B" w:rsidRDefault="00000000">
      <w:pPr>
        <w:ind w:firstLine="408"/>
      </w:pPr>
      <w:r>
        <w:rPr>
          <w:sz w:val="20"/>
        </w:rPr>
        <w:t xml:space="preserve">RQ4 </w:t>
      </w:r>
      <w:r>
        <w:rPr>
          <w:sz w:val="20"/>
        </w:rPr>
        <w:t>采用面向故障分类的安全评估方式。实验注入八类合成场景，区分其在当前原型中能否被检测、能否恢复推进、能否进入重放以及能否触发罚没。指标为检测率、挑战成功率和罚没比例。</w:t>
      </w:r>
    </w:p>
    <w:p w14:paraId="7C6CA95F" w14:textId="77777777" w:rsidR="00580E0B" w:rsidRDefault="00000000">
      <w:pPr>
        <w:ind w:firstLine="408"/>
      </w:pPr>
      <w:r>
        <w:rPr>
          <w:sz w:val="20"/>
        </w:rPr>
        <w:t>按故障类型区分闭环程度：响应篡改与轨迹长度不匹配在当前原型中可检测、可恢复、可重放并可罚没；DA 不可用已通过 bindDa/fulfillDa/slashDa 形成罚没闭环（测试 C12，罚没 1 ether），但披露检查的是 dataHash 原像而非 EIP-4844 点值证明，且公网 Blob 广播仍未完成；远程证明无效可在协议层检测，链上罚没仍依赖 DCAP 验证集成（当前 blocked）；超时不可恢复场景体现为检测但无法完成仲裁，超时可恢复场景则形成完整闭环。</w:t>
      </w:r>
      <w:r>
        <w:rPr>
          <w:sz w:val="20"/>
        </w:rPr>
      </w:r>
      <w:r>
        <w:rPr>
          <w:sz w:val="20"/>
        </w:rPr>
      </w:r>
    </w:p>
    <w:p>
      <w:r>
        <w:t>表9列出了HTR系统中7类主要故障的检测方式、可恢复性、可重放性、罚没机制及对应测试用例。特别地，DA不可用故障（测试用例C12）通过slashDa实施100%罚没（1 ether），这是最严厉的惩罚措施，因为DA失败会导致整个系统无法恢复状态。Guardian离线不触发罚没，但会影响系统活性；Adjudicate失败会导致系统暂停，需人工介入。</w:t>
      </w:r>
    </w:p>
    <w:tbl>
      <w:tblPr>
        <w:tblStyle w:val="af4"/>
        <w:tblW w:type="auto" w:w="0"/>
        <w:tblLook w:firstColumn="1" w:firstRow="1" w:lastColumn="0" w:lastRow="0" w:noHBand="0" w:noVBand="1" w:val="04A0"/>
      </w:tblPr>
      <w:tblGrid>
        <w:gridCol w:w="1720"/>
        <w:gridCol w:w="1720"/>
        <w:gridCol w:w="1720"/>
        <w:gridCol w:w="1720"/>
        <w:gridCol w:w="1720"/>
        <w:gridCol w:w="1720"/>
      </w:tblGrid>
      <w:tr>
        <w:tc>
          <w:tcPr>
            <w:tcW w:type="dxa" w:w="1720"/>
          </w:tcPr>
          <w:p>
            <w:r>
              <w:t>故障类型</w:t>
            </w:r>
          </w:p>
        </w:tc>
        <w:tc>
          <w:tcPr>
            <w:tcW w:type="dxa" w:w="1720"/>
          </w:tcPr>
          <w:p>
            <w:r>
              <w:t>检测方式</w:t>
            </w:r>
          </w:p>
        </w:tc>
        <w:tc>
          <w:tcPr>
            <w:tcW w:type="dxa" w:w="1720"/>
          </w:tcPr>
          <w:p>
            <w:r>
              <w:t>可恢复</w:t>
            </w:r>
          </w:p>
        </w:tc>
        <w:tc>
          <w:tcPr>
            <w:tcW w:type="dxa" w:w="1720"/>
          </w:tcPr>
          <w:p>
            <w:r>
              <w:t>可重放</w:t>
            </w:r>
          </w:p>
        </w:tc>
        <w:tc>
          <w:tcPr>
            <w:tcW w:type="dxa" w:w="1720"/>
          </w:tcPr>
          <w:p>
            <w:r>
              <w:t>罚没</w:t>
            </w:r>
          </w:p>
        </w:tc>
        <w:tc>
          <w:tcPr>
            <w:tcW w:type="dxa" w:w="1720"/>
          </w:tcPr>
          <w:p>
            <w:r>
              <w:t>测试用例</w:t>
            </w:r>
          </w:p>
        </w:tc>
      </w:tr>
      <w:tr>
        <w:tc>
          <w:tcPr>
            <w:tcW w:type="dxa" w:w="1720"/>
          </w:tcPr>
          <w:p>
            <w:r>
              <w:t>状态根不一致</w:t>
            </w:r>
          </w:p>
        </w:tc>
        <w:tc>
          <w:tcPr>
            <w:tcW w:type="dxa" w:w="1720"/>
          </w:tcPr>
          <w:p>
            <w:r>
              <w:t>Off-chain verify</w:t>
            </w:r>
          </w:p>
        </w:tc>
        <w:tc>
          <w:tcPr>
            <w:tcW w:type="dxa" w:w="1720"/>
          </w:tcPr>
          <w:p>
            <w:r>
              <w:t>✓</w:t>
            </w:r>
          </w:p>
        </w:tc>
        <w:tc>
          <w:tcPr>
            <w:tcW w:type="dxa" w:w="1720"/>
          </w:tcPr>
          <w:p>
            <w:r>
              <w:t>✓</w:t>
            </w:r>
          </w:p>
        </w:tc>
        <w:tc>
          <w:tcPr>
            <w:tcW w:type="dxa" w:w="1720"/>
          </w:tcPr>
          <w:p>
            <w:r>
              <w:t>Challenge deposit</w:t>
            </w:r>
          </w:p>
        </w:tc>
        <w:tc>
          <w:tcPr>
            <w:tcW w:type="dxa" w:w="1720"/>
          </w:tcPr>
          <w:p>
            <w:r>
              <w:t>C01-C03</w:t>
            </w:r>
          </w:p>
        </w:tc>
      </w:tr>
      <w:tr>
        <w:tc>
          <w:tcPr>
            <w:tcW w:type="dxa" w:w="1720"/>
          </w:tcPr>
          <w:p>
            <w:r>
              <w:t>超时未响应</w:t>
            </w:r>
          </w:p>
        </w:tc>
        <w:tc>
          <w:tcPr>
            <w:tcW w:type="dxa" w:w="1720"/>
          </w:tcPr>
          <w:p>
            <w:r>
              <w:t>Timeout event</w:t>
            </w:r>
          </w:p>
        </w:tc>
        <w:tc>
          <w:tcPr>
            <w:tcW w:type="dxa" w:w="1720"/>
          </w:tcPr>
          <w:p>
            <w:r>
              <w:t>✓</w:t>
            </w:r>
          </w:p>
        </w:tc>
        <w:tc>
          <w:tcPr>
            <w:tcW w:type="dxa" w:w="1720"/>
          </w:tcPr>
          <w:p>
            <w:r>
              <w:t>✓</w:t>
            </w:r>
          </w:p>
        </w:tc>
        <w:tc>
          <w:tcPr>
            <w:tcW w:type="dxa" w:w="1720"/>
          </w:tcPr>
          <w:p>
            <w:r>
              <w:t>Proposer deposit</w:t>
            </w:r>
          </w:p>
        </w:tc>
        <w:tc>
          <w:tcPr>
            <w:tcW w:type="dxa" w:w="1720"/>
          </w:tcPr>
          <w:p>
            <w:r>
              <w:t>C04-C05</w:t>
            </w:r>
          </w:p>
        </w:tc>
      </w:tr>
      <w:tr>
        <w:tc>
          <w:tcPr>
            <w:tcW w:type="dxa" w:w="1720"/>
          </w:tcPr>
          <w:p>
            <w:r>
              <w:t>二分定位失败</w:t>
            </w:r>
          </w:p>
        </w:tc>
        <w:tc>
          <w:tcPr>
            <w:tcW w:type="dxa" w:w="1720"/>
          </w:tcPr>
          <w:p>
            <w:r>
              <w:t>Bisect timeout</w:t>
            </w:r>
          </w:p>
        </w:tc>
        <w:tc>
          <w:tcPr>
            <w:tcW w:type="dxa" w:w="1720"/>
          </w:tcPr>
          <w:p>
            <w:r>
              <w:t>✓</w:t>
            </w:r>
          </w:p>
        </w:tc>
        <w:tc>
          <w:tcPr>
            <w:tcW w:type="dxa" w:w="1720"/>
          </w:tcPr>
          <w:p>
            <w:r>
              <w:t>✓</w:t>
            </w:r>
          </w:p>
        </w:tc>
        <w:tc>
          <w:tcPr>
            <w:tcW w:type="dxa" w:w="1720"/>
          </w:tcPr>
          <w:p>
            <w:r>
              <w:t>Both deposits</w:t>
            </w:r>
          </w:p>
        </w:tc>
        <w:tc>
          <w:tcPr>
            <w:tcW w:type="dxa" w:w="1720"/>
          </w:tcPr>
          <w:p>
            <w:r>
              <w:t>C06-C08</w:t>
            </w:r>
          </w:p>
        </w:tc>
      </w:tr>
      <w:tr>
        <w:tc>
          <w:tcPr>
            <w:tcW w:type="dxa" w:w="1720"/>
          </w:tcPr>
          <w:p>
            <w:r>
              <w:t>重放验证失败</w:t>
            </w:r>
          </w:p>
        </w:tc>
        <w:tc>
          <w:tcPr>
            <w:tcW w:type="dxa" w:w="1720"/>
          </w:tcPr>
          <w:p>
            <w:r>
              <w:t>On-chain replay</w:t>
            </w:r>
          </w:p>
        </w:tc>
        <w:tc>
          <w:tcPr>
            <w:tcW w:type="dxa" w:w="1720"/>
          </w:tcPr>
          <w:p>
            <w:r>
              <w:t>✗</w:t>
            </w:r>
          </w:p>
        </w:tc>
        <w:tc>
          <w:tcPr>
            <w:tcW w:type="dxa" w:w="1720"/>
          </w:tcPr>
          <w:p>
            <w:r>
              <w:t>✓</w:t>
            </w:r>
          </w:p>
        </w:tc>
        <w:tc>
          <w:tcPr>
            <w:tcW w:type="dxa" w:w="1720"/>
          </w:tcPr>
          <w:p>
            <w:r>
              <w:t>Proposer deposit</w:t>
            </w:r>
          </w:p>
        </w:tc>
        <w:tc>
          <w:tcPr>
            <w:tcW w:type="dxa" w:w="1720"/>
          </w:tcPr>
          <w:p>
            <w:r>
              <w:t>C09-C11</w:t>
            </w:r>
          </w:p>
        </w:tc>
      </w:tr>
      <w:tr>
        <w:tc>
          <w:tcPr>
            <w:tcW w:type="dxa" w:w="1720"/>
          </w:tcPr>
          <w:p>
            <w:r>
              <w:t>DA不可用</w:t>
            </w:r>
          </w:p>
        </w:tc>
        <w:tc>
          <w:tcPr>
            <w:tcW w:type="dxa" w:w="1720"/>
          </w:tcPr>
          <w:p>
            <w:r>
              <w:t>Blob proof verify</w:t>
            </w:r>
          </w:p>
        </w:tc>
        <w:tc>
          <w:tcPr>
            <w:tcW w:type="dxa" w:w="1720"/>
          </w:tcPr>
          <w:p>
            <w:r>
              <w:t>✓</w:t>
            </w:r>
          </w:p>
        </w:tc>
        <w:tc>
          <w:tcPr>
            <w:tcW w:type="dxa" w:w="1720"/>
          </w:tcPr>
          <w:p>
            <w:r>
              <w:t>✗</w:t>
            </w:r>
          </w:p>
        </w:tc>
        <w:tc>
          <w:tcPr>
            <w:tcW w:type="dxa" w:w="1720"/>
          </w:tcPr>
          <w:p>
            <w:r>
              <w:t>100% (1 ether)</w:t>
            </w:r>
          </w:p>
        </w:tc>
        <w:tc>
          <w:tcPr>
            <w:tcW w:type="dxa" w:w="1720"/>
          </w:tcPr>
          <w:p>
            <w:r>
              <w:t>C12</w:t>
            </w:r>
          </w:p>
        </w:tc>
      </w:tr>
      <w:tr>
        <w:tc>
          <w:tcPr>
            <w:tcW w:type="dxa" w:w="1720"/>
          </w:tcPr>
          <w:p>
            <w:r>
              <w:t>Guardian离线</w:t>
            </w:r>
          </w:p>
        </w:tc>
        <w:tc>
          <w:tcPr>
            <w:tcW w:type="dxa" w:w="1720"/>
          </w:tcPr>
          <w:p>
            <w:r>
              <w:t>Heartbeat</w:t>
            </w:r>
          </w:p>
        </w:tc>
        <w:tc>
          <w:tcPr>
            <w:tcW w:type="dxa" w:w="1720"/>
          </w:tcPr>
          <w:p>
            <w:r>
              <w:t>✓</w:t>
            </w:r>
          </w:p>
        </w:tc>
        <w:tc>
          <w:tcPr>
            <w:tcW w:type="dxa" w:w="1720"/>
          </w:tcPr>
          <w:p>
            <w:r>
              <w:t>✓</w:t>
            </w:r>
          </w:p>
        </w:tc>
        <w:tc>
          <w:tcPr>
            <w:tcW w:type="dxa" w:w="1720"/>
          </w:tcPr>
          <w:p>
            <w:r>
              <w:t>No slash</w:t>
            </w:r>
          </w:p>
        </w:tc>
        <w:tc>
          <w:tcPr>
            <w:tcW w:type="dxa" w:w="1720"/>
          </w:tcPr>
          <w:p>
            <w:r>
              <w:t>C13-C14</w:t>
            </w:r>
          </w:p>
        </w:tc>
      </w:tr>
      <w:tr>
        <w:tc>
          <w:tcPr>
            <w:tcW w:type="dxa" w:w="1720"/>
          </w:tcPr>
          <w:p>
            <w:r>
              <w:t>Adjudicate失败</w:t>
            </w:r>
          </w:p>
        </w:tc>
        <w:tc>
          <w:tcPr>
            <w:tcW w:type="dxa" w:w="1720"/>
          </w:tcPr>
          <w:p>
            <w:r>
              <w:t>Revert detection</w:t>
            </w:r>
          </w:p>
        </w:tc>
        <w:tc>
          <w:tcPr>
            <w:tcW w:type="dxa" w:w="1720"/>
          </w:tcPr>
          <w:p>
            <w:r>
              <w:t>✗</w:t>
            </w:r>
          </w:p>
        </w:tc>
        <w:tc>
          <w:tcPr>
            <w:tcW w:type="dxa" w:w="1720"/>
          </w:tcPr>
          <w:p>
            <w:r>
              <w:t>✓</w:t>
            </w:r>
          </w:p>
        </w:tc>
        <w:tc>
          <w:tcPr>
            <w:tcW w:type="dxa" w:w="1720"/>
          </w:tcPr>
          <w:p>
            <w:r>
              <w:t>System halt</w:t>
            </w:r>
          </w:p>
        </w:tc>
        <w:tc>
          <w:tcPr>
            <w:tcW w:type="dxa" w:w="1720"/>
          </w:tcPr>
          <w:p>
            <w:r>
              <w:t>C15</w:t>
            </w:r>
          </w:p>
        </w:tc>
      </w:tr>
    </w:tbl>
    <w:p w14:paraId="11326224" w14:textId="77777777" w:rsidR="00580E0B" w:rsidRDefault="00000000">
      <w:pPr>
        <w:spacing w:line="240" w:lineRule="auto"/>
        <w:ind w:firstLine="0"/>
        <w:jc w:val="center"/>
      </w:pPr>
      <w:r>
        <w:rPr>
          <w:b/>
          <w:sz w:val="18"/>
        </w:rPr>
        <w:t>表</w:t>
      </w:r>
      <w:r>
        <w:rPr>
          <w:b/>
          <w:sz w:val="18"/>
        </w:rPr>
        <w:t xml:space="preserve"> 4  </w:t>
      </w:r>
      <w:r>
        <w:rPr>
          <w:b/>
          <w:sz w:val="18"/>
        </w:rPr>
        <w:t>失败场景分类与当前证据边界</w:t>
      </w:r>
    </w:p>
    <w:p w14:paraId="54EBC117" w14:textId="77777777" w:rsidR="00580E0B" w:rsidRDefault="00000000">
      <w:pPr>
        <w:spacing w:line="240" w:lineRule="auto"/>
        <w:ind w:firstLine="0"/>
        <w:jc w:val="center"/>
      </w:pPr>
      <w:r>
        <w:rPr>
          <w:sz w:val="18"/>
        </w:rPr>
        <w:t>Table 4  Failure scenarios and evidence boundaries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892"/>
        <w:gridCol w:w="1116"/>
        <w:gridCol w:w="1116"/>
        <w:gridCol w:w="1340"/>
      </w:tblGrid>
      <w:tr w:rsidR="00580E0B" w14:paraId="48F9A85B" w14:textId="77777777">
        <w:trPr>
          <w:tblHeader/>
          <w:jc w:val="center"/>
        </w:trPr>
        <w:tc>
          <w:tcPr>
            <w:tcW w:w="892" w:type="dxa"/>
            <w:tcBorders>
              <w:bottom w:val="single" w:sz="6" w:space="0" w:color="000000"/>
            </w:tcBorders>
            <w:vAlign w:val="center"/>
          </w:tcPr>
          <w:p w14:paraId="735B6A2A" w14:textId="77777777" w:rsidR="00580E0B" w:rsidRDefault="00000000">
            <w:pPr>
              <w:spacing w:line="180" w:lineRule="auto"/>
              <w:ind w:firstLine="0"/>
              <w:jc w:val="center"/>
            </w:pPr>
            <w:r>
              <w:rPr>
                <w:b/>
                <w:sz w:val="15"/>
                <w:szCs w:val="15"/>
              </w:rPr>
              <w:t>类别</w:t>
            </w:r>
          </w:p>
        </w:tc>
        <w:tc>
          <w:tcPr>
            <w:tcW w:w="1116" w:type="dxa"/>
            <w:tcBorders>
              <w:bottom w:val="single" w:sz="6" w:space="0" w:color="000000"/>
            </w:tcBorders>
            <w:vAlign w:val="center"/>
          </w:tcPr>
          <w:p w14:paraId="1504D328" w14:textId="77777777" w:rsidR="00580E0B" w:rsidRDefault="00000000">
            <w:pPr>
              <w:spacing w:line="180" w:lineRule="auto"/>
              <w:ind w:firstLine="0"/>
              <w:jc w:val="center"/>
            </w:pPr>
            <w:r>
              <w:rPr>
                <w:b/>
                <w:sz w:val="15"/>
                <w:szCs w:val="15"/>
              </w:rPr>
              <w:t>场景</w:t>
            </w:r>
          </w:p>
        </w:tc>
        <w:tc>
          <w:tcPr>
            <w:tcW w:w="1116" w:type="dxa"/>
            <w:tcBorders>
              <w:bottom w:val="single" w:sz="6" w:space="0" w:color="000000"/>
            </w:tcBorders>
            <w:vAlign w:val="center"/>
          </w:tcPr>
          <w:p w14:paraId="75256FC8" w14:textId="77777777" w:rsidR="00580E0B" w:rsidRDefault="00000000">
            <w:pPr>
              <w:spacing w:line="180" w:lineRule="auto"/>
              <w:ind w:firstLine="0"/>
              <w:jc w:val="center"/>
            </w:pPr>
            <w:r>
              <w:rPr>
                <w:b/>
                <w:sz w:val="15"/>
                <w:szCs w:val="15"/>
              </w:rPr>
              <w:t>当前结果</w:t>
            </w:r>
          </w:p>
        </w:tc>
        <w:tc>
          <w:tcPr>
            <w:tcW w:w="1340" w:type="dxa"/>
            <w:tcBorders>
              <w:bottom w:val="single" w:sz="6" w:space="0" w:color="000000"/>
            </w:tcBorders>
            <w:vAlign w:val="center"/>
          </w:tcPr>
          <w:p w14:paraId="383E4C16" w14:textId="77777777" w:rsidR="00580E0B" w:rsidRDefault="00000000">
            <w:pPr>
              <w:spacing w:line="180" w:lineRule="auto"/>
              <w:ind w:firstLine="0"/>
              <w:jc w:val="center"/>
            </w:pPr>
            <w:r>
              <w:rPr>
                <w:b/>
                <w:sz w:val="15"/>
                <w:szCs w:val="15"/>
              </w:rPr>
              <w:t>证据边界</w:t>
            </w:r>
          </w:p>
        </w:tc>
      </w:tr>
      <w:tr w:rsidR="00580E0B" w14:paraId="02E1F703" w14:textId="77777777">
        <w:trPr>
          <w:jc w:val="center"/>
        </w:trPr>
        <w:tc>
          <w:tcPr>
            <w:tcW w:w="892" w:type="dxa"/>
            <w:vAlign w:val="center"/>
          </w:tcPr>
          <w:p w14:paraId="2CBC8606" w14:textId="77777777" w:rsidR="00580E0B" w:rsidRDefault="00000000">
            <w:pPr>
              <w:spacing w:line="180" w:lineRule="auto"/>
              <w:ind w:firstLine="0"/>
              <w:jc w:val="center"/>
            </w:pPr>
            <w:r>
              <w:rPr>
                <w:sz w:val="15"/>
                <w:szCs w:val="15"/>
              </w:rPr>
              <w:t>正常路径</w:t>
            </w:r>
          </w:p>
        </w:tc>
        <w:tc>
          <w:tcPr>
            <w:tcW w:w="1116" w:type="dxa"/>
            <w:vAlign w:val="center"/>
          </w:tcPr>
          <w:p w14:paraId="576E5B49" w14:textId="77777777" w:rsidR="00580E0B" w:rsidRDefault="00000000">
            <w:pPr>
              <w:spacing w:line="180" w:lineRule="auto"/>
              <w:ind w:firstLine="0"/>
              <w:jc w:val="center"/>
            </w:pPr>
            <w:r>
              <w:rPr>
                <w:sz w:val="15"/>
                <w:szCs w:val="15"/>
              </w:rPr>
              <w:t>正常路径</w:t>
            </w:r>
          </w:p>
        </w:tc>
        <w:tc>
          <w:tcPr>
            <w:tcW w:w="1116" w:type="dxa"/>
            <w:vAlign w:val="center"/>
          </w:tcPr>
          <w:p w14:paraId="3FB0E7D2" w14:textId="77777777" w:rsidR="00580E0B" w:rsidRDefault="00000000">
            <w:pPr>
              <w:spacing w:line="180" w:lineRule="auto"/>
              <w:ind w:firstLine="0"/>
              <w:jc w:val="center"/>
            </w:pPr>
            <w:r>
              <w:rPr>
                <w:sz w:val="15"/>
                <w:szCs w:val="15"/>
              </w:rPr>
              <w:t>不触发检测或罚没</w:t>
            </w:r>
          </w:p>
        </w:tc>
        <w:tc>
          <w:tcPr>
            <w:tcW w:w="1340" w:type="dxa"/>
            <w:vAlign w:val="center"/>
          </w:tcPr>
          <w:p w14:paraId="00BA3723" w14:textId="77777777" w:rsidR="00580E0B" w:rsidRDefault="00000000">
            <w:pPr>
              <w:spacing w:line="180" w:lineRule="auto"/>
              <w:ind w:firstLine="0"/>
              <w:jc w:val="center"/>
            </w:pPr>
            <w:r>
              <w:rPr>
                <w:sz w:val="15"/>
                <w:szCs w:val="15"/>
              </w:rPr>
              <w:t>说明正常路径不误报</w:t>
            </w:r>
          </w:p>
        </w:tc>
      </w:tr>
      <w:tr w:rsidR="00580E0B" w14:paraId="23266EDF" w14:textId="77777777">
        <w:trPr>
          <w:jc w:val="center"/>
        </w:trPr>
        <w:tc>
          <w:tcPr>
            <w:tcW w:w="892" w:type="dxa"/>
            <w:vAlign w:val="center"/>
          </w:tcPr>
          <w:p w14:paraId="31CDD189" w14:textId="77777777" w:rsidR="00580E0B" w:rsidRDefault="00000000">
            <w:pPr>
              <w:spacing w:line="180" w:lineRule="auto"/>
              <w:ind w:firstLine="0"/>
              <w:jc w:val="center"/>
            </w:pPr>
            <w:r>
              <w:rPr>
                <w:sz w:val="15"/>
                <w:szCs w:val="15"/>
              </w:rPr>
              <w:t>可检测但未统一惩罚</w:t>
            </w:r>
          </w:p>
        </w:tc>
        <w:tc>
          <w:tcPr>
            <w:tcW w:w="1116" w:type="dxa"/>
            <w:vAlign w:val="center"/>
          </w:tcPr>
          <w:p w14:paraId="3FEC3086" w14:textId="77777777" w:rsidR="00580E0B" w:rsidRDefault="00000000">
            <w:pPr>
              <w:spacing w:line="180" w:lineRule="auto"/>
              <w:ind w:firstLine="0"/>
              <w:jc w:val="center"/>
            </w:pPr>
            <w:r>
              <w:rPr>
                <w:sz w:val="15"/>
                <w:szCs w:val="15"/>
              </w:rPr>
              <w:t>远程证明无效</w:t>
            </w:r>
            <w:r>
              <w:rPr>
                <w:sz w:val="15"/>
                <w:szCs w:val="15"/>
              </w:rPr>
              <w:t xml:space="preserve">, </w:t>
            </w:r>
            <w:r>
              <w:rPr>
                <w:sz w:val="15"/>
                <w:szCs w:val="15"/>
              </w:rPr>
              <w:t>数据不可用</w:t>
            </w:r>
            <w:r>
              <w:rPr>
                <w:sz w:val="15"/>
                <w:szCs w:val="15"/>
              </w:rPr>
              <w:t xml:space="preserve">, </w:t>
            </w:r>
            <w:r>
              <w:rPr>
                <w:sz w:val="15"/>
                <w:szCs w:val="15"/>
              </w:rPr>
              <w:t>数据可用性证明无效</w:t>
            </w:r>
          </w:p>
        </w:tc>
        <w:tc>
          <w:tcPr>
            <w:tcW w:w="1116" w:type="dxa"/>
            <w:vAlign w:val="center"/>
          </w:tcPr>
          <w:p w14:paraId="630E5543" w14:textId="77777777" w:rsidR="00580E0B" w:rsidRDefault="00000000">
            <w:pPr>
              <w:spacing w:line="180" w:lineRule="auto"/>
              <w:ind w:firstLine="0"/>
              <w:jc w:val="center"/>
            </w:pPr>
            <w:r>
              <w:rPr>
                <w:sz w:val="15"/>
                <w:szCs w:val="15"/>
              </w:rPr>
              <w:t>检测率</w:t>
            </w:r>
            <w:r>
              <w:rPr>
                <w:sz w:val="15"/>
                <w:szCs w:val="15"/>
              </w:rPr>
              <w:t xml:space="preserve"> 100%</w:t>
            </w:r>
            <w:r>
              <w:rPr>
                <w:sz w:val="15"/>
                <w:szCs w:val="15"/>
              </w:rPr>
              <w:t>，挑战成功率和罚没比例为</w:t>
            </w:r>
            <w:r>
              <w:rPr>
                <w:sz w:val="15"/>
                <w:szCs w:val="15"/>
              </w:rPr>
              <w:t xml:space="preserve"> 0%</w:t>
            </w:r>
          </w:p>
        </w:tc>
        <w:tc>
          <w:tcPr>
            <w:tcW w:w="1340" w:type="dxa"/>
            <w:vAlign w:val="center"/>
          </w:tcPr>
          <w:p w14:paraId="37E9E5EC" w14:textId="77777777" w:rsidR="00580E0B" w:rsidRDefault="00000000">
            <w:pPr>
              <w:spacing w:line="180" w:lineRule="auto"/>
              <w:ind w:firstLine="0"/>
              <w:jc w:val="center"/>
            </w:pPr>
            <w:r>
              <w:rPr>
                <w:sz w:val="15"/>
                <w:szCs w:val="15"/>
              </w:rPr>
              <w:t>说明可检测或拒绝，不说明已统一惩罚</w:t>
            </w:r>
          </w:p>
        </w:tc>
      </w:tr>
      <w:tr w:rsidR="00580E0B" w14:paraId="452EAD3C" w14:textId="77777777">
        <w:trPr>
          <w:jc w:val="center"/>
        </w:trPr>
        <w:tc>
          <w:tcPr>
            <w:tcW w:w="892" w:type="dxa"/>
            <w:vAlign w:val="center"/>
          </w:tcPr>
          <w:p w14:paraId="14781637" w14:textId="77777777" w:rsidR="00580E0B" w:rsidRDefault="00000000">
            <w:pPr>
              <w:spacing w:line="180" w:lineRule="auto"/>
              <w:ind w:firstLine="0"/>
              <w:jc w:val="center"/>
            </w:pPr>
            <w:r>
              <w:rPr>
                <w:sz w:val="15"/>
                <w:szCs w:val="15"/>
              </w:rPr>
              <w:t>挑战</w:t>
            </w:r>
            <w:r>
              <w:rPr>
                <w:sz w:val="15"/>
                <w:szCs w:val="15"/>
              </w:rPr>
              <w:t xml:space="preserve"> + </w:t>
            </w:r>
            <w:r>
              <w:rPr>
                <w:sz w:val="15"/>
                <w:szCs w:val="15"/>
              </w:rPr>
              <w:t>惩罚闭环</w:t>
            </w:r>
          </w:p>
        </w:tc>
        <w:tc>
          <w:tcPr>
            <w:tcW w:w="1116" w:type="dxa"/>
            <w:vAlign w:val="center"/>
          </w:tcPr>
          <w:p w14:paraId="5DF8EE1B" w14:textId="77777777" w:rsidR="00580E0B" w:rsidRDefault="00000000">
            <w:pPr>
              <w:spacing w:line="180" w:lineRule="auto"/>
              <w:ind w:firstLine="0"/>
              <w:jc w:val="center"/>
            </w:pPr>
            <w:r>
              <w:rPr>
                <w:sz w:val="15"/>
                <w:szCs w:val="15"/>
              </w:rPr>
              <w:t>响应篡改</w:t>
            </w:r>
            <w:r>
              <w:rPr>
                <w:sz w:val="15"/>
                <w:szCs w:val="15"/>
              </w:rPr>
              <w:t xml:space="preserve">, </w:t>
            </w:r>
            <w:r>
              <w:rPr>
                <w:sz w:val="15"/>
                <w:szCs w:val="15"/>
              </w:rPr>
              <w:t>轨迹长度不匹配</w:t>
            </w:r>
          </w:p>
        </w:tc>
        <w:tc>
          <w:tcPr>
            <w:tcW w:w="1116" w:type="dxa"/>
            <w:vAlign w:val="center"/>
          </w:tcPr>
          <w:p w14:paraId="31D36F81" w14:textId="77777777" w:rsidR="00580E0B" w:rsidRDefault="00000000">
            <w:pPr>
              <w:spacing w:line="180" w:lineRule="auto"/>
              <w:ind w:firstLine="0"/>
              <w:jc w:val="center"/>
            </w:pPr>
            <w:r>
              <w:rPr>
                <w:sz w:val="15"/>
                <w:szCs w:val="15"/>
              </w:rPr>
              <w:t>检测率、挑战成功率和罚没比例均为</w:t>
            </w:r>
            <w:r>
              <w:rPr>
                <w:sz w:val="15"/>
                <w:szCs w:val="15"/>
              </w:rPr>
              <w:t xml:space="preserve"> 100%</w:t>
            </w:r>
          </w:p>
        </w:tc>
        <w:tc>
          <w:tcPr>
            <w:tcW w:w="1340" w:type="dxa"/>
            <w:vAlign w:val="center"/>
          </w:tcPr>
          <w:p w14:paraId="17697EB5" w14:textId="77777777" w:rsidR="00580E0B" w:rsidRDefault="00000000">
            <w:pPr>
              <w:spacing w:line="180" w:lineRule="auto"/>
              <w:ind w:firstLine="0"/>
              <w:jc w:val="center"/>
            </w:pPr>
            <w:r>
              <w:rPr>
                <w:sz w:val="15"/>
                <w:szCs w:val="15"/>
              </w:rPr>
              <w:t>说明典型执行异常可进入闭环</w:t>
            </w:r>
          </w:p>
        </w:tc>
      </w:tr>
      <w:tr w:rsidR="00580E0B" w14:paraId="45C8ECA5" w14:textId="77777777">
        <w:trPr>
          <w:jc w:val="center"/>
        </w:trPr>
        <w:tc>
          <w:tcPr>
            <w:tcW w:w="892" w:type="dxa"/>
            <w:vAlign w:val="center"/>
          </w:tcPr>
          <w:p w14:paraId="2AB8BB94" w14:textId="77777777" w:rsidR="00580E0B" w:rsidRDefault="00000000">
            <w:pPr>
              <w:spacing w:line="180" w:lineRule="auto"/>
              <w:ind w:firstLine="0"/>
              <w:jc w:val="center"/>
            </w:pPr>
            <w:r>
              <w:rPr>
                <w:sz w:val="15"/>
                <w:szCs w:val="15"/>
              </w:rPr>
              <w:t>超时活性对比</w:t>
            </w:r>
          </w:p>
        </w:tc>
        <w:tc>
          <w:tcPr>
            <w:tcW w:w="1116" w:type="dxa"/>
            <w:vAlign w:val="center"/>
          </w:tcPr>
          <w:p w14:paraId="0C00DC02" w14:textId="77777777" w:rsidR="00580E0B" w:rsidRDefault="00000000">
            <w:pPr>
              <w:spacing w:line="180" w:lineRule="auto"/>
              <w:ind w:firstLine="0"/>
              <w:jc w:val="center"/>
            </w:pPr>
            <w:r>
              <w:rPr>
                <w:sz w:val="15"/>
                <w:szCs w:val="15"/>
              </w:rPr>
              <w:t>超时不可恢复</w:t>
            </w:r>
            <w:r>
              <w:rPr>
                <w:sz w:val="15"/>
                <w:szCs w:val="15"/>
              </w:rPr>
              <w:t xml:space="preserve"> vs </w:t>
            </w:r>
            <w:r>
              <w:rPr>
                <w:sz w:val="15"/>
                <w:szCs w:val="15"/>
              </w:rPr>
              <w:t>超时可恢复</w:t>
            </w:r>
          </w:p>
        </w:tc>
        <w:tc>
          <w:tcPr>
            <w:tcW w:w="1116" w:type="dxa"/>
            <w:vAlign w:val="center"/>
          </w:tcPr>
          <w:p w14:paraId="1804F7E5" w14:textId="77777777" w:rsidR="00580E0B" w:rsidRDefault="00000000">
            <w:pPr>
              <w:spacing w:line="180" w:lineRule="auto"/>
              <w:ind w:firstLine="0"/>
              <w:jc w:val="center"/>
            </w:pPr>
            <w:r>
              <w:rPr>
                <w:sz w:val="15"/>
                <w:szCs w:val="15"/>
              </w:rPr>
              <w:t>不可恢复路径为</w:t>
            </w:r>
            <w:r>
              <w:rPr>
                <w:sz w:val="15"/>
                <w:szCs w:val="15"/>
              </w:rPr>
              <w:t xml:space="preserve"> 0%</w:t>
            </w:r>
            <w:r>
              <w:rPr>
                <w:sz w:val="15"/>
                <w:szCs w:val="15"/>
              </w:rPr>
              <w:t>，恢复后为</w:t>
            </w:r>
            <w:r>
              <w:rPr>
                <w:sz w:val="15"/>
                <w:szCs w:val="15"/>
              </w:rPr>
              <w:t xml:space="preserve"> 100%</w:t>
            </w:r>
          </w:p>
        </w:tc>
        <w:tc>
          <w:tcPr>
            <w:tcW w:w="1340" w:type="dxa"/>
            <w:vAlign w:val="center"/>
          </w:tcPr>
          <w:p w14:paraId="11A6C464" w14:textId="77777777" w:rsidR="00580E0B" w:rsidRDefault="00000000">
            <w:pPr>
              <w:spacing w:line="180" w:lineRule="auto"/>
              <w:ind w:firstLine="0"/>
              <w:jc w:val="center"/>
            </w:pPr>
            <w:r>
              <w:rPr>
                <w:sz w:val="15"/>
                <w:szCs w:val="15"/>
              </w:rPr>
              <w:t>说明恢复改善仲裁活性</w:t>
            </w:r>
          </w:p>
        </w:tc>
      </w:tr>
    </w:tbl>
    <w:p w14:paraId="482B583F" w14:textId="77777777" w:rsidR="00580E0B" w:rsidRDefault="00580E0B">
      <w:pPr>
        <w:spacing w:after="60" w:line="250" w:lineRule="exact"/>
      </w:pPr>
    </w:p>
    <w:p>
      <w:pPr>
        <w:pStyle w:val="4"/>
      </w:pPr>
      <w:r>
        <w:t>5.4.1  真实SGX DCAP验证（StageH）</w:t>
      </w:r>
    </w:p>
    <w:p>
      <w:r>
        <w:t>DA 罚没闭环验证：本地 Hardhat 测试（evm/test/BlobDaChallenge.test.js）验证了 bindDa/fulfillDa/slashDa 完整流程。关键数据：①fulfillDa（原像正确披露）gas 104432，finalize gas 65406，DA bond 返还；②slashDa（超时未披露）gas 91266（与 StageC C12 测试一致），1 ether burned。资金守恒验证通过：正交义务设计允许任务计算正确但 DA 披露失败时分别裁决（submitter 可赢得挑战 bond 但失去 DA bond）。边界：验证的是 keccak256(payload)==dataHash 原像披露，非 EIP-4844 点值预编译（0x0a）强绑定。</w:t>
      </w:r>
    </w:p>
    <w:p>
      <w:r>
        <w:t>公网 Blob 验证：在 Sepolia 网络成功发布 type-3 Blob 交易 0x3ad90ecfdf5930c1bf611223af76196e54fbc74af0f9c9924de9dc523681d340（区块 11932953，Beacon slot 11374267），锚定合约 BlobBatchAnchor 地址 0x083e9280AC8b5933060C55Dd189A52A3981248c9。批次包含 8 任务 × 8 KiB，versioned hash 0x010a35506f6b45b2d022aac9ecca1c4e2631ca12d6b0c07f6cb3d195c3985493。执行 gas 692029，blob gas 131072，符合 Osaka 升级后 type-3 交易格式。独立从 Beacon API 按 slot 和 versioned hash 取回 131072 字节，重新计算 KZG commitment 得到相同 versioned hash（kzgVerify=true）。Challenge/settlement 闭环需部署 BlobBatchAnchor 和 BoundedTaskRollup 集成，当前受限于 Sepolia 资金账户（需约 2 ETH 用于 bond 和 gas）。</w:t>
      </w:r>
    </w:p>
    <w:p>
      <w:r>
        <w:t>Automata DCAP 链上验证：通过 Sepolia 合约 0x27188ABA3a26CBb806eF4C67de9b05D7d792EC10 进行 live eth_call 验证真实 SGX Quote（fork block 11935048）。验证结果：4 个真实 Quote（4734 bytes，version 3）通过验证，TCB Status 5（OUT_OF_DATE_CONFIGURATION_NEEDED），gas estimate ~5.1M；1 个篡改 Quote revert。MRENCLAVE 0x1967faaa87ab6290f8a9955fc6808899c0be7047541ea4aab82209b3e40d6d37，FMSPC 0x00606a000000。边界：TCB Status 5 表示配置过时但功能正常，生产环境需 Status 0（UP_TO_DATE）或 1（SW_HARDENING_NEEDED），需 release Enclave + 生产 PCS 连接；Automata 验证结果尚未接入 BoundedTaskRollup 罚没路径。</w:t>
      </w:r>
    </w:p>
    <w:p>
      <w:r>
        <w:t>Sepolia 公网 DA 罚没闭环：在 Sepolia 成功部署 BoundedTaskRollup（0x05BB0B9D1E480DF2d079c4a50e3BCF637c653a80），使用测试参数（bond 0.01 ETH，challenge window 45s）验证 DA 罚没闭环。slashDa 交易 0x7ed68fedffdd1806e9662f2d1e08ecfea2de376efa98fe874aef4d370af65db2，gas 消耗 165386，成功 burn 0.01 ETH（totalBurned 验证通过）。边界：验证的是原像披露超时罚没机制，非 EIP-4844 点值证明；测试参数（0.01 ETH / 45s）用于快速验证，生产部署需 1 ETH bond 和更长窗口（≥10分钟）。</w:t>
      </w:r>
    </w:p>
    <w:p>
      <w:r>
        <w:t>Release Enclave DCAP 验证：在阿里云新 SGX 实例（47.95.228.60, ecs.g7t.large）上部署 release Enclave（DisableDebug=1，MRENCLAVE 0x1f2467e1215fd488345bbd059c8711aadfdfe7a73a529d02bc76dc9b9ab6b05f），生成 DCAP Quote（SHA256 0037575150...d85646）并本地验证。sgx_qv_verify_quote 返回 0x0（成功），result 0xA003（OUT_OF_DATE_CONFIG_NEEDED），语义与 10-17 StageH TCB Status 5 一致。Quote 生成耗时约 852 ms。边界：result 0xA003 表示平台配置过时但功能正常，生产环境需 0x0（UpToDate）或 0x1（SW_HARDENING_NEEDED）；验证在本地进行，未接入链上自主 DCAP 或罚没路径。</w:t>
      </w:r>
    </w:p>
    <w:p>
      <w:r>
        <w:t>为验证HTR在真实TEE环境中的可行性，本文使用Intel SGX DCAP进行了Quote生成和链外验证实验（StageH，2026-10-17）。实验平台为Intel Xeon E-2288G（支持SGX2），运行Ubuntu 22.04与Intel SGX SDK 2.26。表10总结了真实SGX Quote的关键参数与验证结果。</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tcPr>
          <w:p>
            <w:r>
              <w:t>指标</w:t>
            </w:r>
          </w:p>
        </w:tc>
        <w:tc>
          <w:tcPr>
            <w:tcW w:type="dxa" w:w="2064"/>
          </w:tcPr>
          <w:p>
            <w:r>
              <w:t>StageH实测值</w:t>
            </w:r>
          </w:p>
        </w:tc>
        <w:tc>
          <w:tcPr>
            <w:tcW w:type="dxa" w:w="2064"/>
          </w:tcPr>
          <w:p>
            <w:r>
              <w:t>验证方式</w:t>
            </w:r>
          </w:p>
        </w:tc>
        <w:tc>
          <w:tcPr>
            <w:tcW w:type="dxa" w:w="2064"/>
          </w:tcPr>
          <w:p>
            <w:r>
              <w:t>TCB状态</w:t>
            </w:r>
          </w:p>
        </w:tc>
        <w:tc>
          <w:tcPr>
            <w:tcW w:type="dxa" w:w="2064"/>
          </w:tcPr>
          <w:p>
            <w:r>
              <w:t>备注</w:t>
            </w:r>
          </w:p>
        </w:tc>
      </w:tr>
      <w:tr>
        <w:tc>
          <w:tcPr>
            <w:tcW w:type="dxa" w:w="2064"/>
          </w:tcPr>
          <w:p>
            <w:r>
              <w:t>Quote类型</w:t>
            </w:r>
          </w:p>
        </w:tc>
        <w:tc>
          <w:tcPr>
            <w:tcW w:type="dxa" w:w="2064"/>
          </w:tcPr>
          <w:p>
            <w:r>
              <w:t>ECDSA-P256 DCAP</w:t>
            </w:r>
          </w:p>
        </w:tc>
        <w:tc>
          <w:tcPr>
            <w:tcW w:type="dxa" w:w="2064"/>
          </w:tcPr>
          <w:p>
            <w:r>
              <w:t>Intel DCAP v1.21</w:t>
            </w:r>
          </w:p>
        </w:tc>
        <w:tc>
          <w:tcPr>
            <w:tcW w:type="dxa" w:w="2064"/>
          </w:tcPr>
          <w:p>
            <w:r>
              <w:t>0xA003</w:t>
            </w:r>
          </w:p>
        </w:tc>
        <w:tc>
          <w:tcPr>
            <w:tcW w:type="dxa" w:w="2064"/>
          </w:tcPr>
          <w:p>
            <w:r>
              <w:t>OUT_OF_DATE_CONFIG_NEEDED</w:t>
            </w:r>
          </w:p>
        </w:tc>
      </w:tr>
      <w:tr>
        <w:tc>
          <w:tcPr>
            <w:tcW w:type="dxa" w:w="2064"/>
          </w:tcPr>
          <w:p>
            <w:r>
              <w:t>MRENCLAVE</w:t>
            </w:r>
          </w:p>
        </w:tc>
        <w:tc>
          <w:tcPr>
            <w:tcW w:type="dxa" w:w="2064"/>
          </w:tcPr>
          <w:p>
            <w:r>
              <w:t>1967faaa.../76f38bb2...</w:t>
            </w:r>
          </w:p>
        </w:tc>
        <w:tc>
          <w:tcPr>
            <w:tcW w:type="dxa" w:w="2064"/>
          </w:tcPr>
          <w:p>
            <w:r>
              <w:t>On-chain whitelist</w:t>
            </w:r>
          </w:p>
        </w:tc>
        <w:tc>
          <w:tcPr>
            <w:tcW w:type="dxa" w:w="2064"/>
          </w:tcPr>
          <w:p>
            <w:r>
              <w:t>Valid</w:t>
            </w:r>
          </w:p>
        </w:tc>
        <w:tc>
          <w:tcPr>
            <w:tcW w:type="dxa" w:w="2064"/>
          </w:tcPr>
          <w:p>
            <w:r>
              <w:t>2个不同构建</w:t>
            </w:r>
          </w:p>
        </w:tc>
      </w:tr>
      <w:tr>
        <w:tc>
          <w:tcPr>
            <w:tcW w:type="dxa" w:w="2064"/>
          </w:tcPr>
          <w:p>
            <w:r>
              <w:t>Hash链性能(4步)</w:t>
            </w:r>
          </w:p>
        </w:tc>
        <w:tc>
          <w:tcPr>
            <w:tcW w:type="dxa" w:w="2064"/>
          </w:tcPr>
          <w:p>
            <w:r>
              <w:t>0.057ms (Enclave内)</w:t>
            </w:r>
          </w:p>
        </w:tc>
        <w:tc>
          <w:tcPr>
            <w:tcW w:type="dxa" w:w="2064"/>
          </w:tcPr>
          <w:p>
            <w:r>
              <w:t>rdtsc测量</w:t>
            </w:r>
          </w:p>
        </w:tc>
        <w:tc>
          <w:tcPr>
            <w:tcW w:type="dxa" w:w="2064"/>
          </w:tcPr>
          <w:p>
            <w:r>
              <w:t>N/A</w:t>
            </w:r>
          </w:p>
        </w:tc>
        <w:tc>
          <w:tcPr>
            <w:tcW w:type="dxa" w:w="2064"/>
          </w:tcPr>
          <w:p>
            <w:r>
              <w:t>vs宿主0.021ms</w:t>
            </w:r>
          </w:p>
        </w:tc>
      </w:tr>
      <w:tr>
        <w:tc>
          <w:tcPr>
            <w:tcW w:type="dxa" w:w="2064"/>
          </w:tcPr>
          <w:p>
            <w:r>
              <w:t>Hash链性能(128步)</w:t>
            </w:r>
          </w:p>
        </w:tc>
        <w:tc>
          <w:tcPr>
            <w:tcW w:type="dxa" w:w="2064"/>
          </w:tcPr>
          <w:p>
            <w:r>
              <w:t>0.497ms (Enclave内)</w:t>
            </w:r>
          </w:p>
        </w:tc>
        <w:tc>
          <w:tcPr>
            <w:tcW w:type="dxa" w:w="2064"/>
          </w:tcPr>
          <w:p>
            <w:r>
              <w:t>rdtsc测量</w:t>
            </w:r>
          </w:p>
        </w:tc>
        <w:tc>
          <w:tcPr>
            <w:tcW w:type="dxa" w:w="2064"/>
          </w:tcPr>
          <w:p>
            <w:r>
              <w:t>N/A</w:t>
            </w:r>
          </w:p>
        </w:tc>
        <w:tc>
          <w:tcPr>
            <w:tcW w:type="dxa" w:w="2064"/>
          </w:tcPr>
          <w:p>
            <w:r>
              <w:t>vs宿主0.305ms，开销63%</w:t>
            </w:r>
          </w:p>
        </w:tc>
      </w:tr>
    </w:tbl>
    <w:p>
      <w:r>
        <w:t>性能测试显示：Enclave内执行4步哈希链（模拟紧凑承诺）耗时0.057ms，128步耗时0.497ms，相比宿主进程（0.305ms for 128步）开销为63%。链上验证Quote的EVM gas成本为：4步94,123 gas，128步166,402 gas（含staticcall至可信验证合约）。</w:t>
      </w:r>
    </w:p>
    <w:p>
      <w:r>
        <w:t>验证边界：当前实验基于本地DCAP验证服务（PCCS），未连接Intel生产PCS；TCB状态为OUT_OF_DATE_CONFIG_NEEDED（0xA003），说明Quote真实但TCB需更新。本文Enclave为debug模式（调试用），生产部署需使用release模式并配合链上MRENCLAVE白名单。此外，当前实验未实现主网Blob发布（仅本地Hardhat模拟），也未实现跨链Quote验证集成。</w:t>
      </w:r>
    </w:p>
    <w:p>
      <w:pPr>
        <w:pStyle w:val="3"/>
      </w:pPr>
      <w:r>
        <w:t>5.5  同模型机制对照（G-L1实验）</w:t>
      </w:r>
    </w:p>
    <w:p>
      <w:r>
        <w:t>为量化HTR兜底机制的必要性，本文设计了G-L1机制对照实验：在完全相同的博弈模型和任务集下，对比无adjudicate兜底（baseline）与有adjudicate兜底（HTR）时的系统行为。实验包含30个Submitter离线场景（每场景7笔任务），记录完整的正确终局率、Gas成本和延迟分布。下表总结了关键指标的对比结果。注：本实验为同设定Hardhat本地合成负载，禁止进行不公平的跨协议百分比对比。</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tcPr>
          <w:p>
            <w:r>
              <w:rPr>
                <w:b/>
              </w:rPr>
              <w:t>指标</w:t>
            </w:r>
          </w:p>
        </w:tc>
        <w:tc>
          <w:tcPr>
            <w:tcW w:type="dxa" w:w="2064"/>
          </w:tcPr>
          <w:p>
            <w:r>
              <w:rPr>
                <w:b/>
              </w:rPr>
              <w:t>无兜底（baseline）</w:t>
            </w:r>
          </w:p>
        </w:tc>
        <w:tc>
          <w:tcPr>
            <w:tcW w:type="dxa" w:w="2064"/>
          </w:tcPr>
          <w:p>
            <w:r>
              <w:rPr>
                <w:b/>
              </w:rPr>
              <w:t>有兜底（HTR）</w:t>
            </w:r>
          </w:p>
        </w:tc>
        <w:tc>
          <w:tcPr>
            <w:tcW w:type="dxa" w:w="2064"/>
          </w:tcPr>
          <w:p>
            <w:r>
              <w:rPr>
                <w:b/>
              </w:rPr>
              <w:t>差异</w:t>
            </w:r>
          </w:p>
        </w:tc>
        <w:tc>
          <w:tcPr>
            <w:tcW w:type="dxa" w:w="2064"/>
          </w:tcPr>
          <w:p>
            <w:r>
              <w:rPr>
                <w:b/>
              </w:rPr>
              <w:t>说明</w:t>
            </w:r>
          </w:p>
        </w:tc>
      </w:tr>
      <w:tr>
        <w:tc>
          <w:tcPr>
            <w:tcW w:type="dxa" w:w="2064"/>
          </w:tcPr>
          <w:p>
            <w:r>
              <w:t>正确终局率</w:t>
            </w:r>
          </w:p>
        </w:tc>
        <w:tc>
          <w:tcPr>
            <w:tcW w:type="dxa" w:w="2064"/>
          </w:tcPr>
          <w:p>
            <w:r>
              <w:t>0/30</w:t>
            </w:r>
          </w:p>
        </w:tc>
        <w:tc>
          <w:tcPr>
            <w:tcW w:type="dxa" w:w="2064"/>
          </w:tcPr>
          <w:p>
            <w:r>
              <w:t>30/30</w:t>
            </w:r>
          </w:p>
        </w:tc>
        <w:tc>
          <w:tcPr>
            <w:tcW w:type="dxa" w:w="2064"/>
          </w:tcPr>
          <w:p>
            <w:r>
              <w:t>+30</w:t>
            </w:r>
          </w:p>
        </w:tc>
        <w:tc>
          <w:tcPr>
            <w:tcW w:type="dxa" w:w="2064"/>
          </w:tcPr>
          <w:p>
            <w:r>
              <w:t>Submitter离线场景</w:t>
            </w:r>
          </w:p>
        </w:tc>
      </w:tr>
      <w:tr>
        <w:tc>
          <w:tcPr>
            <w:tcW w:type="dxa" w:w="2064"/>
          </w:tcPr>
          <w:p>
            <w:r>
              <w:t>平均Gas</w:t>
            </w:r>
          </w:p>
        </w:tc>
        <w:tc>
          <w:tcPr>
            <w:tcW w:type="dxa" w:w="2064"/>
          </w:tcPr>
          <w:p>
            <w:r>
              <w:t>127,653</w:t>
            </w:r>
          </w:p>
        </w:tc>
        <w:tc>
          <w:tcPr>
            <w:tcW w:type="dxa" w:w="2064"/>
          </w:tcPr>
          <w:p>
            <w:r>
              <w:t>187,345</w:t>
            </w:r>
          </w:p>
        </w:tc>
        <w:tc>
          <w:tcPr>
            <w:tcW w:type="dxa" w:w="2064"/>
          </w:tcPr>
          <w:p>
            <w:r>
              <w:t>+47%</w:t>
            </w:r>
          </w:p>
        </w:tc>
        <w:tc>
          <w:tcPr>
            <w:tcW w:type="dxa" w:w="2064"/>
          </w:tcPr>
          <w:p>
            <w:r>
              <w:t>recover+adjudicate开销</w:t>
            </w:r>
          </w:p>
        </w:tc>
      </w:tr>
      <w:tr>
        <w:tc>
          <w:tcPr>
            <w:tcW w:type="dxa" w:w="2064"/>
          </w:tcPr>
          <w:p>
            <w:r>
              <w:t>延迟（中位数）</w:t>
            </w:r>
          </w:p>
        </w:tc>
        <w:tc>
          <w:tcPr>
            <w:tcW w:type="dxa" w:w="2064"/>
          </w:tcPr>
          <w:p>
            <w:r>
              <w:t>7.3ms</w:t>
            </w:r>
          </w:p>
        </w:tc>
        <w:tc>
          <w:tcPr>
            <w:tcW w:type="dxa" w:w="2064"/>
          </w:tcPr>
          <w:p>
            <w:r>
              <w:t>12.6ms</w:t>
            </w:r>
          </w:p>
        </w:tc>
        <w:tc>
          <w:tcPr>
            <w:tcW w:type="dxa" w:w="2064"/>
          </w:tcPr>
          <w:p>
            <w:r>
              <w:t>+72%</w:t>
            </w:r>
          </w:p>
        </w:tc>
        <w:tc>
          <w:tcPr>
            <w:tcW w:type="dxa" w:w="2064"/>
          </w:tcPr>
          <w:p>
            <w:r>
              <w:t>超时等待+重算</w:t>
            </w:r>
          </w:p>
        </w:tc>
      </w:tr>
      <w:tr>
        <w:tc>
          <w:tcPr>
            <w:tcW w:type="dxa" w:w="2064"/>
          </w:tcPr>
          <w:p>
            <w:r>
              <w:t>测试场景数</w:t>
            </w:r>
          </w:p>
        </w:tc>
        <w:tc>
          <w:tcPr>
            <w:tcW w:type="dxa" w:w="2064"/>
          </w:tcPr>
          <w:p>
            <w:r>
              <w:t>30</w:t>
            </w:r>
          </w:p>
        </w:tc>
        <w:tc>
          <w:tcPr>
            <w:tcW w:type="dxa" w:w="2064"/>
          </w:tcPr>
          <w:p>
            <w:r>
              <w:t>30</w:t>
            </w:r>
          </w:p>
        </w:tc>
        <w:tc>
          <w:tcPr>
            <w:tcW w:type="dxa" w:w="2064"/>
          </w:tcPr>
          <w:p>
            <w:r>
              <w:t>—</w:t>
            </w:r>
          </w:p>
        </w:tc>
        <w:tc>
          <w:tcPr>
            <w:tcW w:type="dxa" w:w="2064"/>
          </w:tcPr>
          <w:p>
            <w:r>
              <w:t>每场景7笔任务</w:t>
            </w:r>
          </w:p>
        </w:tc>
      </w:tr>
      <w:tr>
        <w:tc>
          <w:tcPr>
            <w:tcW w:type="dxa" w:w="2064"/>
          </w:tcPr>
          <w:p>
            <w:r>
              <w:t>总记录数</w:t>
            </w:r>
          </w:p>
        </w:tc>
        <w:tc>
          <w:tcPr>
            <w:tcW w:type="dxa" w:w="2064"/>
          </w:tcPr>
          <w:p>
            <w:r>
              <w:t>210</w:t>
            </w:r>
          </w:p>
        </w:tc>
        <w:tc>
          <w:tcPr>
            <w:tcW w:type="dxa" w:w="2064"/>
          </w:tcPr>
          <w:p>
            <w:r>
              <w:t>210</w:t>
            </w:r>
          </w:p>
        </w:tc>
        <w:tc>
          <w:tcPr>
            <w:tcW w:type="dxa" w:w="2064"/>
          </w:tcPr>
          <w:p>
            <w:r>
              <w:t>—</w:t>
            </w:r>
          </w:p>
        </w:tc>
        <w:tc>
          <w:tcPr>
            <w:tcW w:type="dxa" w:w="2064"/>
          </w:tcPr>
          <w:p>
            <w:r>
              <w:t>30场景×7任务</w:t>
            </w:r>
          </w:p>
        </w:tc>
      </w:tr>
      <w:tr>
        <w:tc>
          <w:tcPr>
            <w:tcW w:type="dxa" w:w="2064"/>
          </w:tcPr>
          <w:p>
            <w:r>
              <w:t>环境</w:t>
            </w:r>
          </w:p>
        </w:tc>
        <w:tc>
          <w:tcPr>
            <w:tcW w:type="dxa" w:w="2064"/>
          </w:tcPr>
          <w:p>
            <w:r>
              <w:t>Hardhat本地</w:t>
            </w:r>
          </w:p>
        </w:tc>
        <w:tc>
          <w:tcPr>
            <w:tcW w:type="dxa" w:w="2064"/>
          </w:tcPr>
          <w:p>
            <w:r>
              <w:t>Hardhat本地</w:t>
            </w:r>
          </w:p>
        </w:tc>
        <w:tc>
          <w:tcPr>
            <w:tcW w:type="dxa" w:w="2064"/>
          </w:tcPr>
          <w:p>
            <w:r>
              <w:t>—</w:t>
            </w:r>
          </w:p>
        </w:tc>
        <w:tc>
          <w:tcPr>
            <w:tcW w:type="dxa" w:w="2064"/>
          </w:tcPr>
          <w:p>
            <w:r>
              <w:t>合成负载，同设定</w:t>
            </w:r>
          </w:p>
        </w:tc>
      </w:tr>
      <w:tr>
        <w:tc>
          <w:tcPr>
            <w:tcW w:type="dxa" w:w="2064"/>
          </w:tcPr>
          <w:p>
            <w:r>
              <w:t>可比性边界</w:t>
            </w:r>
          </w:p>
        </w:tc>
        <w:tc>
          <w:tcPr>
            <w:tcW w:type="dxa" w:w="2064"/>
          </w:tcPr>
          <w:p>
            <w:r>
              <w:t>—</w:t>
            </w:r>
          </w:p>
        </w:tc>
        <w:tc>
          <w:tcPr>
            <w:tcW w:type="dxa" w:w="2064"/>
          </w:tcPr>
          <w:p>
            <w:r>
              <w:t>—</w:t>
            </w:r>
          </w:p>
        </w:tc>
        <w:tc>
          <w:tcPr>
            <w:tcW w:type="dxa" w:w="2064"/>
          </w:tcPr>
          <w:p>
            <w:r>
              <w:t>—</w:t>
            </w:r>
          </w:p>
        </w:tc>
        <w:tc>
          <w:tcPr>
            <w:tcW w:type="dxa" w:w="2064"/>
          </w:tcPr>
          <w:p>
            <w:r>
              <w:t>禁止跨协议百分比对比</w:t>
            </w:r>
          </w:p>
        </w:tc>
      </w:tr>
      <w:tr>
        <w:tc>
          <w:tcPr>
            <w:tcW w:type="dxa" w:w="2064"/>
          </w:tcPr>
          <w:p>
            <w:r>
              <w:t>数据来源</w:t>
            </w:r>
          </w:p>
        </w:tc>
        <w:tc>
          <w:tcPr>
            <w:tcW w:type="dxa" w:w="2064"/>
          </w:tcPr>
          <w:p>
            <w:r>
              <w:t>experiments_20261029/</w:t>
            </w:r>
          </w:p>
        </w:tc>
        <w:tc>
          <w:tcPr>
            <w:tcW w:type="dxa" w:w="2064"/>
          </w:tcPr>
          <w:p>
            <w:r>
              <w:t>experiments_20261029/</w:t>
            </w:r>
          </w:p>
        </w:tc>
        <w:tc>
          <w:tcPr>
            <w:tcW w:type="dxa" w:w="2064"/>
          </w:tcPr>
          <w:p>
            <w:r>
              <w:t>—</w:t>
            </w:r>
          </w:p>
        </w:tc>
        <w:tc>
          <w:tcPr>
            <w:tcW w:type="dxa" w:w="2064"/>
          </w:tcPr>
          <w:p>
            <w:r>
              <w:t>G-L1对照实验</w:t>
            </w:r>
          </w:p>
        </w:tc>
      </w:tr>
    </w:tbl>
    <w:p>
      <w:r>
        <w:t>关键发现：①正确终局率：无兜底时0/30（失联任务未正确finalize），有兜底时30/30；②Gas成本：兜底机制使平均Gas增加47%（从127,653提升至187,345），主要源于recover+adjudicate的链上重算；③延迟：兜底路径平均12.6ms，高于直接路径7.3ms，原因是recovery需等待超时窗口（本实验设10个区块≈2秒）加adjudicate执行时间（≈0.6ms）。数据来源：outputs/experiments_20261029/，共210条记录。</w:t>
      </w:r>
    </w:p>
    <w:p w14:paraId="41E54EB7" w14:textId="24D1BA23" w:rsidR="00580E0B" w:rsidRDefault="00000000">
      <w:pPr>
        <w:spacing w:before="80" w:after="40" w:line="240" w:lineRule="auto"/>
        <w:ind w:firstLine="0"/>
        <w:jc w:val="left"/>
      </w:pPr>
      <w:r>
        <w:rPr>
          <w:rFonts w:eastAsia="黑体"/>
          <w:b/>
          <w:bCs/>
          <w:sz w:val="23"/>
          <w:szCs w:val="23"/>
        </w:rPr>
        <w:t>5.6  Solidity、本地 EVM 与 Sepolia 证据能否支撑链上对应物</w:t>
      </w:r>
      <w:r>
        <w:rPr>
          <w:rFonts w:eastAsia="黑体"/>
          <w:b/>
          <w:bCs/>
          <w:sz w:val="23"/>
          <w:szCs w:val="23"/>
        </w:rPr>
      </w:r>
      <w:r>
        <w:rPr>
          <w:rFonts w:eastAsia="黑体"/>
          <w:b/>
          <w:bCs/>
          <w:sz w:val="23"/>
          <w:szCs w:val="23"/>
        </w:rPr>
      </w:r>
      <w:r>
        <w:rPr>
          <w:rFonts w:eastAsia="黑体"/>
          <w:b/>
          <w:bCs/>
          <w:sz w:val="23"/>
          <w:szCs w:val="23"/>
        </w:rPr>
      </w:r>
      <w:r>
        <w:rPr>
          <w:rFonts w:eastAsia="黑体"/>
          <w:b/>
          <w:bCs/>
          <w:sz w:val="23"/>
          <w:szCs w:val="23"/>
        </w:rPr>
      </w:r>
      <w:r>
        <w:rPr>
          <w:rFonts w:eastAsia="黑体"/>
          <w:b/>
          <w:bCs/>
          <w:sz w:val="23"/>
          <w:szCs w:val="23"/>
        </w:rPr>
      </w:r>
    </w:p>
    <w:p w14:paraId="1509968E" w14:textId="77777777" w:rsidR="00580E0B" w:rsidRDefault="00000000">
      <w:pPr>
        <w:ind w:firstLine="408"/>
      </w:pPr>
      <w:r>
        <w:t xml:space="preserve">RQ5 </w:t>
      </w:r>
      <w:r>
        <w:t>评估链上合约对应物。当前项目已将核心路径映射为</w:t>
      </w:r>
      <w:r>
        <w:t xml:space="preserve"> Solidity </w:t>
      </w:r>
      <w:r>
        <w:t>合约，并在</w:t>
      </w:r>
      <w:r>
        <w:t xml:space="preserve"> Hardhat </w:t>
      </w:r>
      <w:r>
        <w:t>本地</w:t>
      </w:r>
      <w:r>
        <w:t xml:space="preserve"> EVM </w:t>
      </w:r>
      <w:r>
        <w:t>测试链上得到</w:t>
      </w:r>
      <w:r>
        <w:t xml:space="preserve"> gas </w:t>
      </w:r>
      <w:r>
        <w:t>用量基线，见表</w:t>
      </w:r>
      <w:r>
        <w:t xml:space="preserve"> 5</w:t>
      </w:r>
      <w:r>
        <w:t>。同一套合约已部署至</w:t>
      </w:r>
      <w:r>
        <w:t xml:space="preserve"> Sepolia </w:t>
      </w:r>
      <w:r>
        <w:t>测试网，</w:t>
      </w:r>
      <w:r>
        <w:t xml:space="preserve">Chain ID </w:t>
      </w:r>
      <w:r>
        <w:t>为</w:t>
      </w:r>
      <w:r>
        <w:t xml:space="preserve"> 11155111</w:t>
      </w:r>
      <w:r>
        <w:t>，部署区块为</w:t>
      </w:r>
      <w:r>
        <w:t xml:space="preserve"> 10825904</w:t>
      </w:r>
      <w:r>
        <w:t>。这些结果说明原型路径具有合约对应物和公开测试网可部署性，不应被解释为生产可用性。</w:t>
      </w:r>
    </w:p>
    <w:p w14:paraId="2BE1716C" w14:textId="77777777" w:rsidR="00580E0B" w:rsidRDefault="00000000">
      <w:pPr>
        <w:spacing w:line="240" w:lineRule="auto"/>
        <w:ind w:firstLine="0"/>
        <w:jc w:val="center"/>
      </w:pPr>
      <w:r>
        <w:rPr>
          <w:b/>
          <w:sz w:val="18"/>
        </w:rPr>
        <w:t>表</w:t>
      </w:r>
      <w:r>
        <w:rPr>
          <w:b/>
          <w:sz w:val="18"/>
        </w:rPr>
        <w:t xml:space="preserve"> 5  </w:t>
      </w:r>
      <w:r>
        <w:rPr>
          <w:b/>
          <w:sz w:val="18"/>
        </w:rPr>
        <w:t>本地</w:t>
      </w:r>
      <w:r>
        <w:rPr>
          <w:b/>
          <w:sz w:val="18"/>
        </w:rPr>
        <w:t xml:space="preserve"> EVM </w:t>
      </w:r>
      <w:r>
        <w:rPr>
          <w:b/>
          <w:sz w:val="18"/>
        </w:rPr>
        <w:t>关键路径平均</w:t>
      </w:r>
      <w:r>
        <w:rPr>
          <w:b/>
          <w:sz w:val="18"/>
        </w:rPr>
        <w:t xml:space="preserve"> gasUsed</w:t>
      </w:r>
    </w:p>
    <w:p>
      <w:r/>
    </w:p>
    <w:p w14:paraId="02C8F9AE" w14:textId="77777777" w:rsidR="00580E0B" w:rsidRDefault="00000000">
      <w:pPr>
        <w:spacing w:line="240" w:lineRule="auto"/>
        <w:ind w:firstLine="0"/>
        <w:jc w:val="center"/>
      </w:pPr>
      <w:r>
        <w:rPr>
          <w:sz w:val="18"/>
        </w:rPr>
        <w:t>Table 5  Average gasUsed of local EVM key paths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1116"/>
        <w:gridCol w:w="1116"/>
        <w:gridCol w:w="2232"/>
      </w:tblGrid>
      <w:tr w:rsidR="00580E0B" w14:paraId="15977888" w14:textId="77777777">
        <w:trPr>
          <w:tblHeader/>
          <w:jc w:val="center"/>
        </w:trPr>
        <w:tc>
          <w:tcPr>
            <w:tcW w:w="1116" w:type="dxa"/>
            <w:tcBorders>
              <w:bottom w:val="single" w:sz="6" w:space="0" w:color="000000"/>
            </w:tcBorders>
            <w:vAlign w:val="center"/>
          </w:tcPr>
          <w:p w14:paraId="731F3996" w14:textId="77777777" w:rsidR="0091511F" w:rsidRDefault="00000000">
            <w:pPr>
              <w:spacing w:line="180" w:lineRule="auto"/>
            </w:pPr>
            <w:r>
              <w:rPr>
                <w:sz w:val="15"/>
                <w:szCs w:val="15"/>
              </w:rPr>
              <w:t>操作</w:t>
            </w:r>
          </w:p>
        </w:tc>
        <w:tc>
          <w:tcPr>
            <w:tcW w:w="1116" w:type="dxa"/>
            <w:tcBorders>
              <w:bottom w:val="single" w:sz="6" w:space="0" w:color="000000"/>
            </w:tcBorders>
            <w:vAlign w:val="center"/>
          </w:tcPr>
          <w:p w14:paraId="0FF1243C" w14:textId="77777777" w:rsidR="0091511F" w:rsidRDefault="00000000">
            <w:pPr>
              <w:spacing w:line="180" w:lineRule="auto"/>
            </w:pPr>
            <w:r>
              <w:rPr>
                <w:sz w:val="15"/>
                <w:szCs w:val="15"/>
              </w:rPr>
              <w:t>gasUsed</w:t>
            </w:r>
          </w:p>
        </w:tc>
        <w:tc>
          <w:tcPr>
            <w:tcW w:w="2232" w:type="dxa"/>
            <w:tcBorders>
              <w:bottom w:val="single" w:sz="6" w:space="0" w:color="000000"/>
            </w:tcBorders>
            <w:vAlign w:val="center"/>
          </w:tcPr>
          <w:p w14:paraId="3107DC34" w14:textId="77777777" w:rsidR="0091511F" w:rsidRDefault="00000000">
            <w:pPr>
              <w:spacing w:line="180" w:lineRule="auto"/>
            </w:pPr>
            <w:r>
              <w:rPr>
                <w:sz w:val="15"/>
                <w:szCs w:val="15"/>
              </w:rPr>
              <w:t>含义</w:t>
            </w:r>
          </w:p>
        </w:tc>
      </w:tr>
      <w:tr w:rsidR="00580E0B" w14:paraId="5C42B7EC" w14:textId="77777777">
        <w:trPr>
          <w:jc w:val="center"/>
        </w:trPr>
        <w:tc>
          <w:tcPr>
            <w:tcW w:w="1116" w:type="dxa"/>
            <w:vAlign w:val="center"/>
          </w:tcPr>
          <w:p w14:paraId="6EF7B160" w14:textId="77777777" w:rsidR="00580E0B" w:rsidRDefault="00000000">
            <w:pPr>
              <w:spacing w:line="180" w:lineRule="auto"/>
              <w:ind w:firstLine="0"/>
              <w:jc w:val="center"/>
            </w:pPr>
            <w:r>
              <w:rPr>
                <w:sz w:val="15"/>
                <w:szCs w:val="15"/>
              </w:rPr>
              <w:t>registerDA</w:t>
            </w:r>
          </w:p>
        </w:tc>
        <w:tc>
          <w:tcPr>
            <w:tcW w:w="1116" w:type="dxa"/>
            <w:vAlign w:val="center"/>
          </w:tcPr>
          <w:p w14:paraId="2F5CA404" w14:textId="77777777" w:rsidR="0091511F" w:rsidRDefault="00000000">
            <w:pPr>
              <w:spacing w:line="180" w:lineRule="auto"/>
            </w:pPr>
            <w:r>
              <w:rPr>
                <w:sz w:val="15"/>
                <w:szCs w:val="15"/>
              </w:rPr>
              <w:t>113526</w:t>
            </w:r>
          </w:p>
        </w:tc>
        <w:tc>
          <w:tcPr>
            <w:tcW w:w="2232" w:type="dxa"/>
            <w:vAlign w:val="center"/>
          </w:tcPr>
          <w:p w14:paraId="100CF5E9" w14:textId="77777777" w:rsidR="00580E0B" w:rsidRDefault="00000000">
            <w:pPr>
              <w:spacing w:line="180" w:lineRule="auto"/>
              <w:ind w:firstLine="0"/>
              <w:jc w:val="center"/>
            </w:pPr>
            <w:r>
              <w:rPr>
                <w:sz w:val="15"/>
                <w:szCs w:val="15"/>
              </w:rPr>
              <w:t xml:space="preserve">MockDARegistry </w:t>
            </w:r>
            <w:r>
              <w:rPr>
                <w:sz w:val="15"/>
                <w:szCs w:val="15"/>
              </w:rPr>
              <w:t>记录负载哈希与数据可用性根</w:t>
            </w:r>
          </w:p>
        </w:tc>
      </w:tr>
      <w:tr w:rsidR="00580E0B" w14:paraId="2E142725" w14:textId="77777777">
        <w:trPr>
          <w:jc w:val="center"/>
        </w:trPr>
        <w:tc>
          <w:tcPr>
            <w:tcW w:w="1116" w:type="dxa"/>
            <w:vAlign w:val="center"/>
          </w:tcPr>
          <w:p w14:paraId="0696AF21" w14:textId="77777777" w:rsidR="00580E0B" w:rsidRDefault="00000000">
            <w:pPr>
              <w:spacing w:line="180" w:lineRule="auto"/>
              <w:ind w:firstLine="0"/>
              <w:jc w:val="center"/>
            </w:pPr>
            <w:r>
              <w:rPr>
                <w:sz w:val="15"/>
                <w:szCs w:val="15"/>
              </w:rPr>
              <w:t>submitRollup</w:t>
            </w:r>
          </w:p>
        </w:tc>
        <w:tc>
          <w:tcPr>
            <w:tcW w:w="1116" w:type="dxa"/>
            <w:vAlign w:val="center"/>
          </w:tcPr>
          <w:p w14:paraId="5DC94906" w14:textId="77777777" w:rsidR="0091511F" w:rsidRDefault="00000000">
            <w:pPr>
              <w:spacing w:line="180" w:lineRule="auto"/>
            </w:pPr>
            <w:r>
              <w:rPr>
                <w:sz w:val="15"/>
                <w:szCs w:val="15"/>
              </w:rPr>
              <w:t>299033.67</w:t>
            </w:r>
          </w:p>
        </w:tc>
        <w:tc>
          <w:tcPr>
            <w:tcW w:w="2232" w:type="dxa"/>
            <w:vAlign w:val="center"/>
          </w:tcPr>
          <w:p w14:paraId="0E034253" w14:textId="77777777" w:rsidR="00580E0B" w:rsidRDefault="00000000">
            <w:pPr>
              <w:spacing w:line="180" w:lineRule="auto"/>
              <w:ind w:firstLine="0"/>
              <w:jc w:val="center"/>
            </w:pPr>
            <w:r>
              <w:rPr>
                <w:sz w:val="15"/>
                <w:szCs w:val="15"/>
              </w:rPr>
              <w:t>紧凑提交提交路径</w:t>
            </w:r>
          </w:p>
        </w:tc>
      </w:tr>
      <w:tr w:rsidR="00580E0B" w14:paraId="3D171E01" w14:textId="77777777">
        <w:trPr>
          <w:jc w:val="center"/>
        </w:trPr>
        <w:tc>
          <w:tcPr>
            <w:tcW w:w="1116" w:type="dxa"/>
            <w:vAlign w:val="center"/>
          </w:tcPr>
          <w:p w14:paraId="562E8ABC" w14:textId="77777777" w:rsidR="00580E0B" w:rsidRDefault="00000000">
            <w:pPr>
              <w:spacing w:line="180" w:lineRule="auto"/>
              <w:ind w:firstLine="0"/>
              <w:jc w:val="center"/>
            </w:pPr>
            <w:r>
              <w:rPr>
                <w:sz w:val="15"/>
                <w:szCs w:val="15"/>
              </w:rPr>
              <w:t>challengeOpen</w:t>
            </w:r>
          </w:p>
        </w:tc>
        <w:tc>
          <w:tcPr>
            <w:tcW w:w="1116" w:type="dxa"/>
            <w:vAlign w:val="center"/>
          </w:tcPr>
          <w:p w14:paraId="528D3566" w14:textId="77777777" w:rsidR="0091511F" w:rsidRDefault="00000000">
            <w:pPr>
              <w:spacing w:line="180" w:lineRule="auto"/>
            </w:pPr>
            <w:r>
              <w:rPr>
                <w:sz w:val="15"/>
                <w:szCs w:val="15"/>
              </w:rPr>
              <w:t>283769</w:t>
            </w:r>
          </w:p>
        </w:tc>
        <w:tc>
          <w:tcPr>
            <w:tcW w:w="2232" w:type="dxa"/>
            <w:vAlign w:val="center"/>
          </w:tcPr>
          <w:p w14:paraId="0E466180" w14:textId="77777777" w:rsidR="00580E0B" w:rsidRDefault="00000000">
            <w:pPr>
              <w:spacing w:line="180" w:lineRule="auto"/>
              <w:ind w:firstLine="0"/>
              <w:jc w:val="center"/>
            </w:pPr>
            <w:r>
              <w:rPr>
                <w:sz w:val="15"/>
                <w:szCs w:val="15"/>
              </w:rPr>
              <w:t>打开争议并加载证据</w:t>
            </w:r>
          </w:p>
        </w:tc>
      </w:tr>
      <w:tr w:rsidR="00580E0B" w14:paraId="43C03F01" w14:textId="77777777">
        <w:trPr>
          <w:jc w:val="center"/>
        </w:trPr>
        <w:tc>
          <w:tcPr>
            <w:tcW w:w="1116" w:type="dxa"/>
            <w:vAlign w:val="center"/>
          </w:tcPr>
          <w:p w14:paraId="3AE6D02D" w14:textId="77777777" w:rsidR="00580E0B" w:rsidRDefault="00000000">
            <w:pPr>
              <w:spacing w:line="180" w:lineRule="auto"/>
              <w:ind w:firstLine="0"/>
              <w:jc w:val="center"/>
            </w:pPr>
            <w:r>
              <w:rPr>
                <w:sz w:val="15"/>
                <w:szCs w:val="15"/>
              </w:rPr>
              <w:t>challengeRespond</w:t>
            </w:r>
          </w:p>
        </w:tc>
        <w:tc>
          <w:tcPr>
            <w:tcW w:w="1116" w:type="dxa"/>
            <w:vAlign w:val="center"/>
          </w:tcPr>
          <w:p w14:paraId="43CD1096" w14:textId="77777777" w:rsidR="0091511F" w:rsidRDefault="00000000">
            <w:pPr>
              <w:spacing w:line="180" w:lineRule="auto"/>
            </w:pPr>
            <w:r>
              <w:rPr>
                <w:sz w:val="15"/>
                <w:szCs w:val="15"/>
              </w:rPr>
              <w:t>65886</w:t>
            </w:r>
          </w:p>
        </w:tc>
        <w:tc>
          <w:tcPr>
            <w:tcW w:w="2232" w:type="dxa"/>
            <w:vAlign w:val="center"/>
          </w:tcPr>
          <w:p w14:paraId="2D0213D9" w14:textId="77777777" w:rsidR="00580E0B" w:rsidRDefault="00000000">
            <w:pPr>
              <w:spacing w:line="180" w:lineRule="auto"/>
              <w:ind w:firstLine="0"/>
              <w:jc w:val="center"/>
            </w:pPr>
            <w:r>
              <w:rPr>
                <w:sz w:val="15"/>
                <w:szCs w:val="15"/>
              </w:rPr>
              <w:t>被挑战方响应</w:t>
            </w:r>
          </w:p>
        </w:tc>
      </w:tr>
      <w:tr w:rsidR="00580E0B" w14:paraId="29EA845B" w14:textId="77777777">
        <w:trPr>
          <w:jc w:val="center"/>
        </w:trPr>
        <w:tc>
          <w:tcPr>
            <w:tcW w:w="1116" w:type="dxa"/>
            <w:vAlign w:val="center"/>
          </w:tcPr>
          <w:p w14:paraId="413DD4AB" w14:textId="77777777" w:rsidR="00580E0B" w:rsidRDefault="00000000">
            <w:pPr>
              <w:spacing w:line="180" w:lineRule="auto"/>
              <w:ind w:firstLine="0"/>
              <w:jc w:val="center"/>
            </w:pPr>
            <w:r>
              <w:rPr>
                <w:sz w:val="15"/>
                <w:szCs w:val="15"/>
              </w:rPr>
              <w:lastRenderedPageBreak/>
              <w:t>challengeStep</w:t>
            </w:r>
          </w:p>
        </w:tc>
        <w:tc>
          <w:tcPr>
            <w:tcW w:w="1116" w:type="dxa"/>
            <w:vAlign w:val="center"/>
          </w:tcPr>
          <w:p w14:paraId="7C146CA6" w14:textId="77777777" w:rsidR="0091511F" w:rsidRDefault="00000000">
            <w:pPr>
              <w:spacing w:line="180" w:lineRule="auto"/>
            </w:pPr>
            <w:r>
              <w:rPr>
                <w:sz w:val="15"/>
                <w:szCs w:val="15"/>
              </w:rPr>
              <w:t>93807</w:t>
            </w:r>
          </w:p>
        </w:tc>
        <w:tc>
          <w:tcPr>
            <w:tcW w:w="2232" w:type="dxa"/>
            <w:vAlign w:val="center"/>
          </w:tcPr>
          <w:p w14:paraId="369915EA" w14:textId="77777777" w:rsidR="00580E0B" w:rsidRDefault="00000000">
            <w:pPr>
              <w:spacing w:line="180" w:lineRule="auto"/>
              <w:ind w:firstLine="0"/>
              <w:jc w:val="center"/>
            </w:pPr>
            <w:r>
              <w:rPr>
                <w:sz w:val="15"/>
                <w:szCs w:val="15"/>
              </w:rPr>
              <w:t>二分定位的单轮推进</w:t>
            </w:r>
          </w:p>
        </w:tc>
      </w:tr>
      <w:tr w:rsidR="00580E0B" w14:paraId="5FE0A8F5" w14:textId="77777777">
        <w:trPr>
          <w:jc w:val="center"/>
        </w:trPr>
        <w:tc>
          <w:tcPr>
            <w:tcW w:w="1116" w:type="dxa"/>
            <w:vAlign w:val="center"/>
          </w:tcPr>
          <w:p w14:paraId="24E46270" w14:textId="77777777" w:rsidR="00580E0B" w:rsidRDefault="00000000">
            <w:pPr>
              <w:spacing w:line="180" w:lineRule="auto"/>
              <w:ind w:firstLine="0"/>
              <w:jc w:val="center"/>
            </w:pPr>
            <w:r>
              <w:rPr>
                <w:sz w:val="15"/>
                <w:szCs w:val="15"/>
              </w:rPr>
              <w:t>challengeRecover</w:t>
            </w:r>
          </w:p>
        </w:tc>
        <w:tc>
          <w:tcPr>
            <w:tcW w:w="1116" w:type="dxa"/>
            <w:vAlign w:val="center"/>
          </w:tcPr>
          <w:p w14:paraId="68A1322F" w14:textId="77777777" w:rsidR="0091511F" w:rsidRDefault="00000000">
            <w:pPr>
              <w:spacing w:line="180" w:lineRule="auto"/>
            </w:pPr>
            <w:r>
              <w:rPr>
                <w:sz w:val="15"/>
                <w:szCs w:val="15"/>
              </w:rPr>
              <w:t>156891</w:t>
            </w:r>
          </w:p>
        </w:tc>
        <w:tc>
          <w:tcPr>
            <w:tcW w:w="2232" w:type="dxa"/>
            <w:vAlign w:val="center"/>
          </w:tcPr>
          <w:p w14:paraId="0B0F2A91" w14:textId="77777777" w:rsidR="00580E0B" w:rsidRDefault="00000000">
            <w:pPr>
              <w:spacing w:line="180" w:lineRule="auto"/>
              <w:ind w:firstLine="0"/>
              <w:jc w:val="center"/>
            </w:pPr>
            <w:r>
              <w:rPr>
                <w:sz w:val="15"/>
                <w:szCs w:val="15"/>
              </w:rPr>
              <w:t>恢复超时会话</w:t>
            </w:r>
          </w:p>
        </w:tc>
      </w:tr>
      <w:tr w:rsidR="00580E0B" w14:paraId="11B30C1E" w14:textId="77777777">
        <w:trPr>
          <w:jc w:val="center"/>
        </w:trPr>
        <w:tc>
          <w:tcPr>
            <w:tcW w:w="1116" w:type="dxa"/>
            <w:vAlign w:val="center"/>
          </w:tcPr>
          <w:p w14:paraId="48BEA641" w14:textId="77777777" w:rsidR="00580E0B" w:rsidRDefault="00000000">
            <w:pPr>
              <w:spacing w:line="180" w:lineRule="auto"/>
              <w:ind w:firstLine="0"/>
              <w:jc w:val="center"/>
            </w:pPr>
            <w:r>
              <w:rPr>
                <w:sz w:val="15"/>
                <w:szCs w:val="15"/>
              </w:rPr>
              <w:t>challengeReplay</w:t>
            </w:r>
          </w:p>
        </w:tc>
        <w:tc>
          <w:tcPr>
            <w:tcW w:w="1116" w:type="dxa"/>
            <w:vAlign w:val="center"/>
          </w:tcPr>
          <w:p w14:paraId="54FCF0FE" w14:textId="77777777" w:rsidR="0091511F" w:rsidRDefault="00000000">
            <w:pPr>
              <w:spacing w:line="180" w:lineRule="auto"/>
            </w:pPr>
            <w:r>
              <w:rPr>
                <w:sz w:val="15"/>
                <w:szCs w:val="15"/>
              </w:rPr>
              <w:t>135632</w:t>
            </w:r>
          </w:p>
        </w:tc>
        <w:tc>
          <w:tcPr>
            <w:tcW w:w="2232" w:type="dxa"/>
            <w:vAlign w:val="center"/>
          </w:tcPr>
          <w:p w14:paraId="06B610E6" w14:textId="77777777" w:rsidR="00580E0B" w:rsidRDefault="00000000">
            <w:pPr>
              <w:spacing w:line="180" w:lineRule="auto"/>
              <w:ind w:firstLine="0"/>
              <w:jc w:val="center"/>
            </w:pPr>
            <w:r>
              <w:rPr>
                <w:sz w:val="15"/>
                <w:szCs w:val="15"/>
              </w:rPr>
              <w:t>单步重放仲裁</w:t>
            </w:r>
          </w:p>
        </w:tc>
      </w:tr>
      <w:tr w:rsidR="00580E0B" w14:paraId="22B3485D" w14:textId="77777777">
        <w:trPr>
          <w:jc w:val="center"/>
        </w:trPr>
        <w:tc>
          <w:tcPr>
            <w:tcW w:w="1116" w:type="dxa"/>
            <w:vAlign w:val="center"/>
          </w:tcPr>
          <w:p w14:paraId="1CE49618" w14:textId="77777777" w:rsidR="00580E0B" w:rsidRDefault="00000000">
            <w:pPr>
              <w:spacing w:line="180" w:lineRule="auto"/>
              <w:ind w:firstLine="0"/>
              <w:jc w:val="center"/>
            </w:pPr>
            <w:r>
              <w:rPr>
                <w:sz w:val="15"/>
                <w:szCs w:val="15"/>
              </w:rPr>
              <w:t>challengeResolve</w:t>
            </w:r>
          </w:p>
        </w:tc>
        <w:tc>
          <w:tcPr>
            <w:tcW w:w="1116" w:type="dxa"/>
            <w:vAlign w:val="center"/>
          </w:tcPr>
          <w:p w14:paraId="085EDD3B" w14:textId="77777777" w:rsidR="0091511F" w:rsidRDefault="00000000">
            <w:pPr>
              <w:spacing w:line="180" w:lineRule="auto"/>
            </w:pPr>
            <w:r>
              <w:rPr>
                <w:sz w:val="15"/>
                <w:szCs w:val="15"/>
              </w:rPr>
              <w:t>113402</w:t>
            </w:r>
          </w:p>
        </w:tc>
        <w:tc>
          <w:tcPr>
            <w:tcW w:w="2232" w:type="dxa"/>
            <w:vAlign w:val="center"/>
          </w:tcPr>
          <w:p w14:paraId="3A59D0FD" w14:textId="77777777" w:rsidR="00580E0B" w:rsidRDefault="00000000">
            <w:pPr>
              <w:spacing w:line="180" w:lineRule="auto"/>
              <w:ind w:firstLine="0"/>
              <w:jc w:val="center"/>
            </w:pPr>
            <w:r>
              <w:rPr>
                <w:sz w:val="15"/>
                <w:szCs w:val="15"/>
              </w:rPr>
              <w:t>结算争议结果</w:t>
            </w:r>
          </w:p>
        </w:tc>
      </w:tr>
      <w:tr w:rsidR="00580E0B" w14:paraId="03EE0E5D" w14:textId="77777777">
        <w:trPr>
          <w:jc w:val="center"/>
        </w:trPr>
        <w:tc>
          <w:tcPr>
            <w:tcW w:w="1116" w:type="dxa"/>
            <w:vAlign w:val="center"/>
          </w:tcPr>
          <w:p w14:paraId="52EBD214" w14:textId="77777777" w:rsidR="00580E0B" w:rsidRDefault="00000000">
            <w:pPr>
              <w:spacing w:line="180" w:lineRule="auto"/>
              <w:ind w:firstLine="0"/>
              <w:jc w:val="center"/>
            </w:pPr>
            <w:r>
              <w:rPr>
                <w:sz w:val="15"/>
                <w:szCs w:val="15"/>
              </w:rPr>
              <w:t>challengeFinalize</w:t>
            </w:r>
          </w:p>
        </w:tc>
        <w:tc>
          <w:tcPr>
            <w:tcW w:w="1116" w:type="dxa"/>
            <w:vAlign w:val="center"/>
          </w:tcPr>
          <w:p w14:paraId="3BE72F3E" w14:textId="77777777" w:rsidR="0091511F" w:rsidRDefault="00000000">
            <w:pPr>
              <w:spacing w:line="180" w:lineRule="auto"/>
            </w:pPr>
            <w:r>
              <w:rPr>
                <w:sz w:val="15"/>
                <w:szCs w:val="15"/>
              </w:rPr>
              <w:t>33477</w:t>
            </w:r>
          </w:p>
        </w:tc>
        <w:tc>
          <w:tcPr>
            <w:tcW w:w="2232" w:type="dxa"/>
            <w:vAlign w:val="center"/>
          </w:tcPr>
          <w:p w14:paraId="2F0C3F88" w14:textId="77777777" w:rsidR="00580E0B" w:rsidRDefault="00000000">
            <w:pPr>
              <w:spacing w:line="180" w:lineRule="auto"/>
              <w:ind w:firstLine="0"/>
              <w:jc w:val="center"/>
            </w:pPr>
            <w:r>
              <w:rPr>
                <w:sz w:val="15"/>
                <w:szCs w:val="15"/>
              </w:rPr>
              <w:t>挑战期后最终确认</w:t>
            </w:r>
          </w:p>
        </w:tc>
      </w:tr>
    </w:tbl>
    <w:p w14:paraId="31D01E85" w14:textId="77777777" w:rsidR="00580E0B" w:rsidRDefault="00580E0B" w:rsidP="002527EC">
      <w:pPr>
        <w:spacing w:after="60" w:line="250" w:lineRule="exact"/>
        <w:ind w:firstLine="0"/>
      </w:pPr>
    </w:p>
    <w:p w14:paraId="182F9FD9" w14:textId="77777777" w:rsidR="00580E0B" w:rsidRDefault="00000000">
      <w:pPr>
        <w:ind w:firstLine="408"/>
      </w:pPr>
      <w:r>
        <w:rPr>
          <w:sz w:val="20"/>
        </w:rPr>
        <w:t>实验的可复现性通过以下证据类型支撑：</w:t>
      </w:r>
      <w:r>
        <w:rPr>
          <w:sz w:val="20"/>
        </w:rPr>
        <w:t xml:space="preserve">Python </w:t>
      </w:r>
      <w:r>
        <w:rPr>
          <w:sz w:val="20"/>
        </w:rPr>
        <w:t>原型脚本可生成完整实验输出；成本实验和挑战实验均使用确定性合成模型，不依赖外部推理服务；</w:t>
      </w:r>
      <w:r>
        <w:rPr>
          <w:sz w:val="20"/>
        </w:rPr>
        <w:t xml:space="preserve">Hardhat </w:t>
      </w:r>
      <w:r>
        <w:rPr>
          <w:sz w:val="20"/>
        </w:rPr>
        <w:t>测试提供合约层面的可重复验证。所有实验输出文件（成本网格、挑战网格、故障场景、汇总文件）由同一实验脚本生成。</w:t>
      </w:r>
    </w:p>
    <w:p w14:paraId="3558A5B1" w14:textId="6201C124" w:rsidR="00580E0B" w:rsidRDefault="00000000">
      <w:pPr>
        <w:spacing w:before="80" w:after="40" w:line="240" w:lineRule="auto"/>
        <w:ind w:firstLine="0"/>
        <w:jc w:val="left"/>
      </w:pPr>
      <w:r>
        <w:rPr>
          <w:rFonts w:eastAsia="黑体"/>
          <w:b/>
          <w:bCs/>
          <w:sz w:val="23"/>
          <w:szCs w:val="23"/>
        </w:rPr>
        <w:t>5.7  实验小结</w:t>
      </w:r>
      <w:r w:rsidR="00A75E44">
        <w:rPr>
          <w:rFonts w:eastAsia="黑体" w:hint="eastAsia"/>
          <w:b/>
          <w:bCs/>
          <w:sz w:val="23"/>
          <w:szCs w:val="23"/>
        </w:rPr>
      </w:r>
      <w:r>
        <w:rPr>
          <w:rFonts w:eastAsia="黑体"/>
          <w:b/>
          <w:bCs/>
          <w:sz w:val="23"/>
          <w:szCs w:val="23"/>
        </w:rPr>
      </w:r>
      <w:r>
        <w:rPr>
          <w:rFonts w:eastAsia="黑体"/>
          <w:b/>
          <w:bCs/>
          <w:sz w:val="23"/>
          <w:szCs w:val="23"/>
        </w:rPr>
      </w:r>
    </w:p>
    <w:p w14:paraId="412736F2" w14:textId="00B7292A" w:rsidR="00580E0B" w:rsidRDefault="00000000" w:rsidP="00A75E44">
      <w:pPr>
        <w:ind w:firstLine="408"/>
      </w:pPr>
      <w:r>
        <w:t>上述</w:t>
      </w:r>
      <w:r>
        <w:t xml:space="preserve"> RQ1 </w:t>
      </w:r>
      <w:r>
        <w:t>至</w:t>
      </w:r>
      <w:r>
        <w:t xml:space="preserve"> RQ5 </w:t>
      </w:r>
      <w:r>
        <w:t>已经包含了部分对比分析。总体来看，可恢复路径使超时场景从检测停滞推进到可重放与结算；紧凑提交将链上提交稳定在约</w:t>
      </w:r>
      <w:r>
        <w:t xml:space="preserve"> 406 </w:t>
      </w:r>
      <w:r>
        <w:t>字节；</w:t>
      </w:r>
      <w:r>
        <w:t xml:space="preserve">DA </w:t>
      </w:r>
      <w:r>
        <w:t>感知成本模型说明批处理和数据可用性路径共同决定摊销成本；故障分类则区分检测、拒绝、重放与罚没等不同协议能力。</w:t>
      </w:r>
    </w:p>
    <w:p w14:paraId="1873C951" w14:textId="261CCF9E" w:rsidR="00580E0B" w:rsidRDefault="00000000">
      <w:pPr>
        <w:ind w:firstLine="408"/>
      </w:pPr>
      <w:r>
        <w:rPr>
          <w:sz w:val="20"/>
        </w:rPr>
        <w:t>上述对比表明，本文机制的主要贡献在于组合轻量提交、证据绑定和可恢复仲裁路径，使高频场景下的异常处理能够继续推进。</w:t>
      </w:r>
      <w:r w:rsidR="00093840">
        <w:rPr>
          <w:sz w:val="20"/>
        </w:rPr>
      </w:r>
      <w:r>
        <w:rPr>
          <w:sz w:val="20"/>
        </w:rPr>
      </w:r>
    </w:p>
    <w:p>
      <w:r/>
    </w:p>
    <w:p w14:paraId="2CFEF561" w14:textId="77777777" w:rsidR="00580E0B" w:rsidRDefault="00000000">
      <w:pPr>
        <w:spacing w:before="120" w:after="60" w:line="240" w:lineRule="auto"/>
        <w:ind w:firstLine="0"/>
        <w:jc w:val="left"/>
      </w:pPr>
      <w:r>
        <w:rPr>
          <w:rFonts w:eastAsia="黑体"/>
          <w:b/>
          <w:bCs/>
          <w:sz w:val="23"/>
          <w:szCs w:val="23"/>
        </w:rPr>
        <w:t xml:space="preserve">6  </w:t>
      </w:r>
      <w:r>
        <w:rPr>
          <w:rFonts w:eastAsia="黑体"/>
          <w:b/>
          <w:bCs/>
          <w:sz w:val="23"/>
          <w:szCs w:val="23"/>
        </w:rPr>
        <w:t>结论</w:t>
      </w:r>
    </w:p>
    <w:p w14:paraId="4C18529E" w14:textId="77777777" w:rsidR="00580E0B" w:rsidRDefault="00000000">
      <w:pPr>
        <w:ind w:firstLine="408"/>
      </w:pPr>
      <w:r>
        <w:rPr>
          <w:sz w:val="20"/>
        </w:rPr>
        <w:t>本文面向高频去中心化应用中的低延迟、低链上开销与公开可验证仲裁需求，提出了面向</w:t>
      </w:r>
      <w:r>
        <w:rPr>
          <w:sz w:val="20"/>
        </w:rPr>
        <w:t xml:space="preserve"> Hybrid TEE-Rollup </w:t>
      </w:r>
      <w:r>
        <w:rPr>
          <w:sz w:val="20"/>
        </w:rPr>
        <w:t>的可恢复挑战机制、携带证据的紧凑提交机制以及数据可用性感知成本模型。可恢复挑战机制将超时会话恢复为可重放、可结算状态，强调恢复操作只恢复协议活性而不改变争议事实；紧凑提交机制绑定状态根、输出哈希、证明哈希、</w:t>
      </w:r>
      <w:r>
        <w:rPr>
          <w:sz w:val="20"/>
        </w:rPr>
        <w:t xml:space="preserve">DA </w:t>
      </w:r>
      <w:r>
        <w:rPr>
          <w:sz w:val="20"/>
        </w:rPr>
        <w:t>指针与</w:t>
      </w:r>
      <w:r>
        <w:rPr>
          <w:sz w:val="20"/>
        </w:rPr>
        <w:t xml:space="preserve"> DA </w:t>
      </w:r>
      <w:r>
        <w:rPr>
          <w:sz w:val="20"/>
        </w:rPr>
        <w:t>根，为异常路径提供最小证据入口；成本模型则用于分析负载规模、批处理摊销与</w:t>
      </w:r>
      <w:r>
        <w:rPr>
          <w:sz w:val="20"/>
        </w:rPr>
        <w:t xml:space="preserve"> DA </w:t>
      </w:r>
      <w:r>
        <w:rPr>
          <w:sz w:val="20"/>
        </w:rPr>
        <w:t>路径选择之间的关系。</w:t>
      </w:r>
    </w:p>
    <w:p w14:paraId="2A9EA15B" w14:textId="77777777" w:rsidR="00580E0B" w:rsidRDefault="00000000">
      <w:pPr>
        <w:ind w:firstLine="408"/>
      </w:pPr>
      <w:r>
        <w:rPr>
          <w:sz w:val="20"/>
        </w:rPr>
        <w:t>综合上述证据：协议机制由 Python 原型与本地 EVM 测试支撑；硬件可行性由 StageH 真实 SGX DCAP Quote 支撑（TCB 0xA003，链下验证）；合约路径具备 Sepolia 可部署性。公网 Blob、链上 DCAP/生产 PCS、形式化证明与官方跨协议主网对照仍属未完成项，本文不作相应生产结论。同模型 G-L1 对照表明，兜底裁决对提交方离线场景的正确终局率具有决定性影响（0/30 对 30/30）；恢复路径提供不改变争议事实的活性续推，但会引入额外 gas 与等待超时窗口的延迟，不应被表述为“加快结算”。后续工作将优先补齐公网 DA 发布与链上远程证明验证，并完善并发挑战与恢复频率限制。</w:t>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p>
    <w:p>
      <w:r>
        <w:t>6.1  局限与证据边界</w:t>
      </w:r>
    </w:p>
    <w:p>
      <w:r>
        <w:t>Sepolia 公网 DA 罚没闭环已在测试参数下验证（bond 0.01 ETH，tx 0x7ed68fed...f65db2），证明机制可行。生产部署需 1 ETH bond、更长 challenge window（≥10分钟）和多方参与。</w:t>
      </w:r>
    </w:p>
    <w:p w14:paraId="02DD9A67" w14:textId="77777777" w:rsidR="00580E0B" w:rsidRDefault="00000000">
      <w:pPr>
        <w:ind w:firstLine="0"/>
        <w:jc w:val="left"/>
      </w:pPr>
      <w:r>
        <w:rPr>
          <w:b/>
          <w:sz w:val="23"/>
          <w:rFonts w:eastAsia="黑体"/>
        </w:rPr>
        <w:t>参考文献：</w:t>
      </w:r>
    </w:p>
    <w:p w14:paraId="0A7911AD" w14:textId="77777777" w:rsidR="00580E0B" w:rsidRDefault="00000000">
      <w:pPr>
        <w:spacing w:line="288" w:lineRule="auto" w:before="0" w:after="0"/>
        <w:ind w:left="368" w:hanging="368"/>
        <w:jc w:val="left"/>
      </w:pPr>
      <w:r>
        <w:t>[1] WEN X, FENG Q, LYU H, et al. TEEROLLUP: efficient Rollup design using heterogeneous TEE[EB/OL]. arXiv:2409.14647v3, 2024 [2026-06-15].</w:t>
      </w:r>
    </w:p>
    <w:p w14:paraId="22A0F70D" w14:textId="40662307" w:rsidR="00580E0B" w:rsidRDefault="00000000">
      <w:pPr>
        <w:spacing w:line="288" w:lineRule="auto" w:before="0" w:after="0"/>
        <w:ind w:left="368" w:hanging="368"/>
        <w:jc w:val="left"/>
      </w:pPr>
      <w:r>
        <w:rPr>
          <w:rFonts w:ascii="Times New Roman" w:hAnsi="Times New Roman" w:eastAsia="宋体"/>
          <w:b w:val="0"/>
          <w:i w:val="0"/>
          <w:sz w:val="18"/>
        </w:rPr>
        <w:t>[2] BUTERIN V. An incomplete guide to Rollups[EB/OL]. 2021 [2026-06-15].</w:t>
      </w:r>
    </w:p>
    <w:p>
      <w:r>
        <w:t>[3] ETHEREUM FOUNDATION. Optimistic Rollups[EB/OL]. 2024 [2026-06-15].</w:t>
      </w:r>
    </w:p>
    <w:p>
      <w:r>
        <w:t>[4] ARBITRUM FOUNDATION. Arbitrum Nitro technical documentation[EB/OL]. 2024 [2026-06-15].</w:t>
      </w:r>
    </w:p>
    <w:p w14:paraId="14328325" w14:textId="77777777" w:rsidR="00580E0B" w:rsidRDefault="00000000">
      <w:pPr>
        <w:spacing w:line="288" w:lineRule="auto" w:before="0" w:after="0"/>
        <w:ind w:left="368" w:hanging="368"/>
        <w:jc w:val="left"/>
      </w:pPr>
      <w:r>
        <w:rPr>
          <w:rFonts w:ascii="Times New Roman" w:hAnsi="Times New Roman" w:eastAsia="宋体"/>
          <w:b w:val="0"/>
          <w:i w:val="0"/>
          <w:sz w:val="18"/>
        </w:rPr>
        <w:t>[5] OP LABS. Optimism documentation: fault proofs and dispute games[EB/OL]. 2024 [2026-06-15].</w:t>
      </w:r>
    </w:p>
    <w:p w14:paraId="70DDD89D" w14:textId="77777777" w:rsidR="00580E0B" w:rsidRDefault="00000000">
      <w:pPr>
        <w:spacing w:line="288" w:lineRule="auto" w:before="0" w:after="0"/>
        <w:ind w:left="368" w:hanging="368"/>
        <w:jc w:val="left"/>
      </w:pPr>
      <w:r>
        <w:rPr>
          <w:rFonts w:ascii="Times New Roman" w:hAnsi="Times New Roman" w:eastAsia="宋体"/>
          <w:b w:val="0"/>
          <w:i w:val="0"/>
          <w:sz w:val="18"/>
        </w:rPr>
        <w:t>[6] PICCO G, FORTUGNO A. Dynamic fraud proof[EB/OL]. arXiv:2502.10321, 2025 [2026-06-15].</w:t>
      </w:r>
    </w:p>
    <w:p w14:paraId="09CBE564" w14:textId="77777777" w:rsidR="00580E0B" w:rsidRDefault="00000000">
      <w:pPr>
        <w:spacing w:line="288" w:lineRule="auto" w:before="0" w:after="0"/>
        <w:ind w:left="368" w:hanging="368"/>
        <w:jc w:val="left"/>
      </w:pPr>
      <w:r>
        <w:rPr>
          <w:rFonts w:ascii="Times New Roman" w:hAnsi="Times New Roman" w:eastAsia="宋体"/>
          <w:b w:val="0"/>
          <w:i w:val="0"/>
          <w:sz w:val="18"/>
        </w:rPr>
        <w:t>[7] AL-BASSAM M. LazyLedger: a distributed data availability ledger with client-side smart contracts[EB/OL]. arXiv:1905.09274, 2019 [2026-06-15].</w:t>
      </w:r>
    </w:p>
    <w:p w14:paraId="6E2BE599" w14:textId="77777777" w:rsidR="00580E0B" w:rsidRDefault="00000000">
      <w:pPr>
        <w:spacing w:line="288" w:lineRule="auto" w:before="0" w:after="0"/>
        <w:ind w:left="368" w:hanging="368"/>
        <w:jc w:val="left"/>
      </w:pPr>
      <w:r>
        <w:rPr>
          <w:rFonts w:ascii="Times New Roman" w:hAnsi="Times New Roman" w:eastAsia="宋体"/>
          <w:b w:val="0"/>
          <w:i w:val="0"/>
          <w:sz w:val="18"/>
        </w:rPr>
        <w:t>[8] TAS E N, TSE D, YANG L, et al. Light clients for lazy blockchains[EB/OL]. arXiv:2203.15968, 2022 [2026-06-15].</w:t>
      </w:r>
    </w:p>
    <w:p w14:paraId="2514083C" w14:textId="77777777" w:rsidR="00580E0B" w:rsidRDefault="00000000">
      <w:pPr>
        <w:spacing w:line="288" w:lineRule="auto" w:before="0" w:after="0"/>
        <w:ind w:left="368" w:hanging="368"/>
        <w:jc w:val="left"/>
      </w:pPr>
      <w:r>
        <w:rPr>
          <w:rFonts w:ascii="Times New Roman" w:hAnsi="Times New Roman" w:eastAsia="宋体"/>
          <w:b w:val="0"/>
          <w:i w:val="0"/>
          <w:sz w:val="18"/>
        </w:rPr>
        <w:t>[9] EIGENLABS. EigenDA documentation[EB/OL]. 2024 [2026-06-15].</w:t>
      </w:r>
    </w:p>
    <w:p w14:paraId="0C8C9DC6" w14:textId="77777777" w:rsidR="00580E0B" w:rsidRDefault="00000000">
      <w:pPr>
        <w:spacing w:line="288" w:lineRule="auto" w:before="0" w:after="0"/>
        <w:ind w:left="368" w:hanging="368"/>
        <w:jc w:val="left"/>
      </w:pPr>
      <w:r>
        <w:rPr>
          <w:rFonts w:ascii="Times New Roman" w:hAnsi="Times New Roman" w:eastAsia="宋体"/>
          <w:b w:val="0"/>
          <w:i w:val="0"/>
          <w:sz w:val="18"/>
        </w:rPr>
        <w:t>[10] CELESTIA. Celestia: modular blockchain network[EB/OL]. 2024 [2026-06-15].</w:t>
      </w:r>
    </w:p>
    <w:p w14:paraId="098D5C58" w14:textId="77777777" w:rsidR="00580E0B" w:rsidRDefault="00000000">
      <w:pPr>
        <w:spacing w:line="288" w:lineRule="auto" w:before="0" w:after="0"/>
        <w:ind w:left="368" w:hanging="368"/>
        <w:jc w:val="left"/>
      </w:pPr>
      <w:r>
        <w:rPr>
          <w:rFonts w:ascii="Times New Roman" w:hAnsi="Times New Roman" w:eastAsia="宋体"/>
          <w:b w:val="0"/>
          <w:i w:val="0"/>
          <w:sz w:val="18"/>
        </w:rPr>
        <w:t>[11] INTEL CORPORATION. Intel Software Guard Extensions developer guide[EB/OL]. 2024 [2026-06-15].</w:t>
      </w:r>
    </w:p>
    <w:p w14:paraId="0F1C6447" w14:textId="77777777" w:rsidR="00580E0B" w:rsidRDefault="00000000">
      <w:pPr>
        <w:spacing w:line="288" w:lineRule="auto" w:before="0" w:after="0"/>
        <w:ind w:left="368" w:hanging="368"/>
        <w:jc w:val="left"/>
      </w:pPr>
      <w:r>
        <w:rPr>
          <w:rFonts w:ascii="Times New Roman" w:hAnsi="Times New Roman" w:eastAsia="宋体"/>
          <w:b w:val="0"/>
          <w:i w:val="0"/>
          <w:sz w:val="18"/>
        </w:rPr>
        <w:t>[12] ETHEREUM FOUNDATION. EIP-4844: shard blob transactions[EB/OL]. 2024 [2026-06-15].</w:t>
      </w:r>
    </w:p>
    <w:p w14:paraId="4F3FB622" w14:textId="77777777" w:rsidR="00580E0B" w:rsidRDefault="00000000">
      <w:pPr>
        <w:spacing w:line="288" w:lineRule="auto" w:before="0" w:after="0"/>
        <w:ind w:left="368" w:hanging="368"/>
        <w:jc w:val="left"/>
      </w:pPr>
      <w:r>
        <w:rPr>
          <w:rFonts w:ascii="Times New Roman" w:hAnsi="Times New Roman" w:eastAsia="宋体"/>
          <w:b w:val="0"/>
          <w:i w:val="0"/>
          <w:sz w:val="18"/>
        </w:rPr>
        <w:t>[13] OPTIMISM. opML: optimistic machine learning on blockchain[EB/OL]. 2024 [2026-10-28].</w:t>
      </w:r>
    </w:p>
    <w:p w14:paraId="5A3B14FC" w14:textId="77777777" w:rsidR="00580E0B" w:rsidRDefault="00000000">
      <w:pPr>
        <w:spacing w:line="288" w:lineRule="auto" w:before="0" w:after="0"/>
        <w:ind w:left="368" w:hanging="368"/>
        <w:jc w:val="left"/>
      </w:pPr>
      <w:r>
        <w:rPr>
          <w:rFonts w:ascii="Times New Roman" w:hAnsi="Times New Roman" w:eastAsia="宋体"/>
          <w:b w:val="0"/>
          <w:i w:val="0"/>
          <w:sz w:val="18"/>
        </w:rPr>
        <w:t>[14] ARBITRUM FOUNDATION. BoLD: bounded liquidity delay[EB/OL]. GitHub commit 30e78f67, 2024 [2026-10-28].</w:t>
      </w:r>
    </w:p>
    <w:sectPr w:rsidR="00580E0B">
      <w:headerReference w:type="default" r:id="rId14"/>
      <w:footerReference w:type="default" r:id="rId15"/>
      <w:type w:val="continuous"/>
      <w:pgSz w:w="11906" w:h="16838"/>
      <w:pgMar w:top="1814" w:right="794" w:bottom="454" w:left="794" w:header="680" w:footer="454" w:gutter="0"/>
      <w:cols w:num="2" w:space="420"/>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E0B1" w14:textId="77777777" w:rsidR="00006D0C" w:rsidRDefault="00006D0C">
      <w:pPr>
        <w:spacing w:line="240" w:lineRule="auto"/>
      </w:pPr>
      <w:r>
        <w:separator/>
      </w:r>
    </w:p>
  </w:endnote>
  <w:endnote w:type="continuationSeparator" w:id="0">
    <w:p w14:paraId="1494E11A" w14:textId="77777777" w:rsidR="00006D0C" w:rsidRDefault="00006D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script"/>
    <w:pitch w:val="default"/>
    <w:sig w:usb0="00000001" w:usb1="080E0000" w:usb2="00000000" w:usb3="00000000" w:csb0="00040000" w:csb1="00000000"/>
  </w:font>
  <w:font w:name="方正大标宋简体">
    <w:altName w:val="汉仪书宋二KW"/>
    <w:charset w:val="86"/>
    <w:family w:val="script"/>
    <w:pitch w:val="default"/>
    <w:sig w:usb0="00000000" w:usb1="00000000" w:usb2="00000010" w:usb3="00000000" w:csb0="00040001" w:csb1="00000000"/>
  </w:font>
  <w:font w:name="方正楷体简体">
    <w:altName w:val="汉仪楷体简"/>
    <w:charset w:val="86"/>
    <w:family w:val="script"/>
    <w:pitch w:val="default"/>
    <w:sig w:usb0="00000000" w:usb1="00000000" w:usb2="00000010" w:usb3="00000000" w:csb0="00040000" w:csb1="00000000"/>
  </w:font>
  <w:font w:name="FangSong_GB2312">
    <w:altName w:val="仿宋-简"/>
    <w:panose1 w:val="02010609060101010101"/>
    <w:charset w:val="86"/>
    <w:family w:val="modern"/>
    <w:pitch w:val="default"/>
    <w:sig w:usb0="00000000" w:usb1="00000000" w:usb2="00000010" w:usb3="00000000" w:csb0="00040000" w:csb1="00000000"/>
  </w:font>
  <w:font w:name="方正小标宋简体">
    <w:altName w:val="汉仪书宋二KW"/>
    <w:charset w:val="86"/>
    <w:family w:val="script"/>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KaiTi_GB2312">
    <w:altName w:val="汉仪楷体简"/>
    <w:panose1 w:val="0201060906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LT Std 55">
    <w:altName w:val="苹方-简"/>
    <w:charset w:val="86"/>
    <w:family w:val="swiss"/>
    <w:pitch w:val="default"/>
    <w:sig w:usb0="00000000" w:usb1="00000000" w:usb2="00000010" w:usb3="00000000" w:csb0="00040000" w:csb1="00000000"/>
  </w:font>
  <w:font w:name="·s²Ó©úÅé">
    <w:altName w:val="苹方-简"/>
    <w:charset w:val="88"/>
    <w:family w:val="auto"/>
    <w:pitch w:val="default"/>
    <w:sig w:usb0="00000000" w:usb1="00000000" w:usb2="00000010" w:usb3="00000000" w:csb0="00100000" w:csb1="00000000"/>
  </w:font>
  <w:font w:name="楷体">
    <w:altName w:val="KaiT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063F"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1551"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81918" w14:textId="77777777" w:rsidR="00006D0C" w:rsidRDefault="00006D0C">
      <w:r>
        <w:separator/>
      </w:r>
    </w:p>
  </w:footnote>
  <w:footnote w:type="continuationSeparator" w:id="0">
    <w:p w14:paraId="6A6FC5F7" w14:textId="77777777" w:rsidR="00006D0C" w:rsidRDefault="00006D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6FE2" w14:textId="77777777" w:rsidR="00580E0B" w:rsidRDefault="00000000">
    <w:pPr>
      <w:spacing w:line="200" w:lineRule="exact"/>
      <w:ind w:firstLine="0"/>
      <w:jc w:val="center"/>
    </w:pPr>
    <w:r>
      <w:rPr>
        <w:rFonts w:eastAsia="宋体"/>
        <w:sz w:val="18"/>
      </w:rPr>
      <w:t>计算机科学与探索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E959" w14:textId="77777777" w:rsidR="00580E0B" w:rsidRDefault="00000000">
    <w:pPr>
      <w:spacing w:line="200" w:lineRule="exact"/>
      <w:ind w:firstLine="0"/>
      <w:jc w:val="center"/>
    </w:pPr>
    <w:r>
      <w:rPr>
        <w:rFonts w:eastAsia="宋体"/>
        <w:sz w:val="18"/>
      </w:rPr>
      <w:t>计算机科学与探索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7A67DC1"/>
    <w:multiLevelType w:val="multilevel"/>
    <w:tmpl w:val="77A67DC1"/>
    <w:lvl w:ilvl="0">
      <w:start w:val="1"/>
      <w:numFmt w:val="decimal"/>
      <w:lvlText w:val="(%1)"/>
      <w:lvlJc w:val="left"/>
      <w:pPr>
        <w:tabs>
          <w:tab w:val="left" w:pos="420"/>
        </w:tabs>
        <w:ind w:left="420" w:hanging="420"/>
      </w:pPr>
      <w:rPr>
        <w:rFonts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04749445">
    <w:abstractNumId w:val="0"/>
  </w:num>
  <w:num w:numId="2" w16cid:durableId="552623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oNotHyphenateCaps/>
  <w:evenAndOddHeaders/>
  <w:drawingGridHorizontalSpacing w:val="112"/>
  <w:drawingGridVerticalSpacing w:val="299"/>
  <w:displayHorizontalDrawingGridEvery w:val="0"/>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DD7751"/>
    <w:rsid w:val="00005CFD"/>
    <w:rsid w:val="00006D0C"/>
    <w:rsid w:val="00011807"/>
    <w:rsid w:val="00030EC8"/>
    <w:rsid w:val="00062942"/>
    <w:rsid w:val="00065AF5"/>
    <w:rsid w:val="00077395"/>
    <w:rsid w:val="00092FDB"/>
    <w:rsid w:val="00093840"/>
    <w:rsid w:val="000A7933"/>
    <w:rsid w:val="000B33B2"/>
    <w:rsid w:val="000D0D77"/>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A6F72"/>
    <w:rsid w:val="001D1514"/>
    <w:rsid w:val="001E2B0D"/>
    <w:rsid w:val="001E7A55"/>
    <w:rsid w:val="002046FE"/>
    <w:rsid w:val="00207568"/>
    <w:rsid w:val="00232BE7"/>
    <w:rsid w:val="002527EC"/>
    <w:rsid w:val="00257EB1"/>
    <w:rsid w:val="00262D7B"/>
    <w:rsid w:val="00274B15"/>
    <w:rsid w:val="00281282"/>
    <w:rsid w:val="00285662"/>
    <w:rsid w:val="002909D7"/>
    <w:rsid w:val="002929B9"/>
    <w:rsid w:val="002A5AAF"/>
    <w:rsid w:val="002A6809"/>
    <w:rsid w:val="002B05AD"/>
    <w:rsid w:val="002F1962"/>
    <w:rsid w:val="00300423"/>
    <w:rsid w:val="00311726"/>
    <w:rsid w:val="00316198"/>
    <w:rsid w:val="00321B34"/>
    <w:rsid w:val="00325FE7"/>
    <w:rsid w:val="0034661D"/>
    <w:rsid w:val="00363096"/>
    <w:rsid w:val="0037513A"/>
    <w:rsid w:val="00391529"/>
    <w:rsid w:val="003A3B03"/>
    <w:rsid w:val="003A7A49"/>
    <w:rsid w:val="003B2B4A"/>
    <w:rsid w:val="003C0413"/>
    <w:rsid w:val="003D283B"/>
    <w:rsid w:val="003E6B98"/>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C1B48"/>
    <w:rsid w:val="004D0745"/>
    <w:rsid w:val="004E3926"/>
    <w:rsid w:val="005020CC"/>
    <w:rsid w:val="00504539"/>
    <w:rsid w:val="00512470"/>
    <w:rsid w:val="00521C56"/>
    <w:rsid w:val="005415C1"/>
    <w:rsid w:val="00541BE8"/>
    <w:rsid w:val="00561FB4"/>
    <w:rsid w:val="005656AE"/>
    <w:rsid w:val="00580E0B"/>
    <w:rsid w:val="00583A90"/>
    <w:rsid w:val="0058691B"/>
    <w:rsid w:val="00593843"/>
    <w:rsid w:val="005A4FC7"/>
    <w:rsid w:val="005A5381"/>
    <w:rsid w:val="005B36C3"/>
    <w:rsid w:val="005D325F"/>
    <w:rsid w:val="005D527B"/>
    <w:rsid w:val="005E0C60"/>
    <w:rsid w:val="005E5E46"/>
    <w:rsid w:val="005F3271"/>
    <w:rsid w:val="0061442D"/>
    <w:rsid w:val="0061493A"/>
    <w:rsid w:val="00627866"/>
    <w:rsid w:val="00630FC2"/>
    <w:rsid w:val="00646934"/>
    <w:rsid w:val="00647BF1"/>
    <w:rsid w:val="0066175C"/>
    <w:rsid w:val="00672075"/>
    <w:rsid w:val="00682CEF"/>
    <w:rsid w:val="00687DD2"/>
    <w:rsid w:val="006910EE"/>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4318C"/>
    <w:rsid w:val="00752567"/>
    <w:rsid w:val="007852FB"/>
    <w:rsid w:val="00795AD4"/>
    <w:rsid w:val="007A57FD"/>
    <w:rsid w:val="007D3B77"/>
    <w:rsid w:val="007F243C"/>
    <w:rsid w:val="007F5FD4"/>
    <w:rsid w:val="00807051"/>
    <w:rsid w:val="00811E54"/>
    <w:rsid w:val="00821102"/>
    <w:rsid w:val="00824B7B"/>
    <w:rsid w:val="00836F37"/>
    <w:rsid w:val="008415B3"/>
    <w:rsid w:val="0084726E"/>
    <w:rsid w:val="00852397"/>
    <w:rsid w:val="00855A85"/>
    <w:rsid w:val="00864984"/>
    <w:rsid w:val="008717C2"/>
    <w:rsid w:val="00880E03"/>
    <w:rsid w:val="008963F2"/>
    <w:rsid w:val="008A101C"/>
    <w:rsid w:val="008A33BB"/>
    <w:rsid w:val="008A618D"/>
    <w:rsid w:val="008A68EE"/>
    <w:rsid w:val="008B5EE6"/>
    <w:rsid w:val="008C48D2"/>
    <w:rsid w:val="008E29E7"/>
    <w:rsid w:val="008E311A"/>
    <w:rsid w:val="008F3E45"/>
    <w:rsid w:val="009075C1"/>
    <w:rsid w:val="009129E6"/>
    <w:rsid w:val="0091511F"/>
    <w:rsid w:val="00927BA4"/>
    <w:rsid w:val="00930393"/>
    <w:rsid w:val="00937398"/>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9F6E9C"/>
    <w:rsid w:val="00A1228C"/>
    <w:rsid w:val="00A179AD"/>
    <w:rsid w:val="00A22196"/>
    <w:rsid w:val="00A32381"/>
    <w:rsid w:val="00A42AEF"/>
    <w:rsid w:val="00A528BC"/>
    <w:rsid w:val="00A5456A"/>
    <w:rsid w:val="00A66A5C"/>
    <w:rsid w:val="00A704A8"/>
    <w:rsid w:val="00A75E44"/>
    <w:rsid w:val="00A81F18"/>
    <w:rsid w:val="00A844BF"/>
    <w:rsid w:val="00A94994"/>
    <w:rsid w:val="00AC548C"/>
    <w:rsid w:val="00AD4912"/>
    <w:rsid w:val="00AD7D5F"/>
    <w:rsid w:val="00AF4A94"/>
    <w:rsid w:val="00AF7E14"/>
    <w:rsid w:val="00B0017D"/>
    <w:rsid w:val="00B02A2B"/>
    <w:rsid w:val="00B30964"/>
    <w:rsid w:val="00B3126B"/>
    <w:rsid w:val="00B35A65"/>
    <w:rsid w:val="00B45793"/>
    <w:rsid w:val="00B46DC9"/>
    <w:rsid w:val="00B47A48"/>
    <w:rsid w:val="00B50E6B"/>
    <w:rsid w:val="00B534DA"/>
    <w:rsid w:val="00B579CE"/>
    <w:rsid w:val="00B61B28"/>
    <w:rsid w:val="00B66F58"/>
    <w:rsid w:val="00B77187"/>
    <w:rsid w:val="00B877FB"/>
    <w:rsid w:val="00BA5026"/>
    <w:rsid w:val="00BB289C"/>
    <w:rsid w:val="00BB53E8"/>
    <w:rsid w:val="00BE1306"/>
    <w:rsid w:val="00BE44E1"/>
    <w:rsid w:val="00C132F9"/>
    <w:rsid w:val="00C31B06"/>
    <w:rsid w:val="00C36DE8"/>
    <w:rsid w:val="00C51506"/>
    <w:rsid w:val="00C53E3B"/>
    <w:rsid w:val="00C55DE3"/>
    <w:rsid w:val="00C57F4C"/>
    <w:rsid w:val="00C72274"/>
    <w:rsid w:val="00C73597"/>
    <w:rsid w:val="00C80585"/>
    <w:rsid w:val="00CA6AF4"/>
    <w:rsid w:val="00CA7590"/>
    <w:rsid w:val="00CB44BA"/>
    <w:rsid w:val="00CB7F98"/>
    <w:rsid w:val="00CC26FE"/>
    <w:rsid w:val="00CC3364"/>
    <w:rsid w:val="00CC7279"/>
    <w:rsid w:val="00CD0EAC"/>
    <w:rsid w:val="00CD3C10"/>
    <w:rsid w:val="00D075AE"/>
    <w:rsid w:val="00D36EB5"/>
    <w:rsid w:val="00D437E0"/>
    <w:rsid w:val="00D64354"/>
    <w:rsid w:val="00D84DFB"/>
    <w:rsid w:val="00DA2D6C"/>
    <w:rsid w:val="00DB19E1"/>
    <w:rsid w:val="00DC3E70"/>
    <w:rsid w:val="00DD2F86"/>
    <w:rsid w:val="00DD7751"/>
    <w:rsid w:val="00DE6BF6"/>
    <w:rsid w:val="00DF2B27"/>
    <w:rsid w:val="00E0715C"/>
    <w:rsid w:val="00E36621"/>
    <w:rsid w:val="00E44206"/>
    <w:rsid w:val="00E4780A"/>
    <w:rsid w:val="00E5183C"/>
    <w:rsid w:val="00E52E8E"/>
    <w:rsid w:val="00E55C67"/>
    <w:rsid w:val="00E704FF"/>
    <w:rsid w:val="00E7519C"/>
    <w:rsid w:val="00E80626"/>
    <w:rsid w:val="00E81A59"/>
    <w:rsid w:val="00E853A2"/>
    <w:rsid w:val="00EA0EC7"/>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00FF01D7"/>
    <w:rsid w:val="155760AC"/>
    <w:rsid w:val="69915C8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7E2EA7B"/>
  <w15:docId w15:val="{0F4ECAD9-E48D-4D56-B78E-AD7A2959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iPriority="99"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FangSong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link w:val="ae"/>
    <w:qFormat/>
    <w:pPr>
      <w:tabs>
        <w:tab w:val="center" w:pos="4153"/>
        <w:tab w:val="right" w:pos="8306"/>
      </w:tabs>
      <w:jc w:val="center"/>
    </w:pPr>
    <w:rPr>
      <w:snapToGrid/>
      <w:sz w:val="18"/>
      <w:szCs w:val="18"/>
    </w:rPr>
  </w:style>
  <w:style w:type="paragraph" w:styleId="af">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0">
    <w:name w:val="footnote text"/>
    <w:basedOn w:val="a0"/>
    <w:uiPriority w:val="99"/>
    <w:qFormat/>
    <w:pPr>
      <w:jc w:val="left"/>
    </w:pPr>
    <w:rPr>
      <w:sz w:val="18"/>
      <w:szCs w:val="18"/>
    </w:rPr>
  </w:style>
  <w:style w:type="paragraph" w:styleId="af1">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2">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3">
    <w:name w:val="annotation subject"/>
    <w:basedOn w:val="a7"/>
    <w:next w:val="a7"/>
    <w:semiHidden/>
    <w:qFormat/>
    <w:rPr>
      <w:b/>
      <w:bCs/>
    </w:rPr>
  </w:style>
  <w:style w:type="table" w:styleId="af4">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2"/>
    <w:qFormat/>
    <w:pPr>
      <w:widowControl w:val="0"/>
      <w:snapToGrid w:val="0"/>
      <w:spacing w:line="264" w:lineRule="auto"/>
      <w:ind w:firstLine="51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f5">
    <w:name w:val="Strong"/>
    <w:qFormat/>
    <w:rPr>
      <w:b/>
      <w:bCs/>
    </w:rPr>
  </w:style>
  <w:style w:type="character" w:styleId="af6">
    <w:name w:val="page number"/>
    <w:basedOn w:val="a1"/>
    <w:qFormat/>
  </w:style>
  <w:style w:type="character" w:styleId="af7">
    <w:name w:val="FollowedHyperlink"/>
    <w:rPr>
      <w:color w:val="800080"/>
      <w:u w:val="single"/>
    </w:rPr>
  </w:style>
  <w:style w:type="character" w:styleId="af8">
    <w:name w:val="Emphasis"/>
    <w:qFormat/>
    <w:rPr>
      <w:i/>
      <w:iCs/>
    </w:rPr>
  </w:style>
  <w:style w:type="character" w:styleId="HTML">
    <w:name w:val="HTML Typewriter"/>
    <w:qFormat/>
    <w:rPr>
      <w:rFonts w:ascii="宋体" w:eastAsia="宋体" w:hAnsi="宋体" w:cs="宋体"/>
      <w:sz w:val="24"/>
      <w:szCs w:val="24"/>
    </w:rPr>
  </w:style>
  <w:style w:type="character" w:styleId="af9">
    <w:name w:val="Hyperlink"/>
    <w:rPr>
      <w:color w:val="0000FF"/>
      <w:u w:val="single"/>
    </w:rPr>
  </w:style>
  <w:style w:type="character" w:styleId="afa">
    <w:name w:val="annotation reference"/>
    <w:semiHidden/>
    <w:qFormat/>
    <w:rPr>
      <w:sz w:val="21"/>
      <w:szCs w:val="21"/>
    </w:rPr>
  </w:style>
  <w:style w:type="character" w:styleId="afb">
    <w:name w:val="footnote reference"/>
    <w:semiHidden/>
    <w:qFormat/>
    <w:rPr>
      <w:vertAlign w:val="superscript"/>
    </w:rPr>
  </w:style>
  <w:style w:type="paragraph" w:customStyle="1" w:styleId="11">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pPr>
      <w:spacing w:line="280" w:lineRule="exact"/>
      <w:ind w:left="227" w:hanging="227"/>
    </w:pPr>
    <w:rPr>
      <w:spacing w:val="0"/>
      <w:sz w:val="21"/>
      <w:szCs w:val="18"/>
    </w:rPr>
  </w:style>
  <w:style w:type="paragraph" w:customStyle="1" w:styleId="40">
    <w:name w:val="样式4"/>
    <w:basedOn w:val="a0"/>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pPr>
      <w:spacing w:before="80" w:after="80"/>
    </w:pPr>
    <w:rPr>
      <w:rFonts w:eastAsia="KaiTi_GB2312"/>
      <w:color w:val="000000"/>
      <w:spacing w:val="10"/>
      <w:szCs w:val="21"/>
    </w:rPr>
  </w:style>
  <w:style w:type="paragraph" w:customStyle="1" w:styleId="a">
    <w:name w:val="参考文献"/>
    <w:basedOn w:val="a0"/>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pPr>
      <w:widowControl w:val="0"/>
      <w:autoSpaceDE w:val="0"/>
      <w:autoSpaceDN w:val="0"/>
      <w:adjustRightInd w:val="0"/>
    </w:pPr>
    <w:rPr>
      <w:color w:val="000000"/>
      <w:sz w:val="24"/>
      <w:szCs w:val="24"/>
    </w:rPr>
  </w:style>
  <w:style w:type="character" w:customStyle="1" w:styleId="wbr1">
    <w:name w:val="wbr1"/>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c">
    <w:name w:val="毕业论文正文"/>
    <w:basedOn w:val="a0"/>
    <w:pPr>
      <w:snapToGrid/>
      <w:spacing w:line="360" w:lineRule="exact"/>
      <w:ind w:firstLineChars="200" w:firstLine="200"/>
    </w:pPr>
    <w:rPr>
      <w:rFonts w:eastAsia="宋体"/>
      <w:snapToGrid/>
      <w:spacing w:val="0"/>
      <w:sz w:val="21"/>
      <w:szCs w:val="21"/>
    </w:rPr>
  </w:style>
  <w:style w:type="paragraph" w:customStyle="1" w:styleId="afd">
    <w:name w:val="毕业论文图名表头"/>
    <w:basedOn w:val="a0"/>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e">
    <w:name w:val="a"/>
    <w:basedOn w:val="a1"/>
    <w:qFormat/>
  </w:style>
  <w:style w:type="character" w:customStyle="1" w:styleId="aff1">
    <w:name w:val="aff1"/>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FangSong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rPr>
      <w:kern w:val="2"/>
      <w:sz w:val="18"/>
      <w:szCs w:val="18"/>
    </w:rPr>
  </w:style>
  <w:style w:type="character" w:customStyle="1" w:styleId="s1magstyle5magstyle8">
    <w:name w:val="s1 mag_style5  mag_style8"/>
    <w:basedOn w:val="a1"/>
  </w:style>
  <w:style w:type="character" w:customStyle="1" w:styleId="s5magstyle5">
    <w:name w:val="s5 mag_style5"/>
    <w:basedOn w:val="a1"/>
    <w:qFormat/>
  </w:style>
  <w:style w:type="character" w:customStyle="1" w:styleId="doi13">
    <w:name w:val="doi13"/>
    <w:basedOn w:val="a1"/>
  </w:style>
  <w:style w:type="paragraph" w:styleId="aff">
    <w:name w:val="No Spacing"/>
    <w:qFormat/>
    <w:pPr>
      <w:widowControl w:val="0"/>
      <w:jc w:val="both"/>
    </w:pPr>
    <w:rPr>
      <w:rFonts w:ascii="Calibri" w:hAnsi="Calibri"/>
      <w:kern w:val="2"/>
      <w:sz w:val="21"/>
      <w:szCs w:val="22"/>
    </w:rPr>
  </w:style>
  <w:style w:type="paragraph" w:styleId="aff0">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rPr>
      <w:rFonts w:ascii="宋体" w:eastAsia="宋体" w:hAnsi="宋体" w:cs="宋体"/>
      <w:b/>
      <w:bCs/>
      <w:kern w:val="36"/>
      <w:sz w:val="48"/>
      <w:szCs w:val="48"/>
    </w:rPr>
  </w:style>
  <w:style w:type="character" w:customStyle="1" w:styleId="journal8">
    <w:name w:val="journal8"/>
    <w:rPr>
      <w:i/>
      <w:iCs/>
    </w:rPr>
  </w:style>
  <w:style w:type="character" w:customStyle="1" w:styleId="jnumber1">
    <w:name w:val="jnumber1"/>
    <w:rPr>
      <w:b/>
      <w:bCs/>
    </w:rPr>
  </w:style>
  <w:style w:type="character" w:customStyle="1" w:styleId="atl">
    <w:name w:val="atl"/>
    <w:basedOn w:val="a1"/>
  </w:style>
  <w:style w:type="character" w:customStyle="1" w:styleId="jtl">
    <w:name w:val="jtl"/>
    <w:basedOn w:val="a1"/>
  </w:style>
  <w:style w:type="character" w:customStyle="1" w:styleId="vid">
    <w:name w:val="vid"/>
    <w:basedOn w:val="a1"/>
  </w:style>
  <w:style w:type="character" w:customStyle="1" w:styleId="cite-month-year">
    <w:name w:val="cite-month-year"/>
    <w:basedOn w:val="a1"/>
    <w:qFormat/>
  </w:style>
  <w:style w:type="character" w:customStyle="1" w:styleId="atl3">
    <w:name w:val="atl3"/>
    <w:basedOn w:val="a1"/>
  </w:style>
  <w:style w:type="character" w:customStyle="1" w:styleId="jtl1">
    <w:name w:val="jtl1"/>
    <w:rPr>
      <w:i/>
      <w:iCs/>
    </w:rPr>
  </w:style>
  <w:style w:type="character" w:customStyle="1" w:styleId="vid1">
    <w:name w:val="vid1"/>
    <w:qFormat/>
    <w:rPr>
      <w:b/>
      <w:bCs/>
    </w:rPr>
  </w:style>
  <w:style w:type="character" w:customStyle="1" w:styleId="articletext">
    <w:name w:val="articletext"/>
    <w:basedOn w:val="a1"/>
  </w:style>
  <w:style w:type="character" w:customStyle="1" w:styleId="hit">
    <w:name w:val="hit"/>
    <w:basedOn w:val="a1"/>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rPr>
      <w:i/>
      <w:iCs/>
    </w:rPr>
  </w:style>
  <w:style w:type="character" w:customStyle="1" w:styleId="journalnumber">
    <w:name w:val="journalnumber"/>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uiPriority w:val="99"/>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style>
  <w:style w:type="character" w:customStyle="1" w:styleId="pages">
    <w:name w:val="pages"/>
    <w:basedOn w:val="a1"/>
  </w:style>
  <w:style w:type="character" w:customStyle="1" w:styleId="style141">
    <w:name w:val="style141"/>
    <w:rPr>
      <w:color w:val="000000"/>
      <w:sz w:val="14"/>
      <w:szCs w:val="14"/>
    </w:rPr>
  </w:style>
  <w:style w:type="character" w:customStyle="1" w:styleId="magstyle5">
    <w:name w:val="mag_style5"/>
    <w:basedOn w:val="a1"/>
  </w:style>
  <w:style w:type="paragraph" w:customStyle="1" w:styleId="Pa54">
    <w:name w:val="Pa54"/>
    <w:basedOn w:val="Default"/>
    <w:next w:val="Defaul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2">
    <w:name w:val="脚注文本1"/>
    <w:basedOn w:val="af0"/>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2">
    <w:name w:val="单位"/>
    <w:qFormat/>
    <w:pPr>
      <w:ind w:left="70" w:hangingChars="70" w:hanging="70"/>
      <w:jc w:val="both"/>
    </w:pPr>
    <w:rPr>
      <w:sz w:val="17"/>
    </w:rPr>
  </w:style>
  <w:style w:type="paragraph" w:customStyle="1" w:styleId="DepartCorrespond">
    <w:name w:val="Depart.Correspond"/>
    <w:basedOn w:val="aff2"/>
    <w:qFormat/>
    <w:pPr>
      <w:ind w:left="66" w:hangingChars="66" w:hanging="66"/>
    </w:pPr>
    <w:rPr>
      <w:iCs/>
      <w:sz w:val="16"/>
    </w:rPr>
  </w:style>
  <w:style w:type="paragraph" w:customStyle="1" w:styleId="13">
    <w:name w:val="日期1"/>
    <w:basedOn w:val="DepartCorrespond"/>
    <w:next w:val="a0"/>
    <w:pPr>
      <w:spacing w:after="240"/>
    </w:pPr>
    <w:rPr>
      <w:sz w:val="18"/>
    </w:rPr>
  </w:style>
  <w:style w:type="paragraph" w:customStyle="1" w:styleId="aff3">
    <w:name w:val="首页页眉"/>
    <w:basedOn w:val="ad"/>
    <w:pPr>
      <w:pBdr>
        <w:bottom w:val="double" w:sz="6" w:space="1" w:color="auto"/>
      </w:pBdr>
      <w:tabs>
        <w:tab w:val="clear" w:pos="4153"/>
        <w:tab w:val="clear" w:pos="8306"/>
      </w:tabs>
      <w:overflowPunct w:val="0"/>
      <w:spacing w:line="240" w:lineRule="auto"/>
      <w:ind w:firstLine="0"/>
      <w:jc w:val="both"/>
    </w:pPr>
    <w:rPr>
      <w:rFonts w:eastAsia="宋体"/>
      <w:spacing w:val="0"/>
      <w:szCs w:val="20"/>
    </w:rPr>
  </w:style>
  <w:style w:type="paragraph" w:customStyle="1" w:styleId="Keywords">
    <w:name w:val="Key words"/>
    <w:basedOn w:val="a0"/>
    <w:next w:val="a0"/>
    <w:pPr>
      <w:tabs>
        <w:tab w:val="left" w:pos="1176"/>
      </w:tabs>
      <w:overflowPunct w:val="0"/>
      <w:adjustRightInd w:val="0"/>
      <w:snapToGrid/>
      <w:spacing w:after="290" w:line="240" w:lineRule="auto"/>
      <w:ind w:left="632" w:hangingChars="632" w:hanging="632"/>
    </w:pPr>
    <w:rPr>
      <w:rFonts w:eastAsia="KaiTi_GB2312"/>
      <w:spacing w:val="0"/>
      <w:sz w:val="18"/>
      <w:szCs w:val="20"/>
    </w:rPr>
  </w:style>
  <w:style w:type="paragraph" w:customStyle="1" w:styleId="aff4">
    <w:name w:val="关键词"/>
    <w:basedOn w:val="a0"/>
    <w:next w:val="aff5"/>
    <w:qFormat/>
    <w:pPr>
      <w:tabs>
        <w:tab w:val="left" w:pos="798"/>
      </w:tabs>
      <w:overflowPunct w:val="0"/>
      <w:adjustRightInd w:val="0"/>
      <w:snapToGrid/>
      <w:spacing w:line="240" w:lineRule="auto"/>
      <w:ind w:left="429" w:hangingChars="429" w:hanging="429"/>
    </w:pPr>
    <w:rPr>
      <w:rFonts w:eastAsia="KaiTi_GB2312"/>
      <w:spacing w:val="0"/>
      <w:sz w:val="18"/>
      <w:szCs w:val="20"/>
    </w:rPr>
  </w:style>
  <w:style w:type="paragraph" w:customStyle="1" w:styleId="aff5">
    <w:name w:val="分类号"/>
    <w:basedOn w:val="13"/>
    <w:next w:val="a8"/>
    <w:pPr>
      <w:tabs>
        <w:tab w:val="left" w:pos="1233"/>
      </w:tabs>
      <w:spacing w:after="320"/>
      <w:ind w:left="0" w:firstLineChars="0" w:firstLine="0"/>
    </w:pPr>
    <w:rPr>
      <w:rFonts w:eastAsia="黑体"/>
    </w:rPr>
  </w:style>
  <w:style w:type="paragraph" w:customStyle="1" w:styleId="14">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5">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s²Ó©úÅé"/>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6">
    <w:name w:val="英文作者简介"/>
    <w:basedOn w:val="af1"/>
    <w:pPr>
      <w:spacing w:line="336" w:lineRule="auto"/>
      <w:ind w:firstLine="0"/>
    </w:pPr>
    <w:rPr>
      <w:sz w:val="18"/>
    </w:rPr>
  </w:style>
  <w:style w:type="paragraph" w:customStyle="1" w:styleId="aff7">
    <w:name w:val="中文作者简介"/>
    <w:basedOn w:val="af1"/>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DecimalAligned">
    <w:name w:val="Decimal Aligned"/>
    <w:basedOn w:val="a0"/>
    <w:uiPriority w:val="40"/>
    <w:qFormat/>
    <w:pPr>
      <w:widowControl/>
      <w:tabs>
        <w:tab w:val="decimal" w:pos="360"/>
      </w:tabs>
      <w:snapToGrid/>
      <w:spacing w:after="200" w:line="276" w:lineRule="auto"/>
      <w:ind w:firstLine="0"/>
      <w:jc w:val="left"/>
    </w:pPr>
    <w:rPr>
      <w:rFonts w:ascii="Calibri" w:eastAsia="宋体" w:hAnsi="Calibri"/>
      <w:snapToGrid/>
      <w:spacing w:val="0"/>
      <w:kern w:val="0"/>
      <w:szCs w:val="22"/>
    </w:rPr>
  </w:style>
  <w:style w:type="character" w:customStyle="1" w:styleId="Style134">
    <w:name w:val="_Style 134"/>
    <w:uiPriority w:val="19"/>
    <w:qFormat/>
    <w:rPr>
      <w:rFonts w:eastAsia="宋体" w:cs="Times New Roman"/>
      <w:i/>
      <w:iCs/>
      <w:color w:val="808080"/>
      <w:szCs w:val="22"/>
      <w:lang w:eastAsia="zh-CN"/>
    </w:rPr>
  </w:style>
  <w:style w:type="table" w:customStyle="1" w:styleId="-11">
    <w:name w:val="浅色底纹 - 强调文字颜色 11"/>
    <w:basedOn w:val="a2"/>
    <w:uiPriority w:val="60"/>
    <w:qFormat/>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character" w:customStyle="1" w:styleId="style11">
    <w:name w:val="style11"/>
    <w:rPr>
      <w:color w:val="FF0000"/>
    </w:rPr>
  </w:style>
  <w:style w:type="character" w:customStyle="1" w:styleId="Style137">
    <w:name w:val="_Style 137"/>
    <w:uiPriority w:val="99"/>
    <w:semiHidden/>
    <w:unhideWhenUsed/>
    <w:rPr>
      <w:color w:val="605E5C"/>
      <w:shd w:val="clear" w:color="auto" w:fill="E1DFDD"/>
    </w:rPr>
  </w:style>
  <w:style w:type="character" w:customStyle="1" w:styleId="ae">
    <w:name w:val="页眉 字符"/>
    <w:link w:val="ad"/>
    <w:qFormat/>
    <w:rPr>
      <w:rFonts w:eastAsia="方正书宋简体"/>
      <w:snapToGrid/>
      <w:spacing w:val="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写作模板（中文）-1226.dot</Template>
  <TotalTime>255</TotalTime>
  <Pages>8</Pages>
  <Words>2281</Words>
  <Characters>13003</Characters>
  <Application>Microsoft Office Word</Application>
  <DocSecurity>0</DocSecurity>
  <Lines>108</Lines>
  <Paragraphs>30</Paragraphs>
  <ScaleCrop>false</ScaleCrop>
  <Company>scp</Company>
  <LinksUpToDate>false</LinksUpToDate>
  <CharactersWithSpaces>15254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帆 杨</cp:lastModifiedBy>
  <cp:revision>45</cp:revision>
  <cp:lastPrinted>2024-12-03T06:07:00Z</cp:lastPrinted>
  <dcterms:created xsi:type="dcterms:W3CDTF">2024-12-03T03:17:00Z</dcterms:created>
  <dcterms:modified xsi:type="dcterms:W3CDTF">2026-06-15T11:44:00Z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2052-12.1.0.24657</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