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sz w:val="36"/>
        </w:rPr>
        <w:t>面向 Hybrid TEE-Rollup 的可恢复挑战协议</w:t>
      </w:r>
    </w:p>
    <w:p>
      <w:pPr>
        <w:ind w:firstLine="0"/>
        <w:jc w:val="center"/>
      </w:pPr>
      <w:r>
        <w:rPr>
          <w:rFonts w:ascii="Times New Roman" w:hAnsi="Times New Roman" w:eastAsia="宋体"/>
          <w:b/>
          <w:sz w:val="26"/>
        </w:rPr>
        <w:t>Recoverable Challenge Protocol for Arbitration Liveness in Hybrid TEE-Rollups</w:t>
      </w:r>
    </w:p>
    <w:p>
      <w:pPr>
        <w:ind w:firstLine="0"/>
        <w:jc w:val="center"/>
      </w:pPr>
      <w:r>
        <w:rPr>
          <w:rFonts w:ascii="Times New Roman" w:hAnsi="Times New Roman" w:eastAsia="宋体"/>
          <w:b w:val="0"/>
          <w:sz w:val="21"/>
        </w:rPr>
        <w:t>作者：杨帆（占位）</w:t>
      </w:r>
    </w:p>
    <w:p>
      <w:pPr>
        <w:ind w:firstLine="0"/>
        <w:jc w:val="center"/>
      </w:pPr>
      <w:r>
        <w:rPr>
          <w:rFonts w:ascii="Times New Roman" w:hAnsi="Times New Roman" w:eastAsia="宋体"/>
          <w:b w:val="0"/>
          <w:sz w:val="21"/>
        </w:rPr>
        <w:t>单位：待补充；邮箱：待补充</w:t>
      </w:r>
    </w:p>
    <w:p>
      <w:pPr>
        <w:pStyle w:val="Heading1"/>
      </w:pPr>
      <w:r>
        <w:rPr>
          <w:rFonts w:ascii="Times New Roman" w:hAnsi="Times New Roman" w:eastAsia="黑体"/>
          <w:b/>
          <w:sz w:val="30"/>
        </w:rPr>
        <w:t>摘要</w:t>
      </w:r>
    </w:p>
    <w:p>
      <w:r>
        <w:rPr>
          <w:rFonts w:ascii="Times New Roman" w:hAnsi="Times New Roman" w:eastAsia="宋体"/>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r>
        <w:rPr>
          <w:rFonts w:ascii="Times New Roman" w:hAnsi="Times New Roman" w:eastAsia="宋体"/>
        </w:rPr>
        <w:t>本文围绕 Hybrid TEE-Rollup 的异常路径提出可恢复挑战协议（recoverable challenge protocol）。协议将挑战会话建模为可恢复状态机，在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r>
        <w:rPr>
          <w:rFonts w:ascii="Times New Roman" w:hAnsi="Times New Roman" w:eastAsia="宋体"/>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r>
        <w:rPr>
          <w:rFonts w:ascii="Times New Roman" w:hAnsi="Times New Roman" w:eastAsia="宋体"/>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ind w:firstLine="0"/>
      </w:pPr>
      <w:r>
        <w:rPr>
          <w:rFonts w:ascii="Times New Roman" w:hAnsi="Times New Roman" w:eastAsia="宋体"/>
        </w:rPr>
        <w:t>关键词：Hybrid TEE-Rollup；可恢复挑战；仲裁活性；挑战事实；数据可用性绑定；证据一致性</w:t>
      </w:r>
    </w:p>
    <w:p>
      <w:pPr>
        <w:pStyle w:val="Heading1"/>
      </w:pPr>
      <w:r>
        <w:rPr>
          <w:rFonts w:ascii="Times New Roman" w:hAnsi="Times New Roman" w:eastAsia="黑体"/>
          <w:b/>
          <w:sz w:val="30"/>
        </w:rPr>
        <w:t>Abstract</w:t>
      </w:r>
    </w:p>
    <w:p>
      <w:r>
        <w:rPr>
          <w:rFonts w:ascii="Times New Roman" w:hAnsi="Times New Roman" w:eastAsia="宋体"/>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r>
        <w:rPr>
          <w:rFonts w:ascii="Times New Roman" w:hAnsi="Times New Roman" w:eastAsia="宋体"/>
        </w:rPr>
        <w:t>This paper studies the arbitration-liveness problem in Hybrid TEE-Rollups and proposes a recoverable challenge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r>
        <w:rPr>
          <w:rFonts w:ascii="Times New Roman" w:hAnsi="Times New Roman" w:eastAsia="宋体"/>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ind w:firstLine="0"/>
      </w:pPr>
      <w:r>
        <w:rPr>
          <w:rFonts w:ascii="Times New Roman" w:hAnsi="Times New Roman" w:eastAsia="宋体"/>
        </w:rPr>
        <w:t>Keywords: Hybrid TEE-Rollup; recoverable challenge; arbitration liveness; challenge facts; evidence consistency; data availability binding</w:t>
      </w:r>
    </w:p>
    <w:p>
      <w:pPr>
        <w:pStyle w:val="Heading1"/>
      </w:pPr>
      <w:r>
        <w:rPr>
          <w:rFonts w:ascii="Times New Roman" w:hAnsi="Times New Roman" w:eastAsia="黑体"/>
          <w:b/>
          <w:sz w:val="30"/>
        </w:rPr>
        <w:t>1 引言</w:t>
      </w:r>
    </w:p>
    <w:p>
      <w:r>
        <w:rPr>
          <w:rFonts w:ascii="Times New Roman" w:hAnsi="Times New Roman" w:eastAsia="宋体"/>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r>
        <w:rPr>
          <w:rFonts w:ascii="Times New Roman" w:hAnsi="Times New Roman" w:eastAsia="宋体"/>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r>
        <w:rPr>
          <w:rFonts w:ascii="Times New Roman" w:hAnsi="Times New Roman" w:eastAsia="宋体"/>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r>
        <w:rPr>
          <w:rFonts w:ascii="Times New Roman" w:hAnsi="Times New Roman" w:eastAsia="宋体"/>
        </w:rPr>
        <w:t>本文主张将 recoverable challenge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r>
        <w:rPr>
          <w:rFonts w:ascii="Times New Roman" w:hAnsi="Times New Roman" w:eastAsia="宋体"/>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Heading1"/>
      </w:pPr>
      <w:r>
        <w:rPr>
          <w:rFonts w:ascii="Times New Roman" w:hAnsi="Times New Roman" w:eastAsia="黑体"/>
          <w:b/>
          <w:sz w:val="30"/>
        </w:rPr>
        <w:t>2 背景与相关工作</w:t>
      </w:r>
    </w:p>
    <w:p>
      <w:r>
        <w:rPr>
          <w:rFonts w:ascii="Times New Roman" w:hAnsi="Times New Roman" w:eastAsia="宋体"/>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r>
        <w:rPr>
          <w:rFonts w:ascii="Times New Roman" w:hAnsi="Times New Roman" w:eastAsia="宋体"/>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r>
        <w:rPr>
          <w:rFonts w:ascii="Times New Roman" w:hAnsi="Times New Roman" w:eastAsia="宋体"/>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r>
        <w:rPr>
          <w:rFonts w:ascii="Times New Roman" w:hAnsi="Times New Roman" w:eastAsia="宋体"/>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r>
        <w:rPr>
          <w:rFonts w:ascii="Times New Roman" w:hAnsi="Times New Roman" w:eastAsia="宋体"/>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1701"/>
            <w:shd w:fill="D9EAF7"/>
            <w:vAlign w:val="center"/>
          </w:tcPr>
          <w:p>
            <w:pPr>
              <w:ind w:firstLine="0"/>
              <w:jc w:val="center"/>
            </w:pPr>
            <w:r>
              <w:rPr>
                <w:rFonts w:ascii="Times New Roman" w:hAnsi="Times New Roman" w:eastAsia="黑体"/>
                <w:b/>
                <w:sz w:val="18"/>
              </w:rPr>
              <w:t>方向</w:t>
            </w:r>
          </w:p>
        </w:tc>
        <w:tc>
          <w:tcPr>
            <w:tcW w:type="dxa" w:w="2268"/>
            <w:shd w:fill="D9EAF7"/>
            <w:vAlign w:val="center"/>
          </w:tcPr>
          <w:p>
            <w:pPr>
              <w:ind w:firstLine="0"/>
              <w:jc w:val="center"/>
            </w:pPr>
            <w:r>
              <w:rPr>
                <w:rFonts w:ascii="Times New Roman" w:hAnsi="Times New Roman" w:eastAsia="黑体"/>
                <w:b/>
                <w:sz w:val="18"/>
              </w:rPr>
              <w:t>已有关注</w:t>
            </w:r>
          </w:p>
        </w:tc>
        <w:tc>
          <w:tcPr>
            <w:tcW w:type="dxa" w:w="2268"/>
            <w:shd w:fill="D9EAF7"/>
            <w:vAlign w:val="center"/>
          </w:tcPr>
          <w:p>
            <w:pPr>
              <w:ind w:firstLine="0"/>
              <w:jc w:val="center"/>
            </w:pPr>
            <w:r>
              <w:rPr>
                <w:rFonts w:ascii="Times New Roman" w:hAnsi="Times New Roman" w:eastAsia="黑体"/>
                <w:b/>
                <w:sz w:val="18"/>
              </w:rPr>
              <w:t>与本文关系</w:t>
            </w:r>
          </w:p>
        </w:tc>
        <w:tc>
          <w:tcPr>
            <w:tcW w:type="dxa" w:w="2268"/>
            <w:shd w:fill="D9EAF7"/>
            <w:vAlign w:val="center"/>
          </w:tcPr>
          <w:p>
            <w:pPr>
              <w:ind w:firstLine="0"/>
              <w:jc w:val="center"/>
            </w:pPr>
            <w:r>
              <w:rPr>
                <w:rFonts w:ascii="Times New Roman" w:hAnsi="Times New Roman" w:eastAsia="黑体"/>
                <w:b/>
                <w:sz w:val="18"/>
              </w:rPr>
              <w:t>仍缺口</w:t>
            </w:r>
          </w:p>
        </w:tc>
      </w:tr>
      <w:tr>
        <w:tc>
          <w:tcPr>
            <w:tcW w:type="dxa" w:w="1701"/>
            <w:vAlign w:val="center"/>
          </w:tcPr>
          <w:p>
            <w:pPr>
              <w:ind w:firstLine="0"/>
              <w:jc w:val="left"/>
            </w:pPr>
            <w:r>
              <w:rPr>
                <w:rFonts w:ascii="Times New Roman" w:hAnsi="Times New Roman" w:eastAsia="宋体"/>
                <w:sz w:val="17"/>
              </w:rPr>
              <w:t>Optimistic Rollup fraud proof</w:t>
            </w:r>
          </w:p>
        </w:tc>
        <w:tc>
          <w:tcPr>
            <w:tcW w:type="dxa" w:w="2268"/>
            <w:vAlign w:val="center"/>
          </w:tcPr>
          <w:p>
            <w:pPr>
              <w:ind w:firstLine="0"/>
              <w:jc w:val="center"/>
            </w:pPr>
            <w:r>
              <w:rPr>
                <w:rFonts w:ascii="Times New Roman" w:hAnsi="Times New Roman" w:eastAsia="宋体"/>
                <w:sz w:val="17"/>
              </w:rPr>
              <w:t>错误状态转移检测与挑战窗口</w:t>
            </w:r>
          </w:p>
        </w:tc>
        <w:tc>
          <w:tcPr>
            <w:tcW w:type="dxa" w:w="2268"/>
            <w:vAlign w:val="center"/>
          </w:tcPr>
          <w:p>
            <w:pPr>
              <w:ind w:firstLine="0"/>
              <w:jc w:val="center"/>
            </w:pPr>
            <w:r>
              <w:rPr>
                <w:rFonts w:ascii="Times New Roman" w:hAnsi="Times New Roman" w:eastAsia="宋体"/>
                <w:sz w:val="17"/>
              </w:rPr>
              <w:t>提供异常路径基本框架</w:t>
            </w:r>
          </w:p>
        </w:tc>
        <w:tc>
          <w:tcPr>
            <w:tcW w:type="dxa" w:w="2268"/>
            <w:vAlign w:val="center"/>
          </w:tcPr>
          <w:p>
            <w:pPr>
              <w:ind w:firstLine="0"/>
              <w:jc w:val="center"/>
            </w:pPr>
            <w:r>
              <w:rPr>
                <w:rFonts w:ascii="Times New Roman" w:hAnsi="Times New Roman" w:eastAsia="宋体"/>
                <w:sz w:val="17"/>
              </w:rPr>
              <w:t>较少讨论挑战已打开后的超时恢复</w:t>
            </w:r>
          </w:p>
        </w:tc>
      </w:tr>
      <w:tr>
        <w:tc>
          <w:tcPr>
            <w:tcW w:type="dxa" w:w="1701"/>
            <w:vAlign w:val="center"/>
          </w:tcPr>
          <w:p>
            <w:pPr>
              <w:ind w:firstLine="0"/>
              <w:jc w:val="left"/>
            </w:pPr>
            <w:r>
              <w:rPr>
                <w:rFonts w:ascii="Times New Roman" w:hAnsi="Times New Roman" w:eastAsia="宋体"/>
                <w:sz w:val="17"/>
              </w:rPr>
              <w:t>Arbitrum interactive proof</w:t>
            </w:r>
          </w:p>
        </w:tc>
        <w:tc>
          <w:tcPr>
            <w:tcW w:type="dxa" w:w="2268"/>
            <w:vAlign w:val="center"/>
          </w:tcPr>
          <w:p>
            <w:pPr>
              <w:ind w:firstLine="0"/>
              <w:jc w:val="center"/>
            </w:pPr>
            <w:r>
              <w:rPr>
                <w:rFonts w:ascii="Times New Roman" w:hAnsi="Times New Roman" w:eastAsia="宋体"/>
                <w:sz w:val="17"/>
              </w:rPr>
              <w:t>二分定位与单步仲裁</w:t>
            </w:r>
          </w:p>
        </w:tc>
        <w:tc>
          <w:tcPr>
            <w:tcW w:type="dxa" w:w="2268"/>
            <w:vAlign w:val="center"/>
          </w:tcPr>
          <w:p>
            <w:pPr>
              <w:ind w:firstLine="0"/>
              <w:jc w:val="center"/>
            </w:pPr>
            <w:r>
              <w:rPr>
                <w:rFonts w:ascii="Times New Roman" w:hAnsi="Times New Roman" w:eastAsia="宋体"/>
                <w:sz w:val="17"/>
              </w:rPr>
              <w:t>提供对数级争议定位思想</w:t>
            </w:r>
          </w:p>
        </w:tc>
        <w:tc>
          <w:tcPr>
            <w:tcW w:type="dxa" w:w="2268"/>
            <w:vAlign w:val="center"/>
          </w:tcPr>
          <w:p>
            <w:pPr>
              <w:ind w:firstLine="0"/>
              <w:jc w:val="center"/>
            </w:pPr>
            <w:r>
              <w:rPr>
                <w:rFonts w:ascii="Times New Roman" w:hAnsi="Times New Roman" w:eastAsia="宋体"/>
                <w:sz w:val="17"/>
              </w:rPr>
              <w:t>恢复语义通常不是独立机制</w:t>
            </w:r>
          </w:p>
        </w:tc>
      </w:tr>
      <w:tr>
        <w:tc>
          <w:tcPr>
            <w:tcW w:type="dxa" w:w="1701"/>
            <w:vAlign w:val="center"/>
          </w:tcPr>
          <w:p>
            <w:pPr>
              <w:ind w:firstLine="0"/>
              <w:jc w:val="left"/>
            </w:pPr>
            <w:r>
              <w:rPr>
                <w:rFonts w:ascii="Times New Roman" w:hAnsi="Times New Roman" w:eastAsia="宋体"/>
                <w:sz w:val="17"/>
              </w:rPr>
              <w:t>Optimism fault proof</w:t>
            </w:r>
          </w:p>
        </w:tc>
        <w:tc>
          <w:tcPr>
            <w:tcW w:type="dxa" w:w="2268"/>
            <w:vAlign w:val="center"/>
          </w:tcPr>
          <w:p>
            <w:pPr>
              <w:ind w:firstLine="0"/>
              <w:jc w:val="center"/>
            </w:pPr>
            <w:r>
              <w:rPr>
                <w:rFonts w:ascii="Times New Roman" w:hAnsi="Times New Roman" w:eastAsia="宋体"/>
                <w:sz w:val="17"/>
              </w:rPr>
              <w:t>争议游戏与 FPVM</w:t>
            </w:r>
          </w:p>
        </w:tc>
        <w:tc>
          <w:tcPr>
            <w:tcW w:type="dxa" w:w="2268"/>
            <w:vAlign w:val="center"/>
          </w:tcPr>
          <w:p>
            <w:pPr>
              <w:ind w:firstLine="0"/>
              <w:jc w:val="center"/>
            </w:pPr>
            <w:r>
              <w:rPr>
                <w:rFonts w:ascii="Times New Roman" w:hAnsi="Times New Roman" w:eastAsia="宋体"/>
                <w:sz w:val="17"/>
              </w:rPr>
              <w:t>说明故障证明可模块化</w:t>
            </w:r>
          </w:p>
        </w:tc>
        <w:tc>
          <w:tcPr>
            <w:tcW w:type="dxa" w:w="2268"/>
            <w:vAlign w:val="center"/>
          </w:tcPr>
          <w:p>
            <w:pPr>
              <w:ind w:firstLine="0"/>
              <w:jc w:val="left"/>
            </w:pPr>
            <w:r>
              <w:rPr>
                <w:rFonts w:ascii="Times New Roman" w:hAnsi="Times New Roman" w:eastAsia="宋体"/>
                <w:sz w:val="17"/>
              </w:rPr>
              <w:t>本文不实现完整 FPVM，而研究恢复活性</w:t>
            </w:r>
          </w:p>
        </w:tc>
      </w:tr>
      <w:tr>
        <w:tc>
          <w:tcPr>
            <w:tcW w:type="dxa" w:w="1701"/>
            <w:vAlign w:val="center"/>
          </w:tcPr>
          <w:p>
            <w:pPr>
              <w:ind w:firstLine="0"/>
              <w:jc w:val="center"/>
            </w:pPr>
            <w:r>
              <w:rPr>
                <w:rFonts w:ascii="Times New Roman" w:hAnsi="Times New Roman" w:eastAsia="宋体"/>
                <w:sz w:val="17"/>
              </w:rPr>
              <w:t>opML / Cartesi</w:t>
            </w:r>
          </w:p>
        </w:tc>
        <w:tc>
          <w:tcPr>
            <w:tcW w:type="dxa" w:w="2268"/>
            <w:vAlign w:val="center"/>
          </w:tcPr>
          <w:p>
            <w:pPr>
              <w:ind w:firstLine="0"/>
              <w:jc w:val="center"/>
            </w:pPr>
            <w:r>
              <w:rPr>
                <w:rFonts w:ascii="Times New Roman" w:hAnsi="Times New Roman" w:eastAsia="宋体"/>
                <w:sz w:val="17"/>
              </w:rPr>
              <w:t>链下复杂计算的乐观验证</w:t>
            </w:r>
          </w:p>
        </w:tc>
        <w:tc>
          <w:tcPr>
            <w:tcW w:type="dxa" w:w="2268"/>
            <w:vAlign w:val="center"/>
          </w:tcPr>
          <w:p>
            <w:pPr>
              <w:ind w:firstLine="0"/>
              <w:jc w:val="center"/>
            </w:pPr>
            <w:r>
              <w:rPr>
                <w:rFonts w:ascii="Times New Roman" w:hAnsi="Times New Roman" w:eastAsia="宋体"/>
                <w:sz w:val="17"/>
              </w:rPr>
              <w:t>共享链下执行、链上争议结构</w:t>
            </w:r>
          </w:p>
        </w:tc>
        <w:tc>
          <w:tcPr>
            <w:tcW w:type="dxa" w:w="2268"/>
            <w:vAlign w:val="center"/>
          </w:tcPr>
          <w:p>
            <w:pPr>
              <w:ind w:firstLine="0"/>
              <w:jc w:val="left"/>
            </w:pPr>
            <w:r>
              <w:rPr>
                <w:rFonts w:ascii="Times New Roman" w:hAnsi="Times New Roman" w:eastAsia="宋体"/>
                <w:sz w:val="17"/>
              </w:rPr>
              <w:t>重点不在 TEE-Rollup 超时仲裁恢复</w:t>
            </w:r>
          </w:p>
        </w:tc>
      </w:tr>
      <w:tr>
        <w:tc>
          <w:tcPr>
            <w:tcW w:type="dxa" w:w="1701"/>
            <w:vAlign w:val="center"/>
          </w:tcPr>
          <w:p>
            <w:pPr>
              <w:ind w:firstLine="0"/>
              <w:jc w:val="left"/>
            </w:pPr>
            <w:r>
              <w:rPr>
                <w:rFonts w:ascii="Times New Roman" w:hAnsi="Times New Roman" w:eastAsia="宋体"/>
                <w:sz w:val="17"/>
              </w:rPr>
              <w:t>EigenDA / Celestia / LazyLedger / EIP-4844</w:t>
            </w:r>
          </w:p>
        </w:tc>
        <w:tc>
          <w:tcPr>
            <w:tcW w:type="dxa" w:w="2268"/>
            <w:vAlign w:val="center"/>
          </w:tcPr>
          <w:p>
            <w:pPr>
              <w:ind w:firstLine="0"/>
              <w:jc w:val="center"/>
            </w:pPr>
            <w:r>
              <w:rPr>
                <w:rFonts w:ascii="Times New Roman" w:hAnsi="Times New Roman" w:eastAsia="宋体"/>
                <w:sz w:val="17"/>
              </w:rPr>
              <w:t>数据发布与可用性成本</w:t>
            </w:r>
          </w:p>
        </w:tc>
        <w:tc>
          <w:tcPr>
            <w:tcW w:type="dxa" w:w="2268"/>
            <w:vAlign w:val="center"/>
          </w:tcPr>
          <w:p>
            <w:pPr>
              <w:ind w:firstLine="0"/>
              <w:jc w:val="center"/>
            </w:pPr>
            <w:r>
              <w:rPr>
                <w:rFonts w:ascii="Times New Roman" w:hAnsi="Times New Roman" w:eastAsia="宋体"/>
                <w:sz w:val="17"/>
              </w:rPr>
              <w:t>为恢复后的证据重载提供基础</w:t>
            </w:r>
          </w:p>
        </w:tc>
        <w:tc>
          <w:tcPr>
            <w:tcW w:type="dxa" w:w="2268"/>
            <w:vAlign w:val="center"/>
          </w:tcPr>
          <w:p>
            <w:pPr>
              <w:ind w:firstLine="0"/>
              <w:jc w:val="center"/>
            </w:pPr>
            <w:r>
              <w:rPr>
                <w:rFonts w:ascii="Times New Roman" w:hAnsi="Times New Roman" w:eastAsia="宋体"/>
                <w:sz w:val="17"/>
              </w:rPr>
              <w:t>不直接规定挑战恢复状态机</w:t>
            </w:r>
          </w:p>
        </w:tc>
      </w:tr>
      <w:tr>
        <w:tc>
          <w:tcPr>
            <w:tcW w:type="dxa" w:w="1701"/>
            <w:vAlign w:val="center"/>
          </w:tcPr>
          <w:p>
            <w:pPr>
              <w:ind w:firstLine="0"/>
              <w:jc w:val="left"/>
            </w:pPr>
            <w:r>
              <w:rPr>
                <w:rFonts w:ascii="Times New Roman" w:hAnsi="Times New Roman" w:eastAsia="宋体"/>
                <w:sz w:val="17"/>
              </w:rPr>
              <w:t>TEE-assisted execution</w:t>
            </w:r>
          </w:p>
        </w:tc>
        <w:tc>
          <w:tcPr>
            <w:tcW w:type="dxa" w:w="2268"/>
            <w:vAlign w:val="center"/>
          </w:tcPr>
          <w:p>
            <w:pPr>
              <w:ind w:firstLine="0"/>
              <w:jc w:val="center"/>
            </w:pPr>
            <w:r>
              <w:rPr>
                <w:rFonts w:ascii="Times New Roman" w:hAnsi="Times New Roman" w:eastAsia="宋体"/>
                <w:sz w:val="17"/>
              </w:rPr>
              <w:t>TEE 证明与正常路径加速</w:t>
            </w:r>
          </w:p>
        </w:tc>
        <w:tc>
          <w:tcPr>
            <w:tcW w:type="dxa" w:w="2268"/>
            <w:vAlign w:val="center"/>
          </w:tcPr>
          <w:p>
            <w:pPr>
              <w:ind w:firstLine="0"/>
              <w:jc w:val="left"/>
            </w:pPr>
            <w:r>
              <w:rPr>
                <w:rFonts w:ascii="Times New Roman" w:hAnsi="Times New Roman" w:eastAsia="宋体"/>
                <w:sz w:val="17"/>
              </w:rPr>
              <w:t>为 Hybrid TEE-Rollup 提供执行组件</w:t>
            </w:r>
          </w:p>
        </w:tc>
        <w:tc>
          <w:tcPr>
            <w:tcW w:type="dxa" w:w="2268"/>
            <w:vAlign w:val="center"/>
          </w:tcPr>
          <w:p>
            <w:pPr>
              <w:ind w:firstLine="0"/>
              <w:jc w:val="center"/>
            </w:pPr>
            <w:r>
              <w:rPr>
                <w:rFonts w:ascii="Times New Roman" w:hAnsi="Times New Roman" w:eastAsia="宋体"/>
                <w:sz w:val="17"/>
              </w:rPr>
              <w:t>TEE 不能保证异常仲裁完成</w:t>
            </w:r>
          </w:p>
        </w:tc>
      </w:tr>
    </w:tbl>
    <w:p>
      <w:pPr>
        <w:ind w:firstLine="0"/>
      </w:pPr>
      <w:r>
        <w:rPr>
          <w:rFonts w:ascii="Times New Roman" w:hAnsi="Times New Roman" w:eastAsia="宋体"/>
        </w:rPr>
      </w:r>
    </w:p>
    <w:p>
      <w:pPr>
        <w:pStyle w:val="Heading2"/>
      </w:pPr>
      <w:r>
        <w:rPr>
          <w:rFonts w:ascii="Times New Roman" w:hAnsi="Times New Roman" w:eastAsia="黑体"/>
          <w:b/>
          <w:sz w:val="26"/>
        </w:rPr>
        <w:t>2.1 Rollup Fraud Proof</w:t>
      </w:r>
    </w:p>
    <w:p>
      <w:r>
        <w:rPr>
          <w:rFonts w:ascii="Times New Roman" w:hAnsi="Times New Roman" w:eastAsia="宋体"/>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 arbitration liveness。</w:t>
      </w:r>
    </w:p>
    <w:p>
      <w:pPr>
        <w:pStyle w:val="Heading2"/>
      </w:pPr>
      <w:r>
        <w:rPr>
          <w:rFonts w:ascii="Times New Roman" w:hAnsi="Times New Roman" w:eastAsia="黑体"/>
          <w:b/>
          <w:sz w:val="26"/>
        </w:rPr>
        <w:t>2.2 Interactive Verification</w:t>
      </w:r>
    </w:p>
    <w:p>
      <w:r>
        <w:rPr>
          <w:rFonts w:ascii="Times New Roman" w:hAnsi="Times New Roman" w:eastAsia="宋体"/>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Challenge Facts 的前提下恢复仲裁”。</w:t>
      </w:r>
    </w:p>
    <w:p>
      <w:pPr>
        <w:pStyle w:val="Heading2"/>
      </w:pPr>
      <w:r>
        <w:rPr>
          <w:rFonts w:ascii="Times New Roman" w:hAnsi="Times New Roman" w:eastAsia="黑体"/>
          <w:b/>
          <w:sz w:val="26"/>
        </w:rPr>
        <w:t>2.3 Data Availability</w:t>
      </w:r>
    </w:p>
    <w:p>
      <w:r>
        <w:rPr>
          <w:rFonts w:ascii="Times New Roman" w:hAnsi="Times New Roman" w:eastAsia="宋体"/>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recoverable challenge 的前提：恢复后的会话必须仍由同一 da_merkle_root、payload_hash 与字段证明约束。</w:t>
      </w:r>
    </w:p>
    <w:p>
      <w:pPr>
        <w:pStyle w:val="Heading2"/>
      </w:pPr>
      <w:r>
        <w:rPr>
          <w:rFonts w:ascii="Times New Roman" w:hAnsi="Times New Roman" w:eastAsia="黑体"/>
          <w:b/>
          <w:sz w:val="26"/>
        </w:rPr>
        <w:t>2.4 TEE-assisted Execution</w:t>
      </w:r>
    </w:p>
    <w:p>
      <w:r>
        <w:rPr>
          <w:rFonts w:ascii="Times New Roman" w:hAnsi="Times New Roman" w:eastAsia="宋体"/>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arbitration liveness 交由 recoverable challenge 状态机处理。</w:t>
      </w:r>
    </w:p>
    <w:p>
      <w:pPr>
        <w:pStyle w:val="Heading2"/>
      </w:pPr>
      <w:r>
        <w:rPr>
          <w:rFonts w:ascii="Times New Roman" w:hAnsi="Times New Roman" w:eastAsia="黑体"/>
          <w:b/>
          <w:sz w:val="26"/>
        </w:rPr>
        <w:t>2.5 Arbitration Liveness</w:t>
      </w:r>
    </w:p>
    <w:p>
      <w:r>
        <w:rPr>
          <w:rFonts w:ascii="Times New Roman" w:hAnsi="Times New Roman" w:eastAsia="宋体"/>
        </w:rPr>
        <w:t>已有工作多强调 correctness 与 verifiability，即错误是否能够被证明、状态是否能够被验证、数据是否能够被获得。本文关注的 arbitration liveness 是互补性质：当错误已经可见或挑战已经打开时，协议是否能够在超时、中断或证据重载之后继续推进到 RESOLVED 或 SLASHED。Recoverable Challenge 的贡献在于把这一问题显式形式化为局部状态机机制，而不是把超时简单解释为挑战失败、自动罚没或重新发起。</w:t>
      </w:r>
    </w:p>
    <w:p>
      <w:pPr>
        <w:pStyle w:val="Heading1"/>
      </w:pPr>
      <w:r>
        <w:rPr>
          <w:rFonts w:ascii="Times New Roman" w:hAnsi="Times New Roman" w:eastAsia="黑体"/>
          <w:b/>
          <w:sz w:val="30"/>
        </w:rPr>
        <w:t>3 问题定义与威胁模型</w:t>
      </w:r>
    </w:p>
    <w:p>
      <w:r>
        <w:rPr>
          <w:rFonts w:ascii="Times New Roman" w:hAnsi="Times New Roman" w:eastAsia="宋体"/>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r>
        <w:rPr>
          <w:rFonts w:ascii="Times New Roman" w:hAnsi="Times New Roman" w:eastAsia="宋体"/>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Heading2"/>
      </w:pPr>
      <w:r>
        <w:rPr>
          <w:rFonts w:ascii="Times New Roman" w:hAnsi="Times New Roman" w:eastAsia="黑体"/>
          <w:b/>
          <w:sz w:val="26"/>
        </w:rPr>
        <w:t>3.1 协议假设</w:t>
      </w:r>
    </w:p>
    <w:p>
      <w:pPr>
        <w:spacing w:after="40"/>
        <w:ind w:firstLine="0" w:left="420"/>
      </w:pPr>
      <w:r>
        <w:rPr>
          <w:rFonts w:ascii="Times New Roman" w:hAnsi="Times New Roman" w:eastAsia="宋体"/>
        </w:rPr>
        <w:t>· 链上合约提供有序状态转移，并记录挑战会话的关键状态、期限和证据摘要。</w:t>
      </w:r>
    </w:p>
    <w:p>
      <w:pPr>
        <w:spacing w:after="40"/>
        <w:ind w:firstLine="0" w:left="420"/>
      </w:pPr>
      <w:r>
        <w:rPr>
          <w:rFonts w:ascii="Times New Roman" w:hAnsi="Times New Roman" w:eastAsia="宋体"/>
        </w:rPr>
        <w:t>· 至少一个诚实挑战者或看护者能够观察链上提交，并在超时后提交恢复交易。</w:t>
      </w:r>
    </w:p>
    <w:p>
      <w:pPr>
        <w:spacing w:after="40"/>
        <w:ind w:firstLine="0" w:left="420"/>
      </w:pPr>
      <w:r>
        <w:rPr>
          <w:rFonts w:ascii="Times New Roman" w:hAnsi="Times New Roman" w:eastAsia="宋体"/>
        </w:rPr>
        <w:t>· 原型中的 DA 层提供可验证注册表、载荷哈希、Merkle 根和字段证明，但不声称具备生产级 DA 经济安全。</w:t>
      </w:r>
    </w:p>
    <w:p>
      <w:pPr>
        <w:spacing w:after="40"/>
        <w:ind w:firstLine="0" w:left="420"/>
      </w:pPr>
      <w:r>
        <w:rPr>
          <w:rFonts w:ascii="Times New Roman" w:hAnsi="Times New Roman" w:eastAsia="宋体"/>
        </w:rPr>
        <w:t>· 原型中的 TEE 为模拟证明报告，只建模输入输出绑定和环境身份绑定，不声称真实硬件安全。</w:t>
      </w:r>
    </w:p>
    <w:p>
      <w:pPr>
        <w:spacing w:after="40"/>
        <w:ind w:firstLine="0" w:left="420"/>
      </w:pPr>
      <w:r>
        <w:rPr>
          <w:rFonts w:ascii="Times New Roman" w:hAnsi="Times New Roman" w:eastAsia="宋体"/>
        </w:rPr>
        <w:t>· 二分定位与重放依赖原型生成的预期轨迹和声称轨迹，不等价于完整链上 FPVM。</w:t>
      </w:r>
    </w:p>
    <w:p>
      <w:pPr>
        <w:pStyle w:val="Heading2"/>
      </w:pPr>
      <w:r>
        <w:rPr>
          <w:rFonts w:ascii="Times New Roman" w:hAnsi="Times New Roman" w:eastAsia="黑体"/>
          <w:b/>
          <w:sz w:val="26"/>
        </w:rPr>
        <w:t>3.2 对手模型</w:t>
      </w:r>
    </w:p>
    <w:p>
      <w:r>
        <w:rPr>
          <w:rFonts w:ascii="Times New Roman" w:hAnsi="Times New Roman" w:eastAsia="宋体"/>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pStyle w:val="Heading2"/>
      </w:pPr>
      <w:r>
        <w:rPr>
          <w:rFonts w:ascii="Times New Roman" w:hAnsi="Times New Roman" w:eastAsia="黑体"/>
          <w:b/>
          <w:sz w:val="26"/>
        </w:rPr>
        <w:t>3.3 Recoverable Challenge 的必要性分析</w:t>
      </w:r>
    </w:p>
    <w:p>
      <w:r>
        <w:rPr>
          <w:rFonts w:ascii="Times New Roman" w:hAnsi="Times New Roman" w:eastAsia="宋体"/>
        </w:rPr>
        <w:t>异常路径不能只回答“错误是否被检测到”。协议还必须规定检测之后如何继续仲裁、何时允许恢复、何时允许重放、何时可以结算或罚没。下表比较几类直观方案。</w:t>
      </w:r>
    </w:p>
    <w:tbl>
      <w:tblPr>
        <w:tblStyle w:val="TableGrid"/>
        <w:tblW w:type="auto" w:w="0"/>
        <w:jc w:val="center"/>
        <w:tblLayout w:type="autofit"/>
        <w:tblLook w:firstColumn="1" w:firstRow="1" w:lastColumn="0" w:lastRow="0" w:noHBand="0" w:noVBand="1" w:val="04A0"/>
      </w:tblPr>
      <w:tblGrid>
        <w:gridCol w:w="1586"/>
        <w:gridCol w:w="1586"/>
        <w:gridCol w:w="1586"/>
        <w:gridCol w:w="1586"/>
        <w:gridCol w:w="1586"/>
        <w:gridCol w:w="1586"/>
      </w:tblGrid>
      <w:tr>
        <w:trPr>
          <w:tblHeader w:val="true"/>
        </w:trPr>
        <w:tc>
          <w:tcPr>
            <w:tcW w:type="dxa" w:w="1587"/>
            <w:shd w:fill="D9EAF7"/>
            <w:vAlign w:val="center"/>
          </w:tcPr>
          <w:p>
            <w:pPr>
              <w:ind w:firstLine="0"/>
              <w:jc w:val="center"/>
            </w:pPr>
            <w:r>
              <w:rPr>
                <w:rFonts w:ascii="Times New Roman" w:hAnsi="Times New Roman" w:eastAsia="黑体"/>
                <w:b/>
                <w:sz w:val="18"/>
              </w:rPr>
              <w:t>方案</w:t>
            </w:r>
          </w:p>
        </w:tc>
        <w:tc>
          <w:tcPr>
            <w:tcW w:type="dxa" w:w="1757"/>
            <w:shd w:fill="D9EAF7"/>
            <w:vAlign w:val="center"/>
          </w:tcPr>
          <w:p>
            <w:pPr>
              <w:ind w:firstLine="0"/>
              <w:jc w:val="center"/>
            </w:pPr>
            <w:r>
              <w:rPr>
                <w:rFonts w:ascii="Times New Roman" w:hAnsi="Times New Roman" w:eastAsia="黑体"/>
                <w:b/>
                <w:sz w:val="18"/>
              </w:rPr>
              <w:t>仲裁活性</w:t>
            </w:r>
          </w:p>
        </w:tc>
        <w:tc>
          <w:tcPr>
            <w:tcW w:type="dxa" w:w="1644"/>
            <w:shd w:fill="D9EAF7"/>
            <w:vAlign w:val="center"/>
          </w:tcPr>
          <w:p>
            <w:pPr>
              <w:ind w:firstLine="0"/>
              <w:jc w:val="center"/>
            </w:pPr>
            <w:r>
              <w:rPr>
                <w:rFonts w:ascii="Times New Roman" w:hAnsi="Times New Roman" w:eastAsia="黑体"/>
                <w:b/>
                <w:sz w:val="18"/>
              </w:rPr>
              <w:t>公平性</w:t>
            </w:r>
          </w:p>
        </w:tc>
        <w:tc>
          <w:tcPr>
            <w:tcW w:type="dxa" w:w="1757"/>
            <w:shd w:fill="D9EAF7"/>
            <w:vAlign w:val="center"/>
          </w:tcPr>
          <w:p>
            <w:pPr>
              <w:ind w:firstLine="0"/>
              <w:jc w:val="center"/>
            </w:pPr>
            <w:r>
              <w:rPr>
                <w:rFonts w:ascii="Times New Roman" w:hAnsi="Times New Roman" w:eastAsia="黑体"/>
                <w:b/>
                <w:sz w:val="18"/>
              </w:rPr>
              <w:t>证据连续性</w:t>
            </w:r>
          </w:p>
        </w:tc>
        <w:tc>
          <w:tcPr>
            <w:tcW w:type="dxa" w:w="1927"/>
            <w:shd w:fill="D9EAF7"/>
            <w:vAlign w:val="center"/>
          </w:tcPr>
          <w:p>
            <w:pPr>
              <w:ind w:firstLine="0"/>
              <w:jc w:val="center"/>
            </w:pPr>
            <w:r>
              <w:rPr>
                <w:rFonts w:ascii="Times New Roman" w:hAnsi="Times New Roman" w:eastAsia="黑体"/>
                <w:b/>
                <w:sz w:val="18"/>
              </w:rPr>
              <w:t>安全语义清晰度</w:t>
            </w:r>
          </w:p>
        </w:tc>
        <w:tc>
          <w:tcPr>
            <w:tcW w:type="dxa" w:w="1247"/>
            <w:shd w:fill="D9EAF7"/>
            <w:vAlign w:val="center"/>
          </w:tcPr>
          <w:p>
            <w:pPr>
              <w:ind w:firstLine="0"/>
              <w:jc w:val="center"/>
            </w:pPr>
            <w:r>
              <w:rPr>
                <w:rFonts w:ascii="Times New Roman" w:hAnsi="Times New Roman" w:eastAsia="黑体"/>
                <w:b/>
                <w:sz w:val="18"/>
              </w:rPr>
              <w:t>实现复杂度</w:t>
            </w:r>
          </w:p>
        </w:tc>
      </w:tr>
      <w:tr>
        <w:tc>
          <w:tcPr>
            <w:tcW w:type="dxa" w:w="1587"/>
            <w:vAlign w:val="center"/>
          </w:tcPr>
          <w:p>
            <w:pPr>
              <w:ind w:firstLine="0"/>
              <w:jc w:val="center"/>
            </w:pPr>
            <w:r>
              <w:rPr>
                <w:rFonts w:ascii="Times New Roman" w:hAnsi="Times New Roman" w:eastAsia="宋体"/>
                <w:sz w:val="17"/>
              </w:rPr>
              <w:t>无恢复机制</w:t>
            </w:r>
          </w:p>
        </w:tc>
        <w:tc>
          <w:tcPr>
            <w:tcW w:type="dxa" w:w="1757"/>
            <w:vAlign w:val="center"/>
          </w:tcPr>
          <w:p>
            <w:pPr>
              <w:ind w:firstLine="0"/>
              <w:jc w:val="center"/>
            </w:pPr>
            <w:r>
              <w:rPr>
                <w:rFonts w:ascii="Times New Roman" w:hAnsi="Times New Roman" w:eastAsia="宋体"/>
                <w:sz w:val="17"/>
              </w:rPr>
              <w:t>低；超时后会话可能停滞</w:t>
            </w:r>
          </w:p>
        </w:tc>
        <w:tc>
          <w:tcPr>
            <w:tcW w:type="dxa" w:w="1644"/>
            <w:vAlign w:val="center"/>
          </w:tcPr>
          <w:p>
            <w:pPr>
              <w:ind w:firstLine="0"/>
              <w:jc w:val="center"/>
            </w:pPr>
            <w:r>
              <w:rPr>
                <w:rFonts w:ascii="Times New Roman" w:hAnsi="Times New Roman" w:eastAsia="宋体"/>
                <w:sz w:val="17"/>
              </w:rPr>
              <w:t>中；不额外惩罚但错误可能逃逸</w:t>
            </w:r>
          </w:p>
        </w:tc>
        <w:tc>
          <w:tcPr>
            <w:tcW w:type="dxa" w:w="1757"/>
            <w:vAlign w:val="center"/>
          </w:tcPr>
          <w:p>
            <w:pPr>
              <w:ind w:firstLine="0"/>
              <w:jc w:val="center"/>
            </w:pPr>
            <w:r>
              <w:rPr>
                <w:rFonts w:ascii="Times New Roman" w:hAnsi="Times New Roman" w:eastAsia="宋体"/>
                <w:sz w:val="17"/>
              </w:rPr>
              <w:t>较强但无法继续利用</w:t>
            </w:r>
          </w:p>
        </w:tc>
        <w:tc>
          <w:tcPr>
            <w:tcW w:type="dxa" w:w="1927"/>
            <w:vAlign w:val="center"/>
          </w:tcPr>
          <w:p>
            <w:pPr>
              <w:ind w:firstLine="0"/>
              <w:jc w:val="center"/>
            </w:pPr>
            <w:r>
              <w:rPr>
                <w:rFonts w:ascii="Times New Roman" w:hAnsi="Times New Roman" w:eastAsia="宋体"/>
                <w:sz w:val="17"/>
              </w:rPr>
              <w:t>检测与仲裁边界模糊</w:t>
            </w:r>
          </w:p>
        </w:tc>
        <w:tc>
          <w:tcPr>
            <w:tcW w:type="dxa" w:w="1247"/>
            <w:vAlign w:val="center"/>
          </w:tcPr>
          <w:p>
            <w:pPr>
              <w:ind w:firstLine="0"/>
              <w:jc w:val="center"/>
            </w:pPr>
            <w:r>
              <w:rPr>
                <w:rFonts w:ascii="Times New Roman" w:hAnsi="Times New Roman" w:eastAsia="宋体"/>
                <w:sz w:val="17"/>
              </w:rPr>
              <w:t>低</w:t>
            </w:r>
          </w:p>
        </w:tc>
      </w:tr>
      <w:tr>
        <w:tc>
          <w:tcPr>
            <w:tcW w:type="dxa" w:w="1587"/>
            <w:vAlign w:val="center"/>
          </w:tcPr>
          <w:p>
            <w:pPr>
              <w:ind w:firstLine="0"/>
              <w:jc w:val="center"/>
            </w:pPr>
            <w:r>
              <w:rPr>
                <w:rFonts w:ascii="Times New Roman" w:hAnsi="Times New Roman" w:eastAsia="宋体"/>
                <w:sz w:val="17"/>
              </w:rPr>
              <w:t>超时直接罚没</w:t>
            </w:r>
          </w:p>
        </w:tc>
        <w:tc>
          <w:tcPr>
            <w:tcW w:type="dxa" w:w="1757"/>
            <w:vAlign w:val="center"/>
          </w:tcPr>
          <w:p>
            <w:pPr>
              <w:ind w:firstLine="0"/>
              <w:jc w:val="center"/>
            </w:pPr>
            <w:r>
              <w:rPr>
                <w:rFonts w:ascii="Times New Roman" w:hAnsi="Times New Roman" w:eastAsia="宋体"/>
                <w:sz w:val="17"/>
              </w:rPr>
              <w:t>高；能迅速终结</w:t>
            </w:r>
          </w:p>
        </w:tc>
        <w:tc>
          <w:tcPr>
            <w:tcW w:type="dxa" w:w="1644"/>
            <w:vAlign w:val="center"/>
          </w:tcPr>
          <w:p>
            <w:pPr>
              <w:ind w:firstLine="0"/>
              <w:jc w:val="center"/>
            </w:pPr>
            <w:r>
              <w:rPr>
                <w:rFonts w:ascii="Times New Roman" w:hAnsi="Times New Roman" w:eastAsia="宋体"/>
                <w:sz w:val="17"/>
              </w:rPr>
              <w:t>低；证据未闭合时可能误罚</w:t>
            </w:r>
          </w:p>
        </w:tc>
        <w:tc>
          <w:tcPr>
            <w:tcW w:type="dxa" w:w="1757"/>
            <w:vAlign w:val="center"/>
          </w:tcPr>
          <w:p>
            <w:pPr>
              <w:ind w:firstLine="0"/>
              <w:jc w:val="center"/>
            </w:pPr>
            <w:r>
              <w:rPr>
                <w:rFonts w:ascii="Times New Roman" w:hAnsi="Times New Roman" w:eastAsia="宋体"/>
                <w:sz w:val="17"/>
              </w:rPr>
              <w:t>中；不需要继续证据链</w:t>
            </w:r>
          </w:p>
        </w:tc>
        <w:tc>
          <w:tcPr>
            <w:tcW w:type="dxa" w:w="1927"/>
            <w:vAlign w:val="center"/>
          </w:tcPr>
          <w:p>
            <w:pPr>
              <w:ind w:firstLine="0"/>
              <w:jc w:val="center"/>
            </w:pPr>
            <w:r>
              <w:rPr>
                <w:rFonts w:ascii="Times New Roman" w:hAnsi="Times New Roman" w:eastAsia="宋体"/>
                <w:sz w:val="17"/>
              </w:rPr>
              <w:t>将活性失败等同作恶，语义过强</w:t>
            </w:r>
          </w:p>
        </w:tc>
        <w:tc>
          <w:tcPr>
            <w:tcW w:type="dxa" w:w="1247"/>
            <w:vAlign w:val="center"/>
          </w:tcPr>
          <w:p>
            <w:pPr>
              <w:ind w:firstLine="0"/>
              <w:jc w:val="center"/>
            </w:pPr>
            <w:r>
              <w:rPr>
                <w:rFonts w:ascii="Times New Roman" w:hAnsi="Times New Roman" w:eastAsia="宋体"/>
                <w:sz w:val="17"/>
              </w:rPr>
              <w:t>中</w:t>
            </w:r>
          </w:p>
        </w:tc>
      </w:tr>
      <w:tr>
        <w:tc>
          <w:tcPr>
            <w:tcW w:type="dxa" w:w="1587"/>
            <w:vAlign w:val="center"/>
          </w:tcPr>
          <w:p>
            <w:pPr>
              <w:ind w:firstLine="0"/>
              <w:jc w:val="center"/>
            </w:pPr>
            <w:r>
              <w:rPr>
                <w:rFonts w:ascii="Times New Roman" w:hAnsi="Times New Roman" w:eastAsia="宋体"/>
                <w:sz w:val="17"/>
              </w:rPr>
              <w:t>重新发起挑战</w:t>
            </w:r>
          </w:p>
        </w:tc>
        <w:tc>
          <w:tcPr>
            <w:tcW w:type="dxa" w:w="1757"/>
            <w:vAlign w:val="center"/>
          </w:tcPr>
          <w:p>
            <w:pPr>
              <w:ind w:firstLine="0"/>
              <w:jc w:val="center"/>
            </w:pPr>
            <w:r>
              <w:rPr>
                <w:rFonts w:ascii="Times New Roman" w:hAnsi="Times New Roman" w:eastAsia="宋体"/>
                <w:sz w:val="17"/>
              </w:rPr>
              <w:t>中；依赖新会话成功</w:t>
            </w:r>
          </w:p>
        </w:tc>
        <w:tc>
          <w:tcPr>
            <w:tcW w:type="dxa" w:w="1644"/>
            <w:vAlign w:val="center"/>
          </w:tcPr>
          <w:p>
            <w:pPr>
              <w:ind w:firstLine="0"/>
              <w:jc w:val="center"/>
            </w:pPr>
            <w:r>
              <w:rPr>
                <w:rFonts w:ascii="Times New Roman" w:hAnsi="Times New Roman" w:eastAsia="宋体"/>
                <w:sz w:val="17"/>
              </w:rPr>
              <w:t>中；给双方重新组织机会</w:t>
            </w:r>
          </w:p>
        </w:tc>
        <w:tc>
          <w:tcPr>
            <w:tcW w:type="dxa" w:w="1757"/>
            <w:vAlign w:val="center"/>
          </w:tcPr>
          <w:p>
            <w:pPr>
              <w:ind w:firstLine="0"/>
              <w:jc w:val="center"/>
            </w:pPr>
            <w:r>
              <w:rPr>
                <w:rFonts w:ascii="Times New Roman" w:hAnsi="Times New Roman" w:eastAsia="宋体"/>
                <w:sz w:val="17"/>
              </w:rPr>
              <w:t>低；原会话证据和期限被切断</w:t>
            </w:r>
          </w:p>
        </w:tc>
        <w:tc>
          <w:tcPr>
            <w:tcW w:type="dxa" w:w="1927"/>
            <w:vAlign w:val="center"/>
          </w:tcPr>
          <w:p>
            <w:pPr>
              <w:ind w:firstLine="0"/>
              <w:jc w:val="center"/>
            </w:pPr>
            <w:r>
              <w:rPr>
                <w:rFonts w:ascii="Times New Roman" w:hAnsi="Times New Roman" w:eastAsia="宋体"/>
                <w:sz w:val="17"/>
              </w:rPr>
              <w:t>存在重置争议上下文风险</w:t>
            </w:r>
          </w:p>
        </w:tc>
        <w:tc>
          <w:tcPr>
            <w:tcW w:type="dxa" w:w="1247"/>
            <w:vAlign w:val="center"/>
          </w:tcPr>
          <w:p>
            <w:pPr>
              <w:ind w:firstLine="0"/>
              <w:jc w:val="center"/>
            </w:pPr>
            <w:r>
              <w:rPr>
                <w:rFonts w:ascii="Times New Roman" w:hAnsi="Times New Roman" w:eastAsia="宋体"/>
                <w:sz w:val="17"/>
              </w:rPr>
              <w:t>中</w:t>
            </w:r>
          </w:p>
        </w:tc>
      </w:tr>
      <w:tr>
        <w:tc>
          <w:tcPr>
            <w:tcW w:type="dxa" w:w="1587"/>
            <w:vAlign w:val="center"/>
          </w:tcPr>
          <w:p>
            <w:pPr>
              <w:ind w:firstLine="0"/>
              <w:jc w:val="center"/>
            </w:pPr>
            <w:r>
              <w:rPr>
                <w:rFonts w:ascii="Times New Roman" w:hAnsi="Times New Roman" w:eastAsia="宋体"/>
                <w:sz w:val="17"/>
              </w:rPr>
              <w:t>自动终止挑战</w:t>
            </w:r>
          </w:p>
        </w:tc>
        <w:tc>
          <w:tcPr>
            <w:tcW w:type="dxa" w:w="1757"/>
            <w:vAlign w:val="center"/>
          </w:tcPr>
          <w:p>
            <w:pPr>
              <w:ind w:firstLine="0"/>
              <w:jc w:val="center"/>
            </w:pPr>
            <w:r>
              <w:rPr>
                <w:rFonts w:ascii="Times New Roman" w:hAnsi="Times New Roman" w:eastAsia="宋体"/>
                <w:sz w:val="17"/>
              </w:rPr>
              <w:t>低；异常可能回到未仲裁状态</w:t>
            </w:r>
          </w:p>
        </w:tc>
        <w:tc>
          <w:tcPr>
            <w:tcW w:type="dxa" w:w="1644"/>
            <w:vAlign w:val="center"/>
          </w:tcPr>
          <w:p>
            <w:pPr>
              <w:ind w:firstLine="0"/>
              <w:jc w:val="center"/>
            </w:pPr>
            <w:r>
              <w:rPr>
                <w:rFonts w:ascii="Times New Roman" w:hAnsi="Times New Roman" w:eastAsia="宋体"/>
                <w:sz w:val="17"/>
              </w:rPr>
              <w:t>偏向被挑战方</w:t>
            </w:r>
          </w:p>
        </w:tc>
        <w:tc>
          <w:tcPr>
            <w:tcW w:type="dxa" w:w="1757"/>
            <w:vAlign w:val="center"/>
          </w:tcPr>
          <w:p>
            <w:pPr>
              <w:ind w:firstLine="0"/>
              <w:jc w:val="center"/>
            </w:pPr>
            <w:r>
              <w:rPr>
                <w:rFonts w:ascii="Times New Roman" w:hAnsi="Times New Roman" w:eastAsia="宋体"/>
                <w:sz w:val="17"/>
              </w:rPr>
              <w:t>中；证据仍存在但流程结束</w:t>
            </w:r>
          </w:p>
        </w:tc>
        <w:tc>
          <w:tcPr>
            <w:tcW w:type="dxa" w:w="1927"/>
            <w:vAlign w:val="center"/>
          </w:tcPr>
          <w:p>
            <w:pPr>
              <w:ind w:firstLine="0"/>
              <w:jc w:val="center"/>
            </w:pPr>
            <w:r>
              <w:rPr>
                <w:rFonts w:ascii="Times New Roman" w:hAnsi="Times New Roman" w:eastAsia="宋体"/>
                <w:sz w:val="17"/>
              </w:rPr>
              <w:t>把超时解释为挑战失败，语义偏置</w:t>
            </w:r>
          </w:p>
        </w:tc>
        <w:tc>
          <w:tcPr>
            <w:tcW w:type="dxa" w:w="1247"/>
            <w:vAlign w:val="center"/>
          </w:tcPr>
          <w:p>
            <w:pPr>
              <w:ind w:firstLine="0"/>
              <w:jc w:val="center"/>
            </w:pPr>
            <w:r>
              <w:rPr>
                <w:rFonts w:ascii="Times New Roman" w:hAnsi="Times New Roman" w:eastAsia="宋体"/>
                <w:sz w:val="17"/>
              </w:rPr>
              <w:t>低</w:t>
            </w:r>
          </w:p>
        </w:tc>
      </w:tr>
      <w:tr>
        <w:tc>
          <w:tcPr>
            <w:tcW w:type="dxa" w:w="1587"/>
            <w:vAlign w:val="center"/>
          </w:tcPr>
          <w:p>
            <w:pPr>
              <w:ind w:firstLine="0"/>
              <w:jc w:val="center"/>
            </w:pPr>
            <w:r>
              <w:rPr>
                <w:rFonts w:ascii="Times New Roman" w:hAnsi="Times New Roman" w:eastAsia="宋体"/>
                <w:sz w:val="17"/>
              </w:rPr>
              <w:t>本文可恢复挑战</w:t>
            </w:r>
          </w:p>
        </w:tc>
        <w:tc>
          <w:tcPr>
            <w:tcW w:type="dxa" w:w="1757"/>
            <w:vAlign w:val="center"/>
          </w:tcPr>
          <w:p>
            <w:pPr>
              <w:ind w:firstLine="0"/>
              <w:jc w:val="center"/>
            </w:pPr>
            <w:r>
              <w:rPr>
                <w:rFonts w:ascii="Times New Roman" w:hAnsi="Times New Roman" w:eastAsia="宋体"/>
                <w:sz w:val="17"/>
              </w:rPr>
              <w:t>高；超时后可继续推进</w:t>
            </w:r>
          </w:p>
        </w:tc>
        <w:tc>
          <w:tcPr>
            <w:tcW w:type="dxa" w:w="1644"/>
            <w:vAlign w:val="center"/>
          </w:tcPr>
          <w:p>
            <w:pPr>
              <w:ind w:firstLine="0"/>
              <w:jc w:val="center"/>
            </w:pPr>
            <w:r>
              <w:rPr>
                <w:rFonts w:ascii="Times New Roman" w:hAnsi="Times New Roman" w:eastAsia="宋体"/>
                <w:sz w:val="17"/>
              </w:rPr>
              <w:t>高；恢复不直接裁决或罚没</w:t>
            </w:r>
          </w:p>
        </w:tc>
        <w:tc>
          <w:tcPr>
            <w:tcW w:type="dxa" w:w="1757"/>
            <w:vAlign w:val="center"/>
          </w:tcPr>
          <w:p>
            <w:pPr>
              <w:ind w:firstLine="0"/>
              <w:jc w:val="center"/>
            </w:pPr>
            <w:r>
              <w:rPr>
                <w:rFonts w:ascii="Times New Roman" w:hAnsi="Times New Roman" w:eastAsia="宋体"/>
                <w:sz w:val="17"/>
              </w:rPr>
              <w:t>高；保持 Facts(cs) 不变</w:t>
            </w:r>
          </w:p>
        </w:tc>
        <w:tc>
          <w:tcPr>
            <w:tcW w:type="dxa" w:w="1927"/>
            <w:vAlign w:val="center"/>
          </w:tcPr>
          <w:p>
            <w:pPr>
              <w:ind w:firstLine="0"/>
              <w:jc w:val="center"/>
            </w:pPr>
            <w:r>
              <w:rPr>
                <w:rFonts w:ascii="Times New Roman" w:hAnsi="Times New Roman" w:eastAsia="宋体"/>
                <w:sz w:val="17"/>
              </w:rPr>
              <w:t>清晰；恢复是活性操作</w:t>
            </w:r>
          </w:p>
        </w:tc>
        <w:tc>
          <w:tcPr>
            <w:tcW w:type="dxa" w:w="1247"/>
            <w:vAlign w:val="center"/>
          </w:tcPr>
          <w:p>
            <w:pPr>
              <w:ind w:firstLine="0"/>
              <w:jc w:val="center"/>
            </w:pPr>
            <w:r>
              <w:rPr>
                <w:rFonts w:ascii="Times New Roman" w:hAnsi="Times New Roman" w:eastAsia="宋体"/>
                <w:sz w:val="17"/>
              </w:rPr>
              <w:t>中高</w:t>
            </w:r>
          </w:p>
        </w:tc>
      </w:tr>
    </w:tbl>
    <w:p>
      <w:pPr>
        <w:ind w:firstLine="0"/>
      </w:pPr>
      <w:r>
        <w:rPr>
          <w:rFonts w:ascii="Times New Roman" w:hAnsi="Times New Roman" w:eastAsia="宋体"/>
        </w:rPr>
      </w:r>
    </w:p>
    <w:p>
      <w:pPr>
        <w:pStyle w:val="Heading2"/>
      </w:pPr>
      <w:r>
        <w:rPr>
          <w:rFonts w:ascii="Times New Roman" w:hAnsi="Times New Roman" w:eastAsia="黑体"/>
          <w:b/>
          <w:sz w:val="26"/>
        </w:rPr>
        <w:t>3.4 形式化定义</w:t>
      </w:r>
    </w:p>
    <w:p>
      <w:r>
        <w:rPr>
          <w:rFonts w:ascii="Times New Roman" w:hAnsi="Times New Roman" w:eastAsia="宋体"/>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r>
        <w:rPr>
          <w:rFonts w:ascii="Times New Roman" w:hAnsi="Times New Roman" w:eastAsia="宋体"/>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r>
        <w:rPr>
          <w:rFonts w:ascii="Times New Roman" w:hAnsi="Times New Roman" w:eastAsia="宋体"/>
        </w:rPr>
        <w:t>对挑战会话 cs，挑战事实集合 Facts(cs)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Facts(cs)。因此恢复不变性写作 Facts(cs)=Facts(Recover(cs))。该等式是本文协议语义的核心：恢复不是证据替换，也不是裁决函数，而是保持挑战事实不变的状态推进。</w:t>
      </w:r>
    </w:p>
    <w:p>
      <w:pPr>
        <w:pStyle w:val="Heading1"/>
      </w:pPr>
      <w:r>
        <w:rPr>
          <w:rFonts w:ascii="Times New Roman" w:hAnsi="Times New Roman" w:eastAsia="黑体"/>
          <w:b/>
          <w:sz w:val="30"/>
        </w:rPr>
        <w:t>4 系统概览</w:t>
      </w:r>
    </w:p>
    <w:p>
      <w:r>
        <w:rPr>
          <w:rFonts w:ascii="Times New Roman" w:hAnsi="Times New Roman" w:eastAsia="宋体"/>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ind w:firstLine="0"/>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680000" cy="2632500"/>
                    </a:xfrm>
                    <a:prstGeom prst="rect"/>
                  </pic:spPr>
                </pic:pic>
              </a:graphicData>
            </a:graphic>
          </wp:inline>
        </w:drawing>
      </w:r>
    </w:p>
    <w:p>
      <w:pPr>
        <w:ind w:firstLine="0"/>
        <w:jc w:val="center"/>
      </w:pPr>
      <w:r>
        <w:rPr>
          <w:rFonts w:ascii="Times New Roman" w:hAnsi="Times New Roman" w:eastAsia="宋体"/>
          <w:b w:val="0"/>
          <w:sz w:val="18"/>
        </w:rPr>
        <w:t>图 1  可恢复挑战驱动的 Hybrid TEE-Rollup 原型架构</w:t>
      </w:r>
    </w:p>
    <w:p>
      <w:r>
        <w:rPr>
          <w:rFonts w:ascii="Times New Roman" w:hAnsi="Times New Roman" w:eastAsia="宋体"/>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Heading1"/>
      </w:pPr>
      <w:r>
        <w:rPr>
          <w:rFonts w:ascii="Times New Roman" w:hAnsi="Times New Roman" w:eastAsia="黑体"/>
          <w:b/>
          <w:sz w:val="30"/>
        </w:rPr>
        <w:t>5 可恢复挑战协议</w:t>
      </w:r>
    </w:p>
    <w:p>
      <w:r>
        <w:rPr>
          <w:rFonts w:ascii="Times New Roman" w:hAnsi="Times New Roman" w:eastAsia="宋体"/>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pStyle w:val="Heading2"/>
      </w:pPr>
      <w:r>
        <w:rPr>
          <w:rFonts w:ascii="Times New Roman" w:hAnsi="Times New Roman" w:eastAsia="黑体"/>
          <w:b/>
          <w:sz w:val="26"/>
        </w:rPr>
        <w:t>5.1 状态转移与恢复路径</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1701"/>
            <w:shd w:fill="D9EAF7"/>
            <w:vAlign w:val="center"/>
          </w:tcPr>
          <w:p>
            <w:pPr>
              <w:ind w:firstLine="0"/>
              <w:jc w:val="center"/>
            </w:pPr>
            <w:r>
              <w:rPr>
                <w:rFonts w:ascii="Times New Roman" w:hAnsi="Times New Roman" w:eastAsia="黑体"/>
                <w:b/>
                <w:sz w:val="18"/>
              </w:rPr>
              <w:t>当前状态</w:t>
            </w:r>
          </w:p>
        </w:tc>
        <w:tc>
          <w:tcPr>
            <w:tcW w:type="dxa" w:w="1701"/>
            <w:shd w:fill="D9EAF7"/>
            <w:vAlign w:val="center"/>
          </w:tcPr>
          <w:p>
            <w:pPr>
              <w:ind w:firstLine="0"/>
              <w:jc w:val="center"/>
            </w:pPr>
            <w:r>
              <w:rPr>
                <w:rFonts w:ascii="Times New Roman" w:hAnsi="Times New Roman" w:eastAsia="黑体"/>
                <w:b/>
                <w:sz w:val="18"/>
              </w:rPr>
              <w:t>事件</w:t>
            </w:r>
          </w:p>
        </w:tc>
        <w:tc>
          <w:tcPr>
            <w:tcW w:type="dxa" w:w="1701"/>
            <w:shd w:fill="D9EAF7"/>
            <w:vAlign w:val="center"/>
          </w:tcPr>
          <w:p>
            <w:pPr>
              <w:ind w:firstLine="0"/>
              <w:jc w:val="center"/>
            </w:pPr>
            <w:r>
              <w:rPr>
                <w:rFonts w:ascii="Times New Roman" w:hAnsi="Times New Roman" w:eastAsia="黑体"/>
                <w:b/>
                <w:sz w:val="18"/>
              </w:rPr>
              <w:t>下一状态</w:t>
            </w:r>
          </w:p>
        </w:tc>
        <w:tc>
          <w:tcPr>
            <w:tcW w:type="dxa" w:w="3402"/>
            <w:shd w:fill="D9EAF7"/>
            <w:vAlign w:val="center"/>
          </w:tcPr>
          <w:p>
            <w:pPr>
              <w:ind w:firstLine="0"/>
              <w:jc w:val="center"/>
            </w:pPr>
            <w:r>
              <w:rPr>
                <w:rFonts w:ascii="Times New Roman" w:hAnsi="Times New Roman" w:eastAsia="黑体"/>
                <w:b/>
                <w:sz w:val="18"/>
              </w:rPr>
              <w:t>语义</w:t>
            </w:r>
          </w:p>
        </w:tc>
      </w:tr>
      <w:tr>
        <w:tc>
          <w:tcPr>
            <w:tcW w:type="dxa" w:w="1701"/>
            <w:vAlign w:val="center"/>
          </w:tcPr>
          <w:p>
            <w:pPr>
              <w:ind w:firstLine="0"/>
              <w:jc w:val="center"/>
            </w:pPr>
            <w:r>
              <w:rPr>
                <w:rFonts w:ascii="Times New Roman" w:hAnsi="Times New Roman" w:eastAsia="宋体"/>
                <w:sz w:val="17"/>
              </w:rPr>
              <w:t>OPEN</w:t>
            </w:r>
          </w:p>
        </w:tc>
        <w:tc>
          <w:tcPr>
            <w:tcW w:type="dxa" w:w="1701"/>
            <w:vAlign w:val="center"/>
          </w:tcPr>
          <w:p>
            <w:pPr>
              <w:ind w:firstLine="0"/>
              <w:jc w:val="center"/>
            </w:pPr>
            <w:r>
              <w:rPr>
                <w:rFonts w:ascii="Times New Roman" w:hAnsi="Times New Roman" w:eastAsia="宋体"/>
                <w:sz w:val="17"/>
              </w:rPr>
              <w:t>respond</w:t>
            </w:r>
          </w:p>
        </w:tc>
        <w:tc>
          <w:tcPr>
            <w:tcW w:type="dxa" w:w="1701"/>
            <w:vAlign w:val="center"/>
          </w:tcPr>
          <w:p>
            <w:pPr>
              <w:ind w:firstLine="0"/>
              <w:jc w:val="center"/>
            </w:pPr>
            <w:r>
              <w:rPr>
                <w:rFonts w:ascii="Times New Roman" w:hAnsi="Times New Roman" w:eastAsia="宋体"/>
                <w:sz w:val="17"/>
              </w:rPr>
              <w:t>RESPONDED</w:t>
            </w:r>
          </w:p>
        </w:tc>
        <w:tc>
          <w:tcPr>
            <w:tcW w:type="dxa" w:w="3402"/>
            <w:vAlign w:val="center"/>
          </w:tcPr>
          <w:p>
            <w:pPr>
              <w:ind w:firstLine="0"/>
              <w:jc w:val="center"/>
            </w:pPr>
            <w:r>
              <w:rPr>
                <w:rFonts w:ascii="Times New Roman" w:hAnsi="Times New Roman" w:eastAsia="宋体"/>
                <w:sz w:val="17"/>
              </w:rPr>
              <w:t>被挑战方提交回应</w:t>
            </w:r>
          </w:p>
        </w:tc>
      </w:tr>
      <w:tr>
        <w:tc>
          <w:tcPr>
            <w:tcW w:type="dxa" w:w="1701"/>
            <w:vAlign w:val="center"/>
          </w:tcPr>
          <w:p>
            <w:pPr>
              <w:ind w:firstLine="0"/>
              <w:jc w:val="center"/>
            </w:pPr>
            <w:r>
              <w:rPr>
                <w:rFonts w:ascii="Times New Roman" w:hAnsi="Times New Roman" w:eastAsia="宋体"/>
                <w:sz w:val="17"/>
              </w:rPr>
              <w:t>RESPONDED</w:t>
            </w:r>
          </w:p>
        </w:tc>
        <w:tc>
          <w:tcPr>
            <w:tcW w:type="dxa" w:w="1701"/>
            <w:vAlign w:val="center"/>
          </w:tcPr>
          <w:p>
            <w:pPr>
              <w:ind w:firstLine="0"/>
              <w:jc w:val="center"/>
            </w:pPr>
            <w:r>
              <w:rPr>
                <w:rFonts w:ascii="Times New Roman" w:hAnsi="Times New Roman" w:eastAsia="宋体"/>
                <w:sz w:val="17"/>
              </w:rPr>
              <w:t>step</w:t>
            </w:r>
          </w:p>
        </w:tc>
        <w:tc>
          <w:tcPr>
            <w:tcW w:type="dxa" w:w="1701"/>
            <w:vAlign w:val="center"/>
          </w:tcPr>
          <w:p>
            <w:pPr>
              <w:ind w:firstLine="0"/>
              <w:jc w:val="center"/>
            </w:pPr>
            <w:r>
              <w:rPr>
                <w:rFonts w:ascii="Times New Roman" w:hAnsi="Times New Roman" w:eastAsia="宋体"/>
                <w:sz w:val="17"/>
              </w:rPr>
              <w:t>NARROWING</w:t>
            </w:r>
          </w:p>
        </w:tc>
        <w:tc>
          <w:tcPr>
            <w:tcW w:type="dxa" w:w="3402"/>
            <w:vAlign w:val="center"/>
          </w:tcPr>
          <w:p>
            <w:pPr>
              <w:ind w:firstLine="0"/>
              <w:jc w:val="center"/>
            </w:pPr>
            <w:r>
              <w:rPr>
                <w:rFonts w:ascii="Times New Roman" w:hAnsi="Times New Roman" w:eastAsia="宋体"/>
                <w:sz w:val="17"/>
              </w:rPr>
              <w:t>进入二分定位</w:t>
            </w:r>
          </w:p>
        </w:tc>
      </w:tr>
      <w:tr>
        <w:tc>
          <w:tcPr>
            <w:tcW w:type="dxa" w:w="1701"/>
            <w:vAlign w:val="center"/>
          </w:tcPr>
          <w:p>
            <w:pPr>
              <w:ind w:firstLine="0"/>
              <w:jc w:val="center"/>
            </w:pPr>
            <w:r>
              <w:rPr>
                <w:rFonts w:ascii="Times New Roman" w:hAnsi="Times New Roman" w:eastAsia="宋体"/>
                <w:sz w:val="17"/>
              </w:rPr>
              <w:t>NARROWING</w:t>
            </w:r>
          </w:p>
        </w:tc>
        <w:tc>
          <w:tcPr>
            <w:tcW w:type="dxa" w:w="1701"/>
            <w:vAlign w:val="center"/>
          </w:tcPr>
          <w:p>
            <w:pPr>
              <w:ind w:firstLine="0"/>
              <w:jc w:val="center"/>
            </w:pPr>
            <w:r>
              <w:rPr>
                <w:rFonts w:ascii="Times New Roman" w:hAnsi="Times New Roman" w:eastAsia="宋体"/>
                <w:sz w:val="17"/>
              </w:rPr>
              <w:t>timeout</w:t>
            </w:r>
          </w:p>
        </w:tc>
        <w:tc>
          <w:tcPr>
            <w:tcW w:type="dxa" w:w="1701"/>
            <w:vAlign w:val="center"/>
          </w:tcPr>
          <w:p>
            <w:pPr>
              <w:ind w:firstLine="0"/>
              <w:jc w:val="center"/>
            </w:pPr>
            <w:r>
              <w:rPr>
                <w:rFonts w:ascii="Times New Roman" w:hAnsi="Times New Roman" w:eastAsia="宋体"/>
                <w:sz w:val="17"/>
              </w:rPr>
              <w:t>TIMED_OUT</w:t>
            </w:r>
          </w:p>
        </w:tc>
        <w:tc>
          <w:tcPr>
            <w:tcW w:type="dxa" w:w="3402"/>
            <w:vAlign w:val="center"/>
          </w:tcPr>
          <w:p>
            <w:pPr>
              <w:ind w:firstLine="0"/>
              <w:jc w:val="center"/>
            </w:pPr>
            <w:r>
              <w:rPr>
                <w:rFonts w:ascii="Times New Roman" w:hAnsi="Times New Roman" w:eastAsia="宋体"/>
                <w:sz w:val="17"/>
              </w:rPr>
              <w:t>会话超时但未完成仲裁</w:t>
            </w:r>
          </w:p>
        </w:tc>
      </w:tr>
      <w:tr>
        <w:tc>
          <w:tcPr>
            <w:tcW w:type="dxa" w:w="1701"/>
            <w:vAlign w:val="center"/>
          </w:tcPr>
          <w:p>
            <w:pPr>
              <w:ind w:firstLine="0"/>
              <w:jc w:val="center"/>
            </w:pPr>
            <w:r>
              <w:rPr>
                <w:rFonts w:ascii="Times New Roman" w:hAnsi="Times New Roman" w:eastAsia="宋体"/>
                <w:sz w:val="17"/>
              </w:rPr>
              <w:t>TIMED_OUT</w:t>
            </w:r>
          </w:p>
        </w:tc>
        <w:tc>
          <w:tcPr>
            <w:tcW w:type="dxa" w:w="1701"/>
            <w:vAlign w:val="center"/>
          </w:tcPr>
          <w:p>
            <w:pPr>
              <w:ind w:firstLine="0"/>
              <w:jc w:val="center"/>
            </w:pPr>
            <w:r>
              <w:rPr>
                <w:rFonts w:ascii="Times New Roman" w:hAnsi="Times New Roman" w:eastAsia="宋体"/>
                <w:sz w:val="17"/>
              </w:rPr>
              <w:t>recover</w:t>
            </w:r>
          </w:p>
        </w:tc>
        <w:tc>
          <w:tcPr>
            <w:tcW w:type="dxa" w:w="1701"/>
            <w:vAlign w:val="center"/>
          </w:tcPr>
          <w:p>
            <w:pPr>
              <w:ind w:firstLine="0"/>
              <w:jc w:val="center"/>
            </w:pPr>
            <w:r>
              <w:rPr>
                <w:rFonts w:ascii="Times New Roman" w:hAnsi="Times New Roman" w:eastAsia="宋体"/>
                <w:sz w:val="17"/>
              </w:rPr>
              <w:t>RECOVERED</w:t>
            </w:r>
          </w:p>
        </w:tc>
        <w:tc>
          <w:tcPr>
            <w:tcW w:type="dxa" w:w="3402"/>
            <w:vAlign w:val="center"/>
          </w:tcPr>
          <w:p>
            <w:pPr>
              <w:ind w:firstLine="0"/>
              <w:jc w:val="center"/>
            </w:pPr>
            <w:r>
              <w:rPr>
                <w:rFonts w:ascii="Times New Roman" w:hAnsi="Times New Roman" w:eastAsia="宋体"/>
                <w:sz w:val="17"/>
              </w:rPr>
              <w:t>看护者恢复会话活性</w:t>
            </w:r>
          </w:p>
        </w:tc>
      </w:tr>
      <w:tr>
        <w:tc>
          <w:tcPr>
            <w:tcW w:type="dxa" w:w="1701"/>
            <w:vAlign w:val="center"/>
          </w:tcPr>
          <w:p>
            <w:pPr>
              <w:ind w:firstLine="0"/>
              <w:jc w:val="center"/>
            </w:pPr>
            <w:r>
              <w:rPr>
                <w:rFonts w:ascii="Times New Roman" w:hAnsi="Times New Roman" w:eastAsia="宋体"/>
                <w:sz w:val="17"/>
              </w:rPr>
              <w:t>RECOVERED</w:t>
            </w:r>
          </w:p>
        </w:tc>
        <w:tc>
          <w:tcPr>
            <w:tcW w:type="dxa" w:w="1701"/>
            <w:vAlign w:val="center"/>
          </w:tcPr>
          <w:p>
            <w:pPr>
              <w:ind w:firstLine="0"/>
              <w:jc w:val="center"/>
            </w:pPr>
            <w:r>
              <w:rPr>
                <w:rFonts w:ascii="Times New Roman" w:hAnsi="Times New Roman" w:eastAsia="宋体"/>
                <w:sz w:val="17"/>
              </w:rPr>
              <w:t>prepare_replay</w:t>
            </w:r>
          </w:p>
        </w:tc>
        <w:tc>
          <w:tcPr>
            <w:tcW w:type="dxa" w:w="1701"/>
            <w:vAlign w:val="center"/>
          </w:tcPr>
          <w:p>
            <w:pPr>
              <w:ind w:firstLine="0"/>
              <w:jc w:val="center"/>
            </w:pPr>
            <w:r>
              <w:rPr>
                <w:rFonts w:ascii="Times New Roman" w:hAnsi="Times New Roman" w:eastAsia="宋体"/>
                <w:sz w:val="17"/>
              </w:rPr>
              <w:t>READY_FOR_REPLAY</w:t>
            </w:r>
          </w:p>
        </w:tc>
        <w:tc>
          <w:tcPr>
            <w:tcW w:type="dxa" w:w="3402"/>
            <w:vAlign w:val="center"/>
          </w:tcPr>
          <w:p>
            <w:pPr>
              <w:ind w:firstLine="0"/>
              <w:jc w:val="center"/>
            </w:pPr>
            <w:r>
              <w:rPr>
                <w:rFonts w:ascii="Times New Roman" w:hAnsi="Times New Roman" w:eastAsia="宋体"/>
                <w:sz w:val="17"/>
              </w:rPr>
              <w:t>争议区间已可重放</w:t>
            </w:r>
          </w:p>
        </w:tc>
      </w:tr>
      <w:tr>
        <w:tc>
          <w:tcPr>
            <w:tcW w:type="dxa" w:w="1701"/>
            <w:vAlign w:val="center"/>
          </w:tcPr>
          <w:p>
            <w:pPr>
              <w:ind w:firstLine="0"/>
              <w:jc w:val="center"/>
            </w:pPr>
            <w:r>
              <w:rPr>
                <w:rFonts w:ascii="Times New Roman" w:hAnsi="Times New Roman" w:eastAsia="宋体"/>
                <w:sz w:val="17"/>
              </w:rPr>
              <w:t>READY_FOR_REPLAY</w:t>
            </w:r>
          </w:p>
        </w:tc>
        <w:tc>
          <w:tcPr>
            <w:tcW w:type="dxa" w:w="1701"/>
            <w:vAlign w:val="center"/>
          </w:tcPr>
          <w:p>
            <w:pPr>
              <w:ind w:firstLine="0"/>
              <w:jc w:val="center"/>
            </w:pPr>
            <w:r>
              <w:rPr>
                <w:rFonts w:ascii="Times New Roman" w:hAnsi="Times New Roman" w:eastAsia="宋体"/>
                <w:sz w:val="17"/>
              </w:rPr>
              <w:t>replay</w:t>
            </w:r>
          </w:p>
        </w:tc>
        <w:tc>
          <w:tcPr>
            <w:tcW w:type="dxa" w:w="1701"/>
            <w:vAlign w:val="center"/>
          </w:tcPr>
          <w:p>
            <w:pPr>
              <w:ind w:firstLine="0"/>
              <w:jc w:val="center"/>
            </w:pPr>
            <w:r>
              <w:rPr>
                <w:rFonts w:ascii="Times New Roman" w:hAnsi="Times New Roman" w:eastAsia="宋体"/>
                <w:sz w:val="17"/>
              </w:rPr>
              <w:t>REPLAYED</w:t>
            </w:r>
          </w:p>
        </w:tc>
        <w:tc>
          <w:tcPr>
            <w:tcW w:type="dxa" w:w="3402"/>
            <w:vAlign w:val="center"/>
          </w:tcPr>
          <w:p>
            <w:pPr>
              <w:ind w:firstLine="0"/>
              <w:jc w:val="center"/>
            </w:pPr>
            <w:r>
              <w:rPr>
                <w:rFonts w:ascii="Times New Roman" w:hAnsi="Times New Roman" w:eastAsia="宋体"/>
                <w:sz w:val="17"/>
              </w:rPr>
              <w:t>执行单步重放并记录结果</w:t>
            </w:r>
          </w:p>
        </w:tc>
      </w:tr>
      <w:tr>
        <w:tc>
          <w:tcPr>
            <w:tcW w:type="dxa" w:w="1701"/>
            <w:vAlign w:val="center"/>
          </w:tcPr>
          <w:p>
            <w:pPr>
              <w:ind w:firstLine="0"/>
              <w:jc w:val="center"/>
            </w:pPr>
            <w:r>
              <w:rPr>
                <w:rFonts w:ascii="Times New Roman" w:hAnsi="Times New Roman" w:eastAsia="宋体"/>
                <w:sz w:val="17"/>
              </w:rPr>
              <w:t>REPLAYED</w:t>
            </w:r>
          </w:p>
        </w:tc>
        <w:tc>
          <w:tcPr>
            <w:tcW w:type="dxa" w:w="1701"/>
            <w:vAlign w:val="center"/>
          </w:tcPr>
          <w:p>
            <w:pPr>
              <w:ind w:firstLine="0"/>
              <w:jc w:val="center"/>
            </w:pPr>
            <w:r>
              <w:rPr>
                <w:rFonts w:ascii="Times New Roman" w:hAnsi="Times New Roman" w:eastAsia="宋体"/>
                <w:sz w:val="17"/>
              </w:rPr>
              <w:t>resolve</w:t>
            </w:r>
          </w:p>
        </w:tc>
        <w:tc>
          <w:tcPr>
            <w:tcW w:type="dxa" w:w="1701"/>
            <w:vAlign w:val="center"/>
          </w:tcPr>
          <w:p>
            <w:pPr>
              <w:ind w:firstLine="0"/>
              <w:jc w:val="center"/>
            </w:pPr>
            <w:r>
              <w:rPr>
                <w:rFonts w:ascii="Times New Roman" w:hAnsi="Times New Roman" w:eastAsia="宋体"/>
                <w:sz w:val="17"/>
              </w:rPr>
              <w:t>RESOLVED</w:t>
            </w:r>
          </w:p>
        </w:tc>
        <w:tc>
          <w:tcPr>
            <w:tcW w:type="dxa" w:w="3402"/>
            <w:vAlign w:val="center"/>
          </w:tcPr>
          <w:p>
            <w:pPr>
              <w:ind w:firstLine="0"/>
              <w:jc w:val="center"/>
            </w:pPr>
            <w:r>
              <w:rPr>
                <w:rFonts w:ascii="Times New Roman" w:hAnsi="Times New Roman" w:eastAsia="宋体"/>
                <w:sz w:val="17"/>
              </w:rPr>
              <w:t>挑战不成立或完成普通结算</w:t>
            </w:r>
          </w:p>
        </w:tc>
      </w:tr>
      <w:tr>
        <w:tc>
          <w:tcPr>
            <w:tcW w:type="dxa" w:w="1701"/>
            <w:vAlign w:val="center"/>
          </w:tcPr>
          <w:p>
            <w:pPr>
              <w:ind w:firstLine="0"/>
              <w:jc w:val="center"/>
            </w:pPr>
            <w:r>
              <w:rPr>
                <w:rFonts w:ascii="Times New Roman" w:hAnsi="Times New Roman" w:eastAsia="宋体"/>
                <w:sz w:val="17"/>
              </w:rPr>
              <w:t>REPLAYED</w:t>
            </w:r>
          </w:p>
        </w:tc>
        <w:tc>
          <w:tcPr>
            <w:tcW w:type="dxa" w:w="1701"/>
            <w:vAlign w:val="center"/>
          </w:tcPr>
          <w:p>
            <w:pPr>
              <w:ind w:firstLine="0"/>
              <w:jc w:val="center"/>
            </w:pPr>
            <w:r>
              <w:rPr>
                <w:rFonts w:ascii="Times New Roman" w:hAnsi="Times New Roman" w:eastAsia="宋体"/>
                <w:sz w:val="17"/>
              </w:rPr>
              <w:t>slash</w:t>
            </w:r>
          </w:p>
        </w:tc>
        <w:tc>
          <w:tcPr>
            <w:tcW w:type="dxa" w:w="1701"/>
            <w:vAlign w:val="center"/>
          </w:tcPr>
          <w:p>
            <w:pPr>
              <w:ind w:firstLine="0"/>
              <w:jc w:val="center"/>
            </w:pPr>
            <w:r>
              <w:rPr>
                <w:rFonts w:ascii="Times New Roman" w:hAnsi="Times New Roman" w:eastAsia="宋体"/>
                <w:sz w:val="17"/>
              </w:rPr>
              <w:t>SLASHED</w:t>
            </w:r>
          </w:p>
        </w:tc>
        <w:tc>
          <w:tcPr>
            <w:tcW w:type="dxa" w:w="3402"/>
            <w:vAlign w:val="center"/>
          </w:tcPr>
          <w:p>
            <w:pPr>
              <w:ind w:firstLine="0"/>
              <w:jc w:val="center"/>
            </w:pPr>
            <w:r>
              <w:rPr>
                <w:rFonts w:ascii="Times New Roman" w:hAnsi="Times New Roman" w:eastAsia="宋体"/>
                <w:sz w:val="17"/>
              </w:rPr>
              <w:t>重放失败且满足罚没条件</w:t>
            </w:r>
          </w:p>
        </w:tc>
      </w:tr>
    </w:tbl>
    <w:p>
      <w:pPr>
        <w:ind w:firstLine="0"/>
      </w:pPr>
      <w:r>
        <w:rPr>
          <w:rFonts w:ascii="Times New Roman" w:hAnsi="Times New Roman" w:eastAsia="宋体"/>
        </w:rPr>
      </w:r>
    </w:p>
    <w:p>
      <w:r>
        <w:rPr>
          <w:rFonts w:ascii="Times New Roman" w:hAnsi="Times New Roman" w:eastAsia="宋体"/>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Heading2"/>
      </w:pPr>
      <w:r>
        <w:rPr>
          <w:rFonts w:ascii="Times New Roman" w:hAnsi="Times New Roman" w:eastAsia="黑体"/>
          <w:b/>
          <w:sz w:val="26"/>
        </w:rPr>
        <w:t>5.2 二分定位与重放</w:t>
      </w:r>
    </w:p>
    <w:p>
      <w:r>
        <w:rPr>
          <w:rFonts w:ascii="Times New Roman" w:hAnsi="Times New Roman" w:eastAsia="宋体"/>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Heading2"/>
      </w:pPr>
      <w:r>
        <w:rPr>
          <w:rFonts w:ascii="Times New Roman" w:hAnsi="Times New Roman" w:eastAsia="黑体"/>
          <w:b/>
          <w:sz w:val="26"/>
        </w:rPr>
        <w:t>5.3 恢复语义</w:t>
      </w:r>
    </w:p>
    <w:p>
      <w:r>
        <w:rPr>
          <w:rFonts w:ascii="Times New Roman" w:hAnsi="Times New Roman" w:eastAsia="宋体"/>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120" w:after="60"/>
        <w:ind w:firstLine="0"/>
      </w:pPr>
      <w:r>
        <w:rPr>
          <w:rFonts w:ascii="Times New Roman" w:hAnsi="Times New Roman" w:eastAsia="黑体"/>
          <w:b/>
          <w:sz w:val="20"/>
        </w:rPr>
        <w:t>Algorithm 1  Recover Challenge Procedure</w:t>
      </w:r>
    </w:p>
    <w:tbl>
      <w:tblPr>
        <w:tblStyle w:val="TableGrid"/>
        <w:tblW w:type="auto" w:w="0"/>
        <w:jc w:val="center"/>
        <w:tblLook w:firstColumn="1" w:firstRow="1" w:lastColumn="0" w:lastRow="0" w:noHBand="0" w:noVBand="1" w:val="04A0"/>
      </w:tblPr>
      <w:tblGrid>
        <w:gridCol w:w="9518"/>
      </w:tblGrid>
      <w:tr>
        <w:tc>
          <w:tcPr>
            <w:tcW w:type="dxa" w:w="9518"/>
            <w:shd w:fill="F3F6FA"/>
            <w:vAlign w:val="center"/>
          </w:tcPr>
          <w:p>
            <w:pPr>
              <w:spacing w:after="20"/>
              <w:ind w:firstLine="0" w:left="113" w:right="113"/>
            </w:pPr>
            <w:r>
              <w:rPr>
                <w:rFonts w:ascii="Consolas" w:hAnsi="Consolas" w:eastAsia="宋体"/>
                <w:sz w:val="17"/>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ind w:firstLine="0"/>
      </w:pPr>
      <w:r>
        <w:rPr>
          <w:rFonts w:ascii="Times New Roman" w:hAnsi="Times New Roman" w:eastAsia="宋体"/>
        </w:rPr>
      </w:r>
    </w:p>
    <w:p>
      <w:pPr>
        <w:spacing w:before="120" w:after="60"/>
        <w:ind w:firstLine="0"/>
      </w:pPr>
      <w:r>
        <w:rPr>
          <w:rFonts w:ascii="Times New Roman" w:hAnsi="Times New Roman" w:eastAsia="黑体"/>
          <w:b/>
          <w:sz w:val="20"/>
        </w:rPr>
        <w:t>Algorithm 2  Interactive Challenge Resolution</w:t>
      </w:r>
    </w:p>
    <w:tbl>
      <w:tblPr>
        <w:tblStyle w:val="TableGrid"/>
        <w:tblW w:type="auto" w:w="0"/>
        <w:jc w:val="center"/>
        <w:tblLook w:firstColumn="1" w:firstRow="1" w:lastColumn="0" w:lastRow="0" w:noHBand="0" w:noVBand="1" w:val="04A0"/>
      </w:tblPr>
      <w:tblGrid>
        <w:gridCol w:w="9518"/>
      </w:tblGrid>
      <w:tr>
        <w:tc>
          <w:tcPr>
            <w:tcW w:type="dxa" w:w="9518"/>
            <w:shd w:fill="F3F6FA"/>
            <w:vAlign w:val="center"/>
          </w:tcPr>
          <w:p>
            <w:pPr>
              <w:spacing w:after="20"/>
              <w:ind w:firstLine="0" w:left="113" w:right="113"/>
            </w:pPr>
            <w:r>
              <w:rPr>
                <w:rFonts w:ascii="Consolas" w:hAnsi="Consolas" w:eastAsia="宋体"/>
                <w:sz w:val="17"/>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ind w:firstLine="0"/>
      </w:pPr>
      <w:r>
        <w:rPr>
          <w:rFonts w:ascii="Times New Roman" w:hAnsi="Times New Roman" w:eastAsia="宋体"/>
        </w:rPr>
      </w:r>
    </w:p>
    <w:p>
      <w:pPr>
        <w:spacing w:before="120" w:after="60"/>
        <w:ind w:firstLine="0"/>
      </w:pPr>
      <w:r>
        <w:rPr>
          <w:rFonts w:ascii="Times New Roman" w:hAnsi="Times New Roman" w:eastAsia="黑体"/>
          <w:b/>
          <w:sz w:val="20"/>
        </w:rPr>
        <w:t>Algorithm 3  Evidence Consistency Verification</w:t>
      </w:r>
    </w:p>
    <w:tbl>
      <w:tblPr>
        <w:tblStyle w:val="TableGrid"/>
        <w:tblW w:type="auto" w:w="0"/>
        <w:jc w:val="center"/>
        <w:tblLook w:firstColumn="1" w:firstRow="1" w:lastColumn="0" w:lastRow="0" w:noHBand="0" w:noVBand="1" w:val="04A0"/>
      </w:tblPr>
      <w:tblGrid>
        <w:gridCol w:w="9518"/>
      </w:tblGrid>
      <w:tr>
        <w:tc>
          <w:tcPr>
            <w:tcW w:type="dxa" w:w="9518"/>
            <w:shd w:fill="F3F6FA"/>
            <w:vAlign w:val="center"/>
          </w:tcPr>
          <w:p>
            <w:pPr>
              <w:spacing w:after="20"/>
              <w:ind w:firstLine="0" w:left="113" w:right="113"/>
            </w:pPr>
            <w:r>
              <w:rPr>
                <w:rFonts w:ascii="Consolas" w:hAnsi="Consolas" w:eastAsia="宋体"/>
                <w:sz w:val="17"/>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ind w:firstLine="0"/>
      </w:pPr>
      <w:r>
        <w:rPr>
          <w:rFonts w:ascii="Times New Roman" w:hAnsi="Times New Roman" w:eastAsia="宋体"/>
        </w:rPr>
      </w:r>
    </w:p>
    <w:p>
      <w:pPr>
        <w:pStyle w:val="Heading2"/>
      </w:pPr>
      <w:r>
        <w:rPr>
          <w:rFonts w:ascii="Times New Roman" w:hAnsi="Times New Roman" w:eastAsia="黑体"/>
          <w:b/>
          <w:sz w:val="26"/>
        </w:rPr>
        <w:t>5.4 协议性质证明</w:t>
      </w:r>
    </w:p>
    <w:p>
      <w:r>
        <w:rPr>
          <w:rFonts w:ascii="Times New Roman" w:hAnsi="Times New Roman" w:eastAsia="宋体"/>
        </w:rPr>
        <w:t>引理 1（Fact Preservation）。对任意满足恢复前置条件的挑战会话 cs，均有 Facts(cs)=Facts(Recover(cs))。</w:t>
      </w:r>
    </w:p>
    <w:p>
      <w:r>
        <w:rPr>
          <w:rFonts w:ascii="Times New Roman" w:hAnsi="Times New Roman" w:eastAsia="宋体"/>
        </w:rPr>
        <w:t>证明。Recover(cs) 仅更新 status、recovery.watcher、recovered_at 与 timeout_at 等会话活性元数据。Challenge Facts 中的 commit、da_merkle_root、payload_hash、proof_hash、轨迹承诺、目标步、mismatch 标记与 replay evidence hash 均不在恢复写集合中。因此恢复前后挑战事实集合相等。</w:t>
      </w:r>
    </w:p>
    <w:p>
      <w:r>
        <w:rPr>
          <w:rFonts w:ascii="Times New Roman" w:hAnsi="Times New Roman" w:eastAsia="宋体"/>
        </w:rPr>
        <w:t>引理 2（Replay Target Preservation）。恢复不会改变二分定位得到的目标步。</w:t>
      </w:r>
    </w:p>
    <w:p>
      <w:r>
        <w:rPr>
          <w:rFonts w:ascii="Times New Roman" w:hAnsi="Times New Roman" w:eastAsia="宋体"/>
        </w:rPr>
        <w:t>证明。目标步由 NARROWING 阶段的争议区间收缩过程决定。Recover(cs) 不修改区间端点、二分轮次、expected trace commitment 或 claimed trace commitment，因此由这些值派生的 replay target 在恢复前后保持不变。</w:t>
      </w:r>
    </w:p>
    <w:p>
      <w:r>
        <w:rPr>
          <w:rFonts w:ascii="Times New Roman" w:hAnsi="Times New Roman" w:eastAsia="宋体"/>
        </w:rPr>
        <w:t>引理 3（Evidence Binding Preservation）。恢复不会改变 payload_hash、proof_hash、da_merkle_root 与 replay evidence hash，因此证据上下文保持一致。</w:t>
      </w:r>
    </w:p>
    <w:p>
      <w:r>
        <w:rPr>
          <w:rFonts w:ascii="Times New Roman" w:hAnsi="Times New Roman" w:eastAsia="宋体"/>
        </w:rPr>
        <w:t>证明。上述四类哈希均属于 Challenge Facts，并由链上提交或已记录证据锚定。恢复操作没有写入这些字段的权限；任何恢复后替换载荷、证明或重放证据的尝试都会破坏哈希或 Merkle 验证关系。故证据绑定在恢复前后保持不变。</w:t>
      </w:r>
    </w:p>
    <w:p>
      <w:r>
        <w:rPr>
          <w:rFonts w:ascii="Times New Roman" w:hAnsi="Times New Roman" w:eastAsia="宋体"/>
        </w:rPr>
        <w:t>基于上述三个引理，以下定理分别刻画 recoverable challenge 的安全性、活性与证据上下文一致性。引理 1 保证恢复不改写仲裁事实，引理 2 保证恢复不改变重放目标，引理 3 保证恢复后的证据仍绑定到同一争议上下文。</w:t>
      </w:r>
    </w:p>
    <w:p>
      <w:r>
        <w:rPr>
          <w:rFonts w:ascii="Times New Roman" w:hAnsi="Times New Roman" w:eastAsia="宋体"/>
        </w:rPr>
        <w:t>定理 1（恢复安全性）。在 Facts(cs)=Facts(Recover(cs)) 且证据一致性检查有效的前提下，恢复操作不会改变挑战的最终仲裁结果。</w:t>
      </w:r>
    </w:p>
    <w:p>
      <w:r>
        <w:rPr>
          <w:rFonts w:ascii="Times New Roman" w:hAnsi="Times New Roman" w:eastAsia="宋体"/>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r>
        <w:rPr>
          <w:rFonts w:ascii="Times New Roman" w:hAnsi="Times New Roman" w:eastAsia="宋体"/>
        </w:rPr>
        <w:t>定理 2（恢复活性）。在至少一个诚实看护者可用且必要证据可恢复的条件下，超时挑战不会永久停留在 TIMED_OUT 或其他中间状态，而可以继续推进至 RESOLVED 或 SLASHED。</w:t>
      </w:r>
    </w:p>
    <w:p>
      <w:r>
        <w:rPr>
          <w:rFonts w:ascii="Times New Roman" w:hAnsi="Times New Roman" w:eastAsia="宋体"/>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r>
        <w:rPr>
          <w:rFonts w:ascii="Times New Roman" w:hAnsi="Times New Roman" w:eastAsia="宋体"/>
        </w:rPr>
        <w:t>定理 3（证据上下文一致性）。当数据可用性根、载荷哈希、证明哈希和重放证据被绑定后，恢复后的挑战仍然指向同一争议上下文。</w:t>
      </w:r>
    </w:p>
    <w:p>
      <w:r>
        <w:rPr>
          <w:rFonts w:ascii="Times New Roman" w:hAnsi="Times New Roman" w:eastAsia="宋体"/>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Heading2"/>
      </w:pPr>
      <w:r>
        <w:rPr>
          <w:rFonts w:ascii="Times New Roman" w:hAnsi="Times New Roman" w:eastAsia="黑体"/>
          <w:b/>
          <w:sz w:val="26"/>
        </w:rPr>
        <w:t>5.5 Complexity Analysis</w:t>
      </w:r>
    </w:p>
    <w:p>
      <w:r>
        <w:rPr>
          <w:rFonts w:ascii="Times New Roman" w:hAnsi="Times New Roman" w:eastAsia="宋体"/>
        </w:rPr>
        <w:t>恢复操作的复杂度为 O(1)。Recover(cs) 只检查会话终止状态、超时条件和证据入口是否存在，并更新固定数量的状态元数据；其成本不随 trace length 或 payload size 增长。</w:t>
      </w:r>
    </w:p>
    <w:p>
      <w:r>
        <w:rPr>
          <w:rFonts w:ascii="Times New Roman" w:hAnsi="Times New Roman" w:eastAsia="宋体"/>
        </w:rPr>
        <w:t>二分定位复杂度为 O(log n)，其中 n 为 trace length。每一轮 step 将争议区间缩小约一半，因此定位到单步目标所需轮次数量与执行轨迹长度的对数成正比。</w:t>
      </w:r>
    </w:p>
    <w:p>
      <w:r>
        <w:rPr>
          <w:rFonts w:ascii="Times New Roman" w:hAnsi="Times New Roman" w:eastAsia="宋体"/>
        </w:rPr>
        <w:t>单步重放复杂度为 O(1)。在 READY_FOR_REPLAY 状态下，协议只对二分定位得到的 target step 执行一次局部重放或哈希比较；该操作不扫描完整轨迹。</w:t>
      </w:r>
    </w:p>
    <w:p>
      <w:r>
        <w:rPr>
          <w:rFonts w:ascii="Times New Roman" w:hAnsi="Times New Roman" w:eastAsia="宋体"/>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Heading1"/>
      </w:pPr>
      <w:r>
        <w:rPr>
          <w:rFonts w:ascii="Times New Roman" w:hAnsi="Times New Roman" w:eastAsia="黑体"/>
          <w:b/>
          <w:sz w:val="30"/>
        </w:rPr>
        <w:t>6 证据携带型提交与数据可用性绑定</w:t>
      </w:r>
    </w:p>
    <w:p>
      <w:r>
        <w:rPr>
          <w:rFonts w:ascii="Times New Roman" w:hAnsi="Times New Roman" w:eastAsia="宋体"/>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r>
        <w:rPr>
          <w:rFonts w:ascii="Times New Roman" w:hAnsi="Times New Roman" w:eastAsia="宋体"/>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r>
        <w:rPr>
          <w:rFonts w:ascii="Times New Roman" w:hAnsi="Times New Roman" w:eastAsia="宋体"/>
        </w:rPr>
        <w:t>该设计将链上成本和证据可恢复性分离：链上保留固定大小的仲裁锚点，完整载荷保存在 DA 层；当挑战发生或恢复后需要继续仲裁时，验证者通过 DA 根和字段证明重新加载同一争议材料。</w:t>
      </w:r>
    </w:p>
    <w:p>
      <w:pPr>
        <w:pStyle w:val="Heading1"/>
      </w:pPr>
      <w:r>
        <w:rPr>
          <w:rFonts w:ascii="Times New Roman" w:hAnsi="Times New Roman" w:eastAsia="黑体"/>
          <w:b/>
          <w:sz w:val="30"/>
        </w:rPr>
        <w:t>7 实验评估</w:t>
      </w:r>
    </w:p>
    <w:p>
      <w:r>
        <w:rPr>
          <w:rFonts w:ascii="Times New Roman" w:hAnsi="Times New Roman" w:eastAsia="宋体"/>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Heading2"/>
      </w:pPr>
      <w:r>
        <w:rPr>
          <w:rFonts w:ascii="Times New Roman" w:hAnsi="Times New Roman" w:eastAsia="黑体"/>
          <w:b/>
          <w:sz w:val="26"/>
        </w:rPr>
        <w:t>7.1 实验设置</w:t>
      </w:r>
    </w:p>
    <w:p>
      <w:r>
        <w:rPr>
          <w:rFonts w:ascii="Times New Roman" w:hAnsi="Times New Roman" w:eastAsia="宋体"/>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2268"/>
            <w:shd w:fill="D9EAF7"/>
            <w:vAlign w:val="center"/>
          </w:tcPr>
          <w:p>
            <w:pPr>
              <w:ind w:firstLine="0"/>
              <w:jc w:val="center"/>
            </w:pPr>
            <w:r>
              <w:rPr>
                <w:rFonts w:ascii="Times New Roman" w:hAnsi="Times New Roman" w:eastAsia="黑体"/>
                <w:b/>
                <w:sz w:val="18"/>
              </w:rPr>
              <w:t>Baseline</w:t>
            </w:r>
          </w:p>
        </w:tc>
        <w:tc>
          <w:tcPr>
            <w:tcW w:type="dxa" w:w="2268"/>
            <w:shd w:fill="D9EAF7"/>
            <w:vAlign w:val="center"/>
          </w:tcPr>
          <w:p>
            <w:pPr>
              <w:ind w:firstLine="0"/>
              <w:jc w:val="center"/>
            </w:pPr>
            <w:r>
              <w:rPr>
                <w:rFonts w:ascii="Times New Roman" w:hAnsi="Times New Roman" w:eastAsia="黑体"/>
                <w:b/>
                <w:sz w:val="18"/>
              </w:rPr>
              <w:t>处理方式</w:t>
            </w:r>
          </w:p>
        </w:tc>
        <w:tc>
          <w:tcPr>
            <w:tcW w:type="dxa" w:w="1984"/>
            <w:shd w:fill="D9EAF7"/>
            <w:vAlign w:val="center"/>
          </w:tcPr>
          <w:p>
            <w:pPr>
              <w:ind w:firstLine="0"/>
              <w:jc w:val="center"/>
            </w:pPr>
            <w:r>
              <w:rPr>
                <w:rFonts w:ascii="Times New Roman" w:hAnsi="Times New Roman" w:eastAsia="黑体"/>
                <w:b/>
                <w:sz w:val="18"/>
              </w:rPr>
              <w:t>预期问题</w:t>
            </w:r>
          </w:p>
        </w:tc>
        <w:tc>
          <w:tcPr>
            <w:tcW w:type="dxa" w:w="2268"/>
            <w:shd w:fill="D9EAF7"/>
            <w:vAlign w:val="center"/>
          </w:tcPr>
          <w:p>
            <w:pPr>
              <w:ind w:firstLine="0"/>
              <w:jc w:val="center"/>
            </w:pPr>
            <w:r>
              <w:rPr>
                <w:rFonts w:ascii="Times New Roman" w:hAnsi="Times New Roman" w:eastAsia="黑体"/>
                <w:b/>
                <w:sz w:val="18"/>
              </w:rPr>
              <w:t>本文比较目的</w:t>
            </w:r>
          </w:p>
        </w:tc>
      </w:tr>
      <w:tr>
        <w:tc>
          <w:tcPr>
            <w:tcW w:type="dxa" w:w="2268"/>
            <w:vAlign w:val="center"/>
          </w:tcPr>
          <w:p>
            <w:pPr>
              <w:ind w:firstLine="0"/>
              <w:jc w:val="center"/>
            </w:pPr>
            <w:r>
              <w:rPr>
                <w:rFonts w:ascii="Times New Roman" w:hAnsi="Times New Roman" w:eastAsia="宋体"/>
                <w:sz w:val="17"/>
              </w:rPr>
              <w:t>No Recovery</w:t>
            </w:r>
          </w:p>
        </w:tc>
        <w:tc>
          <w:tcPr>
            <w:tcW w:type="dxa" w:w="2268"/>
            <w:vAlign w:val="center"/>
          </w:tcPr>
          <w:p>
            <w:pPr>
              <w:ind w:firstLine="0"/>
              <w:jc w:val="center"/>
            </w:pPr>
            <w:r>
              <w:rPr>
                <w:rFonts w:ascii="Times New Roman" w:hAnsi="Times New Roman" w:eastAsia="宋体"/>
                <w:sz w:val="17"/>
              </w:rPr>
              <w:t>检测超时但不恢复</w:t>
            </w:r>
          </w:p>
        </w:tc>
        <w:tc>
          <w:tcPr>
            <w:tcW w:type="dxa" w:w="1984"/>
            <w:vAlign w:val="center"/>
          </w:tcPr>
          <w:p>
            <w:pPr>
              <w:ind w:firstLine="0"/>
              <w:jc w:val="center"/>
            </w:pPr>
            <w:r>
              <w:rPr>
                <w:rFonts w:ascii="Times New Roman" w:hAnsi="Times New Roman" w:eastAsia="宋体"/>
                <w:sz w:val="17"/>
              </w:rPr>
              <w:t>仲裁停滞</w:t>
            </w:r>
          </w:p>
        </w:tc>
        <w:tc>
          <w:tcPr>
            <w:tcW w:type="dxa" w:w="2268"/>
            <w:vAlign w:val="center"/>
          </w:tcPr>
          <w:p>
            <w:pPr>
              <w:ind w:firstLine="0"/>
              <w:jc w:val="center"/>
            </w:pPr>
            <w:r>
              <w:rPr>
                <w:rFonts w:ascii="Times New Roman" w:hAnsi="Times New Roman" w:eastAsia="宋体"/>
                <w:sz w:val="17"/>
              </w:rPr>
              <w:t>衡量恢复对活性的贡献</w:t>
            </w:r>
          </w:p>
        </w:tc>
      </w:tr>
      <w:tr>
        <w:tc>
          <w:tcPr>
            <w:tcW w:type="dxa" w:w="2268"/>
            <w:vAlign w:val="center"/>
          </w:tcPr>
          <w:p>
            <w:pPr>
              <w:ind w:firstLine="0"/>
              <w:jc w:val="center"/>
            </w:pPr>
            <w:r>
              <w:rPr>
                <w:rFonts w:ascii="Times New Roman" w:hAnsi="Times New Roman" w:eastAsia="宋体"/>
                <w:sz w:val="17"/>
              </w:rPr>
              <w:t>Restart Challenge</w:t>
            </w:r>
          </w:p>
        </w:tc>
        <w:tc>
          <w:tcPr>
            <w:tcW w:type="dxa" w:w="2268"/>
            <w:vAlign w:val="center"/>
          </w:tcPr>
          <w:p>
            <w:pPr>
              <w:ind w:firstLine="0"/>
              <w:jc w:val="center"/>
            </w:pPr>
            <w:r>
              <w:rPr>
                <w:rFonts w:ascii="Times New Roman" w:hAnsi="Times New Roman" w:eastAsia="宋体"/>
                <w:sz w:val="17"/>
              </w:rPr>
              <w:t>重新打开挑战</w:t>
            </w:r>
          </w:p>
        </w:tc>
        <w:tc>
          <w:tcPr>
            <w:tcW w:type="dxa" w:w="1984"/>
            <w:vAlign w:val="center"/>
          </w:tcPr>
          <w:p>
            <w:pPr>
              <w:ind w:firstLine="0"/>
              <w:jc w:val="center"/>
            </w:pPr>
            <w:r>
              <w:rPr>
                <w:rFonts w:ascii="Times New Roman" w:hAnsi="Times New Roman" w:eastAsia="宋体"/>
                <w:sz w:val="17"/>
              </w:rPr>
              <w:t>证据连续性弱化</w:t>
            </w:r>
          </w:p>
        </w:tc>
        <w:tc>
          <w:tcPr>
            <w:tcW w:type="dxa" w:w="2268"/>
            <w:vAlign w:val="center"/>
          </w:tcPr>
          <w:p>
            <w:pPr>
              <w:ind w:firstLine="0"/>
              <w:jc w:val="center"/>
            </w:pPr>
            <w:r>
              <w:rPr>
                <w:rFonts w:ascii="Times New Roman" w:hAnsi="Times New Roman" w:eastAsia="宋体"/>
                <w:sz w:val="17"/>
              </w:rPr>
              <w:t>说明重启不是等价恢复</w:t>
            </w:r>
          </w:p>
        </w:tc>
      </w:tr>
      <w:tr>
        <w:tc>
          <w:tcPr>
            <w:tcW w:type="dxa" w:w="2268"/>
            <w:vAlign w:val="center"/>
          </w:tcPr>
          <w:p>
            <w:pPr>
              <w:ind w:firstLine="0"/>
              <w:jc w:val="center"/>
            </w:pPr>
            <w:r>
              <w:rPr>
                <w:rFonts w:ascii="Times New Roman" w:hAnsi="Times New Roman" w:eastAsia="宋体"/>
                <w:sz w:val="17"/>
              </w:rPr>
              <w:t>Auto Slash</w:t>
            </w:r>
          </w:p>
        </w:tc>
        <w:tc>
          <w:tcPr>
            <w:tcW w:type="dxa" w:w="2268"/>
            <w:vAlign w:val="center"/>
          </w:tcPr>
          <w:p>
            <w:pPr>
              <w:ind w:firstLine="0"/>
              <w:jc w:val="center"/>
            </w:pPr>
            <w:r>
              <w:rPr>
                <w:rFonts w:ascii="Times New Roman" w:hAnsi="Times New Roman" w:eastAsia="宋体"/>
                <w:sz w:val="17"/>
              </w:rPr>
              <w:t>超时直接罚没</w:t>
            </w:r>
          </w:p>
        </w:tc>
        <w:tc>
          <w:tcPr>
            <w:tcW w:type="dxa" w:w="1984"/>
            <w:vAlign w:val="center"/>
          </w:tcPr>
          <w:p>
            <w:pPr>
              <w:ind w:firstLine="0"/>
              <w:jc w:val="center"/>
            </w:pPr>
            <w:r>
              <w:rPr>
                <w:rFonts w:ascii="Times New Roman" w:hAnsi="Times New Roman" w:eastAsia="宋体"/>
                <w:sz w:val="17"/>
              </w:rPr>
              <w:t>公平性风险</w:t>
            </w:r>
          </w:p>
        </w:tc>
        <w:tc>
          <w:tcPr>
            <w:tcW w:type="dxa" w:w="2268"/>
            <w:vAlign w:val="center"/>
          </w:tcPr>
          <w:p>
            <w:pPr>
              <w:ind w:firstLine="0"/>
              <w:jc w:val="center"/>
            </w:pPr>
            <w:r>
              <w:rPr>
                <w:rFonts w:ascii="Times New Roman" w:hAnsi="Times New Roman" w:eastAsia="宋体"/>
                <w:sz w:val="17"/>
              </w:rPr>
              <w:t>说明罚没不能替代仲裁</w:t>
            </w:r>
          </w:p>
        </w:tc>
      </w:tr>
      <w:tr>
        <w:tc>
          <w:tcPr>
            <w:tcW w:type="dxa" w:w="2268"/>
            <w:vAlign w:val="center"/>
          </w:tcPr>
          <w:p>
            <w:pPr>
              <w:ind w:firstLine="0"/>
              <w:jc w:val="left"/>
            </w:pPr>
            <w:r>
              <w:rPr>
                <w:rFonts w:ascii="Times New Roman" w:hAnsi="Times New Roman" w:eastAsia="宋体"/>
                <w:sz w:val="17"/>
              </w:rPr>
              <w:t>Ours: Recoverable Challenge</w:t>
            </w:r>
          </w:p>
        </w:tc>
        <w:tc>
          <w:tcPr>
            <w:tcW w:type="dxa" w:w="2268"/>
            <w:vAlign w:val="center"/>
          </w:tcPr>
          <w:p>
            <w:pPr>
              <w:ind w:firstLine="0"/>
              <w:jc w:val="center"/>
            </w:pPr>
            <w:r>
              <w:rPr>
                <w:rFonts w:ascii="Times New Roman" w:hAnsi="Times New Roman" w:eastAsia="宋体"/>
                <w:sz w:val="17"/>
              </w:rPr>
              <w:t>保持事实不变并恢复推进</w:t>
            </w:r>
          </w:p>
        </w:tc>
        <w:tc>
          <w:tcPr>
            <w:tcW w:type="dxa" w:w="1984"/>
            <w:vAlign w:val="center"/>
          </w:tcPr>
          <w:p>
            <w:pPr>
              <w:ind w:firstLine="0"/>
              <w:jc w:val="center"/>
            </w:pPr>
            <w:r>
              <w:rPr>
                <w:rFonts w:ascii="Times New Roman" w:hAnsi="Times New Roman" w:eastAsia="宋体"/>
                <w:sz w:val="17"/>
              </w:rPr>
              <w:t>实现复杂度较高</w:t>
            </w:r>
          </w:p>
        </w:tc>
        <w:tc>
          <w:tcPr>
            <w:tcW w:type="dxa" w:w="2268"/>
            <w:vAlign w:val="center"/>
          </w:tcPr>
          <w:p>
            <w:pPr>
              <w:ind w:firstLine="0"/>
              <w:jc w:val="center"/>
            </w:pPr>
            <w:r>
              <w:rPr>
                <w:rFonts w:ascii="Times New Roman" w:hAnsi="Times New Roman" w:eastAsia="宋体"/>
                <w:sz w:val="17"/>
              </w:rPr>
              <w:t>验证局部恢复机制的活性与语义边界</w:t>
            </w:r>
          </w:p>
        </w:tc>
      </w:tr>
    </w:tbl>
    <w:p>
      <w:pPr>
        <w:ind w:firstLine="0"/>
      </w:pPr>
      <w:r>
        <w:rPr>
          <w:rFonts w:ascii="Times New Roman" w:hAnsi="Times New Roman" w:eastAsia="宋体"/>
        </w:rPr>
      </w:r>
    </w:p>
    <w:p>
      <w:pPr>
        <w:pStyle w:val="Heading3"/>
      </w:pPr>
      <w:r>
        <w:rPr>
          <w:rFonts w:ascii="Times New Roman" w:hAnsi="Times New Roman" w:eastAsia="黑体"/>
          <w:b/>
          <w:sz w:val="24"/>
        </w:rPr>
        <w:t>7.1.1 Baseline Discussion</w:t>
      </w:r>
    </w:p>
    <w:p>
      <w:r>
        <w:rPr>
          <w:rFonts w:ascii="Times New Roman" w:hAnsi="Times New Roman" w:eastAsia="宋体"/>
        </w:rPr>
        <w:t>No Recovery 基线将 timeout 视为可观察异常，但不提供后续推进路径。因此它能够保留一定证据连续性，却无法保证 arbitration liveness；一旦对手通过停止响应制造中间状态，协议只能记录失败而无法完成仲裁。</w:t>
      </w:r>
    </w:p>
    <w:p>
      <w:r>
        <w:rPr>
          <w:rFonts w:ascii="Times New Roman" w:hAnsi="Times New Roman" w:eastAsia="宋体"/>
        </w:rPr>
        <w:t>Restart Challenge 基线通过重新打开会话恢复表面活性，但其问题在于新会话与旧会话之间需要额外证明同一 Challenge Facts。若缺乏严格绑定，重启会弱化证据连续性，并允许攻击者通过反复拖延制造多个局部争议上下文。</w:t>
      </w:r>
    </w:p>
    <w:p>
      <w:r>
        <w:rPr>
          <w:rFonts w:ascii="Times New Roman" w:hAnsi="Times New Roman" w:eastAsia="宋体"/>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r>
        <w:rPr>
          <w:rFonts w:ascii="Times New Roman" w:hAnsi="Times New Roman" w:eastAsia="宋体"/>
        </w:rPr>
        <w:t>Recoverable Challenge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Heading2"/>
      </w:pPr>
      <w:r>
        <w:rPr>
          <w:rFonts w:ascii="Times New Roman" w:hAnsi="Times New Roman" w:eastAsia="黑体"/>
          <w:b/>
          <w:sz w:val="26"/>
        </w:rPr>
        <w:t>7.2 RQ1：恢复机制是否保持仲裁活性</w:t>
      </w:r>
    </w:p>
    <w:p>
      <w:r>
        <w:rPr>
          <w:rFonts w:ascii="Times New Roman" w:hAnsi="Times New Roman" w:eastAsia="宋体"/>
        </w:rPr>
        <w:t>Research Question：在建模的挑战超时场景中，recoverable challenge 是否能将“已检测但停滞”的会话推进到完成仲裁。</w:t>
      </w:r>
    </w:p>
    <w:p>
      <w:r>
        <w:rPr>
          <w:rFonts w:ascii="Times New Roman" w:hAnsi="Times New Roman" w:eastAsia="宋体"/>
        </w:rPr>
        <w:t>Hypothesis：若恢复保持挑战事实不变并恢复会话推进期限，则超时挑战可以继续进入 replay 与 resolve/slash。</w:t>
      </w:r>
    </w:p>
    <w:p>
      <w:r>
        <w:rPr>
          <w:rFonts w:ascii="Times New Roman" w:hAnsi="Times New Roman" w:eastAsia="宋体"/>
        </w:rPr>
        <w:t>Metrics：detection_rate、challenge_success_rate、slashed_rate 与 recovery_success_rate。</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rPr>
          <w:tblHeader w:val="true"/>
        </w:trPr>
        <w:tc>
          <w:tcPr>
            <w:tcW w:type="dxa" w:w="2381"/>
            <w:shd w:fill="D9EAF7"/>
            <w:vAlign w:val="center"/>
          </w:tcPr>
          <w:p>
            <w:pPr>
              <w:ind w:firstLine="0"/>
              <w:jc w:val="center"/>
            </w:pPr>
            <w:r>
              <w:rPr>
                <w:rFonts w:ascii="Times New Roman" w:hAnsi="Times New Roman" w:eastAsia="黑体"/>
                <w:b/>
                <w:sz w:val="18"/>
              </w:rPr>
              <w:t>场景</w:t>
            </w:r>
          </w:p>
        </w:tc>
        <w:tc>
          <w:tcPr>
            <w:tcW w:type="dxa" w:w="1360"/>
            <w:shd w:fill="D9EAF7"/>
            <w:vAlign w:val="center"/>
          </w:tcPr>
          <w:p>
            <w:pPr>
              <w:ind w:firstLine="0"/>
              <w:jc w:val="center"/>
            </w:pPr>
            <w:r>
              <w:rPr>
                <w:rFonts w:ascii="Times New Roman" w:hAnsi="Times New Roman" w:eastAsia="黑体"/>
                <w:b/>
                <w:sz w:val="18"/>
              </w:rPr>
              <w:t>检测率</w:t>
            </w:r>
          </w:p>
        </w:tc>
        <w:tc>
          <w:tcPr>
            <w:tcW w:type="dxa" w:w="1474"/>
            <w:shd w:fill="D9EAF7"/>
            <w:vAlign w:val="center"/>
          </w:tcPr>
          <w:p>
            <w:pPr>
              <w:ind w:firstLine="0"/>
              <w:jc w:val="center"/>
            </w:pPr>
            <w:r>
              <w:rPr>
                <w:rFonts w:ascii="Times New Roman" w:hAnsi="Times New Roman" w:eastAsia="黑体"/>
                <w:b/>
                <w:sz w:val="18"/>
              </w:rPr>
              <w:t>挑战成功率</w:t>
            </w:r>
          </w:p>
        </w:tc>
        <w:tc>
          <w:tcPr>
            <w:tcW w:type="dxa" w:w="1360"/>
            <w:shd w:fill="D9EAF7"/>
            <w:vAlign w:val="center"/>
          </w:tcPr>
          <w:p>
            <w:pPr>
              <w:ind w:firstLine="0"/>
              <w:jc w:val="center"/>
            </w:pPr>
            <w:r>
              <w:rPr>
                <w:rFonts w:ascii="Times New Roman" w:hAnsi="Times New Roman" w:eastAsia="黑体"/>
                <w:b/>
                <w:sz w:val="18"/>
              </w:rPr>
              <w:t>罚没率</w:t>
            </w:r>
          </w:p>
        </w:tc>
        <w:tc>
          <w:tcPr>
            <w:tcW w:type="dxa" w:w="2381"/>
            <w:shd w:fill="D9EAF7"/>
            <w:vAlign w:val="center"/>
          </w:tcPr>
          <w:p>
            <w:pPr>
              <w:ind w:firstLine="0"/>
              <w:jc w:val="center"/>
            </w:pPr>
            <w:r>
              <w:rPr>
                <w:rFonts w:ascii="Times New Roman" w:hAnsi="Times New Roman" w:eastAsia="黑体"/>
                <w:b/>
                <w:sz w:val="18"/>
              </w:rPr>
              <w:t>解释</w:t>
            </w:r>
          </w:p>
        </w:tc>
      </w:tr>
      <w:tr>
        <w:tc>
          <w:tcPr>
            <w:tcW w:type="dxa" w:w="2381"/>
            <w:vAlign w:val="center"/>
          </w:tcPr>
          <w:p>
            <w:pPr>
              <w:ind w:firstLine="0"/>
              <w:jc w:val="left"/>
            </w:pPr>
            <w:r>
              <w:rPr>
                <w:rFonts w:ascii="Times New Roman" w:hAnsi="Times New Roman" w:eastAsia="宋体"/>
                <w:sz w:val="17"/>
              </w:rPr>
              <w:t>challenge_timeout_no_recover</w:t>
            </w:r>
          </w:p>
        </w:tc>
        <w:tc>
          <w:tcPr>
            <w:tcW w:type="dxa" w:w="1360"/>
            <w:vAlign w:val="center"/>
          </w:tcPr>
          <w:p>
            <w:pPr>
              <w:ind w:firstLine="0"/>
              <w:jc w:val="center"/>
            </w:pPr>
            <w:r>
              <w:rPr>
                <w:rFonts w:ascii="Times New Roman" w:hAnsi="Times New Roman" w:eastAsia="宋体"/>
                <w:sz w:val="17"/>
              </w:rPr>
              <w:t>100.00%</w:t>
            </w:r>
          </w:p>
        </w:tc>
        <w:tc>
          <w:tcPr>
            <w:tcW w:type="dxa" w:w="1474"/>
            <w:vAlign w:val="center"/>
          </w:tcPr>
          <w:p>
            <w:pPr>
              <w:ind w:firstLine="0"/>
              <w:jc w:val="center"/>
            </w:pPr>
            <w:r>
              <w:rPr>
                <w:rFonts w:ascii="Times New Roman" w:hAnsi="Times New Roman" w:eastAsia="宋体"/>
                <w:sz w:val="17"/>
              </w:rPr>
              <w:t>0.00%</w:t>
            </w:r>
          </w:p>
        </w:tc>
        <w:tc>
          <w:tcPr>
            <w:tcW w:type="dxa" w:w="1360"/>
            <w:vAlign w:val="center"/>
          </w:tcPr>
          <w:p>
            <w:pPr>
              <w:ind w:firstLine="0"/>
              <w:jc w:val="center"/>
            </w:pPr>
            <w:r>
              <w:rPr>
                <w:rFonts w:ascii="Times New Roman" w:hAnsi="Times New Roman" w:eastAsia="宋体"/>
                <w:sz w:val="17"/>
              </w:rPr>
              <w:t>0.00%</w:t>
            </w:r>
          </w:p>
        </w:tc>
        <w:tc>
          <w:tcPr>
            <w:tcW w:type="dxa" w:w="2381"/>
            <w:vAlign w:val="center"/>
          </w:tcPr>
          <w:p>
            <w:pPr>
              <w:ind w:firstLine="0"/>
              <w:jc w:val="center"/>
            </w:pPr>
            <w:r>
              <w:rPr>
                <w:rFonts w:ascii="Times New Roman" w:hAnsi="Times New Roman" w:eastAsia="宋体"/>
                <w:sz w:val="17"/>
              </w:rPr>
              <w:t>异常可被观察，但仲裁未完成</w:t>
            </w:r>
          </w:p>
        </w:tc>
      </w:tr>
      <w:tr>
        <w:tc>
          <w:tcPr>
            <w:tcW w:type="dxa" w:w="2381"/>
            <w:vAlign w:val="center"/>
          </w:tcPr>
          <w:p>
            <w:pPr>
              <w:ind w:firstLine="0"/>
              <w:jc w:val="left"/>
            </w:pPr>
            <w:r>
              <w:rPr>
                <w:rFonts w:ascii="Times New Roman" w:hAnsi="Times New Roman" w:eastAsia="宋体"/>
                <w:sz w:val="17"/>
              </w:rPr>
              <w:t>challenge_timeout_recover</w:t>
            </w:r>
          </w:p>
        </w:tc>
        <w:tc>
          <w:tcPr>
            <w:tcW w:type="dxa" w:w="1360"/>
            <w:vAlign w:val="center"/>
          </w:tcPr>
          <w:p>
            <w:pPr>
              <w:ind w:firstLine="0"/>
              <w:jc w:val="center"/>
            </w:pPr>
            <w:r>
              <w:rPr>
                <w:rFonts w:ascii="Times New Roman" w:hAnsi="Times New Roman" w:eastAsia="宋体"/>
                <w:sz w:val="17"/>
              </w:rPr>
              <w:t>100.00%</w:t>
            </w:r>
          </w:p>
        </w:tc>
        <w:tc>
          <w:tcPr>
            <w:tcW w:type="dxa" w:w="1474"/>
            <w:vAlign w:val="center"/>
          </w:tcPr>
          <w:p>
            <w:pPr>
              <w:ind w:firstLine="0"/>
              <w:jc w:val="center"/>
            </w:pPr>
            <w:r>
              <w:rPr>
                <w:rFonts w:ascii="Times New Roman" w:hAnsi="Times New Roman" w:eastAsia="宋体"/>
                <w:sz w:val="17"/>
              </w:rPr>
              <w:t>100.00%</w:t>
            </w:r>
          </w:p>
        </w:tc>
        <w:tc>
          <w:tcPr>
            <w:tcW w:type="dxa" w:w="1360"/>
            <w:vAlign w:val="center"/>
          </w:tcPr>
          <w:p>
            <w:pPr>
              <w:ind w:firstLine="0"/>
              <w:jc w:val="center"/>
            </w:pPr>
            <w:r>
              <w:rPr>
                <w:rFonts w:ascii="Times New Roman" w:hAnsi="Times New Roman" w:eastAsia="宋体"/>
                <w:sz w:val="17"/>
              </w:rPr>
              <w:t>100.00%</w:t>
            </w:r>
          </w:p>
        </w:tc>
        <w:tc>
          <w:tcPr>
            <w:tcW w:type="dxa" w:w="2381"/>
            <w:vAlign w:val="center"/>
          </w:tcPr>
          <w:p>
            <w:pPr>
              <w:ind w:firstLine="0"/>
              <w:jc w:val="center"/>
            </w:pPr>
            <w:r>
              <w:rPr>
                <w:rFonts w:ascii="Times New Roman" w:hAnsi="Times New Roman" w:eastAsia="宋体"/>
                <w:sz w:val="17"/>
              </w:rPr>
              <w:t>建模场景中恢复后完成重放与罚没</w:t>
            </w:r>
          </w:p>
        </w:tc>
      </w:tr>
    </w:tbl>
    <w:p>
      <w:pPr>
        <w:ind w:firstLine="0"/>
      </w:pPr>
      <w:r>
        <w:rPr>
          <w:rFonts w:ascii="Times New Roman" w:hAnsi="Times New Roman" w:eastAsia="宋体"/>
        </w:rPr>
      </w:r>
    </w:p>
    <w:p>
      <w:r>
        <w:rPr>
          <w:rFonts w:ascii="Times New Roman" w:hAnsi="Times New Roman" w:eastAsia="宋体"/>
        </w:rPr>
        <w:t>Results：无恢复机制时，超时可被检测但挑战成功率为 0%；引入恢复后，在该建模超时场景中挑战成功率与罚没率为 100%。</w:t>
      </w:r>
    </w:p>
    <w:p>
      <w:r>
        <w:rPr>
          <w:rFonts w:ascii="Times New Roman" w:hAnsi="Times New Roman" w:eastAsia="宋体"/>
        </w:rPr>
        <w:t>Analysis：结果说明 recover 的价值是仲裁活性，而不是检测能力。检测率在两个场景中均为 100%，差异来自恢复是否允许会话继续进入重放和结算。</w:t>
      </w:r>
    </w:p>
    <w:p>
      <w:r>
        <w:rPr>
          <w:rFonts w:ascii="Times New Roman" w:hAnsi="Times New Roman" w:eastAsia="宋体"/>
        </w:rPr>
        <w:t>Limitation：100% 挑战成功率只在当前建模超时场景、证据可恢复和原型故障注入条件下成立，不能外推为真实网络中的通用成功率。</w:t>
      </w:r>
    </w:p>
    <w:p>
      <w:pPr>
        <w:ind w:firstLine="0"/>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recovery_success.png"/>
                    <pic:cNvPicPr/>
                  </pic:nvPicPr>
                  <pic:blipFill>
                    <a:blip r:embed="rId10"/>
                    <a:stretch>
                      <a:fillRect/>
                    </a:stretch>
                  </pic:blipFill>
                  <pic:spPr>
                    <a:xfrm>
                      <a:off x="0" y="0"/>
                      <a:ext cx="4320000" cy="2880000"/>
                    </a:xfrm>
                    <a:prstGeom prst="rect"/>
                  </pic:spPr>
                </pic:pic>
              </a:graphicData>
            </a:graphic>
          </wp:inline>
        </w:drawing>
      </w:r>
    </w:p>
    <w:p>
      <w:pPr>
        <w:ind w:firstLine="0"/>
        <w:jc w:val="center"/>
      </w:pPr>
      <w:r>
        <w:rPr>
          <w:rFonts w:ascii="Times New Roman" w:hAnsi="Times New Roman" w:eastAsia="宋体"/>
          <w:b w:val="0"/>
          <w:sz w:val="18"/>
        </w:rPr>
        <w:t>图 2  恢复对超时场景挑战完成率的影响</w:t>
      </w:r>
    </w:p>
    <w:p>
      <w:pPr>
        <w:pStyle w:val="Heading2"/>
      </w:pPr>
      <w:r>
        <w:rPr>
          <w:rFonts w:ascii="Times New Roman" w:hAnsi="Times New Roman" w:eastAsia="黑体"/>
          <w:b/>
          <w:sz w:val="26"/>
        </w:rPr>
        <w:t>7.3 RQ2：二分定位是否保持对数级争议定位</w:t>
      </w:r>
    </w:p>
    <w:p>
      <w:r>
        <w:rPr>
          <w:rFonts w:ascii="Times New Roman" w:hAnsi="Times New Roman" w:eastAsia="宋体"/>
        </w:rPr>
        <w:t>Research Question：恢复机制是否破坏交互式挑战的二分定位结构。</w:t>
      </w:r>
    </w:p>
    <w:p>
      <w:r>
        <w:rPr>
          <w:rFonts w:ascii="Times New Roman" w:hAnsi="Times New Roman" w:eastAsia="宋体"/>
        </w:rPr>
        <w:t>Hypothesis：如果恢复不重置争议区间，则二分定位轮次仍应接近 log2(trace steps)。</w:t>
      </w:r>
    </w:p>
    <w:p>
      <w:r>
        <w:rPr>
          <w:rFonts w:ascii="Times New Roman" w:hAnsi="Times New Roman" w:eastAsia="宋体"/>
        </w:rPr>
        <w:t>Metrics：avg_bisection_rounds 与理论 log2 轮次。</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1814"/>
            <w:shd w:fill="D9EAF7"/>
            <w:vAlign w:val="center"/>
          </w:tcPr>
          <w:p>
            <w:pPr>
              <w:ind w:firstLine="0"/>
              <w:jc w:val="center"/>
            </w:pPr>
            <w:r>
              <w:rPr>
                <w:rFonts w:ascii="Times New Roman" w:hAnsi="Times New Roman" w:eastAsia="黑体"/>
                <w:b/>
                <w:sz w:val="18"/>
              </w:rPr>
              <w:t>Trace steps</w:t>
            </w:r>
          </w:p>
        </w:tc>
        <w:tc>
          <w:tcPr>
            <w:tcW w:type="dxa" w:w="1927"/>
            <w:shd w:fill="D9EAF7"/>
            <w:vAlign w:val="center"/>
          </w:tcPr>
          <w:p>
            <w:pPr>
              <w:ind w:firstLine="0"/>
              <w:jc w:val="center"/>
            </w:pPr>
            <w:r>
              <w:rPr>
                <w:rFonts w:ascii="Times New Roman" w:hAnsi="Times New Roman" w:eastAsia="黑体"/>
                <w:b/>
                <w:sz w:val="18"/>
              </w:rPr>
              <w:t>平均二分轮次</w:t>
            </w:r>
          </w:p>
        </w:tc>
        <w:tc>
          <w:tcPr>
            <w:tcW w:type="dxa" w:w="1927"/>
            <w:shd w:fill="D9EAF7"/>
            <w:vAlign w:val="center"/>
          </w:tcPr>
          <w:p>
            <w:pPr>
              <w:ind w:firstLine="0"/>
              <w:jc w:val="center"/>
            </w:pPr>
            <w:r>
              <w:rPr>
                <w:rFonts w:ascii="Times New Roman" w:hAnsi="Times New Roman" w:eastAsia="黑体"/>
                <w:b/>
                <w:sz w:val="18"/>
              </w:rPr>
              <w:t>理论 log2 轮次</w:t>
            </w:r>
          </w:p>
        </w:tc>
        <w:tc>
          <w:tcPr>
            <w:tcW w:type="dxa" w:w="1814"/>
            <w:shd w:fill="D9EAF7"/>
            <w:vAlign w:val="center"/>
          </w:tcPr>
          <w:p>
            <w:pPr>
              <w:ind w:firstLine="0"/>
              <w:jc w:val="center"/>
            </w:pPr>
            <w:r>
              <w:rPr>
                <w:rFonts w:ascii="Times New Roman" w:hAnsi="Times New Roman" w:eastAsia="黑体"/>
                <w:b/>
                <w:sz w:val="18"/>
              </w:rPr>
              <w:t>挑战成功率</w:t>
            </w:r>
          </w:p>
        </w:tc>
      </w:tr>
      <w:tr>
        <w:tc>
          <w:tcPr>
            <w:tcW w:type="dxa" w:w="1814"/>
            <w:vAlign w:val="center"/>
          </w:tcPr>
          <w:p>
            <w:pPr>
              <w:ind w:firstLine="0"/>
              <w:jc w:val="center"/>
            </w:pPr>
            <w:r>
              <w:rPr>
                <w:rFonts w:ascii="Times New Roman" w:hAnsi="Times New Roman" w:eastAsia="宋体"/>
                <w:sz w:val="17"/>
              </w:rPr>
              <w:t>4</w:t>
            </w:r>
          </w:p>
        </w:tc>
        <w:tc>
          <w:tcPr>
            <w:tcW w:type="dxa" w:w="1927"/>
            <w:vAlign w:val="center"/>
          </w:tcPr>
          <w:p>
            <w:pPr>
              <w:ind w:firstLine="0"/>
              <w:jc w:val="center"/>
            </w:pPr>
            <w:r>
              <w:rPr>
                <w:rFonts w:ascii="Times New Roman" w:hAnsi="Times New Roman" w:eastAsia="宋体"/>
                <w:sz w:val="17"/>
              </w:rPr>
              <w:t>2.00</w:t>
            </w:r>
          </w:p>
        </w:tc>
        <w:tc>
          <w:tcPr>
            <w:tcW w:type="dxa" w:w="1927"/>
            <w:vAlign w:val="center"/>
          </w:tcPr>
          <w:p>
            <w:pPr>
              <w:ind w:firstLine="0"/>
              <w:jc w:val="center"/>
            </w:pPr>
            <w:r>
              <w:rPr>
                <w:rFonts w:ascii="Times New Roman" w:hAnsi="Times New Roman" w:eastAsia="宋体"/>
                <w:sz w:val="17"/>
              </w:rPr>
              <w:t>2.00</w:t>
            </w:r>
          </w:p>
        </w:tc>
        <w:tc>
          <w:tcPr>
            <w:tcW w:type="dxa" w:w="1814"/>
            <w:vAlign w:val="center"/>
          </w:tcPr>
          <w:p>
            <w:pPr>
              <w:ind w:firstLine="0"/>
              <w:jc w:val="center"/>
            </w:pPr>
            <w:r>
              <w:rPr>
                <w:rFonts w:ascii="Times New Roman" w:hAnsi="Times New Roman" w:eastAsia="宋体"/>
                <w:sz w:val="17"/>
              </w:rPr>
              <w:t>100.00%</w:t>
            </w:r>
          </w:p>
        </w:tc>
      </w:tr>
      <w:tr>
        <w:tc>
          <w:tcPr>
            <w:tcW w:type="dxa" w:w="1814"/>
            <w:vAlign w:val="center"/>
          </w:tcPr>
          <w:p>
            <w:pPr>
              <w:ind w:firstLine="0"/>
              <w:jc w:val="center"/>
            </w:pPr>
            <w:r>
              <w:rPr>
                <w:rFonts w:ascii="Times New Roman" w:hAnsi="Times New Roman" w:eastAsia="宋体"/>
                <w:sz w:val="17"/>
              </w:rPr>
              <w:t>8</w:t>
            </w:r>
          </w:p>
        </w:tc>
        <w:tc>
          <w:tcPr>
            <w:tcW w:type="dxa" w:w="1927"/>
            <w:vAlign w:val="center"/>
          </w:tcPr>
          <w:p>
            <w:pPr>
              <w:ind w:firstLine="0"/>
              <w:jc w:val="center"/>
            </w:pPr>
            <w:r>
              <w:rPr>
                <w:rFonts w:ascii="Times New Roman" w:hAnsi="Times New Roman" w:eastAsia="宋体"/>
                <w:sz w:val="17"/>
              </w:rPr>
              <w:t>3.00</w:t>
            </w:r>
          </w:p>
        </w:tc>
        <w:tc>
          <w:tcPr>
            <w:tcW w:type="dxa" w:w="1927"/>
            <w:vAlign w:val="center"/>
          </w:tcPr>
          <w:p>
            <w:pPr>
              <w:ind w:firstLine="0"/>
              <w:jc w:val="center"/>
            </w:pPr>
            <w:r>
              <w:rPr>
                <w:rFonts w:ascii="Times New Roman" w:hAnsi="Times New Roman" w:eastAsia="宋体"/>
                <w:sz w:val="17"/>
              </w:rPr>
              <w:t>3.00</w:t>
            </w:r>
          </w:p>
        </w:tc>
        <w:tc>
          <w:tcPr>
            <w:tcW w:type="dxa" w:w="1814"/>
            <w:vAlign w:val="center"/>
          </w:tcPr>
          <w:p>
            <w:pPr>
              <w:ind w:firstLine="0"/>
              <w:jc w:val="center"/>
            </w:pPr>
            <w:r>
              <w:rPr>
                <w:rFonts w:ascii="Times New Roman" w:hAnsi="Times New Roman" w:eastAsia="宋体"/>
                <w:sz w:val="17"/>
              </w:rPr>
              <w:t>100.00%</w:t>
            </w:r>
          </w:p>
        </w:tc>
      </w:tr>
      <w:tr>
        <w:tc>
          <w:tcPr>
            <w:tcW w:type="dxa" w:w="1814"/>
            <w:vAlign w:val="center"/>
          </w:tcPr>
          <w:p>
            <w:pPr>
              <w:ind w:firstLine="0"/>
              <w:jc w:val="center"/>
            </w:pPr>
            <w:r>
              <w:rPr>
                <w:rFonts w:ascii="Times New Roman" w:hAnsi="Times New Roman" w:eastAsia="宋体"/>
                <w:sz w:val="17"/>
              </w:rPr>
              <w:t>16</w:t>
            </w:r>
          </w:p>
        </w:tc>
        <w:tc>
          <w:tcPr>
            <w:tcW w:type="dxa" w:w="1927"/>
            <w:vAlign w:val="center"/>
          </w:tcPr>
          <w:p>
            <w:pPr>
              <w:ind w:firstLine="0"/>
              <w:jc w:val="center"/>
            </w:pPr>
            <w:r>
              <w:rPr>
                <w:rFonts w:ascii="Times New Roman" w:hAnsi="Times New Roman" w:eastAsia="宋体"/>
                <w:sz w:val="17"/>
              </w:rPr>
              <w:t>4.00</w:t>
            </w:r>
          </w:p>
        </w:tc>
        <w:tc>
          <w:tcPr>
            <w:tcW w:type="dxa" w:w="1927"/>
            <w:vAlign w:val="center"/>
          </w:tcPr>
          <w:p>
            <w:pPr>
              <w:ind w:firstLine="0"/>
              <w:jc w:val="center"/>
            </w:pPr>
            <w:r>
              <w:rPr>
                <w:rFonts w:ascii="Times New Roman" w:hAnsi="Times New Roman" w:eastAsia="宋体"/>
                <w:sz w:val="17"/>
              </w:rPr>
              <w:t>4.00</w:t>
            </w:r>
          </w:p>
        </w:tc>
        <w:tc>
          <w:tcPr>
            <w:tcW w:type="dxa" w:w="1814"/>
            <w:vAlign w:val="center"/>
          </w:tcPr>
          <w:p>
            <w:pPr>
              <w:ind w:firstLine="0"/>
              <w:jc w:val="center"/>
            </w:pPr>
            <w:r>
              <w:rPr>
                <w:rFonts w:ascii="Times New Roman" w:hAnsi="Times New Roman" w:eastAsia="宋体"/>
                <w:sz w:val="17"/>
              </w:rPr>
              <w:t>100.00%</w:t>
            </w:r>
          </w:p>
        </w:tc>
      </w:tr>
      <w:tr>
        <w:tc>
          <w:tcPr>
            <w:tcW w:type="dxa" w:w="1814"/>
            <w:vAlign w:val="center"/>
          </w:tcPr>
          <w:p>
            <w:pPr>
              <w:ind w:firstLine="0"/>
              <w:jc w:val="center"/>
            </w:pPr>
            <w:r>
              <w:rPr>
                <w:rFonts w:ascii="Times New Roman" w:hAnsi="Times New Roman" w:eastAsia="宋体"/>
                <w:sz w:val="17"/>
              </w:rPr>
              <w:t>32</w:t>
            </w:r>
          </w:p>
        </w:tc>
        <w:tc>
          <w:tcPr>
            <w:tcW w:type="dxa" w:w="1927"/>
            <w:vAlign w:val="center"/>
          </w:tcPr>
          <w:p>
            <w:pPr>
              <w:ind w:firstLine="0"/>
              <w:jc w:val="center"/>
            </w:pPr>
            <w:r>
              <w:rPr>
                <w:rFonts w:ascii="Times New Roman" w:hAnsi="Times New Roman" w:eastAsia="宋体"/>
                <w:sz w:val="17"/>
              </w:rPr>
              <w:t>5.00</w:t>
            </w:r>
          </w:p>
        </w:tc>
        <w:tc>
          <w:tcPr>
            <w:tcW w:type="dxa" w:w="1927"/>
            <w:vAlign w:val="center"/>
          </w:tcPr>
          <w:p>
            <w:pPr>
              <w:ind w:firstLine="0"/>
              <w:jc w:val="center"/>
            </w:pPr>
            <w:r>
              <w:rPr>
                <w:rFonts w:ascii="Times New Roman" w:hAnsi="Times New Roman" w:eastAsia="宋体"/>
                <w:sz w:val="17"/>
              </w:rPr>
              <w:t>5.00</w:t>
            </w:r>
          </w:p>
        </w:tc>
        <w:tc>
          <w:tcPr>
            <w:tcW w:type="dxa" w:w="1814"/>
            <w:vAlign w:val="center"/>
          </w:tcPr>
          <w:p>
            <w:pPr>
              <w:ind w:firstLine="0"/>
              <w:jc w:val="center"/>
            </w:pPr>
            <w:r>
              <w:rPr>
                <w:rFonts w:ascii="Times New Roman" w:hAnsi="Times New Roman" w:eastAsia="宋体"/>
                <w:sz w:val="17"/>
              </w:rPr>
              <w:t>100.00%</w:t>
            </w:r>
          </w:p>
        </w:tc>
      </w:tr>
      <w:tr>
        <w:tc>
          <w:tcPr>
            <w:tcW w:type="dxa" w:w="1814"/>
            <w:vAlign w:val="center"/>
          </w:tcPr>
          <w:p>
            <w:pPr>
              <w:ind w:firstLine="0"/>
              <w:jc w:val="center"/>
            </w:pPr>
            <w:r>
              <w:rPr>
                <w:rFonts w:ascii="Times New Roman" w:hAnsi="Times New Roman" w:eastAsia="宋体"/>
                <w:sz w:val="17"/>
              </w:rPr>
              <w:t>64</w:t>
            </w:r>
          </w:p>
        </w:tc>
        <w:tc>
          <w:tcPr>
            <w:tcW w:type="dxa" w:w="1927"/>
            <w:vAlign w:val="center"/>
          </w:tcPr>
          <w:p>
            <w:pPr>
              <w:ind w:firstLine="0"/>
              <w:jc w:val="center"/>
            </w:pPr>
            <w:r>
              <w:rPr>
                <w:rFonts w:ascii="Times New Roman" w:hAnsi="Times New Roman" w:eastAsia="宋体"/>
                <w:sz w:val="17"/>
              </w:rPr>
              <w:t>6.00</w:t>
            </w:r>
          </w:p>
        </w:tc>
        <w:tc>
          <w:tcPr>
            <w:tcW w:type="dxa" w:w="1927"/>
            <w:vAlign w:val="center"/>
          </w:tcPr>
          <w:p>
            <w:pPr>
              <w:ind w:firstLine="0"/>
              <w:jc w:val="center"/>
            </w:pPr>
            <w:r>
              <w:rPr>
                <w:rFonts w:ascii="Times New Roman" w:hAnsi="Times New Roman" w:eastAsia="宋体"/>
                <w:sz w:val="17"/>
              </w:rPr>
              <w:t>6.00</w:t>
            </w:r>
          </w:p>
        </w:tc>
        <w:tc>
          <w:tcPr>
            <w:tcW w:type="dxa" w:w="1814"/>
            <w:vAlign w:val="center"/>
          </w:tcPr>
          <w:p>
            <w:pPr>
              <w:ind w:firstLine="0"/>
              <w:jc w:val="center"/>
            </w:pPr>
            <w:r>
              <w:rPr>
                <w:rFonts w:ascii="Times New Roman" w:hAnsi="Times New Roman" w:eastAsia="宋体"/>
                <w:sz w:val="17"/>
              </w:rPr>
              <w:t>100.00%</w:t>
            </w:r>
          </w:p>
        </w:tc>
      </w:tr>
      <w:tr>
        <w:tc>
          <w:tcPr>
            <w:tcW w:type="dxa" w:w="1814"/>
            <w:vAlign w:val="center"/>
          </w:tcPr>
          <w:p>
            <w:pPr>
              <w:ind w:firstLine="0"/>
              <w:jc w:val="center"/>
            </w:pPr>
            <w:r>
              <w:rPr>
                <w:rFonts w:ascii="Times New Roman" w:hAnsi="Times New Roman" w:eastAsia="宋体"/>
                <w:sz w:val="17"/>
              </w:rPr>
              <w:t>128</w:t>
            </w:r>
          </w:p>
        </w:tc>
        <w:tc>
          <w:tcPr>
            <w:tcW w:type="dxa" w:w="1927"/>
            <w:vAlign w:val="center"/>
          </w:tcPr>
          <w:p>
            <w:pPr>
              <w:ind w:firstLine="0"/>
              <w:jc w:val="center"/>
            </w:pPr>
            <w:r>
              <w:rPr>
                <w:rFonts w:ascii="Times New Roman" w:hAnsi="Times New Roman" w:eastAsia="宋体"/>
                <w:sz w:val="17"/>
              </w:rPr>
              <w:t>7.00</w:t>
            </w:r>
          </w:p>
        </w:tc>
        <w:tc>
          <w:tcPr>
            <w:tcW w:type="dxa" w:w="1927"/>
            <w:vAlign w:val="center"/>
          </w:tcPr>
          <w:p>
            <w:pPr>
              <w:ind w:firstLine="0"/>
              <w:jc w:val="center"/>
            </w:pPr>
            <w:r>
              <w:rPr>
                <w:rFonts w:ascii="Times New Roman" w:hAnsi="Times New Roman" w:eastAsia="宋体"/>
                <w:sz w:val="17"/>
              </w:rPr>
              <w:t>7.00</w:t>
            </w:r>
          </w:p>
        </w:tc>
        <w:tc>
          <w:tcPr>
            <w:tcW w:type="dxa" w:w="1814"/>
            <w:vAlign w:val="center"/>
          </w:tcPr>
          <w:p>
            <w:pPr>
              <w:ind w:firstLine="0"/>
              <w:jc w:val="center"/>
            </w:pPr>
            <w:r>
              <w:rPr>
                <w:rFonts w:ascii="Times New Roman" w:hAnsi="Times New Roman" w:eastAsia="宋体"/>
                <w:sz w:val="17"/>
              </w:rPr>
              <w:t>100.00%</w:t>
            </w:r>
          </w:p>
        </w:tc>
      </w:tr>
    </w:tbl>
    <w:p>
      <w:pPr>
        <w:ind w:firstLine="0"/>
      </w:pPr>
      <w:r>
        <w:rPr>
          <w:rFonts w:ascii="Times New Roman" w:hAnsi="Times New Roman" w:eastAsia="宋体"/>
        </w:rPr>
      </w:r>
    </w:p>
    <w:p>
      <w:r>
        <w:rPr>
          <w:rFonts w:ascii="Times New Roman" w:hAnsi="Times New Roman" w:eastAsia="宋体"/>
        </w:rPr>
        <w:t>Results：执行轨迹步数为 4、8、16、32、64、128 时，平均二分轮次分别为 2、3、4、5、6、7，与理论 log2 轮次一致。</w:t>
      </w:r>
    </w:p>
    <w:p>
      <w:r>
        <w:rPr>
          <w:rFonts w:ascii="Times New Roman" w:hAnsi="Times New Roman" w:eastAsia="宋体"/>
        </w:rPr>
        <w:t>Analysis：恢复操作没有引入线性扫描，也没有重置已缩小的争议区间，因此交互式定位的渐近结构得到保留。</w:t>
      </w:r>
    </w:p>
    <w:p>
      <w:r>
        <w:rPr>
          <w:rFonts w:ascii="Times New Roman" w:hAnsi="Times New Roman" w:eastAsia="宋体"/>
        </w:rPr>
        <w:t>Limitation：当前重放证据由原型逻辑提供，不能证明完整 FPVM 或真实链上执行验证的复杂度。</w:t>
      </w:r>
    </w:p>
    <w:p>
      <w:pPr>
        <w:ind w:firstLine="0"/>
        <w:jc w:val="center"/>
      </w:pPr>
      <w:r>
        <w:drawing>
          <wp:inline xmlns:a="http://schemas.openxmlformats.org/drawingml/2006/main" xmlns:pic="http://schemas.openxmlformats.org/drawingml/2006/picture">
            <wp:extent cx="4320000" cy="2468571"/>
            <wp:docPr id="3" name="Picture 3"/>
            <wp:cNvGraphicFramePr>
              <a:graphicFrameLocks noChangeAspect="1"/>
            </wp:cNvGraphicFramePr>
            <a:graphic>
              <a:graphicData uri="http://schemas.openxmlformats.org/drawingml/2006/picture">
                <pic:pic>
                  <pic:nvPicPr>
                    <pic:cNvPr id="0" name="challenge_rounds.png"/>
                    <pic:cNvPicPr/>
                  </pic:nvPicPr>
                  <pic:blipFill>
                    <a:blip r:embed="rId11"/>
                    <a:stretch>
                      <a:fillRect/>
                    </a:stretch>
                  </pic:blipFill>
                  <pic:spPr>
                    <a:xfrm>
                      <a:off x="0" y="0"/>
                      <a:ext cx="4320000" cy="2468571"/>
                    </a:xfrm>
                    <a:prstGeom prst="rect"/>
                  </pic:spPr>
                </pic:pic>
              </a:graphicData>
            </a:graphic>
          </wp:inline>
        </w:drawing>
      </w:r>
    </w:p>
    <w:p>
      <w:pPr>
        <w:ind w:firstLine="0"/>
        <w:jc w:val="center"/>
      </w:pPr>
      <w:r>
        <w:rPr>
          <w:rFonts w:ascii="Times New Roman" w:hAnsi="Times New Roman" w:eastAsia="宋体"/>
          <w:b w:val="0"/>
          <w:sz w:val="18"/>
        </w:rPr>
        <w:t>图 3  二分挑战轮次与 trace steps 的关系</w:t>
      </w:r>
    </w:p>
    <w:p>
      <w:pPr>
        <w:pStyle w:val="Heading2"/>
      </w:pPr>
      <w:r>
        <w:rPr>
          <w:rFonts w:ascii="Times New Roman" w:hAnsi="Times New Roman" w:eastAsia="黑体"/>
          <w:b/>
          <w:sz w:val="26"/>
        </w:rPr>
        <w:t>7.4 RQ3：紧凑提交是否提供稳定证据锚点</w:t>
      </w:r>
    </w:p>
    <w:p>
      <w:r>
        <w:rPr>
          <w:rFonts w:ascii="Times New Roman" w:hAnsi="Times New Roman" w:eastAsia="宋体"/>
        </w:rPr>
        <w:t>Research Question：evidence-carrying compact commit 是否能在载荷规模增长时保持近似固定的链上提交规模。</w:t>
      </w:r>
    </w:p>
    <w:p>
      <w:r>
        <w:rPr>
          <w:rFonts w:ascii="Times New Roman" w:hAnsi="Times New Roman" w:eastAsia="宋体"/>
        </w:rPr>
        <w:t>Hypothesis：若链上只提交固定摘要和 DA 指针，则 compact bytes 应基本不随完整 payload 增长。</w:t>
      </w:r>
    </w:p>
    <w:p>
      <w:r>
        <w:rPr>
          <w:rFonts w:ascii="Times New Roman" w:hAnsi="Times New Roman" w:eastAsia="宋体"/>
        </w:rPr>
        <w:t>Metrics：full_bytes、compact_bytes、byte_reduction_ratio。</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1530"/>
            <w:shd w:fill="D9EAF7"/>
            <w:vAlign w:val="center"/>
          </w:tcPr>
          <w:p>
            <w:pPr>
              <w:ind w:firstLine="0"/>
              <w:jc w:val="center"/>
            </w:pPr>
            <w:r>
              <w:rPr>
                <w:rFonts w:ascii="Times New Roman" w:hAnsi="Times New Roman" w:eastAsia="黑体"/>
                <w:b/>
                <w:sz w:val="18"/>
              </w:rPr>
              <w:t>Payload</w:t>
            </w:r>
          </w:p>
        </w:tc>
        <w:tc>
          <w:tcPr>
            <w:tcW w:type="dxa" w:w="2608"/>
            <w:shd w:fill="D9EAF7"/>
            <w:vAlign w:val="center"/>
          </w:tcPr>
          <w:p>
            <w:pPr>
              <w:ind w:firstLine="0"/>
              <w:jc w:val="center"/>
            </w:pPr>
            <w:r>
              <w:rPr>
                <w:rFonts w:ascii="Times New Roman" w:hAnsi="Times New Roman" w:eastAsia="黑体"/>
                <w:b/>
                <w:sz w:val="18"/>
              </w:rPr>
              <w:t>Full bytes（示例）</w:t>
            </w:r>
          </w:p>
        </w:tc>
        <w:tc>
          <w:tcPr>
            <w:tcW w:type="dxa" w:w="1701"/>
            <w:shd w:fill="D9EAF7"/>
            <w:vAlign w:val="center"/>
          </w:tcPr>
          <w:p>
            <w:pPr>
              <w:ind w:firstLine="0"/>
              <w:jc w:val="center"/>
            </w:pPr>
            <w:r>
              <w:rPr>
                <w:rFonts w:ascii="Times New Roman" w:hAnsi="Times New Roman" w:eastAsia="黑体"/>
                <w:b/>
                <w:sz w:val="18"/>
              </w:rPr>
              <w:t>Compact bytes</w:t>
            </w:r>
          </w:p>
        </w:tc>
        <w:tc>
          <w:tcPr>
            <w:tcW w:type="dxa" w:w="1984"/>
            <w:shd w:fill="D9EAF7"/>
            <w:vAlign w:val="center"/>
          </w:tcPr>
          <w:p>
            <w:pPr>
              <w:ind w:firstLine="0"/>
              <w:jc w:val="center"/>
            </w:pPr>
            <w:r>
              <w:rPr>
                <w:rFonts w:ascii="Times New Roman" w:hAnsi="Times New Roman" w:eastAsia="黑体"/>
                <w:b/>
                <w:sz w:val="18"/>
              </w:rPr>
              <w:t>字节降幅</w:t>
            </w:r>
          </w:p>
        </w:tc>
      </w:tr>
      <w:tr>
        <w:tc>
          <w:tcPr>
            <w:tcW w:type="dxa" w:w="1530"/>
            <w:vAlign w:val="center"/>
          </w:tcPr>
          <w:p>
            <w:pPr>
              <w:ind w:firstLine="0"/>
              <w:jc w:val="center"/>
            </w:pPr>
            <w:r>
              <w:rPr>
                <w:rFonts w:ascii="Times New Roman" w:hAnsi="Times New Roman" w:eastAsia="宋体"/>
                <w:sz w:val="17"/>
              </w:rPr>
              <w:t>128</w:t>
            </w:r>
          </w:p>
        </w:tc>
        <w:tc>
          <w:tcPr>
            <w:tcW w:type="dxa" w:w="2608"/>
            <w:vAlign w:val="center"/>
          </w:tcPr>
          <w:p>
            <w:pPr>
              <w:ind w:firstLine="0"/>
              <w:jc w:val="center"/>
            </w:pPr>
            <w:r>
              <w:rPr>
                <w:rFonts w:ascii="Times New Roman" w:hAnsi="Times New Roman" w:eastAsia="宋体"/>
                <w:sz w:val="17"/>
              </w:rPr>
              <w:t>1682.84 / 1876.84</w:t>
            </w:r>
          </w:p>
        </w:tc>
        <w:tc>
          <w:tcPr>
            <w:tcW w:type="dxa" w:w="1701"/>
            <w:vAlign w:val="center"/>
          </w:tcPr>
          <w:p>
            <w:pPr>
              <w:ind w:firstLine="0"/>
              <w:jc w:val="center"/>
            </w:pPr>
            <w:r>
              <w:rPr>
                <w:rFonts w:ascii="Times New Roman" w:hAnsi="Times New Roman" w:eastAsia="宋体"/>
                <w:sz w:val="17"/>
              </w:rPr>
              <w:t>406.00</w:t>
            </w:r>
          </w:p>
        </w:tc>
        <w:tc>
          <w:tcPr>
            <w:tcW w:type="dxa" w:w="1984"/>
            <w:vAlign w:val="center"/>
          </w:tcPr>
          <w:p>
            <w:pPr>
              <w:ind w:firstLine="0"/>
              <w:jc w:val="center"/>
            </w:pPr>
            <w:r>
              <w:rPr>
                <w:rFonts w:ascii="Times New Roman" w:hAnsi="Times New Roman" w:eastAsia="宋体"/>
                <w:sz w:val="17"/>
              </w:rPr>
              <w:t>75.33% / 77.98%</w:t>
            </w:r>
          </w:p>
        </w:tc>
      </w:tr>
      <w:tr>
        <w:tc>
          <w:tcPr>
            <w:tcW w:type="dxa" w:w="1530"/>
            <w:vAlign w:val="center"/>
          </w:tcPr>
          <w:p>
            <w:pPr>
              <w:ind w:firstLine="0"/>
              <w:jc w:val="center"/>
            </w:pPr>
            <w:r>
              <w:rPr>
                <w:rFonts w:ascii="Times New Roman" w:hAnsi="Times New Roman" w:eastAsia="宋体"/>
                <w:sz w:val="17"/>
              </w:rPr>
              <w:t>512</w:t>
            </w:r>
          </w:p>
        </w:tc>
        <w:tc>
          <w:tcPr>
            <w:tcW w:type="dxa" w:w="2608"/>
            <w:vAlign w:val="center"/>
          </w:tcPr>
          <w:p>
            <w:pPr>
              <w:ind w:firstLine="0"/>
              <w:jc w:val="center"/>
            </w:pPr>
            <w:r>
              <w:rPr>
                <w:rFonts w:ascii="Times New Roman" w:hAnsi="Times New Roman" w:eastAsia="宋体"/>
                <w:sz w:val="17"/>
              </w:rPr>
              <w:t>3986.84 / 4180.84</w:t>
            </w:r>
          </w:p>
        </w:tc>
        <w:tc>
          <w:tcPr>
            <w:tcW w:type="dxa" w:w="1701"/>
            <w:vAlign w:val="center"/>
          </w:tcPr>
          <w:p>
            <w:pPr>
              <w:ind w:firstLine="0"/>
              <w:jc w:val="center"/>
            </w:pPr>
            <w:r>
              <w:rPr>
                <w:rFonts w:ascii="Times New Roman" w:hAnsi="Times New Roman" w:eastAsia="宋体"/>
                <w:sz w:val="17"/>
              </w:rPr>
              <w:t>406.00</w:t>
            </w:r>
          </w:p>
        </w:tc>
        <w:tc>
          <w:tcPr>
            <w:tcW w:type="dxa" w:w="1984"/>
            <w:vAlign w:val="center"/>
          </w:tcPr>
          <w:p>
            <w:pPr>
              <w:ind w:firstLine="0"/>
              <w:jc w:val="center"/>
            </w:pPr>
            <w:r>
              <w:rPr>
                <w:rFonts w:ascii="Times New Roman" w:hAnsi="Times New Roman" w:eastAsia="宋体"/>
                <w:sz w:val="17"/>
              </w:rPr>
              <w:t>89.39% / 89.92%</w:t>
            </w:r>
          </w:p>
        </w:tc>
      </w:tr>
      <w:tr>
        <w:tc>
          <w:tcPr>
            <w:tcW w:type="dxa" w:w="1530"/>
            <w:vAlign w:val="center"/>
          </w:tcPr>
          <w:p>
            <w:pPr>
              <w:ind w:firstLine="0"/>
              <w:jc w:val="center"/>
            </w:pPr>
            <w:r>
              <w:rPr>
                <w:rFonts w:ascii="Times New Roman" w:hAnsi="Times New Roman" w:eastAsia="宋体"/>
                <w:sz w:val="17"/>
              </w:rPr>
              <w:t>2048</w:t>
            </w:r>
          </w:p>
        </w:tc>
        <w:tc>
          <w:tcPr>
            <w:tcW w:type="dxa" w:w="2608"/>
            <w:vAlign w:val="center"/>
          </w:tcPr>
          <w:p>
            <w:pPr>
              <w:ind w:firstLine="0"/>
              <w:jc w:val="left"/>
            </w:pPr>
            <w:r>
              <w:rPr>
                <w:rFonts w:ascii="Times New Roman" w:hAnsi="Times New Roman" w:eastAsia="宋体"/>
                <w:sz w:val="17"/>
              </w:rPr>
              <w:t>13204.84 / 13398.84</w:t>
            </w:r>
          </w:p>
        </w:tc>
        <w:tc>
          <w:tcPr>
            <w:tcW w:type="dxa" w:w="1701"/>
            <w:vAlign w:val="center"/>
          </w:tcPr>
          <w:p>
            <w:pPr>
              <w:ind w:firstLine="0"/>
              <w:jc w:val="center"/>
            </w:pPr>
            <w:r>
              <w:rPr>
                <w:rFonts w:ascii="Times New Roman" w:hAnsi="Times New Roman" w:eastAsia="宋体"/>
                <w:sz w:val="17"/>
              </w:rPr>
              <w:t>406.00</w:t>
            </w:r>
          </w:p>
        </w:tc>
        <w:tc>
          <w:tcPr>
            <w:tcW w:type="dxa" w:w="1984"/>
            <w:vAlign w:val="center"/>
          </w:tcPr>
          <w:p>
            <w:pPr>
              <w:ind w:firstLine="0"/>
              <w:jc w:val="center"/>
            </w:pPr>
            <w:r>
              <w:rPr>
                <w:rFonts w:ascii="Times New Roman" w:hAnsi="Times New Roman" w:eastAsia="宋体"/>
                <w:sz w:val="17"/>
              </w:rPr>
              <w:t>96.76% / 96.81%</w:t>
            </w:r>
          </w:p>
        </w:tc>
      </w:tr>
      <w:tr>
        <w:tc>
          <w:tcPr>
            <w:tcW w:type="dxa" w:w="1530"/>
            <w:vAlign w:val="center"/>
          </w:tcPr>
          <w:p>
            <w:pPr>
              <w:ind w:firstLine="0"/>
              <w:jc w:val="center"/>
            </w:pPr>
            <w:r>
              <w:rPr>
                <w:rFonts w:ascii="Times New Roman" w:hAnsi="Times New Roman" w:eastAsia="宋体"/>
                <w:sz w:val="17"/>
              </w:rPr>
              <w:t>8192</w:t>
            </w:r>
          </w:p>
        </w:tc>
        <w:tc>
          <w:tcPr>
            <w:tcW w:type="dxa" w:w="2608"/>
            <w:vAlign w:val="center"/>
          </w:tcPr>
          <w:p>
            <w:pPr>
              <w:ind w:firstLine="0"/>
              <w:jc w:val="left"/>
            </w:pPr>
            <w:r>
              <w:rPr>
                <w:rFonts w:ascii="Times New Roman" w:hAnsi="Times New Roman" w:eastAsia="宋体"/>
                <w:sz w:val="17"/>
              </w:rPr>
              <w:t>50068.84 / 50262.84</w:t>
            </w:r>
          </w:p>
        </w:tc>
        <w:tc>
          <w:tcPr>
            <w:tcW w:type="dxa" w:w="1701"/>
            <w:vAlign w:val="center"/>
          </w:tcPr>
          <w:p>
            <w:pPr>
              <w:ind w:firstLine="0"/>
              <w:jc w:val="center"/>
            </w:pPr>
            <w:r>
              <w:rPr>
                <w:rFonts w:ascii="Times New Roman" w:hAnsi="Times New Roman" w:eastAsia="宋体"/>
                <w:sz w:val="17"/>
              </w:rPr>
              <w:t>406.00</w:t>
            </w:r>
          </w:p>
        </w:tc>
        <w:tc>
          <w:tcPr>
            <w:tcW w:type="dxa" w:w="1984"/>
            <w:vAlign w:val="center"/>
          </w:tcPr>
          <w:p>
            <w:pPr>
              <w:ind w:firstLine="0"/>
              <w:jc w:val="center"/>
            </w:pPr>
            <w:r>
              <w:rPr>
                <w:rFonts w:ascii="Times New Roman" w:hAnsi="Times New Roman" w:eastAsia="宋体"/>
                <w:sz w:val="17"/>
              </w:rPr>
              <w:t>99.14%</w:t>
            </w:r>
          </w:p>
        </w:tc>
      </w:tr>
    </w:tbl>
    <w:p>
      <w:pPr>
        <w:ind w:firstLine="0"/>
      </w:pPr>
      <w:r>
        <w:rPr>
          <w:rFonts w:ascii="Times New Roman" w:hAnsi="Times New Roman" w:eastAsia="宋体"/>
        </w:rPr>
      </w:r>
    </w:p>
    <w:p>
      <w:r>
        <w:rPr>
          <w:rFonts w:ascii="Times New Roman" w:hAnsi="Times New Roman" w:eastAsia="宋体"/>
        </w:rPr>
        <w:t>Results：compact commit 在不同载荷规模下约为 406 字节，而 full payload bytes 随 payload size 增长显著上升。</w:t>
      </w:r>
    </w:p>
    <w:p>
      <w:r>
        <w:rPr>
          <w:rFonts w:ascii="Times New Roman" w:hAnsi="Times New Roman" w:eastAsia="宋体"/>
        </w:rPr>
        <w:t>Analysis：结果说明紧凑提交可作为稳定证据锚点，将链上提交规模从完整业务载荷中解耦。该结论服务于恢复机制：恢复后会话可以通过固定锚点重新定位 DA 证据。</w:t>
      </w:r>
    </w:p>
    <w:p>
      <w:r>
        <w:rPr>
          <w:rFonts w:ascii="Times New Roman" w:hAnsi="Times New Roman" w:eastAsia="宋体"/>
        </w:rPr>
        <w:t>Limitation：该结果基于 canonical JSON 与原型数据结构，不等同于真实 ABI 编码、calldata、storage layout 或真实 TEE 证明大小。</w:t>
      </w:r>
    </w:p>
    <w:p>
      <w:pPr>
        <w:ind w:firstLine="0"/>
        <w:jc w:val="center"/>
      </w:pPr>
      <w:r>
        <w:drawing>
          <wp:inline xmlns:a="http://schemas.openxmlformats.org/drawingml/2006/main" xmlns:pic="http://schemas.openxmlformats.org/drawingml/2006/picture">
            <wp:extent cx="4320000" cy="1818947"/>
            <wp:docPr id="4" name="Picture 4"/>
            <wp:cNvGraphicFramePr>
              <a:graphicFrameLocks noChangeAspect="1"/>
            </wp:cNvGraphicFramePr>
            <a:graphic>
              <a:graphicData uri="http://schemas.openxmlformats.org/drawingml/2006/picture">
                <pic:pic>
                  <pic:nvPicPr>
                    <pic:cNvPr id="0" name="cost_payload_full_vs_compact.png"/>
                    <pic:cNvPicPr/>
                  </pic:nvPicPr>
                  <pic:blipFill>
                    <a:blip r:embed="rId12"/>
                    <a:stretch>
                      <a:fillRect/>
                    </a:stretch>
                  </pic:blipFill>
                  <pic:spPr>
                    <a:xfrm>
                      <a:off x="0" y="0"/>
                      <a:ext cx="4320000" cy="1818947"/>
                    </a:xfrm>
                    <a:prstGeom prst="rect"/>
                  </pic:spPr>
                </pic:pic>
              </a:graphicData>
            </a:graphic>
          </wp:inline>
        </w:drawing>
      </w:r>
    </w:p>
    <w:p>
      <w:pPr>
        <w:ind w:firstLine="0"/>
        <w:jc w:val="center"/>
      </w:pPr>
      <w:r>
        <w:rPr>
          <w:rFonts w:ascii="Times New Roman" w:hAnsi="Times New Roman" w:eastAsia="宋体"/>
          <w:b w:val="0"/>
          <w:sz w:val="18"/>
        </w:rPr>
        <w:t>图 4  full payload 与 compact commit 的字节规模对比</w:t>
      </w:r>
    </w:p>
    <w:p>
      <w:pPr>
        <w:pStyle w:val="Heading2"/>
      </w:pPr>
      <w:r>
        <w:rPr>
          <w:rFonts w:ascii="Times New Roman" w:hAnsi="Times New Roman" w:eastAsia="黑体"/>
          <w:b/>
          <w:sz w:val="26"/>
        </w:rPr>
        <w:t>7.5 RQ4：DA 绑定带来怎样的成本趋势</w:t>
      </w:r>
    </w:p>
    <w:p>
      <w:r>
        <w:rPr>
          <w:rFonts w:ascii="Times New Roman" w:hAnsi="Times New Roman" w:eastAsia="宋体"/>
        </w:rPr>
        <w:t>Research Question：在配置化成本模型中，compact commit + DA 是否呈现相对 full-onchain 的摊销成本下降趋势。</w:t>
      </w:r>
    </w:p>
    <w:p>
      <w:r>
        <w:rPr>
          <w:rFonts w:ascii="Times New Roman" w:hAnsi="Times New Roman" w:eastAsia="宋体"/>
        </w:rPr>
        <w:t>Hypothesis：随着 batch size 增大，固定提交开销被摊薄；随着 payload size 增大，full-onchain 的相对成本上升，compact + DA 的趋势优势更明显。</w:t>
      </w:r>
    </w:p>
    <w:p>
      <w:r>
        <w:rPr>
          <w:rFonts w:ascii="Times New Roman" w:hAnsi="Times New Roman" w:eastAsia="宋体"/>
        </w:rPr>
        <w:t>Metrics：amortized_gas 与 reduction_ratio。</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rPr>
          <w:tblHeader w:val="true"/>
        </w:trPr>
        <w:tc>
          <w:tcPr>
            <w:tcW w:type="dxa" w:w="1020"/>
            <w:shd w:fill="D9EAF7"/>
            <w:vAlign w:val="center"/>
          </w:tcPr>
          <w:p>
            <w:pPr>
              <w:ind w:firstLine="0"/>
              <w:jc w:val="center"/>
            </w:pPr>
            <w:r>
              <w:rPr>
                <w:rFonts w:ascii="Times New Roman" w:hAnsi="Times New Roman" w:eastAsia="黑体"/>
                <w:b/>
                <w:sz w:val="18"/>
              </w:rPr>
              <w:t>Payload</w:t>
            </w:r>
          </w:p>
        </w:tc>
        <w:tc>
          <w:tcPr>
            <w:tcW w:type="dxa" w:w="1020"/>
            <w:shd w:fill="D9EAF7"/>
            <w:vAlign w:val="center"/>
          </w:tcPr>
          <w:p>
            <w:pPr>
              <w:ind w:firstLine="0"/>
              <w:jc w:val="center"/>
            </w:pPr>
            <w:r>
              <w:rPr>
                <w:rFonts w:ascii="Times New Roman" w:hAnsi="Times New Roman" w:eastAsia="黑体"/>
                <w:b/>
                <w:sz w:val="18"/>
              </w:rPr>
              <w:t>Prompt</w:t>
            </w:r>
          </w:p>
        </w:tc>
        <w:tc>
          <w:tcPr>
            <w:tcW w:type="dxa" w:w="2664"/>
            <w:shd w:fill="D9EAF7"/>
            <w:vAlign w:val="center"/>
          </w:tcPr>
          <w:p>
            <w:pPr>
              <w:ind w:firstLine="0"/>
              <w:jc w:val="center"/>
            </w:pPr>
            <w:r>
              <w:rPr>
                <w:rFonts w:ascii="Times New Roman" w:hAnsi="Times New Roman" w:eastAsia="黑体"/>
                <w:b/>
                <w:sz w:val="18"/>
              </w:rPr>
              <w:t>Full-onchain 单笔 gas</w:t>
            </w:r>
          </w:p>
        </w:tc>
        <w:tc>
          <w:tcPr>
            <w:tcW w:type="dxa" w:w="2664"/>
            <w:shd w:fill="D9EAF7"/>
            <w:vAlign w:val="center"/>
          </w:tcPr>
          <w:p>
            <w:pPr>
              <w:ind w:firstLine="0"/>
              <w:jc w:val="center"/>
            </w:pPr>
            <w:r>
              <w:rPr>
                <w:rFonts w:ascii="Times New Roman" w:hAnsi="Times New Roman" w:eastAsia="黑体"/>
                <w:b/>
                <w:sz w:val="18"/>
              </w:rPr>
              <w:t>Modular DA 单笔 gas</w:t>
            </w:r>
          </w:p>
        </w:tc>
        <w:tc>
          <w:tcPr>
            <w:tcW w:type="dxa" w:w="1304"/>
            <w:shd w:fill="D9EAF7"/>
            <w:vAlign w:val="center"/>
          </w:tcPr>
          <w:p>
            <w:pPr>
              <w:ind w:firstLine="0"/>
              <w:jc w:val="center"/>
            </w:pPr>
            <w:r>
              <w:rPr>
                <w:rFonts w:ascii="Times New Roman" w:hAnsi="Times New Roman" w:eastAsia="黑体"/>
                <w:b/>
                <w:sz w:val="18"/>
              </w:rPr>
              <w:t>最佳趋势降幅</w:t>
            </w:r>
          </w:p>
        </w:tc>
      </w:tr>
      <w:tr>
        <w:tc>
          <w:tcPr>
            <w:tcW w:type="dxa" w:w="1020"/>
            <w:vAlign w:val="center"/>
          </w:tcPr>
          <w:p>
            <w:pPr>
              <w:ind w:firstLine="0"/>
              <w:jc w:val="center"/>
            </w:pPr>
            <w:r>
              <w:rPr>
                <w:rFonts w:ascii="Times New Roman" w:hAnsi="Times New Roman" w:eastAsia="宋体"/>
                <w:sz w:val="17"/>
              </w:rPr>
              <w:t>8192</w:t>
            </w:r>
          </w:p>
        </w:tc>
        <w:tc>
          <w:tcPr>
            <w:tcW w:type="dxa" w:w="1020"/>
            <w:vAlign w:val="center"/>
          </w:tcPr>
          <w:p>
            <w:pPr>
              <w:ind w:firstLine="0"/>
              <w:jc w:val="center"/>
            </w:pPr>
            <w:r>
              <w:rPr>
                <w:rFonts w:ascii="Times New Roman" w:hAnsi="Times New Roman" w:eastAsia="宋体"/>
                <w:sz w:val="17"/>
              </w:rPr>
              <w:t>64</w:t>
            </w:r>
          </w:p>
        </w:tc>
        <w:tc>
          <w:tcPr>
            <w:tcW w:type="dxa" w:w="2664"/>
            <w:vAlign w:val="center"/>
          </w:tcPr>
          <w:p>
            <w:pPr>
              <w:ind w:firstLine="0"/>
              <w:jc w:val="left"/>
            </w:pPr>
            <w:r>
              <w:rPr>
                <w:rFonts w:ascii="Times New Roman" w:hAnsi="Times New Roman" w:eastAsia="宋体"/>
                <w:sz w:val="17"/>
              </w:rPr>
              <w:t>801101.44（batch=1）/ 801.10（batch=1000）</w:t>
            </w:r>
          </w:p>
        </w:tc>
        <w:tc>
          <w:tcPr>
            <w:tcW w:type="dxa" w:w="2664"/>
            <w:vAlign w:val="center"/>
          </w:tcPr>
          <w:p>
            <w:pPr>
              <w:ind w:firstLine="0"/>
              <w:jc w:val="left"/>
            </w:pPr>
            <w:r>
              <w:rPr>
                <w:rFonts w:ascii="Times New Roman" w:hAnsi="Times New Roman" w:eastAsia="宋体"/>
                <w:sz w:val="17"/>
              </w:rPr>
              <w:t>29026.98（batch=1）/ 29.03（batch=1000）</w:t>
            </w:r>
          </w:p>
        </w:tc>
        <w:tc>
          <w:tcPr>
            <w:tcW w:type="dxa" w:w="1304"/>
            <w:vAlign w:val="center"/>
          </w:tcPr>
          <w:p>
            <w:pPr>
              <w:ind w:firstLine="0"/>
              <w:jc w:val="center"/>
            </w:pPr>
            <w:r>
              <w:rPr>
                <w:rFonts w:ascii="Times New Roman" w:hAnsi="Times New Roman" w:eastAsia="宋体"/>
                <w:sz w:val="17"/>
              </w:rPr>
              <w:t>96.33%</w:t>
            </w:r>
          </w:p>
        </w:tc>
      </w:tr>
      <w:tr>
        <w:tc>
          <w:tcPr>
            <w:tcW w:type="dxa" w:w="1020"/>
            <w:vAlign w:val="center"/>
          </w:tcPr>
          <w:p>
            <w:pPr>
              <w:ind w:firstLine="0"/>
              <w:jc w:val="center"/>
            </w:pPr>
            <w:r>
              <w:rPr>
                <w:rFonts w:ascii="Times New Roman" w:hAnsi="Times New Roman" w:eastAsia="宋体"/>
                <w:sz w:val="17"/>
              </w:rPr>
              <w:t>8192</w:t>
            </w:r>
          </w:p>
        </w:tc>
        <w:tc>
          <w:tcPr>
            <w:tcW w:type="dxa" w:w="1020"/>
            <w:vAlign w:val="center"/>
          </w:tcPr>
          <w:p>
            <w:pPr>
              <w:ind w:firstLine="0"/>
              <w:jc w:val="center"/>
            </w:pPr>
            <w:r>
              <w:rPr>
                <w:rFonts w:ascii="Times New Roman" w:hAnsi="Times New Roman" w:eastAsia="宋体"/>
                <w:sz w:val="17"/>
              </w:rPr>
              <w:t>256</w:t>
            </w:r>
          </w:p>
        </w:tc>
        <w:tc>
          <w:tcPr>
            <w:tcW w:type="dxa" w:w="2664"/>
            <w:vAlign w:val="center"/>
          </w:tcPr>
          <w:p>
            <w:pPr>
              <w:ind w:firstLine="0"/>
              <w:jc w:val="left"/>
            </w:pPr>
            <w:r>
              <w:rPr>
                <w:rFonts w:ascii="Times New Roman" w:hAnsi="Times New Roman" w:eastAsia="宋体"/>
                <w:sz w:val="17"/>
              </w:rPr>
              <w:t>804205.44（batch=1）/ 804.21（batch=1000）</w:t>
            </w:r>
          </w:p>
        </w:tc>
        <w:tc>
          <w:tcPr>
            <w:tcW w:type="dxa" w:w="2664"/>
            <w:vAlign w:val="center"/>
          </w:tcPr>
          <w:p>
            <w:pPr>
              <w:ind w:firstLine="0"/>
              <w:jc w:val="left"/>
            </w:pPr>
            <w:r>
              <w:rPr>
                <w:rFonts w:ascii="Times New Roman" w:hAnsi="Times New Roman" w:eastAsia="宋体"/>
                <w:sz w:val="17"/>
              </w:rPr>
              <w:t>29114.28（batch=1）/ 29.11（batch=1000）</w:t>
            </w:r>
          </w:p>
        </w:tc>
        <w:tc>
          <w:tcPr>
            <w:tcW w:type="dxa" w:w="1304"/>
            <w:vAlign w:val="center"/>
          </w:tcPr>
          <w:p>
            <w:pPr>
              <w:ind w:firstLine="0"/>
              <w:jc w:val="center"/>
            </w:pPr>
            <w:r>
              <w:rPr>
                <w:rFonts w:ascii="Times New Roman" w:hAnsi="Times New Roman" w:eastAsia="宋体"/>
                <w:sz w:val="17"/>
              </w:rPr>
              <w:t>96.33%</w:t>
            </w:r>
          </w:p>
        </w:tc>
      </w:tr>
    </w:tbl>
    <w:p>
      <w:pPr>
        <w:ind w:firstLine="0"/>
      </w:pPr>
      <w:r>
        <w:rPr>
          <w:rFonts w:ascii="Times New Roman" w:hAnsi="Times New Roman" w:eastAsia="宋体"/>
        </w:rPr>
      </w:r>
    </w:p>
    <w:p>
      <w:r>
        <w:rPr>
          <w:rFonts w:ascii="Times New Roman" w:hAnsi="Times New Roman" w:eastAsia="宋体"/>
        </w:rPr>
        <w:t>Results：在 payload=8192 的配置下，compact_modular_da_sampling 相对 full_onchain_calldata 呈现约 96.33% 的趋势性降本。batch size 从 1 增至 1000 时，各路线的单笔摊销 gas 均下降。</w:t>
      </w:r>
    </w:p>
    <w:p>
      <w:r>
        <w:rPr>
          <w:rFonts w:ascii="Times New Roman" w:hAnsi="Times New Roman" w:eastAsia="宋体"/>
        </w:rPr>
        <w:t>Analysis：96.33% 反映给定 cost model 与 DA profile 下的结构性趋势，而非主网费用结论。它说明 DA 绑定和紧凑提交可以在高频场景中共同降低证据携带路径的摊销压力。</w:t>
      </w:r>
    </w:p>
    <w:p>
      <w:r>
        <w:rPr>
          <w:rFonts w:ascii="Times New Roman" w:hAnsi="Times New Roman" w:eastAsia="宋体"/>
        </w:rPr>
        <w:t>Limitation：模型未包含实时 calldata 定价、blob 市场价格、DA 网络服务费、拥堵和争议率波动；本地 EVM gasUsed 也不能等同于主网成本。</w:t>
      </w:r>
    </w:p>
    <w:p>
      <w:pPr>
        <w:ind w:firstLine="0"/>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da_profile_amortized_gas.png"/>
                    <pic:cNvPicPr/>
                  </pic:nvPicPr>
                  <pic:blipFill>
                    <a:blip r:embed="rId13"/>
                    <a:stretch>
                      <a:fillRect/>
                    </a:stretch>
                  </pic:blipFill>
                  <pic:spPr>
                    <a:xfrm>
                      <a:off x="0" y="0"/>
                      <a:ext cx="4320000" cy="2468571"/>
                    </a:xfrm>
                    <a:prstGeom prst="rect"/>
                  </pic:spPr>
                </pic:pic>
              </a:graphicData>
            </a:graphic>
          </wp:inline>
        </w:drawing>
      </w:r>
    </w:p>
    <w:p>
      <w:pPr>
        <w:ind w:firstLine="0"/>
        <w:jc w:val="center"/>
      </w:pPr>
      <w:r>
        <w:rPr>
          <w:rFonts w:ascii="Times New Roman" w:hAnsi="Times New Roman" w:eastAsia="宋体"/>
          <w:b w:val="0"/>
          <w:sz w:val="18"/>
        </w:rPr>
        <w:t>图 5  不同 DA profile 下的摊销 gas 趋势</w:t>
      </w:r>
    </w:p>
    <w:p>
      <w:pPr>
        <w:pStyle w:val="Heading2"/>
      </w:pPr>
      <w:r>
        <w:rPr>
          <w:rFonts w:ascii="Times New Roman" w:hAnsi="Times New Roman" w:eastAsia="黑体"/>
          <w:b/>
          <w:sz w:val="26"/>
        </w:rPr>
        <w:t>7.6 RQ5：故障语义如何影响仲裁完成</w:t>
      </w:r>
    </w:p>
    <w:p>
      <w:r>
        <w:rPr>
          <w:rFonts w:ascii="Times New Roman" w:hAnsi="Times New Roman" w:eastAsia="宋体"/>
        </w:rPr>
        <w:t>Research Question：不同故障是否都应被解释为同一种罚没结果。</w:t>
      </w:r>
    </w:p>
    <w:p>
      <w:r>
        <w:rPr>
          <w:rFonts w:ascii="Times New Roman" w:hAnsi="Times New Roman" w:eastAsia="宋体"/>
        </w:rPr>
        <w:t>Hypothesis：协议应区分检测、拒绝、恢复、重放、结算和罚没，不能把所有可检测异常都写成已完成惩罚。</w:t>
      </w:r>
    </w:p>
    <w:p>
      <w:r>
        <w:rPr>
          <w:rFonts w:ascii="Times New Roman" w:hAnsi="Times New Roman" w:eastAsia="宋体"/>
        </w:rPr>
        <w:t>Metrics：detection_rate、challenge_success_rate、slashed_rate。</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rPr>
          <w:tblHeader w:val="true"/>
        </w:trPr>
        <w:tc>
          <w:tcPr>
            <w:tcW w:type="dxa" w:w="1814"/>
            <w:shd w:fill="D9EAF7"/>
            <w:vAlign w:val="center"/>
          </w:tcPr>
          <w:p>
            <w:pPr>
              <w:ind w:firstLine="0"/>
              <w:jc w:val="center"/>
            </w:pPr>
            <w:r>
              <w:rPr>
                <w:rFonts w:ascii="Times New Roman" w:hAnsi="Times New Roman" w:eastAsia="黑体"/>
                <w:b/>
                <w:sz w:val="18"/>
              </w:rPr>
              <w:t>类别</w:t>
            </w:r>
          </w:p>
        </w:tc>
        <w:tc>
          <w:tcPr>
            <w:tcW w:type="dxa" w:w="2835"/>
            <w:shd w:fill="D9EAF7"/>
            <w:vAlign w:val="center"/>
          </w:tcPr>
          <w:p>
            <w:pPr>
              <w:ind w:firstLine="0"/>
              <w:jc w:val="center"/>
            </w:pPr>
            <w:r>
              <w:rPr>
                <w:rFonts w:ascii="Times New Roman" w:hAnsi="Times New Roman" w:eastAsia="黑体"/>
                <w:b/>
                <w:sz w:val="18"/>
              </w:rPr>
              <w:t>场景</w:t>
            </w:r>
          </w:p>
        </w:tc>
        <w:tc>
          <w:tcPr>
            <w:tcW w:type="dxa" w:w="1247"/>
            <w:shd w:fill="D9EAF7"/>
            <w:vAlign w:val="center"/>
          </w:tcPr>
          <w:p>
            <w:pPr>
              <w:ind w:firstLine="0"/>
              <w:jc w:val="center"/>
            </w:pPr>
            <w:r>
              <w:rPr>
                <w:rFonts w:ascii="Times New Roman" w:hAnsi="Times New Roman" w:eastAsia="黑体"/>
                <w:b/>
                <w:sz w:val="18"/>
              </w:rPr>
              <w:t>检测率</w:t>
            </w:r>
          </w:p>
        </w:tc>
        <w:tc>
          <w:tcPr>
            <w:tcW w:type="dxa" w:w="1701"/>
            <w:shd w:fill="D9EAF7"/>
            <w:vAlign w:val="center"/>
          </w:tcPr>
          <w:p>
            <w:pPr>
              <w:ind w:firstLine="0"/>
              <w:jc w:val="center"/>
            </w:pPr>
            <w:r>
              <w:rPr>
                <w:rFonts w:ascii="Times New Roman" w:hAnsi="Times New Roman" w:eastAsia="黑体"/>
                <w:b/>
                <w:sz w:val="18"/>
              </w:rPr>
              <w:t>挑战成功/罚没</w:t>
            </w:r>
          </w:p>
        </w:tc>
        <w:tc>
          <w:tcPr>
            <w:tcW w:type="dxa" w:w="2268"/>
            <w:shd w:fill="D9EAF7"/>
            <w:vAlign w:val="center"/>
          </w:tcPr>
          <w:p>
            <w:pPr>
              <w:ind w:firstLine="0"/>
              <w:jc w:val="center"/>
            </w:pPr>
            <w:r>
              <w:rPr>
                <w:rFonts w:ascii="Times New Roman" w:hAnsi="Times New Roman" w:eastAsia="黑体"/>
                <w:b/>
                <w:sz w:val="18"/>
              </w:rPr>
              <w:t>解释</w:t>
            </w:r>
          </w:p>
        </w:tc>
      </w:tr>
      <w:tr>
        <w:tc>
          <w:tcPr>
            <w:tcW w:type="dxa" w:w="1814"/>
            <w:vAlign w:val="center"/>
          </w:tcPr>
          <w:p>
            <w:pPr>
              <w:ind w:firstLine="0"/>
              <w:jc w:val="center"/>
            </w:pPr>
            <w:r>
              <w:rPr>
                <w:rFonts w:ascii="Times New Roman" w:hAnsi="Times New Roman" w:eastAsia="宋体"/>
                <w:sz w:val="17"/>
              </w:rPr>
              <w:t>正常路径</w:t>
            </w:r>
          </w:p>
        </w:tc>
        <w:tc>
          <w:tcPr>
            <w:tcW w:type="dxa" w:w="2835"/>
            <w:vAlign w:val="center"/>
          </w:tcPr>
          <w:p>
            <w:pPr>
              <w:ind w:firstLine="0"/>
              <w:jc w:val="center"/>
            </w:pPr>
            <w:r>
              <w:rPr>
                <w:rFonts w:ascii="Times New Roman" w:hAnsi="Times New Roman" w:eastAsia="宋体"/>
                <w:sz w:val="17"/>
              </w:rPr>
              <w:t>normal</w:t>
            </w:r>
          </w:p>
        </w:tc>
        <w:tc>
          <w:tcPr>
            <w:tcW w:type="dxa" w:w="1247"/>
            <w:vAlign w:val="center"/>
          </w:tcPr>
          <w:p>
            <w:pPr>
              <w:ind w:firstLine="0"/>
              <w:jc w:val="center"/>
            </w:pPr>
            <w:r>
              <w:rPr>
                <w:rFonts w:ascii="Times New Roman" w:hAnsi="Times New Roman" w:eastAsia="宋体"/>
                <w:sz w:val="17"/>
              </w:rPr>
              <w:t>0.00%</w:t>
            </w:r>
          </w:p>
        </w:tc>
        <w:tc>
          <w:tcPr>
            <w:tcW w:type="dxa" w:w="1701"/>
            <w:vAlign w:val="center"/>
          </w:tcPr>
          <w:p>
            <w:pPr>
              <w:ind w:firstLine="0"/>
              <w:jc w:val="center"/>
            </w:pPr>
            <w:r>
              <w:rPr>
                <w:rFonts w:ascii="Times New Roman" w:hAnsi="Times New Roman" w:eastAsia="宋体"/>
                <w:sz w:val="17"/>
              </w:rPr>
              <w:t>0.00% / 0.00%</w:t>
            </w:r>
          </w:p>
        </w:tc>
        <w:tc>
          <w:tcPr>
            <w:tcW w:type="dxa" w:w="2268"/>
            <w:vAlign w:val="center"/>
          </w:tcPr>
          <w:p>
            <w:pPr>
              <w:ind w:firstLine="0"/>
              <w:jc w:val="center"/>
            </w:pPr>
            <w:r>
              <w:rPr>
                <w:rFonts w:ascii="Times New Roman" w:hAnsi="Times New Roman" w:eastAsia="宋体"/>
                <w:sz w:val="17"/>
              </w:rPr>
              <w:t>未产生误报</w:t>
            </w:r>
          </w:p>
        </w:tc>
      </w:tr>
      <w:tr>
        <w:tc>
          <w:tcPr>
            <w:tcW w:type="dxa" w:w="1814"/>
            <w:vAlign w:val="center"/>
          </w:tcPr>
          <w:p>
            <w:pPr>
              <w:ind w:firstLine="0"/>
              <w:jc w:val="center"/>
            </w:pPr>
            <w:r>
              <w:rPr>
                <w:rFonts w:ascii="Times New Roman" w:hAnsi="Times New Roman" w:eastAsia="宋体"/>
                <w:sz w:val="17"/>
              </w:rPr>
              <w:t>可检测但未统一罚没</w:t>
            </w:r>
          </w:p>
        </w:tc>
        <w:tc>
          <w:tcPr>
            <w:tcW w:type="dxa" w:w="2835"/>
            <w:vAlign w:val="center"/>
          </w:tcPr>
          <w:p>
            <w:pPr>
              <w:ind w:firstLine="0"/>
              <w:jc w:val="left"/>
            </w:pPr>
            <w:r>
              <w:rPr>
                <w:rFonts w:ascii="Times New Roman" w:hAnsi="Times New Roman" w:eastAsia="宋体"/>
                <w:sz w:val="17"/>
              </w:rPr>
              <w:t>attestation_invalid, da_unavailable, da_proof_invalid</w:t>
            </w:r>
          </w:p>
        </w:tc>
        <w:tc>
          <w:tcPr>
            <w:tcW w:type="dxa" w:w="1247"/>
            <w:vAlign w:val="center"/>
          </w:tcPr>
          <w:p>
            <w:pPr>
              <w:ind w:firstLine="0"/>
              <w:jc w:val="center"/>
            </w:pPr>
            <w:r>
              <w:rPr>
                <w:rFonts w:ascii="Times New Roman" w:hAnsi="Times New Roman" w:eastAsia="宋体"/>
                <w:sz w:val="17"/>
              </w:rPr>
              <w:t>100.00%</w:t>
            </w:r>
          </w:p>
        </w:tc>
        <w:tc>
          <w:tcPr>
            <w:tcW w:type="dxa" w:w="1701"/>
            <w:vAlign w:val="center"/>
          </w:tcPr>
          <w:p>
            <w:pPr>
              <w:ind w:firstLine="0"/>
              <w:jc w:val="center"/>
            </w:pPr>
            <w:r>
              <w:rPr>
                <w:rFonts w:ascii="Times New Roman" w:hAnsi="Times New Roman" w:eastAsia="宋体"/>
                <w:sz w:val="17"/>
              </w:rPr>
              <w:t>0.00% / 0.00%</w:t>
            </w:r>
          </w:p>
        </w:tc>
        <w:tc>
          <w:tcPr>
            <w:tcW w:type="dxa" w:w="2268"/>
            <w:vAlign w:val="center"/>
          </w:tcPr>
          <w:p>
            <w:pPr>
              <w:ind w:firstLine="0"/>
              <w:jc w:val="center"/>
            </w:pPr>
            <w:r>
              <w:rPr>
                <w:rFonts w:ascii="Times New Roman" w:hAnsi="Times New Roman" w:eastAsia="宋体"/>
                <w:sz w:val="17"/>
              </w:rPr>
              <w:t>当前原型主要体现检测或拒绝</w:t>
            </w:r>
          </w:p>
        </w:tc>
      </w:tr>
      <w:tr>
        <w:tc>
          <w:tcPr>
            <w:tcW w:type="dxa" w:w="1814"/>
            <w:vAlign w:val="center"/>
          </w:tcPr>
          <w:p>
            <w:pPr>
              <w:ind w:firstLine="0"/>
              <w:jc w:val="center"/>
            </w:pPr>
            <w:r>
              <w:rPr>
                <w:rFonts w:ascii="Times New Roman" w:hAnsi="Times New Roman" w:eastAsia="宋体"/>
                <w:sz w:val="17"/>
              </w:rPr>
              <w:t>挑战与罚没闭环</w:t>
            </w:r>
          </w:p>
        </w:tc>
        <w:tc>
          <w:tcPr>
            <w:tcW w:type="dxa" w:w="2835"/>
            <w:vAlign w:val="center"/>
          </w:tcPr>
          <w:p>
            <w:pPr>
              <w:ind w:firstLine="0"/>
              <w:jc w:val="left"/>
            </w:pPr>
            <w:r>
              <w:rPr>
                <w:rFonts w:ascii="Times New Roman" w:hAnsi="Times New Roman" w:eastAsia="宋体"/>
                <w:sz w:val="17"/>
              </w:rPr>
              <w:t>response_tampered, trace_length_mismatch</w:t>
            </w:r>
          </w:p>
        </w:tc>
        <w:tc>
          <w:tcPr>
            <w:tcW w:type="dxa" w:w="1247"/>
            <w:vAlign w:val="center"/>
          </w:tcPr>
          <w:p>
            <w:pPr>
              <w:ind w:firstLine="0"/>
              <w:jc w:val="center"/>
            </w:pPr>
            <w:r>
              <w:rPr>
                <w:rFonts w:ascii="Times New Roman" w:hAnsi="Times New Roman" w:eastAsia="宋体"/>
                <w:sz w:val="17"/>
              </w:rPr>
              <w:t>100.00%</w:t>
            </w:r>
          </w:p>
        </w:tc>
        <w:tc>
          <w:tcPr>
            <w:tcW w:type="dxa" w:w="1701"/>
            <w:vAlign w:val="center"/>
          </w:tcPr>
          <w:p>
            <w:pPr>
              <w:ind w:firstLine="0"/>
              <w:jc w:val="center"/>
            </w:pPr>
            <w:r>
              <w:rPr>
                <w:rFonts w:ascii="Times New Roman" w:hAnsi="Times New Roman" w:eastAsia="宋体"/>
                <w:sz w:val="17"/>
              </w:rPr>
              <w:t>100.00% / 100.00%</w:t>
            </w:r>
          </w:p>
        </w:tc>
        <w:tc>
          <w:tcPr>
            <w:tcW w:type="dxa" w:w="2268"/>
            <w:vAlign w:val="center"/>
          </w:tcPr>
          <w:p>
            <w:pPr>
              <w:ind w:firstLine="0"/>
              <w:jc w:val="center"/>
            </w:pPr>
            <w:r>
              <w:rPr>
                <w:rFonts w:ascii="Times New Roman" w:hAnsi="Times New Roman" w:eastAsia="宋体"/>
                <w:sz w:val="17"/>
              </w:rPr>
              <w:t>典型执行异常可完成仲裁</w:t>
            </w:r>
          </w:p>
        </w:tc>
      </w:tr>
      <w:tr>
        <w:tc>
          <w:tcPr>
            <w:tcW w:type="dxa" w:w="1814"/>
            <w:vAlign w:val="center"/>
          </w:tcPr>
          <w:p>
            <w:pPr>
              <w:ind w:firstLine="0"/>
              <w:jc w:val="center"/>
            </w:pPr>
            <w:r>
              <w:rPr>
                <w:rFonts w:ascii="Times New Roman" w:hAnsi="Times New Roman" w:eastAsia="宋体"/>
                <w:sz w:val="17"/>
              </w:rPr>
              <w:t>超时活性对照</w:t>
            </w:r>
          </w:p>
        </w:tc>
        <w:tc>
          <w:tcPr>
            <w:tcW w:type="dxa" w:w="2835"/>
            <w:vAlign w:val="center"/>
          </w:tcPr>
          <w:p>
            <w:pPr>
              <w:ind w:firstLine="0"/>
              <w:jc w:val="left"/>
            </w:pPr>
            <w:r>
              <w:rPr>
                <w:rFonts w:ascii="Times New Roman" w:hAnsi="Times New Roman" w:eastAsia="宋体"/>
                <w:sz w:val="17"/>
              </w:rPr>
              <w:t>no_recover vs recover</w:t>
            </w:r>
          </w:p>
        </w:tc>
        <w:tc>
          <w:tcPr>
            <w:tcW w:type="dxa" w:w="1247"/>
            <w:vAlign w:val="center"/>
          </w:tcPr>
          <w:p>
            <w:pPr>
              <w:ind w:firstLine="0"/>
              <w:jc w:val="center"/>
            </w:pPr>
            <w:r>
              <w:rPr>
                <w:rFonts w:ascii="Times New Roman" w:hAnsi="Times New Roman" w:eastAsia="宋体"/>
                <w:sz w:val="17"/>
              </w:rPr>
              <w:t>100.00%</w:t>
            </w:r>
          </w:p>
        </w:tc>
        <w:tc>
          <w:tcPr>
            <w:tcW w:type="dxa" w:w="1701"/>
            <w:vAlign w:val="center"/>
          </w:tcPr>
          <w:p>
            <w:pPr>
              <w:ind w:firstLine="0"/>
              <w:jc w:val="center"/>
            </w:pPr>
            <w:r>
              <w:rPr>
                <w:rFonts w:ascii="Times New Roman" w:hAnsi="Times New Roman" w:eastAsia="宋体"/>
                <w:sz w:val="17"/>
              </w:rPr>
              <w:t>0.00% 到 100.00%</w:t>
            </w:r>
          </w:p>
        </w:tc>
        <w:tc>
          <w:tcPr>
            <w:tcW w:type="dxa" w:w="2268"/>
            <w:vAlign w:val="center"/>
          </w:tcPr>
          <w:p>
            <w:pPr>
              <w:ind w:firstLine="0"/>
              <w:jc w:val="center"/>
            </w:pPr>
            <w:r>
              <w:rPr>
                <w:rFonts w:ascii="Times New Roman" w:hAnsi="Times New Roman" w:eastAsia="宋体"/>
                <w:sz w:val="17"/>
              </w:rPr>
              <w:t>恢复决定仲裁是否完成</w:t>
            </w:r>
          </w:p>
        </w:tc>
      </w:tr>
    </w:tbl>
    <w:p>
      <w:pPr>
        <w:ind w:firstLine="0"/>
      </w:pPr>
      <w:r>
        <w:rPr>
          <w:rFonts w:ascii="Times New Roman" w:hAnsi="Times New Roman" w:eastAsia="宋体"/>
        </w:rPr>
      </w:r>
    </w:p>
    <w:p>
      <w:r>
        <w:rPr>
          <w:rFonts w:ascii="Times New Roman" w:hAnsi="Times New Roman" w:eastAsia="宋体"/>
        </w:rPr>
        <w:t>Results：response_tampered 与 trace_length_mismatch 能进入 challenge + slashing 路径；attestation_invalid、da_unavailable 和 da_proof_invalid 在当前原型中可检测，但尚未统一进入罚没策略。</w:t>
      </w:r>
    </w:p>
    <w:p>
      <w:r>
        <w:rPr>
          <w:rFonts w:ascii="Times New Roman" w:hAnsi="Times New Roman" w:eastAsia="宋体"/>
        </w:rPr>
        <w:t>Analysis：该结果强化了“检测到异常不等于完成仲裁”的主张。协议需要为不同故障定义不同结算语义，否则会把可检测性、可恢复性和可罚没性混为一谈。</w:t>
      </w:r>
    </w:p>
    <w:p>
      <w:r>
        <w:rPr>
          <w:rFonts w:ascii="Times New Roman" w:hAnsi="Times New Roman" w:eastAsia="宋体"/>
        </w:rPr>
        <w:t>Limitation：fault taxonomy 尚未形成生产级统一惩罚策略，未来需要区分直接拒绝、经济罚没、恢复后仲裁和人工治理介入的边界。</w:t>
      </w:r>
    </w:p>
    <w:p>
      <w:pPr>
        <w:ind w:firstLine="0"/>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ailure_detection.png"/>
                    <pic:cNvPicPr/>
                  </pic:nvPicPr>
                  <pic:blipFill>
                    <a:blip r:embed="rId14"/>
                    <a:stretch>
                      <a:fillRect/>
                    </a:stretch>
                  </pic:blipFill>
                  <pic:spPr>
                    <a:xfrm>
                      <a:off x="0" y="0"/>
                      <a:ext cx="4320000" cy="2160000"/>
                    </a:xfrm>
                    <a:prstGeom prst="rect"/>
                  </pic:spPr>
                </pic:pic>
              </a:graphicData>
            </a:graphic>
          </wp:inline>
        </w:drawing>
      </w:r>
    </w:p>
    <w:p>
      <w:pPr>
        <w:ind w:firstLine="0"/>
        <w:jc w:val="center"/>
      </w:pPr>
      <w:r>
        <w:rPr>
          <w:rFonts w:ascii="Times New Roman" w:hAnsi="Times New Roman" w:eastAsia="宋体"/>
          <w:b w:val="0"/>
          <w:sz w:val="18"/>
        </w:rPr>
        <w:t>图 6  失败场景检测与仲裁结果</w:t>
      </w:r>
    </w:p>
    <w:p>
      <w:pPr>
        <w:pStyle w:val="Heading2"/>
      </w:pPr>
      <w:r>
        <w:rPr>
          <w:rFonts w:ascii="Times New Roman" w:hAnsi="Times New Roman" w:eastAsia="黑体"/>
          <w:b/>
          <w:sz w:val="26"/>
        </w:rPr>
        <w:t>7.7 RQ6：Solidity、本地 EVM 与 Sepolia 证据说明什么</w:t>
      </w:r>
    </w:p>
    <w:p>
      <w:r>
        <w:rPr>
          <w:rFonts w:ascii="Times New Roman" w:hAnsi="Times New Roman" w:eastAsia="宋体"/>
        </w:rPr>
        <w:t>Research Question：原型协议是否具有链上状态推进对应物。</w:t>
      </w:r>
    </w:p>
    <w:p>
      <w:r>
        <w:rPr>
          <w:rFonts w:ascii="Times New Roman" w:hAnsi="Times New Roman" w:eastAsia="宋体"/>
        </w:rPr>
        <w:t>Hypothesis：若 submit、challenge、recover、replay 和 resolve 均可映射为 Solidity 操作，则该机制至少具备本地链上可实现性。</w:t>
      </w:r>
    </w:p>
    <w:p>
      <w:r>
        <w:rPr>
          <w:rFonts w:ascii="Times New Roman" w:hAnsi="Times New Roman" w:eastAsia="宋体"/>
        </w:rPr>
        <w:t>Metrics：Hardhat 本地 EVM gasUsed、Sepolia chain id、部署区块和合约地址。</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2268"/>
            <w:shd w:fill="D9EAF7"/>
            <w:vAlign w:val="center"/>
          </w:tcPr>
          <w:p>
            <w:pPr>
              <w:ind w:firstLine="0"/>
              <w:jc w:val="center"/>
            </w:pPr>
            <w:r>
              <w:rPr>
                <w:rFonts w:ascii="Times New Roman" w:hAnsi="Times New Roman" w:eastAsia="黑体"/>
                <w:b/>
                <w:sz w:val="18"/>
              </w:rPr>
              <w:t>操作</w:t>
            </w:r>
          </w:p>
        </w:tc>
        <w:tc>
          <w:tcPr>
            <w:tcW w:type="dxa" w:w="1701"/>
            <w:shd w:fill="D9EAF7"/>
            <w:vAlign w:val="center"/>
          </w:tcPr>
          <w:p>
            <w:pPr>
              <w:ind w:firstLine="0"/>
              <w:jc w:val="center"/>
            </w:pPr>
            <w:r>
              <w:rPr>
                <w:rFonts w:ascii="Times New Roman" w:hAnsi="Times New Roman" w:eastAsia="黑体"/>
                <w:b/>
                <w:sz w:val="18"/>
              </w:rPr>
              <w:t>平均 gasUsed</w:t>
            </w:r>
          </w:p>
        </w:tc>
        <w:tc>
          <w:tcPr>
            <w:tcW w:type="dxa" w:w="3969"/>
            <w:shd w:fill="D9EAF7"/>
            <w:vAlign w:val="center"/>
          </w:tcPr>
          <w:p>
            <w:pPr>
              <w:ind w:firstLine="0"/>
              <w:jc w:val="center"/>
            </w:pPr>
            <w:r>
              <w:rPr>
                <w:rFonts w:ascii="Times New Roman" w:hAnsi="Times New Roman" w:eastAsia="黑体"/>
                <w:b/>
                <w:sz w:val="18"/>
              </w:rPr>
              <w:t>解释</w:t>
            </w:r>
          </w:p>
        </w:tc>
      </w:tr>
      <w:tr>
        <w:tc>
          <w:tcPr>
            <w:tcW w:type="dxa" w:w="2268"/>
            <w:vAlign w:val="center"/>
          </w:tcPr>
          <w:p>
            <w:pPr>
              <w:ind w:firstLine="0"/>
              <w:jc w:val="center"/>
            </w:pPr>
            <w:r>
              <w:rPr>
                <w:rFonts w:ascii="Times New Roman" w:hAnsi="Times New Roman" w:eastAsia="宋体"/>
                <w:sz w:val="17"/>
              </w:rPr>
              <w:t>register DA</w:t>
            </w:r>
          </w:p>
        </w:tc>
        <w:tc>
          <w:tcPr>
            <w:tcW w:type="dxa" w:w="1701"/>
            <w:vAlign w:val="center"/>
          </w:tcPr>
          <w:p>
            <w:pPr>
              <w:ind w:firstLine="0"/>
              <w:jc w:val="center"/>
            </w:pPr>
            <w:r>
              <w:rPr>
                <w:rFonts w:ascii="Times New Roman" w:hAnsi="Times New Roman" w:eastAsia="宋体"/>
                <w:sz w:val="17"/>
              </w:rPr>
              <w:t>113526.00</w:t>
            </w:r>
          </w:p>
        </w:tc>
        <w:tc>
          <w:tcPr>
            <w:tcW w:type="dxa" w:w="3969"/>
            <w:vAlign w:val="center"/>
          </w:tcPr>
          <w:p>
            <w:pPr>
              <w:ind w:firstLine="0"/>
              <w:jc w:val="left"/>
            </w:pPr>
            <w:r>
              <w:rPr>
                <w:rFonts w:ascii="Times New Roman" w:hAnsi="Times New Roman" w:eastAsia="宋体"/>
                <w:sz w:val="17"/>
              </w:rPr>
              <w:t>记录 payload hash 与 DA root</w:t>
            </w:r>
          </w:p>
        </w:tc>
      </w:tr>
      <w:tr>
        <w:tc>
          <w:tcPr>
            <w:tcW w:type="dxa" w:w="2268"/>
            <w:vAlign w:val="center"/>
          </w:tcPr>
          <w:p>
            <w:pPr>
              <w:ind w:firstLine="0"/>
              <w:jc w:val="center"/>
            </w:pPr>
            <w:r>
              <w:rPr>
                <w:rFonts w:ascii="Times New Roman" w:hAnsi="Times New Roman" w:eastAsia="宋体"/>
                <w:sz w:val="17"/>
              </w:rPr>
              <w:t>submit rollup</w:t>
            </w:r>
          </w:p>
        </w:tc>
        <w:tc>
          <w:tcPr>
            <w:tcW w:type="dxa" w:w="1701"/>
            <w:vAlign w:val="center"/>
          </w:tcPr>
          <w:p>
            <w:pPr>
              <w:ind w:firstLine="0"/>
              <w:jc w:val="center"/>
            </w:pPr>
            <w:r>
              <w:rPr>
                <w:rFonts w:ascii="Times New Roman" w:hAnsi="Times New Roman" w:eastAsia="宋体"/>
                <w:sz w:val="17"/>
              </w:rPr>
              <w:t>299033.67</w:t>
            </w:r>
          </w:p>
        </w:tc>
        <w:tc>
          <w:tcPr>
            <w:tcW w:type="dxa" w:w="3969"/>
            <w:vAlign w:val="center"/>
          </w:tcPr>
          <w:p>
            <w:pPr>
              <w:ind w:firstLine="0"/>
              <w:jc w:val="center"/>
            </w:pPr>
            <w:r>
              <w:rPr>
                <w:rFonts w:ascii="Times New Roman" w:hAnsi="Times New Roman" w:eastAsia="宋体"/>
                <w:sz w:val="17"/>
              </w:rPr>
              <w:t>提交 compact commit</w:t>
            </w:r>
          </w:p>
        </w:tc>
      </w:tr>
      <w:tr>
        <w:tc>
          <w:tcPr>
            <w:tcW w:type="dxa" w:w="2268"/>
            <w:vAlign w:val="center"/>
          </w:tcPr>
          <w:p>
            <w:pPr>
              <w:ind w:firstLine="0"/>
              <w:jc w:val="center"/>
            </w:pPr>
            <w:r>
              <w:rPr>
                <w:rFonts w:ascii="Times New Roman" w:hAnsi="Times New Roman" w:eastAsia="宋体"/>
                <w:sz w:val="17"/>
              </w:rPr>
              <w:t>challenge open</w:t>
            </w:r>
          </w:p>
        </w:tc>
        <w:tc>
          <w:tcPr>
            <w:tcW w:type="dxa" w:w="1701"/>
            <w:vAlign w:val="center"/>
          </w:tcPr>
          <w:p>
            <w:pPr>
              <w:ind w:firstLine="0"/>
              <w:jc w:val="center"/>
            </w:pPr>
            <w:r>
              <w:rPr>
                <w:rFonts w:ascii="Times New Roman" w:hAnsi="Times New Roman" w:eastAsia="宋体"/>
                <w:sz w:val="17"/>
              </w:rPr>
              <w:t>283769.00</w:t>
            </w:r>
          </w:p>
        </w:tc>
        <w:tc>
          <w:tcPr>
            <w:tcW w:type="dxa" w:w="3969"/>
            <w:vAlign w:val="center"/>
          </w:tcPr>
          <w:p>
            <w:pPr>
              <w:ind w:firstLine="0"/>
              <w:jc w:val="center"/>
            </w:pPr>
            <w:r>
              <w:rPr>
                <w:rFonts w:ascii="Times New Roman" w:hAnsi="Times New Roman" w:eastAsia="宋体"/>
                <w:sz w:val="17"/>
              </w:rPr>
              <w:t>打开争议并加载证据</w:t>
            </w:r>
          </w:p>
        </w:tc>
      </w:tr>
      <w:tr>
        <w:tc>
          <w:tcPr>
            <w:tcW w:type="dxa" w:w="2268"/>
            <w:vAlign w:val="center"/>
          </w:tcPr>
          <w:p>
            <w:pPr>
              <w:ind w:firstLine="0"/>
              <w:jc w:val="center"/>
            </w:pPr>
            <w:r>
              <w:rPr>
                <w:rFonts w:ascii="Times New Roman" w:hAnsi="Times New Roman" w:eastAsia="宋体"/>
                <w:sz w:val="17"/>
              </w:rPr>
              <w:t>challenge respond</w:t>
            </w:r>
          </w:p>
        </w:tc>
        <w:tc>
          <w:tcPr>
            <w:tcW w:type="dxa" w:w="1701"/>
            <w:vAlign w:val="center"/>
          </w:tcPr>
          <w:p>
            <w:pPr>
              <w:ind w:firstLine="0"/>
              <w:jc w:val="center"/>
            </w:pPr>
            <w:r>
              <w:rPr>
                <w:rFonts w:ascii="Times New Roman" w:hAnsi="Times New Roman" w:eastAsia="宋体"/>
                <w:sz w:val="17"/>
              </w:rPr>
              <w:t>65886.00</w:t>
            </w:r>
          </w:p>
        </w:tc>
        <w:tc>
          <w:tcPr>
            <w:tcW w:type="dxa" w:w="3969"/>
            <w:vAlign w:val="center"/>
          </w:tcPr>
          <w:p>
            <w:pPr>
              <w:ind w:firstLine="0"/>
              <w:jc w:val="center"/>
            </w:pPr>
            <w:r>
              <w:rPr>
                <w:rFonts w:ascii="Times New Roman" w:hAnsi="Times New Roman" w:eastAsia="宋体"/>
                <w:sz w:val="17"/>
              </w:rPr>
              <w:t>被挑战方响应</w:t>
            </w:r>
          </w:p>
        </w:tc>
      </w:tr>
      <w:tr>
        <w:tc>
          <w:tcPr>
            <w:tcW w:type="dxa" w:w="2268"/>
            <w:vAlign w:val="center"/>
          </w:tcPr>
          <w:p>
            <w:pPr>
              <w:ind w:firstLine="0"/>
              <w:jc w:val="center"/>
            </w:pPr>
            <w:r>
              <w:rPr>
                <w:rFonts w:ascii="Times New Roman" w:hAnsi="Times New Roman" w:eastAsia="宋体"/>
                <w:sz w:val="17"/>
              </w:rPr>
              <w:t>challenge step</w:t>
            </w:r>
          </w:p>
        </w:tc>
        <w:tc>
          <w:tcPr>
            <w:tcW w:type="dxa" w:w="1701"/>
            <w:vAlign w:val="center"/>
          </w:tcPr>
          <w:p>
            <w:pPr>
              <w:ind w:firstLine="0"/>
              <w:jc w:val="center"/>
            </w:pPr>
            <w:r>
              <w:rPr>
                <w:rFonts w:ascii="Times New Roman" w:hAnsi="Times New Roman" w:eastAsia="宋体"/>
                <w:sz w:val="17"/>
              </w:rPr>
              <w:t>93807.00</w:t>
            </w:r>
          </w:p>
        </w:tc>
        <w:tc>
          <w:tcPr>
            <w:tcW w:type="dxa" w:w="3969"/>
            <w:vAlign w:val="center"/>
          </w:tcPr>
          <w:p>
            <w:pPr>
              <w:ind w:firstLine="0"/>
              <w:jc w:val="center"/>
            </w:pPr>
            <w:r>
              <w:rPr>
                <w:rFonts w:ascii="Times New Roman" w:hAnsi="Times New Roman" w:eastAsia="宋体"/>
                <w:sz w:val="17"/>
              </w:rPr>
              <w:t>执行二分定位步骤</w:t>
            </w:r>
          </w:p>
        </w:tc>
      </w:tr>
      <w:tr>
        <w:tc>
          <w:tcPr>
            <w:tcW w:type="dxa" w:w="2268"/>
            <w:vAlign w:val="center"/>
          </w:tcPr>
          <w:p>
            <w:pPr>
              <w:ind w:firstLine="0"/>
              <w:jc w:val="center"/>
            </w:pPr>
            <w:r>
              <w:rPr>
                <w:rFonts w:ascii="Times New Roman" w:hAnsi="Times New Roman" w:eastAsia="宋体"/>
                <w:sz w:val="17"/>
              </w:rPr>
              <w:t>challenge recover</w:t>
            </w:r>
          </w:p>
        </w:tc>
        <w:tc>
          <w:tcPr>
            <w:tcW w:type="dxa" w:w="1701"/>
            <w:vAlign w:val="center"/>
          </w:tcPr>
          <w:p>
            <w:pPr>
              <w:ind w:firstLine="0"/>
              <w:jc w:val="center"/>
            </w:pPr>
            <w:r>
              <w:rPr>
                <w:rFonts w:ascii="Times New Roman" w:hAnsi="Times New Roman" w:eastAsia="宋体"/>
                <w:sz w:val="17"/>
              </w:rPr>
              <w:t>156891.00</w:t>
            </w:r>
          </w:p>
        </w:tc>
        <w:tc>
          <w:tcPr>
            <w:tcW w:type="dxa" w:w="3969"/>
            <w:vAlign w:val="center"/>
          </w:tcPr>
          <w:p>
            <w:pPr>
              <w:ind w:firstLine="0"/>
              <w:jc w:val="center"/>
            </w:pPr>
            <w:r>
              <w:rPr>
                <w:rFonts w:ascii="Times New Roman" w:hAnsi="Times New Roman" w:eastAsia="宋体"/>
                <w:sz w:val="17"/>
              </w:rPr>
              <w:t>恢复超时挑战会话</w:t>
            </w:r>
          </w:p>
        </w:tc>
      </w:tr>
      <w:tr>
        <w:tc>
          <w:tcPr>
            <w:tcW w:type="dxa" w:w="2268"/>
            <w:vAlign w:val="center"/>
          </w:tcPr>
          <w:p>
            <w:pPr>
              <w:ind w:firstLine="0"/>
              <w:jc w:val="center"/>
            </w:pPr>
            <w:r>
              <w:rPr>
                <w:rFonts w:ascii="Times New Roman" w:hAnsi="Times New Roman" w:eastAsia="宋体"/>
                <w:sz w:val="17"/>
              </w:rPr>
              <w:t>challenge replay</w:t>
            </w:r>
          </w:p>
        </w:tc>
        <w:tc>
          <w:tcPr>
            <w:tcW w:type="dxa" w:w="1701"/>
            <w:vAlign w:val="center"/>
          </w:tcPr>
          <w:p>
            <w:pPr>
              <w:ind w:firstLine="0"/>
              <w:jc w:val="center"/>
            </w:pPr>
            <w:r>
              <w:rPr>
                <w:rFonts w:ascii="Times New Roman" w:hAnsi="Times New Roman" w:eastAsia="宋体"/>
                <w:sz w:val="17"/>
              </w:rPr>
              <w:t>135632.00</w:t>
            </w:r>
          </w:p>
        </w:tc>
        <w:tc>
          <w:tcPr>
            <w:tcW w:type="dxa" w:w="3969"/>
            <w:vAlign w:val="center"/>
          </w:tcPr>
          <w:p>
            <w:pPr>
              <w:ind w:firstLine="0"/>
              <w:jc w:val="center"/>
            </w:pPr>
            <w:r>
              <w:rPr>
                <w:rFonts w:ascii="Times New Roman" w:hAnsi="Times New Roman" w:eastAsia="宋体"/>
                <w:sz w:val="17"/>
              </w:rPr>
              <w:t>执行单步重放</w:t>
            </w:r>
          </w:p>
        </w:tc>
      </w:tr>
      <w:tr>
        <w:tc>
          <w:tcPr>
            <w:tcW w:type="dxa" w:w="2268"/>
            <w:vAlign w:val="center"/>
          </w:tcPr>
          <w:p>
            <w:pPr>
              <w:ind w:firstLine="0"/>
              <w:jc w:val="center"/>
            </w:pPr>
            <w:r>
              <w:rPr>
                <w:rFonts w:ascii="Times New Roman" w:hAnsi="Times New Roman" w:eastAsia="宋体"/>
                <w:sz w:val="17"/>
              </w:rPr>
              <w:t>challenge resolve</w:t>
            </w:r>
          </w:p>
        </w:tc>
        <w:tc>
          <w:tcPr>
            <w:tcW w:type="dxa" w:w="1701"/>
            <w:vAlign w:val="center"/>
          </w:tcPr>
          <w:p>
            <w:pPr>
              <w:ind w:firstLine="0"/>
              <w:jc w:val="center"/>
            </w:pPr>
            <w:r>
              <w:rPr>
                <w:rFonts w:ascii="Times New Roman" w:hAnsi="Times New Roman" w:eastAsia="宋体"/>
                <w:sz w:val="17"/>
              </w:rPr>
              <w:t>113402.00</w:t>
            </w:r>
          </w:p>
        </w:tc>
        <w:tc>
          <w:tcPr>
            <w:tcW w:type="dxa" w:w="3969"/>
            <w:vAlign w:val="center"/>
          </w:tcPr>
          <w:p>
            <w:pPr>
              <w:ind w:firstLine="0"/>
              <w:jc w:val="center"/>
            </w:pPr>
            <w:r>
              <w:rPr>
                <w:rFonts w:ascii="Times New Roman" w:hAnsi="Times New Roman" w:eastAsia="宋体"/>
                <w:sz w:val="17"/>
              </w:rPr>
              <w:t>结算争议</w:t>
            </w:r>
          </w:p>
        </w:tc>
      </w:tr>
      <w:tr>
        <w:tc>
          <w:tcPr>
            <w:tcW w:type="dxa" w:w="2268"/>
            <w:vAlign w:val="center"/>
          </w:tcPr>
          <w:p>
            <w:pPr>
              <w:ind w:firstLine="0"/>
              <w:jc w:val="center"/>
            </w:pPr>
            <w:r>
              <w:rPr>
                <w:rFonts w:ascii="Times New Roman" w:hAnsi="Times New Roman" w:eastAsia="宋体"/>
                <w:sz w:val="17"/>
              </w:rPr>
              <w:t>finalize</w:t>
            </w:r>
          </w:p>
        </w:tc>
        <w:tc>
          <w:tcPr>
            <w:tcW w:type="dxa" w:w="1701"/>
            <w:vAlign w:val="center"/>
          </w:tcPr>
          <w:p>
            <w:pPr>
              <w:ind w:firstLine="0"/>
              <w:jc w:val="center"/>
            </w:pPr>
            <w:r>
              <w:rPr>
                <w:rFonts w:ascii="Times New Roman" w:hAnsi="Times New Roman" w:eastAsia="宋体"/>
                <w:sz w:val="17"/>
              </w:rPr>
              <w:t>33477.00</w:t>
            </w:r>
          </w:p>
        </w:tc>
        <w:tc>
          <w:tcPr>
            <w:tcW w:type="dxa" w:w="3969"/>
            <w:vAlign w:val="center"/>
          </w:tcPr>
          <w:p>
            <w:pPr>
              <w:ind w:firstLine="0"/>
              <w:jc w:val="center"/>
            </w:pPr>
            <w:r>
              <w:rPr>
                <w:rFonts w:ascii="Times New Roman" w:hAnsi="Times New Roman" w:eastAsia="宋体"/>
                <w:sz w:val="17"/>
              </w:rPr>
              <w:t>争议窗口后正常最终确认</w:t>
            </w:r>
          </w:p>
        </w:tc>
      </w:tr>
    </w:tbl>
    <w:p>
      <w:pPr>
        <w:ind w:firstLine="0"/>
      </w:pPr>
      <w:r>
        <w:rPr>
          <w:rFonts w:ascii="Times New Roman" w:hAnsi="Times New Roman" w:eastAsia="宋体"/>
        </w:rPr>
      </w:r>
    </w:p>
    <w:tbl>
      <w:tblPr>
        <w:tblStyle w:val="TableGrid"/>
        <w:tblW w:type="auto" w:w="0"/>
        <w:jc w:val="center"/>
        <w:tblLayout w:type="autofit"/>
        <w:tblLook w:firstColumn="1" w:firstRow="1" w:lastColumn="0" w:lastRow="0" w:noHBand="0" w:noVBand="1" w:val="04A0"/>
      </w:tblPr>
      <w:tblGrid>
        <w:gridCol w:w="4759"/>
        <w:gridCol w:w="4759"/>
      </w:tblGrid>
      <w:tr>
        <w:trPr>
          <w:tblHeader w:val="true"/>
        </w:trPr>
        <w:tc>
          <w:tcPr>
            <w:tcW w:type="dxa" w:w="2551"/>
            <w:shd w:fill="D9EAF7"/>
            <w:vAlign w:val="center"/>
          </w:tcPr>
          <w:p>
            <w:pPr>
              <w:ind w:firstLine="0"/>
              <w:jc w:val="center"/>
            </w:pPr>
            <w:r>
              <w:rPr>
                <w:rFonts w:ascii="Times New Roman" w:hAnsi="Times New Roman" w:eastAsia="黑体"/>
                <w:b/>
                <w:sz w:val="18"/>
              </w:rPr>
              <w:t>项目</w:t>
            </w:r>
          </w:p>
        </w:tc>
        <w:tc>
          <w:tcPr>
            <w:tcW w:type="dxa" w:w="5670"/>
            <w:shd w:fill="D9EAF7"/>
            <w:vAlign w:val="center"/>
          </w:tcPr>
          <w:p>
            <w:pPr>
              <w:ind w:firstLine="0"/>
              <w:jc w:val="center"/>
            </w:pPr>
            <w:r>
              <w:rPr>
                <w:rFonts w:ascii="Times New Roman" w:hAnsi="Times New Roman" w:eastAsia="黑体"/>
                <w:b/>
                <w:sz w:val="18"/>
              </w:rPr>
              <w:t>数值</w:t>
            </w:r>
          </w:p>
        </w:tc>
      </w:tr>
      <w:tr>
        <w:tc>
          <w:tcPr>
            <w:tcW w:type="dxa" w:w="2551"/>
            <w:vAlign w:val="center"/>
          </w:tcPr>
          <w:p>
            <w:pPr>
              <w:ind w:firstLine="0"/>
              <w:jc w:val="center"/>
            </w:pPr>
            <w:r>
              <w:rPr>
                <w:rFonts w:ascii="Times New Roman" w:hAnsi="Times New Roman" w:eastAsia="宋体"/>
                <w:sz w:val="17"/>
              </w:rPr>
              <w:t>Network / Chain ID</w:t>
            </w:r>
          </w:p>
        </w:tc>
        <w:tc>
          <w:tcPr>
            <w:tcW w:type="dxa" w:w="5670"/>
            <w:vAlign w:val="center"/>
          </w:tcPr>
          <w:p>
            <w:pPr>
              <w:ind w:firstLine="0"/>
              <w:jc w:val="center"/>
            </w:pPr>
            <w:r>
              <w:rPr>
                <w:rFonts w:ascii="Times New Roman" w:hAnsi="Times New Roman" w:eastAsia="宋体"/>
                <w:sz w:val="17"/>
              </w:rPr>
              <w:t>Sepolia / 11155111</w:t>
            </w:r>
          </w:p>
        </w:tc>
      </w:tr>
      <w:tr>
        <w:tc>
          <w:tcPr>
            <w:tcW w:type="dxa" w:w="2551"/>
            <w:vAlign w:val="center"/>
          </w:tcPr>
          <w:p>
            <w:pPr>
              <w:ind w:firstLine="0"/>
              <w:jc w:val="center"/>
            </w:pPr>
            <w:r>
              <w:rPr>
                <w:rFonts w:ascii="Times New Roman" w:hAnsi="Times New Roman" w:eastAsia="宋体"/>
                <w:sz w:val="17"/>
              </w:rPr>
              <w:t>部署区块</w:t>
            </w:r>
          </w:p>
        </w:tc>
        <w:tc>
          <w:tcPr>
            <w:tcW w:type="dxa" w:w="5670"/>
            <w:vAlign w:val="center"/>
          </w:tcPr>
          <w:p>
            <w:pPr>
              <w:ind w:firstLine="0"/>
              <w:jc w:val="center"/>
            </w:pPr>
            <w:r>
              <w:rPr>
                <w:rFonts w:ascii="Times New Roman" w:hAnsi="Times New Roman" w:eastAsia="宋体"/>
                <w:sz w:val="17"/>
              </w:rPr>
              <w:t>10825904</w:t>
            </w:r>
          </w:p>
        </w:tc>
      </w:tr>
      <w:tr>
        <w:tc>
          <w:tcPr>
            <w:tcW w:type="dxa" w:w="2551"/>
            <w:vAlign w:val="center"/>
          </w:tcPr>
          <w:p>
            <w:pPr>
              <w:ind w:firstLine="0"/>
              <w:jc w:val="center"/>
            </w:pPr>
            <w:r>
              <w:rPr>
                <w:rFonts w:ascii="Times New Roman" w:hAnsi="Times New Roman" w:eastAsia="宋体"/>
                <w:sz w:val="17"/>
              </w:rPr>
              <w:t>MockTEEVerifier</w:t>
            </w:r>
          </w:p>
        </w:tc>
        <w:tc>
          <w:tcPr>
            <w:tcW w:type="dxa" w:w="5670"/>
            <w:vAlign w:val="center"/>
          </w:tcPr>
          <w:p>
            <w:pPr>
              <w:ind w:firstLine="0"/>
              <w:jc w:val="left"/>
            </w:pPr>
            <w:r>
              <w:rPr>
                <w:rFonts w:ascii="Times New Roman" w:hAnsi="Times New Roman" w:eastAsia="宋体"/>
                <w:sz w:val="17"/>
              </w:rPr>
              <w:t>0xC42CB0Cf0D112Bd59E0f212F2DB2002ca50a8b6A</w:t>
            </w:r>
          </w:p>
        </w:tc>
      </w:tr>
      <w:tr>
        <w:tc>
          <w:tcPr>
            <w:tcW w:type="dxa" w:w="2551"/>
            <w:vAlign w:val="center"/>
          </w:tcPr>
          <w:p>
            <w:pPr>
              <w:ind w:firstLine="0"/>
              <w:jc w:val="center"/>
            </w:pPr>
            <w:r>
              <w:rPr>
                <w:rFonts w:ascii="Times New Roman" w:hAnsi="Times New Roman" w:eastAsia="宋体"/>
                <w:sz w:val="17"/>
              </w:rPr>
              <w:t>MockDARegistry</w:t>
            </w:r>
          </w:p>
        </w:tc>
        <w:tc>
          <w:tcPr>
            <w:tcW w:type="dxa" w:w="5670"/>
            <w:vAlign w:val="center"/>
          </w:tcPr>
          <w:p>
            <w:pPr>
              <w:ind w:firstLine="0"/>
              <w:jc w:val="left"/>
            </w:pPr>
            <w:r>
              <w:rPr>
                <w:rFonts w:ascii="Times New Roman" w:hAnsi="Times New Roman" w:eastAsia="宋体"/>
                <w:sz w:val="17"/>
              </w:rPr>
              <w:t>0xc42C64a7De05bf3ad4f1c75CbD8E0506F7De99Ff</w:t>
            </w:r>
          </w:p>
        </w:tc>
      </w:tr>
      <w:tr>
        <w:tc>
          <w:tcPr>
            <w:tcW w:type="dxa" w:w="2551"/>
            <w:vAlign w:val="center"/>
          </w:tcPr>
          <w:p>
            <w:pPr>
              <w:ind w:firstLine="0"/>
              <w:jc w:val="center"/>
            </w:pPr>
            <w:r>
              <w:rPr>
                <w:rFonts w:ascii="Times New Roman" w:hAnsi="Times New Roman" w:eastAsia="宋体"/>
                <w:sz w:val="17"/>
              </w:rPr>
              <w:t>HybridTEERollup</w:t>
            </w:r>
          </w:p>
        </w:tc>
        <w:tc>
          <w:tcPr>
            <w:tcW w:type="dxa" w:w="5670"/>
            <w:vAlign w:val="center"/>
          </w:tcPr>
          <w:p>
            <w:pPr>
              <w:ind w:firstLine="0"/>
              <w:jc w:val="left"/>
            </w:pPr>
            <w:r>
              <w:rPr>
                <w:rFonts w:ascii="Times New Roman" w:hAnsi="Times New Roman" w:eastAsia="宋体"/>
                <w:sz w:val="17"/>
              </w:rPr>
              <w:t>0xB9B72f10bB8aBC1ed090f1B0443Fe57189c497Fd</w:t>
            </w:r>
          </w:p>
        </w:tc>
      </w:tr>
    </w:tbl>
    <w:p>
      <w:pPr>
        <w:ind w:firstLine="0"/>
      </w:pPr>
      <w:r>
        <w:rPr>
          <w:rFonts w:ascii="Times New Roman" w:hAnsi="Times New Roman" w:eastAsia="宋体"/>
        </w:rPr>
      </w:r>
    </w:p>
    <w:p>
      <w:r>
        <w:rPr>
          <w:rFonts w:ascii="Times New Roman" w:hAnsi="Times New Roman" w:eastAsia="宋体"/>
        </w:rPr>
        <w:t>Results：Solidity 原型在本地 EVM 上能够测量关键操作 gasUsed，并已部署到 Sepolia。</w:t>
      </w:r>
    </w:p>
    <w:p>
      <w:r>
        <w:rPr>
          <w:rFonts w:ascii="Times New Roman" w:hAnsi="Times New Roman" w:eastAsia="宋体"/>
        </w:rPr>
        <w:t>Analysis：这些结果支持“协议具有链上对应物和可部署性”的阶段性主张。recover 的本地 gasUsed 为 156891.00，说明恢复不是零成本元数据操作，而是明确的链上状态转移。</w:t>
      </w:r>
    </w:p>
    <w:p>
      <w:r>
        <w:rPr>
          <w:rFonts w:ascii="Times New Roman" w:hAnsi="Times New Roman" w:eastAsia="宋体"/>
        </w:rPr>
        <w:t>Limitation：本地 EVM gasUsed 不能等同于 Sepolia 或主网费用；Sepolia 部署只能说明可部署性，不能说明生产安全性、主网性能或真实 DA 网络行为。</w:t>
      </w:r>
    </w:p>
    <w:p>
      <w:pPr>
        <w:pStyle w:val="Heading1"/>
      </w:pPr>
      <w:r>
        <w:rPr>
          <w:rFonts w:ascii="Times New Roman" w:hAnsi="Times New Roman" w:eastAsia="黑体"/>
          <w:b/>
          <w:sz w:val="30"/>
        </w:rPr>
        <w:t>8 讨论与局限</w:t>
      </w:r>
    </w:p>
    <w:p>
      <w:r>
        <w:rPr>
          <w:rFonts w:ascii="Times New Roman" w:hAnsi="Times New Roman" w:eastAsia="宋体"/>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r>
        <w:rPr>
          <w:rFonts w:ascii="Times New Roman" w:hAnsi="Times New Roman" w:eastAsia="宋体"/>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r>
        <w:rPr>
          <w:rFonts w:ascii="Times New Roman" w:hAnsi="Times New Roman" w:eastAsia="宋体"/>
        </w:rPr>
        <w:t>尽管如此，上述边界不削弱本文对局部协议机制的主张：只要恢复操作保持挑战事实不变，并由 DA 绑定与证据一致性检查约束争议上下文，恢复就可以在不改变仲裁结果的前提下提升仲裁活性。</w:t>
      </w:r>
    </w:p>
    <w:p>
      <w:pPr>
        <w:pStyle w:val="Heading2"/>
      </w:pPr>
      <w:r>
        <w:rPr>
          <w:rFonts w:ascii="Times New Roman" w:hAnsi="Times New Roman" w:eastAsia="黑体"/>
          <w:b/>
          <w:sz w:val="26"/>
        </w:rPr>
        <w:t>8.1 Threats to Validity</w:t>
      </w:r>
    </w:p>
    <w:p>
      <w:r>
        <w:rPr>
          <w:rFonts w:ascii="Times New Roman" w:hAnsi="Times New Roman" w:eastAsia="宋体"/>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r>
        <w:rPr>
          <w:rFonts w:ascii="Times New Roman" w:hAnsi="Times New Roman" w:eastAsia="宋体"/>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r>
        <w:rPr>
          <w:rFonts w:ascii="Times New Roman" w:hAnsi="Times New Roman" w:eastAsia="宋体"/>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recoverable challenge 机制的可行性验证，而不是生产级 Rollup 性能或安全结论。</w:t>
      </w:r>
    </w:p>
    <w:p>
      <w:pPr>
        <w:pStyle w:val="Heading2"/>
      </w:pPr>
      <w:r>
        <w:rPr>
          <w:rFonts w:ascii="Times New Roman" w:hAnsi="Times New Roman" w:eastAsia="黑体"/>
          <w:b/>
          <w:sz w:val="26"/>
        </w:rPr>
        <w:t>8.2 Future Work</w:t>
      </w:r>
    </w:p>
    <w:p>
      <w:r>
        <w:rPr>
          <w:rFonts w:ascii="Times New Roman" w:hAnsi="Times New Roman" w:eastAsia="宋体"/>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r>
        <w:rPr>
          <w:rFonts w:ascii="Times New Roman" w:hAnsi="Times New Roman" w:eastAsia="宋体"/>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Challenge Facts 一致。第六，多 Watcher 恢复机制需要引入激励、去重和冲突处理规则，以避免单点看护者假设过强。</w:t>
      </w:r>
    </w:p>
    <w:p>
      <w:pPr>
        <w:pStyle w:val="Heading1"/>
      </w:pPr>
      <w:r>
        <w:rPr>
          <w:rFonts w:ascii="Times New Roman" w:hAnsi="Times New Roman" w:eastAsia="黑体"/>
          <w:b/>
          <w:sz w:val="30"/>
        </w:rPr>
        <w:t>9 结论</w:t>
      </w:r>
    </w:p>
    <w:p>
      <w:r>
        <w:rPr>
          <w:rFonts w:ascii="Times New Roman" w:hAnsi="Times New Roman" w:eastAsia="宋体"/>
        </w:rPr>
        <w:t>本文面向 Hybrid TEE-Rollup 异常路径提出可恢复挑战协议，将挑战会话建模为显式状态机，并把超时恢复定义为保持挑战事实不变的活性操作。协议通过 Facts(cs)=Facts(Recover(cs))、证据一致性和数据可用性绑定，避免恢复被滥用为证据替换或自动罚没入口。</w:t>
      </w:r>
    </w:p>
    <w:p>
      <w:r>
        <w:rPr>
          <w:rFonts w:ascii="Times New Roman" w:hAnsi="Times New Roman" w:eastAsia="宋体"/>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r>
        <w:rPr>
          <w:rFonts w:ascii="Times New Roman" w:hAnsi="Times New Roman" w:eastAsia="宋体"/>
        </w:rPr>
        <w:t>本文不声称实现生产级 Rollup、真实 TEE 安全或主网成本优势。其贡献在于提出并论证一种面向 Hybrid TEE-Rollup 异常路径的局部协议机制：recoverable challenge 在证据上下文不变的前提下提升仲裁活性，为后续接入真实 TEE、真实 DA 网络和更完整链上重放验证提供了可扩展基础。</w:t>
      </w:r>
    </w:p>
    <w:p>
      <w:pPr>
        <w:pStyle w:val="Heading1"/>
      </w:pPr>
      <w:r>
        <w:rPr>
          <w:rFonts w:ascii="Times New Roman" w:hAnsi="Times New Roman" w:eastAsia="黑体"/>
          <w:b/>
          <w:sz w:val="30"/>
        </w:rPr>
        <w:t>参考文献</w:t>
      </w:r>
    </w:p>
    <w:p>
      <w:pPr>
        <w:ind w:left="283" w:hanging="283"/>
      </w:pPr>
      <w:r>
        <w:rPr>
          <w:rFonts w:ascii="Times New Roman" w:hAnsi="Times New Roman" w:eastAsia="宋体"/>
        </w:rPr>
        <w:t>[1] WEN X, FENG Q, LYU H, et al. TEEROLLUP: Efficient Rollup Design Using Heterogeneous TEE[EB/OL]. arXiv:2409.14647, 2024.</w:t>
      </w:r>
    </w:p>
    <w:p>
      <w:pPr>
        <w:ind w:left="283" w:hanging="283"/>
      </w:pPr>
      <w:r>
        <w:rPr>
          <w:rFonts w:ascii="Times New Roman" w:hAnsi="Times New Roman" w:eastAsia="宋体"/>
        </w:rPr>
        <w:t>[2] PICCO G, FORTUGNO A. Dynamic Fraud Proofs[EB/OL]. arXiv:2502.10321, 2025.</w:t>
      </w:r>
    </w:p>
    <w:p>
      <w:pPr>
        <w:ind w:left="283" w:hanging="283"/>
      </w:pPr>
      <w:r>
        <w:rPr>
          <w:rFonts w:ascii="Times New Roman" w:hAnsi="Times New Roman" w:eastAsia="宋体"/>
        </w:rPr>
        <w:t>[3] AL-BASSAM M. LazyLedger: A Distributed Data Availability Ledger with Client-Side Smart Contracts[EB/OL]. arXiv:1905.09274, 2019.</w:t>
      </w:r>
    </w:p>
    <w:p>
      <w:pPr>
        <w:ind w:left="283" w:hanging="283"/>
      </w:pPr>
      <w:r>
        <w:rPr>
          <w:rFonts w:ascii="Times New Roman" w:hAnsi="Times New Roman" w:eastAsia="宋体"/>
        </w:rPr>
        <w:t>[4] TAS E N, TSE D, YANG L, et al. Light Clients for Lazy Blockchains[EB/OL]. arXiv:2203.15968, 2022.</w:t>
      </w:r>
    </w:p>
    <w:p>
      <w:pPr>
        <w:ind w:left="283" w:hanging="283"/>
      </w:pPr>
      <w:r>
        <w:rPr>
          <w:rFonts w:ascii="Times New Roman" w:hAnsi="Times New Roman" w:eastAsia="宋体"/>
        </w:rPr>
        <w:t>[5] Ethereum Foundation. EIP-4844: Shard Blob Transactions[EB/OL]. 2024.</w:t>
      </w:r>
    </w:p>
    <w:p>
      <w:pPr>
        <w:ind w:left="283" w:hanging="283"/>
      </w:pPr>
      <w:r>
        <w:rPr>
          <w:rFonts w:ascii="Times New Roman" w:hAnsi="Times New Roman" w:eastAsia="宋体"/>
        </w:rPr>
        <w:t>[6] Ethereum Foundation. Optimistic Rollups[EB/OL]. Ethereum Documentation, 2024.</w:t>
      </w:r>
    </w:p>
    <w:p>
      <w:pPr>
        <w:ind w:left="283" w:hanging="283"/>
      </w:pPr>
      <w:r>
        <w:rPr>
          <w:rFonts w:ascii="Times New Roman" w:hAnsi="Times New Roman" w:eastAsia="宋体"/>
        </w:rPr>
        <w:t>[7] Buterin V. An Incomplete Guide to Rollups[EB/OL]. 2021.</w:t>
      </w:r>
    </w:p>
    <w:p>
      <w:pPr>
        <w:ind w:left="283" w:hanging="283"/>
      </w:pPr>
      <w:r>
        <w:rPr>
          <w:rFonts w:ascii="Times New Roman" w:hAnsi="Times New Roman" w:eastAsia="宋体"/>
        </w:rPr>
        <w:t>[8] Kalodner H, Goldfeder S, Chen X, et al. Arbitrum: Scalable, Private Smart Contracts[EB/OL]. USENIX Security, 2018.</w:t>
      </w:r>
    </w:p>
    <w:p>
      <w:pPr>
        <w:ind w:left="283" w:hanging="283"/>
      </w:pPr>
      <w:r>
        <w:rPr>
          <w:rFonts w:ascii="Times New Roman" w:hAnsi="Times New Roman" w:eastAsia="宋体"/>
        </w:rPr>
        <w:t>[9] Optimism Collective. Fault Proofs and the OP Stack[EB/OL]. 2024.</w:t>
      </w:r>
    </w:p>
    <w:p>
      <w:pPr>
        <w:ind w:left="283" w:hanging="283"/>
      </w:pPr>
      <w:r>
        <w:rPr>
          <w:rFonts w:ascii="Times New Roman" w:hAnsi="Times New Roman" w:eastAsia="宋体"/>
        </w:rPr>
        <w:t>[10] Zhang F, Cecchetti E, Croman K, et al. Town Crier: An Authenticated Data Feed for Smart Contracts[C]. CCS, 2016.</w:t>
      </w:r>
    </w:p>
    <w:p>
      <w:pPr>
        <w:ind w:left="283" w:hanging="283"/>
      </w:pPr>
      <w:r>
        <w:rPr>
          <w:rFonts w:ascii="Times New Roman" w:hAnsi="Times New Roman" w:eastAsia="宋体"/>
        </w:rPr>
        <w:t>[11] Celestia Foundation. Celestia: A Modular Data Availability Network[EB/OL]. 2024.</w:t>
      </w:r>
    </w:p>
    <w:p>
      <w:pPr>
        <w:ind w:left="283" w:hanging="283"/>
      </w:pPr>
      <w:r>
        <w:rPr>
          <w:rFonts w:ascii="Times New Roman" w:hAnsi="Times New Roman" w:eastAsia="宋体"/>
        </w:rPr>
        <w:t>[12] Eigen Labs. EigenDA: Data Availability for Ethereum Rollups[EB/OL]. 2024.</w:t>
      </w:r>
    </w:p>
    <w:p>
      <w:pPr>
        <w:ind w:left="283" w:hanging="283"/>
      </w:pPr>
      <w:r>
        <w:rPr>
          <w:rFonts w:ascii="Times New Roman" w:hAnsi="Times New Roman" w:eastAsia="宋体"/>
        </w:rPr>
        <w:t>[13] Cartesi Foundation. Cartesi Rollups Documentation[EB/OL]. 2024.</w:t>
      </w:r>
    </w:p>
    <w:p>
      <w:pPr>
        <w:ind w:left="283" w:hanging="283"/>
      </w:pPr>
      <w:r>
        <w:rPr>
          <w:rFonts w:ascii="Times New Roman" w:hAnsi="Times New Roman" w:eastAsia="宋体"/>
        </w:rPr>
        <w:t>[14] opML Contributors. Optimistic Machine Learning on Blockchain[EB/OL]. 2024.</w:t>
      </w:r>
    </w:p>
    <w:p>
      <w:pPr>
        <w:ind w:left="283" w:hanging="283"/>
      </w:pPr>
      <w:r>
        <w:rPr>
          <w:rFonts w:ascii="Times New Roman" w:hAnsi="Times New Roman" w:eastAsia="宋体"/>
        </w:rPr>
        <w:t>[15] Offchain Labs. Arbitrum Nitro: A Second-generation Optimistic Rollup[EB/OL]. 2022.</w:t>
      </w:r>
    </w:p>
    <w:p>
      <w:pPr>
        <w:ind w:left="283" w:hanging="283"/>
      </w:pPr>
      <w:r>
        <w:rPr>
          <w:rFonts w:ascii="Times New Roman" w:hAnsi="Times New Roman" w:eastAsia="宋体"/>
        </w:rPr>
        <w:t>[16] Optimism Collective. OP Stack Technical Documentation[EB/OL]. 2024.</w:t>
      </w:r>
    </w:p>
    <w:p>
      <w:pPr>
        <w:ind w:left="283" w:hanging="283"/>
      </w:pPr>
      <w:r>
        <w:rPr>
          <w:rFonts w:ascii="Times New Roman" w:hAnsi="Times New Roman" w:eastAsia="宋体"/>
        </w:rPr>
        <w:t>[17] Espresso Systems. Espresso DA Documentation[EB/OL]. 2024.</w:t>
      </w:r>
    </w:p>
    <w:p>
      <w:pPr>
        <w:ind w:left="283" w:hanging="283"/>
      </w:pPr>
      <w:r>
        <w:rPr>
          <w:rFonts w:ascii="Times New Roman" w:hAnsi="Times New Roman" w:eastAsia="宋体"/>
        </w:rPr>
        <w:t>[18] Mustafa Al-Bassam. Sovereign Rollups[EB/OL]. 2022.</w:t>
      </w:r>
    </w:p>
    <w:p>
      <w:pPr>
        <w:ind w:left="283" w:hanging="283"/>
      </w:pPr>
      <w:r>
        <w:rPr>
          <w:rFonts w:ascii="Times New Roman" w:hAnsi="Times New Roman" w:eastAsia="宋体"/>
        </w:rPr>
        <w:t>[19] Matter Labs. zkSync Era Documentation[EB/OL]. 2024.</w:t>
      </w:r>
    </w:p>
    <w:p>
      <w:pPr>
        <w:ind w:left="283" w:hanging="283"/>
      </w:pPr>
      <w:r>
        <w:rPr>
          <w:rFonts w:ascii="Times New Roman" w:hAnsi="Times New Roman" w:eastAsia="宋体"/>
        </w:rPr>
        <w:t>[20] StarkWare. StarkNet Documentation[EB/OL]. 2024.</w:t>
      </w:r>
    </w:p>
    <w:p>
      <w:pPr>
        <w:ind w:left="283" w:hanging="283"/>
      </w:pPr>
      <w:r>
        <w:rPr>
          <w:rFonts w:ascii="Times New Roman" w:hAnsi="Times New Roman" w:eastAsia="宋体"/>
        </w:rPr>
        <w:t>[21] EigenLayer. EigenLayer Whitepaper[EB/OL]. 2023.</w:t>
      </w:r>
    </w:p>
    <w:p>
      <w:pPr>
        <w:ind w:left="283" w:hanging="283"/>
      </w:pPr>
      <w:r>
        <w:rPr>
          <w:rFonts w:ascii="Times New Roman" w:hAnsi="Times New Roman" w:eastAsia="宋体"/>
        </w:rPr>
        <w:t>[22] Cartesi Foundation. The Cartesi Machine and Cartesi Rollups Whitepaper[EB/OL]. 2023.</w:t>
      </w:r>
    </w:p>
    <w:sectPr w:rsidR="00FC693F" w:rsidRPr="0006063C" w:rsidSect="00034616">
      <w:footerReference w:type="default" r:id="rId15"/>
      <w:pgSz w:w="12240" w:h="15840"/>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18"/>
      </w:rPr>
      <w:t>面向 Hybrid TEE-Rollup 的可恢复挑战协议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