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rPr>
          <w:sz w:val="20"/>
        </w:rPr>
        <w:t>现有路线分别覆盖了这一需求的不同侧面。全链上执行公开验证能力强，但高频负载、存储和执行成本直接上链；完全链下执行降低延迟和成本，却缺少用户可依赖的公开仲裁路径；纯</w:t>
      </w:r>
      <w:r>
        <w:rPr>
          <w:sz w:val="20"/>
        </w:rPr>
        <w:t xml:space="preserve"> TEE </w:t>
      </w:r>
      <w:r>
        <w:rPr>
          <w:sz w:val="20"/>
        </w:rPr>
        <w:t>执行降低正常路径验证成本，但仍受硬件和宿主环境影响。</w:t>
      </w:r>
      <w:r>
        <w:rPr>
          <w:sz w:val="20"/>
        </w:rPr>
        <w:t xml:space="preserve">Hybrid TEE-Rollup </w:t>
      </w:r>
      <w:r>
        <w:rPr>
          <w:sz w:val="20"/>
        </w:rPr>
        <w:t>将</w:t>
      </w:r>
      <w:r>
        <w:rPr>
          <w:sz w:val="20"/>
        </w:rPr>
        <w:t xml:space="preserve"> TEE </w:t>
      </w:r>
      <w:r>
        <w:rPr>
          <w:sz w:val="20"/>
        </w:rPr>
        <w:t>快速路径与链上异常路径结合</w:t>
      </w:r>
      <w:r>
        <w:rPr>
          <w:sz w:val="20"/>
          <w:vertAlign w:val="superscript"/>
        </w:rPr>
        <w:t>[1]</w:t>
      </w:r>
      <w:r>
        <w:rPr>
          <w:sz w:val="20"/>
        </w:rPr>
        <w:t>，其风险也集中在异常路径：一旦恢复机制和证据入口缺失，系统会在最需要仲裁时失去协议连续性。</w:t>
      </w:r>
    </w:p>
    <w:p w14:paraId="18C82007" w14:textId="77777777" w:rsidR="00580E0B" w:rsidRDefault="00000000">
      <w:pPr>
        <w:ind w:firstLine="408"/>
      </w:pPr>
      <w:r>
        <w:rPr>
          <w:sz w:val="20"/>
        </w:rPr>
        <w:t>超时后挑战流程卡死属于协议活性与仲裁连续性问</w:t>
      </w:r>
      <w:r>
        <w:rPr>
          <w:sz w:val="20"/>
        </w:rPr>
        <w:t>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rFonts w:hint="eastAsia"/>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rFonts w:hint="eastAsia"/>
          <w:sz w:val="20"/>
        </w:rPr>
      </w:pPr>
      <w:r w:rsidRPr="00CC3364">
        <w:rPr>
          <w:rFonts w:hint="eastAsia"/>
          <w:sz w:val="20"/>
        </w:rPr>
        <w:t>第一个贡献是可恢复挑战机制。传统挑战流程中，超时可能使争议停留在未解决状态；即使系统已经检测到异</w:t>
      </w:r>
      <w:r w:rsidRPr="00CC3364">
        <w:rPr>
          <w:rFonts w:hint="eastAsia"/>
          <w:sz w:val="20"/>
        </w:rPr>
        <w:lastRenderedPageBreak/>
        <w:t>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rFonts w:hint="eastAsia"/>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rFonts w:hint="eastAsia"/>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6C3E8434" w14:textId="77777777" w:rsidR="00580E0B" w:rsidRDefault="00000000">
      <w:pPr>
        <w:ind w:firstLine="408"/>
      </w:pPr>
      <w:r>
        <w:rPr>
          <w:sz w:val="20"/>
        </w:rPr>
        <w:t xml:space="preserve">opML </w:t>
      </w:r>
      <w:r>
        <w:rPr>
          <w:sz w:val="20"/>
        </w:rPr>
        <w:t>与</w:t>
      </w:r>
      <w:r>
        <w:rPr>
          <w:sz w:val="20"/>
        </w:rPr>
        <w:t xml:space="preserve"> optimistic fraud proof </w:t>
      </w:r>
      <w:r>
        <w:rPr>
          <w:sz w:val="20"/>
        </w:rPr>
        <w:t>等工作研究如何通过乐观证明支持复杂计算，通常包含二分定位、单步仲裁和链上验证。本文借鉴交互式争议定位思想，但不实现完整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rPr>
          <w:sz w:val="20"/>
        </w:rPr>
        <w:t xml:space="preserve">Rollup </w:t>
      </w:r>
      <w:r>
        <w:rPr>
          <w:sz w:val="20"/>
        </w:rPr>
        <w:t>的基本思想是将大量执行过程移至链下完成，并将状态承诺、证明或争议入口提交到链上</w:t>
      </w:r>
      <w:r>
        <w:rPr>
          <w:sz w:val="20"/>
        </w:rPr>
        <w:t>[2]</w:t>
      </w:r>
      <w:r>
        <w:rPr>
          <w:sz w:val="20"/>
        </w:rPr>
        <w:t>。</w:t>
      </w:r>
      <w:r>
        <w:rPr>
          <w:sz w:val="20"/>
        </w:rPr>
        <w:t>ZK-</w:t>
      </w:r>
      <w:r>
        <w:rPr>
          <w:sz w:val="20"/>
        </w:rPr>
        <w:t xml:space="preserve">Rollup </w:t>
      </w:r>
      <w:r>
        <w:rPr>
          <w:sz w:val="20"/>
        </w:rPr>
        <w:t>通过有效性证明保证提交状态的正确性，验证属性较强，但证明生成、验证电路和系统实现成本较高。</w:t>
      </w:r>
      <w:r>
        <w:rPr>
          <w:sz w:val="20"/>
        </w:rPr>
        <w:t xml:space="preserve">Optimistic Rollup </w:t>
      </w:r>
      <w:r>
        <w:rPr>
          <w:sz w:val="20"/>
        </w:rPr>
        <w:t>默认链下执行结果正确，仅在挑战期内出现有效争议时进行仲裁；其链上负担较轻，但争议窗口和交互过程会引入状态不确定性</w:t>
      </w:r>
      <w:r>
        <w:rPr>
          <w:sz w:val="20"/>
        </w:rPr>
        <w:t>[3]</w:t>
      </w:r>
      <w:r>
        <w:rPr>
          <w:sz w:val="20"/>
        </w:rPr>
        <w:t>。</w:t>
      </w:r>
    </w:p>
    <w:p w14:paraId="4634245D" w14:textId="77777777" w:rsidR="00580E0B" w:rsidRDefault="00000000">
      <w:pPr>
        <w:ind w:firstLine="408"/>
      </w:pPr>
      <w:r>
        <w:rPr>
          <w:sz w:val="20"/>
        </w:rPr>
        <w:t>乐观挑战是</w:t>
      </w:r>
      <w:r>
        <w:rPr>
          <w:sz w:val="20"/>
        </w:rPr>
        <w:t xml:space="preserve"> Rollup </w:t>
      </w:r>
      <w:r>
        <w:rPr>
          <w:sz w:val="20"/>
        </w:rPr>
        <w:t>系统处理异常的重要机制。典型流程包括提交状态承诺、开启挑战、交互式缩小争议范围，并在必要时执行单步重放或链上仲裁</w:t>
      </w:r>
      <w:r>
        <w:rPr>
          <w:sz w:val="20"/>
        </w:rPr>
        <w:t>[4][5]</w:t>
      </w:r>
      <w:r>
        <w:rPr>
          <w:sz w:val="20"/>
        </w:rPr>
        <w:t>。对于长执行轨迹，二分定位能够将争议定位复杂度从线性扫描降低到对数轮次；挑战过程本身也可能遭遇超时、应答缺失或证据不可用，因此活性和恢复性需要进入协议设计</w:t>
      </w:r>
      <w:r>
        <w:rPr>
          <w:sz w:val="20"/>
        </w:rPr>
        <w:t>[6]</w:t>
      </w:r>
      <w:r>
        <w:rPr>
          <w:sz w:val="20"/>
        </w:rPr>
        <w:t>。</w:t>
      </w:r>
    </w:p>
    <w:p w14:paraId="5963DF92" w14:textId="77777777" w:rsidR="00580E0B" w:rsidRDefault="00000000">
      <w:pPr>
        <w:ind w:firstLine="408"/>
      </w:pPr>
      <w:r>
        <w:rPr>
          <w:sz w:val="20"/>
        </w:rPr>
        <w:t>数据可用性关注链下或链外数据能否被验证者获取。模块化区块链和惰性账本等路线将数据可用性从执行验证中解耦，使共识层主要负责数据排序和可用性保证，执行与验证由独立的</w:t>
      </w:r>
      <w:r>
        <w:rPr>
          <w:sz w:val="20"/>
        </w:rPr>
        <w:t xml:space="preserve"> Rollup </w:t>
      </w:r>
      <w:r>
        <w:rPr>
          <w:sz w:val="20"/>
        </w:rPr>
        <w:t>或客户端完成</w:t>
      </w:r>
      <w:r>
        <w:rPr>
          <w:sz w:val="20"/>
        </w:rPr>
        <w:t>[7][8][9][10]</w:t>
      </w:r>
      <w:r>
        <w:rPr>
          <w:sz w:val="20"/>
        </w:rP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w:t>
      </w:r>
      <w:r>
        <w:rPr>
          <w:sz w:val="20"/>
        </w:rPr>
        <w:lastRenderedPageBreak/>
        <w:t>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rPr>
          <w:sz w:val="20"/>
        </w:rPr>
        <w:t>执行层负责处理高频</w:t>
      </w:r>
      <w:r>
        <w:rPr>
          <w:sz w:val="20"/>
        </w:rPr>
        <w:t xml:space="preserve"> DApp </w:t>
      </w:r>
      <w:r>
        <w:rPr>
          <w:sz w:val="20"/>
        </w:rPr>
        <w:t>请求。当前原型采用确定性模拟模型或可选模型后端生成响应，并使用模拟可信执行环境远程证明对输入哈希、输出哈希、</w:t>
      </w:r>
      <w:r>
        <w:rPr>
          <w:sz w:val="20"/>
        </w:rPr>
        <w:t xml:space="preserve">nonce </w:t>
      </w:r>
      <w:r>
        <w:rPr>
          <w:sz w:val="20"/>
        </w:rPr>
        <w:t>和执行环境标识进行绑定</w:t>
      </w:r>
      <w:r>
        <w:rPr>
          <w:sz w:val="20"/>
        </w:rPr>
        <w:t>[11]</w:t>
      </w:r>
      <w:r>
        <w:rPr>
          <w:sz w:val="20"/>
        </w:rP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rPr>
          <w:sz w:val="20"/>
        </w:rPr>
        <w:t>验证层负责处理异常路径。当前原型实现挑战打开、响应、步骤、恢复、重放和结算等状态推进；争议出现后，验证层通过证据加载、二分定位、单步重放和仲裁结算，将异常状态推进为可解释的协议结果</w:t>
      </w:r>
      <w:r>
        <w:rPr>
          <w:sz w:val="20"/>
        </w:rPr>
        <w:t>[4][5]</w:t>
      </w:r>
      <w:r>
        <w:rPr>
          <w:sz w:val="20"/>
        </w:rP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lastRenderedPageBreak/>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w:t>
      </w:r>
      <w:r>
        <w:rPr>
          <w:sz w:val="20"/>
        </w:rPr>
        <w:t>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w:t>
      </w:r>
      <w:r>
        <w:rPr>
          <w:sz w:val="20"/>
        </w:rPr>
        <w:lastRenderedPageBreak/>
        <w:t>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w:t>
      </w:r>
      <w:r>
        <w:rPr>
          <w:sz w:val="20"/>
        </w:rPr>
        <w:t>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w:t>
      </w:r>
      <w:r>
        <w:rPr>
          <w:sz w:val="20"/>
        </w:rPr>
        <w:lastRenderedPageBreak/>
        <w:t>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rPr>
          <w:sz w:val="20"/>
        </w:rPr>
        <w:t>模型比较四类</w:t>
      </w:r>
      <w:r>
        <w:rPr>
          <w:sz w:val="20"/>
        </w:rPr>
        <w:t xml:space="preserve"> DA </w:t>
      </w:r>
      <w:r>
        <w:rPr>
          <w:sz w:val="20"/>
        </w:rPr>
        <w:t>路径：全链上调用数据、紧凑外部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rPr>
        <w:t>[12]</w:t>
      </w:r>
      <w:r>
        <w:rPr>
          <w:sz w:val="20"/>
        </w:rP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w:t>
      </w:r>
      <w:r>
        <w:rPr>
          <w:sz w:val="20"/>
        </w:rPr>
        <w:t>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77777777" w:rsidR="00580E0B" w:rsidRDefault="00000000">
      <w:pPr>
        <w:spacing w:before="80" w:after="40" w:line="240" w:lineRule="auto"/>
        <w:ind w:firstLine="0"/>
        <w:jc w:val="left"/>
      </w:pPr>
      <w:r>
        <w:rPr>
          <w:rFonts w:eastAsia="黑体"/>
          <w:b/>
          <w:bCs/>
          <w:sz w:val="23"/>
          <w:szCs w:val="23"/>
        </w:rPr>
        <w:t>5.1  RQ1</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77777777" w:rsidR="00580E0B" w:rsidRDefault="00000000">
      <w:pPr>
        <w:spacing w:before="80" w:after="40" w:line="240" w:lineRule="auto"/>
        <w:ind w:firstLine="0"/>
        <w:jc w:val="left"/>
      </w:pPr>
      <w:r>
        <w:rPr>
          <w:rFonts w:eastAsia="黑体"/>
          <w:b/>
          <w:bCs/>
          <w:sz w:val="23"/>
          <w:szCs w:val="23"/>
        </w:rPr>
        <w:t>5.2  RQ2</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w:t>
      </w:r>
      <w:r>
        <w:rPr>
          <w:sz w:val="20"/>
        </w:rPr>
        <w:lastRenderedPageBreak/>
        <w:t xml:space="preserve">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77777777" w:rsidR="00580E0B" w:rsidRDefault="00000000">
      <w:pPr>
        <w:spacing w:before="80" w:after="40" w:line="240" w:lineRule="auto"/>
        <w:ind w:firstLine="0"/>
        <w:jc w:val="left"/>
      </w:pPr>
      <w:r>
        <w:rPr>
          <w:rFonts w:eastAsia="黑体"/>
          <w:b/>
          <w:bCs/>
          <w:sz w:val="23"/>
          <w:szCs w:val="23"/>
        </w:rPr>
        <w:t>5.3  RQ3</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中两条合约路径的相对开销。</w:t>
      </w:r>
    </w:p>
    <w:p w14:paraId="39807727" w14:textId="77777777" w:rsidR="00580E0B" w:rsidRDefault="00000000">
      <w:pPr>
        <w:spacing w:before="80" w:after="40" w:line="240" w:lineRule="auto"/>
        <w:ind w:firstLine="0"/>
        <w:jc w:val="left"/>
      </w:pPr>
      <w:r>
        <w:rPr>
          <w:rFonts w:eastAsia="黑体"/>
          <w:b/>
          <w:bCs/>
          <w:sz w:val="23"/>
          <w:szCs w:val="23"/>
        </w:rPr>
        <w:t>5.4  RQ4</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77777777" w:rsidR="00580E0B" w:rsidRDefault="00000000">
      <w:pPr>
        <w:spacing w:before="80" w:after="40" w:line="240" w:lineRule="auto"/>
        <w:ind w:firstLine="0"/>
        <w:jc w:val="left"/>
      </w:pPr>
      <w:r>
        <w:rPr>
          <w:rFonts w:eastAsia="黑体"/>
          <w:b/>
          <w:bCs/>
          <w:sz w:val="23"/>
          <w:szCs w:val="23"/>
        </w:rPr>
        <w:t>5.5  RQ5</w:t>
      </w:r>
      <w:r>
        <w:rPr>
          <w:rFonts w:eastAsia="黑体"/>
          <w:b/>
          <w:bCs/>
          <w:sz w:val="23"/>
          <w:szCs w:val="23"/>
        </w:rPr>
        <w:t>：</w:t>
      </w:r>
      <w:r>
        <w:rPr>
          <w:rFonts w:eastAsia="黑体"/>
          <w:b/>
          <w:bCs/>
          <w:sz w:val="23"/>
          <w:szCs w:val="23"/>
        </w:rPr>
        <w:t>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w:t>
      </w:r>
      <w:r>
        <w:rPr>
          <w:sz w:val="20"/>
        </w:rPr>
        <w:lastRenderedPageBreak/>
        <w:t>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rFonts w:ascii="黑体" w:eastAsia="黑体" w:hAnsi="黑体"/>
          <w:b/>
          <w:sz w:val="23"/>
        </w:rPr>
        <w:t>参考文献</w:t>
      </w:r>
    </w:p>
    <w:p w14:paraId="0A7911AD" w14:textId="77777777" w:rsidR="00580E0B" w:rsidRDefault="00000000">
      <w:pPr>
        <w:spacing w:line="288" w:lineRule="auto"/>
        <w:ind w:left="368" w:hanging="368"/>
        <w:jc w:val="left"/>
      </w:pPr>
      <w:r>
        <w:rPr>
          <w:sz w:val="18"/>
        </w:rPr>
        <w:t>[1] WEN X, FENG Q, LYU H, et al. TEEROLLUP: efficient Rollup design using heterogeneous TEE[EB/OL]. arXiv:2409.14647, 2024. https://arxiv.org/abs/2409.14647.</w:t>
      </w:r>
    </w:p>
    <w:p w14:paraId="22A0F70D" w14:textId="77777777" w:rsidR="00580E0B" w:rsidRDefault="00000000">
      <w:pPr>
        <w:spacing w:line="288" w:lineRule="auto"/>
        <w:ind w:left="368" w:hanging="368"/>
        <w:jc w:val="left"/>
      </w:pPr>
      <w:r>
        <w:rPr>
          <w:sz w:val="18"/>
        </w:rPr>
        <w:t xml:space="preserve">[2] BUTERIN V. An incomplete guide to Rollups[EB/OL]. 2021 </w:t>
      </w:r>
      <w:r>
        <w:rPr>
          <w:sz w:val="18"/>
        </w:rPr>
        <w:t>[2026-06-15]. https://vitalik.ca/general/2021/01/05/rollup.html.</w:t>
      </w:r>
    </w:p>
    <w:p w14:paraId="14328325" w14:textId="77777777" w:rsidR="00580E0B" w:rsidRDefault="00000000">
      <w:pPr>
        <w:spacing w:line="288" w:lineRule="auto"/>
        <w:ind w:left="368" w:hanging="368"/>
        <w:jc w:val="left"/>
      </w:pPr>
      <w:r>
        <w:rPr>
          <w:sz w:val="18"/>
        </w:rPr>
        <w:t>[3] ETHEREUM FOUNDATION. Optimistic Rollups[EB/OL]. 2024 [2026-06-15]. https://ethereum.org/en/developers/docs/scaling/optimistic-rollups/.</w:t>
      </w:r>
    </w:p>
    <w:p w14:paraId="70DDD89D" w14:textId="77777777" w:rsidR="00580E0B" w:rsidRDefault="00000000">
      <w:pPr>
        <w:spacing w:line="288" w:lineRule="auto"/>
        <w:ind w:left="368" w:hanging="368"/>
        <w:jc w:val="left"/>
      </w:pPr>
      <w:r>
        <w:rPr>
          <w:sz w:val="18"/>
        </w:rPr>
        <w:t>[4] ARBITRUM FOUNDATION. Arbitrum Nitro technical documentation[EB/OL]. 2024 [2026-06-15]. https://docs.arbitrum.io/.</w:t>
      </w:r>
    </w:p>
    <w:p w14:paraId="09CBE564" w14:textId="77777777" w:rsidR="00580E0B" w:rsidRDefault="00000000">
      <w:pPr>
        <w:spacing w:line="288" w:lineRule="auto"/>
        <w:ind w:left="368" w:hanging="368"/>
        <w:jc w:val="left"/>
      </w:pPr>
      <w:r>
        <w:rPr>
          <w:sz w:val="18"/>
        </w:rPr>
        <w:t>[5] OP LABS. Optimism documentation: fault proofs and dispute games[EB/OL]. 2024 [2026-06-15]. https://docs.optimism.io/.</w:t>
      </w:r>
    </w:p>
    <w:p w14:paraId="6E2BE599" w14:textId="77777777" w:rsidR="00580E0B" w:rsidRDefault="00000000">
      <w:pPr>
        <w:spacing w:line="288" w:lineRule="auto"/>
        <w:ind w:left="368" w:hanging="368"/>
        <w:jc w:val="left"/>
      </w:pPr>
      <w:r>
        <w:rPr>
          <w:sz w:val="18"/>
        </w:rPr>
        <w:t>[6] PICCO G, FORTUGNO A. Dynamic fraud proof[EB/OL]. arXiv:2502.10321, 2025. https://arxiv.org/abs/2502.10321.</w:t>
      </w:r>
    </w:p>
    <w:p w14:paraId="2514083C" w14:textId="77777777" w:rsidR="00580E0B" w:rsidRDefault="00000000">
      <w:pPr>
        <w:spacing w:line="288" w:lineRule="auto"/>
        <w:ind w:left="368" w:hanging="368"/>
        <w:jc w:val="left"/>
      </w:pPr>
      <w:r>
        <w:rPr>
          <w:sz w:val="18"/>
        </w:rPr>
        <w:t>[7] AL-BASSAM M. LazyLedger: a distributed data availability ledger with client-side smart contracts[EB/OL]. arXiv:1905.09274, 2019. https://arxiv.org/abs/1905.09274.</w:t>
      </w:r>
    </w:p>
    <w:p w14:paraId="0C8C9DC6" w14:textId="77777777" w:rsidR="00580E0B" w:rsidRDefault="00000000">
      <w:pPr>
        <w:spacing w:line="288" w:lineRule="auto"/>
        <w:ind w:left="368" w:hanging="368"/>
        <w:jc w:val="left"/>
      </w:pPr>
      <w:r>
        <w:rPr>
          <w:sz w:val="18"/>
        </w:rPr>
        <w:t>[8] TAS E N, TSE D, YANG L, et al. Light clients for lazy blockchains[EB/OL]. arXiv:2203.15968, 2022. https://arxiv.org/abs/2203.15968.</w:t>
      </w:r>
    </w:p>
    <w:p w14:paraId="098D5C58" w14:textId="77777777" w:rsidR="00580E0B" w:rsidRDefault="00000000">
      <w:pPr>
        <w:spacing w:line="288" w:lineRule="auto"/>
        <w:ind w:left="368" w:hanging="368"/>
        <w:jc w:val="left"/>
      </w:pPr>
      <w:r>
        <w:rPr>
          <w:sz w:val="18"/>
        </w:rPr>
        <w:t>[9] EIGENLABS. EigenDA documentation[EB/OL]. 2024 [2026-06-15]. https://docs.eigencloud.xyz/products/eigenda/.</w:t>
      </w:r>
    </w:p>
    <w:p w14:paraId="0F1C6447" w14:textId="77777777" w:rsidR="00580E0B" w:rsidRDefault="00000000">
      <w:pPr>
        <w:spacing w:line="288" w:lineRule="auto"/>
        <w:ind w:left="368" w:hanging="368"/>
        <w:jc w:val="left"/>
      </w:pPr>
      <w:r>
        <w:rPr>
          <w:sz w:val="18"/>
        </w:rPr>
        <w:t>[10] CELESTIA. Celestia: modular blockchain network[EB/OL]. 2024 [2026-06-15]. https://docs.celestia.org/.</w:t>
      </w:r>
    </w:p>
    <w:p w14:paraId="4F3FB622" w14:textId="77777777" w:rsidR="00580E0B" w:rsidRDefault="00000000">
      <w:pPr>
        <w:spacing w:line="288" w:lineRule="auto"/>
        <w:ind w:left="368" w:hanging="368"/>
        <w:jc w:val="left"/>
      </w:pPr>
      <w:r>
        <w:rPr>
          <w:sz w:val="18"/>
        </w:rPr>
        <w:t>[11] INTEL CORPORATION. Intel Software Guard Extensions developer guide[EB/OL]. 2024 [2026-06-15]. https://www.intel.com/content/www/us/en/developer/tools/software-guard-extensions/overview.html.</w:t>
      </w:r>
    </w:p>
    <w:p w14:paraId="5A3B14FC" w14:textId="77777777" w:rsidR="00580E0B" w:rsidRDefault="00000000">
      <w:pPr>
        <w:spacing w:line="288" w:lineRule="auto"/>
        <w:ind w:left="368" w:hanging="368"/>
        <w:jc w:val="left"/>
      </w:pPr>
      <w:r>
        <w:rPr>
          <w:sz w:val="18"/>
        </w:rPr>
        <w:t>[12] ETHEREUM FOUNDATION. EIP-4844: shard blob transactions[EB/OL]. 2024 [2026-06-15]. https://eips.ethereum.org/EIPS/eip-4844.</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5E136" w14:textId="77777777" w:rsidR="000D0D77" w:rsidRDefault="000D0D77">
      <w:pPr>
        <w:spacing w:line="240" w:lineRule="auto"/>
      </w:pPr>
      <w:r>
        <w:separator/>
      </w:r>
    </w:p>
  </w:endnote>
  <w:endnote w:type="continuationSeparator" w:id="0">
    <w:p w14:paraId="157380A9" w14:textId="77777777" w:rsidR="000D0D77" w:rsidRDefault="000D0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B7648" w14:textId="77777777" w:rsidR="000D0D77" w:rsidRDefault="000D0D77">
      <w:r>
        <w:separator/>
      </w:r>
    </w:p>
  </w:footnote>
  <w:footnote w:type="continuationSeparator" w:id="0">
    <w:p w14:paraId="56398D32" w14:textId="77777777" w:rsidR="000D0D77" w:rsidRDefault="000D0D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253</TotalTime>
  <Pages>8</Pages>
  <Words>2276</Words>
  <Characters>12976</Characters>
  <Application>Microsoft Office Word</Application>
  <DocSecurity>0</DocSecurity>
  <Lines>108</Lines>
  <Paragraphs>30</Paragraphs>
  <ScaleCrop>false</ScaleCrop>
  <Company>scp</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41</cp:revision>
  <cp:lastPrinted>2024-12-03T06:07:00Z</cp:lastPrinted>
  <dcterms:created xsi:type="dcterms:W3CDTF">2024-12-03T03:17:00Z</dcterms:created>
  <dcterms:modified xsi:type="dcterms:W3CDTF">2026-06-15T11:03:00Z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