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line="240" w:lineRule="auto"/>
        <w:jc w:val="center"/>
      </w:pPr>
      <w:r>
        <w:rPr>
          <w:rFonts w:ascii="黑体" w:eastAsia="黑体" w:hAnsi="黑体"/>
          <w:b/>
          <w:sz w:val="36"/>
        </w:rPr>
        <w:t>面向高频 DApp 的 Hybrid TEE-Rollup 可恢复挑战协议与轻量 DA 成本评估</w:t>
      </w:r>
    </w:p>
    <w:p w14:paraId="3CCE9428" w14:textId="77777777" w:rsidR="00580E0B" w:rsidRDefault="00000000">
      <w:pPr>
        <w:spacing w:line="240" w:lineRule="auto"/>
        <w:jc w:val="center"/>
      </w:pPr>
      <w:r>
        <w:rPr>
          <w:rFonts w:eastAsia="KaiTi_GB2312"/>
          <w:sz w:val="24"/>
        </w:rPr>
        <w:t>杨帆</w:t>
      </w:r>
    </w:p>
    <w:p w14:paraId="5C1686B7" w14:textId="77777777" w:rsidR="00580E0B" w:rsidRDefault="00000000">
      <w:pPr>
        <w:ind w:firstLine="0"/>
      </w:pPr>
      <w:r>
        <w:rPr>
          <w:rFonts w:eastAsia="KaiTi_GB2312"/>
          <w:b/>
          <w:sz w:val="20"/>
        </w:rPr>
        <w:t>摘</w:t>
      </w:r>
      <w:r>
        <w:rPr>
          <w:rFonts w:eastAsia="KaiTi_GB2312"/>
          <w:b/>
          <w:sz w:val="20"/>
        </w:rPr>
        <w:t xml:space="preserve">  </w:t>
      </w:r>
      <w:r>
        <w:rPr>
          <w:rFonts w:eastAsia="KaiTi_GB2312"/>
          <w:b/>
          <w:sz w:val="20"/>
        </w:rPr>
        <w:t>要：</w:t>
      </w:r>
      <w:r>
        <w:rPr>
          <w:rFonts w:eastAsia="KaiTi_GB2312"/>
          <w:sz w:val="20"/>
        </w:rPr>
        <w:t>高频去中心化应用（</w:t>
      </w:r>
      <w:r>
        <w:rPr>
          <w:rFonts w:eastAsia="KaiTi_GB2312"/>
          <w:sz w:val="20"/>
        </w:rPr>
        <w:t>DApp</w:t>
      </w:r>
      <w:r>
        <w:rPr>
          <w:rFonts w:eastAsia="KaiTi_GB2312"/>
          <w:sz w:val="20"/>
        </w:rPr>
        <w:t>）要求低延迟、低链上开销与公开可验证仲裁并存。本文研究</w:t>
      </w:r>
      <w:r>
        <w:rPr>
          <w:rFonts w:eastAsia="KaiTi_GB2312"/>
          <w:sz w:val="20"/>
        </w:rPr>
        <w:t xml:space="preserve"> Hybrid TEE-Rollup </w:t>
      </w:r>
      <w:r>
        <w:rPr>
          <w:rFonts w:eastAsia="KaiTi_GB2312"/>
          <w:sz w:val="20"/>
        </w:rPr>
        <w:t>中轻量链上承诺、链外数据可用性（</w:t>
      </w:r>
      <w:r>
        <w:rPr>
          <w:rFonts w:eastAsia="KaiTi_GB2312"/>
          <w:sz w:val="20"/>
        </w:rPr>
        <w:t>DA</w:t>
      </w:r>
      <w:r>
        <w:rPr>
          <w:rFonts w:eastAsia="KaiTi_GB2312"/>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KaiTi_GB2312"/>
          <w:sz w:val="20"/>
        </w:rPr>
        <w:t xml:space="preserve">DA </w:t>
      </w:r>
      <w:r>
        <w:rPr>
          <w:rFonts w:eastAsia="KaiTi_GB2312"/>
          <w:sz w:val="20"/>
        </w:rPr>
        <w:t>指针与</w:t>
      </w:r>
      <w:r>
        <w:rPr>
          <w:rFonts w:eastAsia="KaiTi_GB2312"/>
          <w:sz w:val="20"/>
        </w:rPr>
        <w:t xml:space="preserve"> DA </w:t>
      </w:r>
      <w:r>
        <w:rPr>
          <w:rFonts w:eastAsia="KaiTi_GB2312"/>
          <w:sz w:val="20"/>
        </w:rPr>
        <w:t>根；数据可用性感知成本模型用于分析负载规模、批处理摊销与</w:t>
      </w:r>
      <w:r>
        <w:rPr>
          <w:rFonts w:eastAsia="KaiTi_GB2312"/>
          <w:sz w:val="20"/>
        </w:rPr>
        <w:t xml:space="preserve"> DA </w:t>
      </w:r>
      <w:r>
        <w:rPr>
          <w:rFonts w:eastAsia="KaiTi_GB2312"/>
          <w:sz w:val="20"/>
        </w:rPr>
        <w:t>路径选择之间的关系。基于</w:t>
      </w:r>
      <w:r>
        <w:rPr>
          <w:rFonts w:eastAsia="KaiTi_GB2312"/>
          <w:sz w:val="20"/>
        </w:rPr>
        <w:t xml:space="preserve"> Python </w:t>
      </w:r>
      <w:r>
        <w:rPr>
          <w:rFonts w:eastAsia="KaiTi_GB2312"/>
          <w:sz w:val="20"/>
        </w:rPr>
        <w:t>原型、本地</w:t>
      </w:r>
      <w:r>
        <w:rPr>
          <w:rFonts w:eastAsia="KaiTi_GB2312"/>
          <w:sz w:val="20"/>
        </w:rPr>
        <w:t xml:space="preserve"> EVM gas </w:t>
      </w:r>
      <w:r>
        <w:rPr>
          <w:rFonts w:eastAsia="KaiTi_GB2312"/>
          <w:sz w:val="20"/>
        </w:rPr>
        <w:t>测量与</w:t>
      </w:r>
      <w:r>
        <w:rPr>
          <w:rFonts w:eastAsia="KaiTi_GB2312"/>
          <w:sz w:val="20"/>
        </w:rPr>
        <w:t xml:space="preserve"> Sepolia </w:t>
      </w:r>
      <w:r>
        <w:rPr>
          <w:rFonts w:eastAsia="KaiTi_GB2312"/>
          <w:sz w:val="20"/>
        </w:rPr>
        <w:t>部署记录，实验结果表明：紧凑提交平均约为</w:t>
      </w:r>
      <w:r>
        <w:rPr>
          <w:rFonts w:eastAsia="KaiTi_GB2312"/>
          <w:sz w:val="20"/>
        </w:rPr>
        <w:t xml:space="preserve"> 406 </w:t>
      </w:r>
      <w:r>
        <w:rPr>
          <w:rFonts w:eastAsia="KaiTi_GB2312"/>
          <w:sz w:val="20"/>
        </w:rPr>
        <w:t>字节；在负载</w:t>
      </w:r>
      <w:r>
        <w:rPr>
          <w:rFonts w:eastAsia="KaiTi_GB2312"/>
          <w:sz w:val="20"/>
        </w:rPr>
        <w:t xml:space="preserve"> 8192</w:t>
      </w:r>
      <w:r>
        <w:rPr>
          <w:rFonts w:eastAsia="KaiTi_GB2312"/>
          <w:sz w:val="20"/>
        </w:rPr>
        <w:t>、批大小</w:t>
      </w:r>
      <w:r>
        <w:rPr>
          <w:rFonts w:eastAsia="KaiTi_GB2312"/>
          <w:sz w:val="20"/>
        </w:rPr>
        <w:t xml:space="preserve"> 1000 </w:t>
      </w:r>
      <w:r>
        <w:rPr>
          <w:rFonts w:eastAsia="KaiTi_GB2312"/>
          <w:sz w:val="20"/>
        </w:rPr>
        <w:t>的配置下，模块化</w:t>
      </w:r>
      <w:r>
        <w:rPr>
          <w:rFonts w:eastAsia="KaiTi_GB2312"/>
          <w:sz w:val="20"/>
        </w:rPr>
        <w:t xml:space="preserve"> DA </w:t>
      </w:r>
      <w:r>
        <w:rPr>
          <w:rFonts w:eastAsia="KaiTi_GB2312"/>
          <w:sz w:val="20"/>
        </w:rPr>
        <w:t>采样路径的摊销成本估算较全链上调用数据下降</w:t>
      </w:r>
      <w:r>
        <w:rPr>
          <w:rFonts w:eastAsia="KaiTi_GB2312"/>
          <w:sz w:val="20"/>
        </w:rPr>
        <w:t xml:space="preserve"> 96.33%</w:t>
      </w:r>
      <w:r>
        <w:rPr>
          <w:rFonts w:eastAsia="KaiTi_GB2312"/>
          <w:sz w:val="20"/>
        </w:rPr>
        <w:t>；在合成超时场景中，恢复路径可将挑战成功率由</w:t>
      </w:r>
      <w:r>
        <w:rPr>
          <w:rFonts w:eastAsia="KaiTi_GB2312"/>
          <w:sz w:val="20"/>
        </w:rPr>
        <w:t xml:space="preserve"> 0% </w:t>
      </w:r>
      <w:r>
        <w:rPr>
          <w:rFonts w:eastAsia="KaiTi_GB2312"/>
          <w:sz w:val="20"/>
        </w:rPr>
        <w:t>提升至</w:t>
      </w:r>
      <w:r>
        <w:rPr>
          <w:rFonts w:eastAsia="KaiTi_GB2312"/>
          <w:sz w:val="20"/>
        </w:rPr>
        <w:t xml:space="preserve"> 100%</w:t>
      </w:r>
      <w:r>
        <w:rPr>
          <w:rFonts w:eastAsia="KaiTi_GB2312"/>
          <w:sz w:val="20"/>
        </w:rPr>
        <w:t>。本文结论基于模拟</w:t>
      </w:r>
      <w:r>
        <w:rPr>
          <w:rFonts w:eastAsia="KaiTi_GB2312"/>
          <w:sz w:val="20"/>
        </w:rPr>
        <w:t xml:space="preserve"> TEE</w:t>
      </w:r>
      <w:r>
        <w:rPr>
          <w:rFonts w:eastAsia="KaiTi_GB2312"/>
          <w:sz w:val="20"/>
        </w:rPr>
        <w:t>、可验证</w:t>
      </w:r>
      <w:r>
        <w:rPr>
          <w:rFonts w:eastAsia="KaiTi_GB2312"/>
          <w:sz w:val="20"/>
        </w:rPr>
        <w:t xml:space="preserve"> DA </w:t>
      </w:r>
      <w:r>
        <w:rPr>
          <w:rFonts w:eastAsia="KaiTi_GB2312"/>
          <w:sz w:val="20"/>
        </w:rPr>
        <w:t>注册表与配置化成本模型。</w:t>
      </w:r>
    </w:p>
    <w:p w14:paraId="673AFF8F" w14:textId="77777777" w:rsidR="00580E0B" w:rsidRDefault="00000000">
      <w:pPr>
        <w:ind w:firstLine="0"/>
      </w:pPr>
      <w:r>
        <w:rPr>
          <w:rFonts w:eastAsia="KaiTi_GB2312"/>
          <w:b/>
          <w:sz w:val="20"/>
        </w:rPr>
        <w:t>关键词：</w:t>
      </w:r>
      <w:r>
        <w:rPr>
          <w:rFonts w:eastAsia="KaiTi_GB2312"/>
          <w:sz w:val="20"/>
        </w:rPr>
        <w:t>Hybrid TEE-Rollup</w:t>
      </w:r>
      <w:r>
        <w:rPr>
          <w:rFonts w:eastAsia="KaiTi_GB2312"/>
          <w:sz w:val="20"/>
        </w:rPr>
        <w:t>；交互式挑战；数据可用性；高频</w:t>
      </w:r>
      <w:r>
        <w:rPr>
          <w:rFonts w:eastAsia="KaiTi_GB2312"/>
          <w:sz w:val="20"/>
        </w:rPr>
        <w:t xml:space="preserve"> DApp</w:t>
      </w:r>
      <w:r>
        <w:rPr>
          <w:rFonts w:eastAsia="KaiTi_GB2312"/>
          <w:sz w:val="20"/>
        </w:rPr>
        <w:t>；成本摊销；故障恢复</w:t>
      </w:r>
    </w:p>
    <w:p w14:paraId="5D6AEC10" w14:textId="77777777" w:rsidR="00580E0B" w:rsidRDefault="00000000">
      <w:pPr>
        <w:ind w:firstLine="0"/>
        <w:jc w:val="left"/>
      </w:pPr>
      <w:r>
        <w:rPr>
          <w:rFonts w:eastAsia="KaiTi_GB2312"/>
          <w:sz w:val="20"/>
        </w:rPr>
        <w:t>中图分类号：</w:t>
      </w:r>
      <w:r>
        <w:rPr>
          <w:rFonts w:eastAsia="KaiTi_GB2312"/>
          <w:sz w:val="20"/>
        </w:rPr>
        <w:t xml:space="preserve">TP311    </w:t>
      </w:r>
      <w:r>
        <w:rPr>
          <w:rFonts w:eastAsia="KaiTi_GB2312"/>
          <w:sz w:val="20"/>
        </w:rPr>
        <w:t>文献标志码：</w:t>
      </w:r>
      <w:r>
        <w:rPr>
          <w:rFonts w:eastAsia="KaiTi_GB2312"/>
          <w:sz w:val="20"/>
        </w:rPr>
        <w:t>A</w:t>
      </w:r>
    </w:p>
    <w:p w14:paraId="69EEF6DB" w14:textId="77777777" w:rsidR="00580E0B" w:rsidRDefault="00000000">
      <w:pPr>
        <w:spacing w:line="240" w:lineRule="auto"/>
        <w:jc w:val="center"/>
      </w:pPr>
      <w:r>
        <w:rPr>
          <w:rFonts w:eastAsia="Times New Roman"/>
          <w:b/>
          <w:sz w:val="28"/>
        </w:rPr>
        <w:t>Recoverable Challenge Protocol and Lightweight DA Cost Evaluation for</w:t>
      </w:r>
      <w:r>
        <w:rPr>
          <w:rFonts w:eastAsia="Times New Roman"/>
          <w:b/>
          <w:sz w:val="28"/>
        </w:rPr>
        <w:br/>
        <w:t>Hybrid TEE-Rollup in High-Frequency DApps</w:t>
      </w:r>
    </w:p>
    <w:p w14:paraId="0F810F9F" w14:textId="77777777" w:rsidR="00580E0B" w:rsidRDefault="00000000">
      <w:pPr>
        <w:spacing w:line="240" w:lineRule="auto"/>
        <w:jc w:val="center"/>
      </w:pPr>
      <w:r>
        <w:rPr>
          <w:rFonts w:eastAsia="Times New Roman"/>
          <w:sz w:val="24"/>
        </w:rPr>
        <w:t>YANG Fan</w:t>
      </w:r>
    </w:p>
    <w:p w14:paraId="6540F4FE" w14:textId="77777777" w:rsidR="00A179AD" w:rsidRDefault="00000000">
      <w:pPr>
        <w:ind w:firstLine="0"/>
        <w:rPr>
          <w:rFonts w:eastAsiaTheme="minorEastAsia"/>
          <w:sz w:val="20"/>
        </w:rPr>
      </w:pPr>
      <w:r>
        <w:rPr>
          <w:rFonts w:eastAsia="Times New Roman"/>
          <w:b/>
          <w:sz w:val="20"/>
        </w:rPr>
        <w:t xml:space="preserve">Abstract: </w:t>
      </w:r>
      <w:r w:rsidR="00A179AD" w:rsidRPr="00A179AD">
        <w:rPr>
          <w:rFonts w:eastAsia="Times New Roman"/>
          <w:sz w:val="20"/>
        </w:rPr>
        <w:t xml:space="preserve">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w:t>
      </w:r>
      <w:r w:rsidR="00A179AD" w:rsidRPr="00A179AD">
        <w:rPr>
          <w:rFonts w:eastAsia="Times New Roman"/>
          <w:sz w:val="20"/>
        </w:rPr>
        <w:t>the challenge success rate from 0% to 100%. The conclusions of this paper are based on a simulated TEE, a verifiable DA registry, and a configuration-aware cost model.</w:t>
      </w:r>
    </w:p>
    <w:p w14:paraId="080390E3" w14:textId="77777777" w:rsidR="00580E0B" w:rsidRDefault="00000000">
      <w:pPr>
        <w:ind w:firstLine="0"/>
      </w:pPr>
      <w:r>
        <w:rPr>
          <w:rFonts w:eastAsia="Times New Roman"/>
          <w:b/>
          <w:sz w:val="20"/>
        </w:rPr>
        <w:t xml:space="preserve">Key words: </w:t>
      </w:r>
      <w:r>
        <w:rPr>
          <w:rFonts w:eastAsia="Times New Roman"/>
          <w:sz w:val="20"/>
        </w:rPr>
        <w:t>Hybrid TEE-Rollup; interactive challenge; data availability; high-frequency DApp; cost amortization; fault recovery</w:t>
      </w:r>
    </w:p>
    <w:p w14:paraId="0BDA1B6D" w14:textId="77777777" w:rsidR="00580E0B" w:rsidRDefault="00000000">
      <w:pPr>
        <w:spacing w:line="240" w:lineRule="auto"/>
        <w:ind w:firstLine="0"/>
        <w:jc w:val="left"/>
      </w:pPr>
      <w:r>
        <w:rPr>
          <w:rFonts w:ascii="黑体" w:eastAsia="黑体" w:hAnsi="黑体"/>
          <w:b/>
          <w:sz w:val="23"/>
        </w:rPr>
        <w:t>1  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rPr>
          <w:sz w:val="20"/>
        </w:rPr>
        <w:t>现有路线分别覆盖了这一需求的不同侧面。全链上执行公开验证能力强，但高频负载、存储和执行成本直接上链；完全链下执行降低延迟和成本，却缺少用户可依赖的公开仲裁路径；纯</w:t>
      </w:r>
      <w:r>
        <w:rPr>
          <w:sz w:val="20"/>
        </w:rPr>
        <w:t xml:space="preserve"> TEE </w:t>
      </w:r>
      <w:r>
        <w:rPr>
          <w:sz w:val="20"/>
        </w:rPr>
        <w:t>执行降低正常路径验证成本，但仍受硬件和宿主环境影响。</w:t>
      </w:r>
      <w:r>
        <w:rPr>
          <w:sz w:val="20"/>
        </w:rPr>
        <w:t xml:space="preserve">Hybrid TEE-Rollup </w:t>
      </w:r>
      <w:r>
        <w:rPr>
          <w:sz w:val="20"/>
        </w:rPr>
        <w:t>将</w:t>
      </w:r>
      <w:r>
        <w:rPr>
          <w:sz w:val="20"/>
        </w:rPr>
        <w:t xml:space="preserve"> TEE </w:t>
      </w:r>
      <w:r>
        <w:rPr>
          <w:sz w:val="20"/>
        </w:rPr>
        <w:t>快速路径与链上异常路径结合</w:t>
      </w:r>
      <w:r>
        <w:rPr>
          <w:sz w:val="20"/>
          <w:vertAlign w:val="superscript"/>
        </w:rPr>
        <w:t>[1]</w:t>
      </w:r>
      <w:r>
        <w:rPr>
          <w:sz w:val="20"/>
        </w:rPr>
        <w:t>，其风险也集中在异常路径：一旦恢复机制和证据入口缺失，系统会在最需要仲裁时失去协议连续性。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line="240" w:lineRule="auto"/>
        <w:ind w:firstLine="0"/>
        <w:jc w:val="left"/>
      </w:pPr>
      <w:r>
        <w:rPr>
          <w:rFonts w:ascii="黑体" w:eastAsia="黑体" w:hAnsi="黑体"/>
          <w:b/>
          <w:sz w:val="23"/>
        </w:rPr>
        <w:t>1.1  本文贡献</w:t>
      </w:r>
    </w:p>
    <w:p w14:paraId="27D9C6F1" w14:textId="77777777" w:rsidR="00580E0B" w:rsidRDefault="00000000">
      <w:pPr>
        <w:ind w:firstLine="408"/>
      </w:pPr>
      <w:r>
        <w:rPr>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68B1D32E" w14:textId="77777777" w:rsidR="00580E0B" w:rsidRDefault="00000000">
      <w:pPr>
        <w:ind w:firstLine="408"/>
      </w:pPr>
      <w:r>
        <w:rPr>
          <w:sz w:val="20"/>
        </w:rPr>
        <w:t>第二个贡献是携带证据的紧凑提交。该提交将状态</w:t>
      </w:r>
      <w:r>
        <w:rPr>
          <w:sz w:val="20"/>
        </w:rPr>
        <w:lastRenderedPageBreak/>
        <w:t>根、输出哈希、证明哈希、数据可用性指针与数据可用性根绑定在同一上下文中，使链上对象具备重放准备性、证据可追溯性和面向验证的属性。</w:t>
      </w:r>
    </w:p>
    <w:p w14:paraId="2B5B8D80" w14:textId="4C9180CE" w:rsidR="00580E0B" w:rsidRPr="009F6E9C" w:rsidRDefault="00000000" w:rsidP="009F6E9C">
      <w:pPr>
        <w:ind w:firstLine="408"/>
      </w:pPr>
      <w:r>
        <w:rPr>
          <w:sz w:val="20"/>
        </w:rPr>
        <w:t>第三个贡献是数据可用性感知成本模型。该模型用于分析负载缩放、批处理摊销与</w:t>
      </w:r>
      <w:r>
        <w:rPr>
          <w:sz w:val="20"/>
        </w:rPr>
        <w:t xml:space="preserve"> DA </w:t>
      </w:r>
      <w:r>
        <w:rPr>
          <w:sz w:val="20"/>
        </w:rPr>
        <w:t>路径选择，帮助系统设计者理解不同工作负载下的成本边界。</w:t>
      </w:r>
    </w:p>
    <w:p w14:paraId="72502D68" w14:textId="77777777" w:rsidR="00580E0B" w:rsidRDefault="00000000">
      <w:pPr>
        <w:spacing w:line="240" w:lineRule="auto"/>
        <w:ind w:firstLine="0"/>
        <w:jc w:val="left"/>
      </w:pPr>
      <w:r>
        <w:rPr>
          <w:rFonts w:ascii="黑体" w:eastAsia="黑体" w:hAnsi="黑体"/>
          <w:b/>
          <w:sz w:val="23"/>
        </w:rPr>
        <w:t>2  背景与威胁模型</w:t>
      </w:r>
    </w:p>
    <w:p w14:paraId="08EADAAF" w14:textId="77777777" w:rsidR="00580E0B" w:rsidRDefault="00000000">
      <w:pPr>
        <w:spacing w:line="240" w:lineRule="auto"/>
        <w:ind w:firstLine="0"/>
        <w:jc w:val="left"/>
      </w:pPr>
      <w:r>
        <w:rPr>
          <w:rFonts w:ascii="黑体" w:eastAsia="黑体" w:hAnsi="黑体"/>
          <w:b/>
          <w:sz w:val="23"/>
        </w:rPr>
        <w:t>2.1  Rollup、可信执行环境与数据可用性</w:t>
      </w:r>
    </w:p>
    <w:p w14:paraId="34D40E44" w14:textId="77777777" w:rsidR="00580E0B" w:rsidRDefault="00000000">
      <w:pPr>
        <w:ind w:firstLine="408"/>
      </w:pPr>
      <w:r>
        <w:rPr>
          <w:sz w:val="20"/>
        </w:rPr>
        <w:t xml:space="preserve">Rollup </w:t>
      </w:r>
      <w:r>
        <w:rPr>
          <w:sz w:val="20"/>
        </w:rPr>
        <w:t>的基本思想是将大量执行过程移至链下完成，并将状态承诺、证明或争议入口提交到链上</w:t>
      </w:r>
      <w:r>
        <w:rPr>
          <w:sz w:val="20"/>
          <w:vertAlign w:val="superscript"/>
        </w:rPr>
        <w:t>[2]</w:t>
      </w:r>
      <w:r>
        <w:rPr>
          <w:sz w:val="20"/>
        </w:rPr>
        <w:t>。</w:t>
      </w:r>
      <w:r>
        <w:rPr>
          <w:sz w:val="20"/>
        </w:rPr>
        <w:t xml:space="preserve">ZK-Rollup </w:t>
      </w:r>
      <w:r>
        <w:rPr>
          <w:sz w:val="20"/>
        </w:rPr>
        <w:t>通过有效性证明保证提交状态的正确性，验证属性较强，但证明生成、验证电路和系统实现成本较高</w:t>
      </w:r>
      <w:r>
        <w:rPr>
          <w:sz w:val="20"/>
          <w:vertAlign w:val="superscript"/>
        </w:rPr>
        <w:t>[3][4]</w:t>
      </w:r>
      <w:r>
        <w:rPr>
          <w:sz w:val="20"/>
        </w:rPr>
        <w:t>。</w:t>
      </w:r>
      <w:r>
        <w:rPr>
          <w:sz w:val="20"/>
        </w:rPr>
        <w:t xml:space="preserve">Optimistic Rollup </w:t>
      </w:r>
      <w:r>
        <w:rPr>
          <w:sz w:val="20"/>
        </w:rPr>
        <w:t>默认链下执行结果正确，仅在挑战期内出现有效争议时进行仲裁；其链上负担较轻，但争议窗口和交互过程会引入状态不确定性</w:t>
      </w:r>
      <w:r>
        <w:rPr>
          <w:sz w:val="20"/>
          <w:vertAlign w:val="superscript"/>
        </w:rPr>
        <w:t>[5]</w:t>
      </w:r>
      <w:r>
        <w:rPr>
          <w:sz w:val="20"/>
        </w:rPr>
        <w:t>。</w:t>
      </w:r>
    </w:p>
    <w:p w14:paraId="4634245D" w14:textId="77777777" w:rsidR="00580E0B" w:rsidRDefault="00000000">
      <w:pPr>
        <w:ind w:firstLine="408"/>
      </w:pPr>
      <w:r>
        <w:rPr>
          <w:sz w:val="20"/>
        </w:rPr>
        <w:t>乐观挑战是</w:t>
      </w:r>
      <w:r>
        <w:rPr>
          <w:sz w:val="20"/>
        </w:rPr>
        <w:t xml:space="preserve"> Rollup </w:t>
      </w:r>
      <w:r>
        <w:rPr>
          <w:sz w:val="20"/>
        </w:rPr>
        <w:t>系统处理异常的重要机制。典型流程包括提交状态承诺、开启挑战、交互式缩小争议范围，并在必要时执行单步重放或链上仲裁</w:t>
      </w:r>
      <w:r>
        <w:rPr>
          <w:sz w:val="20"/>
          <w:vertAlign w:val="superscript"/>
        </w:rPr>
        <w:t>[6][7][8][9]</w:t>
      </w:r>
      <w:r>
        <w:rPr>
          <w:sz w:val="20"/>
        </w:rPr>
        <w:t>。对于长执行轨迹，二分定位能够将争议定位复杂度从线性扫描降低到对数轮次；挑战过程本身也可能遭遇超时、应答缺失或证据不可用，因此活性和恢复性需要进入协议设计</w:t>
      </w:r>
      <w:r>
        <w:rPr>
          <w:sz w:val="20"/>
          <w:vertAlign w:val="superscript"/>
        </w:rPr>
        <w:t>[10]</w:t>
      </w:r>
      <w:r>
        <w:rPr>
          <w:sz w:val="20"/>
        </w:rPr>
        <w:t>。</w:t>
      </w:r>
    </w:p>
    <w:p w14:paraId="5963DF92" w14:textId="77777777" w:rsidR="00580E0B" w:rsidRDefault="00000000">
      <w:pPr>
        <w:ind w:firstLine="408"/>
      </w:pPr>
      <w:r>
        <w:rPr>
          <w:sz w:val="20"/>
        </w:rPr>
        <w:t>数据可用性关注链下或链外数据能否被验证者获取。模块化区块链和惰性账本等路线将数据可用性从执行验证中解耦，使共识层主要负责数据排序和可用性保证，执行与验证由独立的</w:t>
      </w:r>
      <w:r>
        <w:rPr>
          <w:sz w:val="20"/>
        </w:rPr>
        <w:t xml:space="preserve"> Rollup </w:t>
      </w:r>
      <w:r>
        <w:rPr>
          <w:sz w:val="20"/>
        </w:rPr>
        <w:t>或客户端完成</w:t>
      </w:r>
      <w:r>
        <w:rPr>
          <w:sz w:val="20"/>
          <w:vertAlign w:val="superscript"/>
        </w:rPr>
        <w:t>[11][12][13][14]</w:t>
      </w:r>
      <w:r>
        <w:rPr>
          <w:sz w:val="20"/>
        </w:rPr>
        <w:t>。当执行者将完整负载放在数据可用性层而非链上时，链上提交必须与数据可用性条目形成可验证绑定。</w:t>
      </w:r>
    </w:p>
    <w:p w14:paraId="6784D16F" w14:textId="77777777" w:rsidR="00580E0B" w:rsidRDefault="00000000">
      <w:pPr>
        <w:spacing w:line="240" w:lineRule="auto"/>
        <w:ind w:firstLine="0"/>
        <w:jc w:val="left"/>
      </w:pPr>
      <w:r>
        <w:rPr>
          <w:rFonts w:ascii="黑体" w:eastAsia="黑体" w:hAnsi="黑体"/>
          <w:b/>
          <w:sz w:val="23"/>
        </w:rPr>
        <w:t>2.2  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w:t>
      </w:r>
      <w:r>
        <w:rPr>
          <w:sz w:val="20"/>
        </w:rPr>
        <w:t>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line="240" w:lineRule="auto"/>
        <w:ind w:firstLine="0"/>
        <w:jc w:val="left"/>
      </w:pPr>
      <w:r>
        <w:rPr>
          <w:rFonts w:ascii="黑体" w:eastAsia="黑体" w:hAnsi="黑体"/>
          <w:b/>
          <w:sz w:val="23"/>
        </w:rPr>
        <w:t>3  系统概览</w:t>
      </w:r>
    </w:p>
    <w:p w14:paraId="0B6E04D2" w14:textId="77777777" w:rsidR="00580E0B" w:rsidRDefault="00000000">
      <w:pPr>
        <w:ind w:firstLine="408"/>
      </w:pPr>
      <w:r>
        <w:rPr>
          <w:sz w:val="20"/>
        </w:rPr>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p>
      <w:pPr>
        <w:sectPr>
          <w:type w:val="continuous"/>
          <w:cols w:num="2" w:space="420"/>
        </w:sectPr>
      </w:pPr>
    </w:p>
    <w:tbl>
      <w:tblPr>
        <w:tblW w:w="9905"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9905"/>
      </w:tblGrid>
      <w:tr w:rsidR="00580E0B" w14:paraId="479A4AAB" w14:textId="77777777">
        <w:trPr>
          <w:jc w:val="center"/>
        </w:trPr>
        <w:tc>
          <w:tcPr>
            <w:tcW w:w="9905" w:type="dxa"/>
            <w:tcBorders>
              <w:bottom w:val="single" w:sz="6" w:space="0" w:color="000000"/>
            </w:tcBorders>
            <w:vAlign w:val="center"/>
          </w:tcPr>
          <w:p w14:paraId="16BBABAE" w14:textId="77777777" w:rsidR="00580E0B" w:rsidRDefault="00000000">
            <w:pPr>
              <w:keepNext/>
              <w:spacing w:line="240" w:lineRule="auto" w:before="0" w:after="0"/>
              <w:ind w:firstLine="0"/>
              <w:jc w:val="center"/>
            </w:pPr>
            <w:r>
              <w:rPr>
                <w:noProof/>
                <w:sz w:val="15"/>
                <w:szCs w:val="15"/>
              </w:rPr>
              <w:drawing>
                <wp:inline distT="0" distB="0" distL="0" distR="0" wp14:anchorId="28C7701B" wp14:editId="25151C8C">
                  <wp:extent cx="6289852" cy="2358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289852" cy="2358694"/>
                          </a:xfrm>
                          <a:prstGeom prst="rect">
                            <a:avLst/>
                          </a:prstGeom>
                        </pic:spPr>
                      </pic:pic>
                    </a:graphicData>
                  </a:graphic>
                </wp:inline>
              </w:drawing>
            </w:r>
          </w:p>
          <w:p w14:paraId="38B5FF50" w14:textId="77777777" w:rsidR="00580E0B" w:rsidRDefault="00000000">
            <w:pPr>
              <w:spacing w:line="240" w:lineRule="auto" w:before="0" w:after="0"/>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240" w:lineRule="auto" w:before="0" w:after="0"/>
              <w:ind w:firstLine="0"/>
              <w:jc w:val="center"/>
            </w:pPr>
            <w:r>
              <w:rPr>
                <w:sz w:val="15"/>
                <w:szCs w:val="15"/>
              </w:rPr>
              <w:t>Fig.1  Prototype architecture of Hybrid TEE-Rollup</w:t>
            </w:r>
          </w:p>
        </w:tc>
      </w:tr>
    </w:tbl>
    <w:p>
      <w:pPr>
        <w:sectPr>
          <w:type w:val="continuous"/>
          <w:cols w:num="1"/>
        </w:sectPr>
      </w:pPr>
    </w:p>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line="240" w:lineRule="auto"/>
        <w:ind w:firstLine="0"/>
        <w:jc w:val="left"/>
      </w:pPr>
      <w:r>
        <w:rPr>
          <w:rFonts w:ascii="黑体" w:eastAsia="黑体" w:hAnsi="黑体"/>
          <w:b/>
          <w:sz w:val="23"/>
        </w:rPr>
        <w:t>3.1  执行层与正常路径</w:t>
      </w:r>
    </w:p>
    <w:p w14:paraId="78AC3AF1" w14:textId="77777777" w:rsidR="00580E0B" w:rsidRDefault="00000000">
      <w:pPr>
        <w:ind w:firstLine="408"/>
      </w:pPr>
      <w:r>
        <w:rPr>
          <w:sz w:val="20"/>
        </w:rPr>
        <w:t>执行层负责处理高频</w:t>
      </w:r>
      <w:r>
        <w:rPr>
          <w:sz w:val="20"/>
        </w:rPr>
        <w:t xml:space="preserve"> DApp </w:t>
      </w:r>
      <w:r>
        <w:rPr>
          <w:sz w:val="20"/>
        </w:rPr>
        <w:t>请求。当前原型采用确定性模拟模型或可选模型后端生成响应，并使用模拟可信执行环境远程证明对输入哈希、输出哈希、</w:t>
      </w:r>
      <w:r>
        <w:rPr>
          <w:sz w:val="20"/>
        </w:rPr>
        <w:t xml:space="preserve">nonce </w:t>
      </w:r>
      <w:r>
        <w:rPr>
          <w:sz w:val="20"/>
        </w:rPr>
        <w:t>和执行环境标识进行绑定</w:t>
      </w:r>
      <w:r>
        <w:rPr>
          <w:sz w:val="20"/>
          <w:vertAlign w:val="superscript"/>
        </w:rPr>
        <w:t>[15][16]</w:t>
      </w:r>
      <w:r>
        <w:rPr>
          <w:sz w:val="20"/>
        </w:rP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line="240" w:lineRule="auto"/>
        <w:ind w:firstLine="0"/>
        <w:jc w:val="left"/>
      </w:pPr>
      <w:r>
        <w:rPr>
          <w:rFonts w:ascii="黑体" w:eastAsia="黑体" w:hAnsi="黑体"/>
          <w:b/>
          <w:sz w:val="23"/>
        </w:rPr>
        <w:t>3.2  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lastRenderedPageBreak/>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line="240" w:lineRule="auto"/>
        <w:ind w:firstLine="0"/>
        <w:jc w:val="left"/>
      </w:pPr>
      <w:r>
        <w:rPr>
          <w:rFonts w:ascii="黑体" w:eastAsia="黑体" w:hAnsi="黑体"/>
          <w:b/>
          <w:sz w:val="23"/>
        </w:rPr>
        <w:t>3.3  验证层与恢复触发</w:t>
      </w:r>
    </w:p>
    <w:p w14:paraId="6B2E75FC" w14:textId="77777777" w:rsidR="00580E0B" w:rsidRDefault="00000000">
      <w:pPr>
        <w:ind w:firstLine="408"/>
      </w:pPr>
      <w:r>
        <w:rPr>
          <w:sz w:val="20"/>
        </w:rPr>
        <w:t>验证层负责处理异常路径。当前原型实现挑战打开、响应、步骤、恢复、重放和结算等状态推进；争议出现后，验证层通过证据加载、二分定位、单步重放和仲裁结算，将异常状态推进为可解释的协议结果</w:t>
      </w:r>
      <w:r>
        <w:rPr>
          <w:sz w:val="20"/>
          <w:vertAlign w:val="superscript"/>
        </w:rPr>
        <w:t>[17]</w:t>
      </w:r>
      <w:r>
        <w:rPr>
          <w:sz w:val="20"/>
        </w:rP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line="240" w:lineRule="auto"/>
        <w:ind w:firstLine="0"/>
        <w:jc w:val="left"/>
      </w:pPr>
      <w:r>
        <w:rPr>
          <w:rFonts w:ascii="黑体" w:eastAsia="黑体" w:hAnsi="黑体"/>
          <w:b/>
          <w:sz w:val="23"/>
        </w:rPr>
        <w:t>4  核心机制与成本评估</w:t>
      </w:r>
    </w:p>
    <w:p w14:paraId="3BE11A6A" w14:textId="77777777" w:rsidR="0091511F" w:rsidRDefault="00000000">
      <w:pPr>
        <w:spacing w:line="240" w:lineRule="auto"/>
        <w:ind w:firstLine="0"/>
        <w:jc w:val="left"/>
      </w:pPr>
      <w:r>
        <w:rPr>
          <w:rFonts w:ascii="黑体" w:eastAsia="黑体" w:hAnsi="黑体"/>
          <w:b/>
          <w:sz w:val="23"/>
        </w:rPr>
        <w:t>4.1  可恢复挑战协议</w:t>
      </w:r>
    </w:p>
    <w:p w14:paraId="45BF1AB7" w14:textId="77777777" w:rsidR="00580E0B" w:rsidRDefault="00000000">
      <w:pPr>
        <w:spacing w:line="240" w:lineRule="auto"/>
        <w:ind w:firstLine="0"/>
        <w:jc w:val="left"/>
      </w:pPr>
      <w:r>
        <w:rPr>
          <w:rFonts w:ascii="黑体" w:eastAsia="黑体" w:hAnsi="黑体"/>
          <w:b/>
          <w:sz w:val="21"/>
        </w:rPr>
        <w:t>4.1.1  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line="240" w:lineRule="auto"/>
        <w:ind w:firstLine="0"/>
        <w:jc w:val="left"/>
      </w:pPr>
      <w:r>
        <w:rPr>
          <w:rFonts w:ascii="黑体" w:eastAsia="黑体" w:hAnsi="黑体"/>
          <w:b/>
          <w:sz w:val="21"/>
        </w:rPr>
        <w:t>4.1.2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p>
      <w:pPr>
        <w:sectPr>
          <w:type w:val="continuous"/>
          <w:cols w:num="2" w:space="420"/>
        </w:sectPr>
      </w:pPr>
    </w:p>
    <w:tbl>
      <w:tblPr>
        <w:tblW w:w="9905"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9905"/>
      </w:tblGrid>
      <w:tr w:rsidR="00580E0B" w14:paraId="55B91054" w14:textId="77777777">
        <w:trPr>
          <w:jc w:val="center"/>
        </w:trPr>
        <w:tc>
          <w:tcPr>
            <w:tcW w:w="9905" w:type="dxa"/>
            <w:tcBorders>
              <w:bottom w:val="single" w:sz="6" w:space="0" w:color="000000"/>
            </w:tcBorders>
            <w:vAlign w:val="center"/>
          </w:tcPr>
          <w:p w14:paraId="5699059A" w14:textId="77777777" w:rsidR="00580E0B" w:rsidRDefault="00000000">
            <w:pPr>
              <w:keepNext/>
              <w:spacing w:line="240" w:lineRule="auto" w:before="0" w:after="0"/>
              <w:ind w:firstLine="0"/>
              <w:jc w:val="center"/>
            </w:pPr>
            <w:r>
              <w:rPr>
                <w:noProof/>
                <w:sz w:val="15"/>
                <w:szCs w:val="15"/>
              </w:rPr>
              <w:drawing>
                <wp:inline distT="0" distB="0" distL="0" distR="0" wp14:anchorId="422C6E65" wp14:editId="72878F1E">
                  <wp:extent cx="6289852" cy="196557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289852" cy="1965578"/>
                          </a:xfrm>
                          <a:prstGeom prst="rect">
                            <a:avLst/>
                          </a:prstGeom>
                        </pic:spPr>
                      </pic:pic>
                    </a:graphicData>
                  </a:graphic>
                </wp:inline>
              </w:drawing>
            </w:r>
          </w:p>
          <w:p w14:paraId="4778B8DD" w14:textId="77777777" w:rsidR="00580E0B" w:rsidRDefault="00000000">
            <w:pPr>
              <w:spacing w:line="240" w:lineRule="auto" w:before="0" w:after="0"/>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240" w:lineRule="auto" w:before="0" w:after="0"/>
              <w:ind w:firstLine="0"/>
              <w:jc w:val="center"/>
            </w:pPr>
            <w:r>
              <w:rPr>
                <w:sz w:val="15"/>
                <w:szCs w:val="15"/>
              </w:rPr>
              <w:t>Fig.2  Workflow of the recoverable challenge protocol</w:t>
            </w:r>
          </w:p>
        </w:tc>
      </w:tr>
    </w:tbl>
    <w:p>
      <w:pPr>
        <w:sectPr>
          <w:type w:val="continuous"/>
          <w:cols w:num="1"/>
        </w:sectPr>
      </w:pPr>
    </w:p>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18AE3964" w14:textId="77777777" w:rsidR="00580E0B" w:rsidRDefault="00000000">
      <w:pPr>
        <w:ind w:firstLine="408"/>
      </w:pPr>
      <w:r>
        <w:rPr>
          <w:sz w:val="20"/>
        </w:rPr>
        <w:t>当争议区间被缩小到单步时，协议进入单步重放。重</w:t>
      </w:r>
      <w:r>
        <w:rPr>
          <w:sz w:val="20"/>
        </w:rPr>
        <w:lastRenderedPageBreak/>
        <w:t>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line="240" w:lineRule="auto"/>
        <w:ind w:firstLine="0"/>
        <w:jc w:val="left"/>
      </w:pPr>
      <w:r>
        <w:rPr>
          <w:rFonts w:ascii="黑体" w:eastAsia="黑体" w:hAnsi="黑体"/>
          <w:b/>
          <w:sz w:val="21"/>
        </w:rPr>
        <w:t>4.1.3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w:t>
      </w:r>
      <w:r>
        <w:rPr>
          <w:sz w:val="20"/>
        </w:rPr>
        <w:t>一致。该性质说明争议定位的开销增长与理论对数趋势一致，使得执行轨迹较长时挑战的交互成本仍可接受。</w:t>
      </w:r>
    </w:p>
    <w:p w14:paraId="60D66895" w14:textId="77777777" w:rsidR="00580E0B" w:rsidRDefault="00000000">
      <w:pPr>
        <w:spacing w:line="240" w:lineRule="auto"/>
        <w:ind w:firstLine="0"/>
        <w:jc w:val="left"/>
      </w:pPr>
      <w:r>
        <w:rPr>
          <w:rFonts w:ascii="黑体" w:eastAsia="黑体" w:hAnsi="黑体"/>
          <w:b/>
          <w:sz w:val="21"/>
        </w:rPr>
        <w:t>4.1.4  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r>
        <w:rPr>
          <w:sz w:val="20"/>
          <w:vertAlign w:val="superscript"/>
        </w:rPr>
        <w:t>[18]</w:t>
      </w:r>
      <w:r>
        <w:rPr>
          <w:sz w:val="20"/>
        </w:rPr>
        <w:t>。</w:t>
      </w:r>
    </w:p>
    <w:p w14:paraId="1F058BE2" w14:textId="77777777" w:rsidR="00580E0B" w:rsidRDefault="00000000">
      <w:pPr>
        <w:spacing w:line="240" w:lineRule="auto"/>
        <w:ind w:firstLine="0"/>
        <w:jc w:val="left"/>
      </w:pPr>
      <w:r>
        <w:rPr>
          <w:rFonts w:ascii="黑体" w:eastAsia="黑体" w:hAnsi="黑体"/>
          <w:b/>
          <w:sz w:val="21"/>
        </w:rPr>
        <w:t>4.1.4.1  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line="240" w:lineRule="auto"/>
        <w:ind w:firstLine="0"/>
        <w:jc w:val="left"/>
      </w:pPr>
      <w:r>
        <w:rPr>
          <w:rFonts w:ascii="黑体" w:eastAsia="黑体" w:hAnsi="黑体"/>
          <w:b/>
          <w:sz w:val="21"/>
        </w:rPr>
        <w:t>4.1.4.2  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lastRenderedPageBreak/>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line="240" w:lineRule="auto"/>
        <w:ind w:firstLine="0"/>
        <w:jc w:val="left"/>
      </w:pPr>
      <w:r>
        <w:rPr>
          <w:rFonts w:ascii="黑体" w:eastAsia="黑体" w:hAnsi="黑体"/>
          <w:b/>
          <w:sz w:val="21"/>
        </w:rPr>
        <w:t>4.1.4.3  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31FCB3CC" w14:textId="77777777" w:rsidR="00580E0B" w:rsidRDefault="00000000">
      <w:pPr>
        <w:spacing w:line="240" w:lineRule="auto"/>
        <w:ind w:firstLine="0"/>
        <w:jc w:val="left"/>
      </w:pPr>
      <w:r>
        <w:rPr>
          <w:rFonts w:ascii="黑体" w:eastAsia="黑体" w:hAnsi="黑体"/>
          <w:b/>
          <w:sz w:val="21"/>
        </w:rPr>
        <w:t>4.1.4.4  恢复操作正确性与抗滥用边界</w:t>
      </w:r>
    </w:p>
    <w:p w14:paraId="468A5E0B" w14:textId="77777777" w:rsidR="00580E0B" w:rsidRDefault="00000000">
      <w:pPr>
        <w:ind w:firstLine="408"/>
      </w:pPr>
      <w:r>
        <w:rPr>
          <w:sz w:val="20"/>
        </w:rPr>
        <w:t>恢复操作的协议安全性可以从两个角度考察：操作本身的正确性边界，以及恶意节点是否可能通过滥用恢复来破坏协议。两者可合并分析。</w:t>
      </w:r>
    </w:p>
    <w:p w14:paraId="4546AA08" w14:textId="77777777" w:rsidR="00580E0B" w:rsidRDefault="00000000">
      <w:pPr>
        <w:ind w:firstLine="408"/>
      </w:pPr>
      <w:r>
        <w:rPr>
          <w:sz w:val="20"/>
        </w:rPr>
        <w:t>恢复操作允许修改的状态：超时计时器、会话推进状态标记和交互窗口。这些字段属于活性层，它们的修改使停滞会话重新获得推进能力。</w:t>
      </w:r>
    </w:p>
    <w:p w14:paraId="42F5CD2C" w14:textId="77777777" w:rsidR="00580E0B" w:rsidRDefault="00000000">
      <w:pPr>
        <w:ind w:firstLine="408"/>
      </w:pPr>
      <w:r>
        <w:rPr>
          <w:sz w:val="20"/>
        </w:rPr>
        <w:t>恢复操作不允许修改的状态：重放证据（预期哈希、</w:t>
      </w:r>
      <w:r>
        <w:rPr>
          <w:sz w:val="20"/>
        </w:rPr>
        <w:t>声明哈希和目标步骤）、执行轨迹承诺（二分缩小区间信息）、</w:t>
      </w:r>
      <w:r>
        <w:rPr>
          <w:sz w:val="20"/>
        </w:rPr>
        <w:t xml:space="preserve">DA </w:t>
      </w:r>
      <w:r>
        <w:rPr>
          <w:sz w:val="20"/>
        </w:rPr>
        <w:t>指针、</w:t>
      </w:r>
      <w:r>
        <w:rPr>
          <w:sz w:val="20"/>
        </w:rPr>
        <w:t xml:space="preserve">DA Merkle </w:t>
      </w:r>
      <w:r>
        <w:rPr>
          <w:sz w:val="20"/>
        </w:rPr>
        <w:t>根、</w:t>
      </w:r>
      <w:r>
        <w:rPr>
          <w:sz w:val="20"/>
        </w:rPr>
        <w:t xml:space="preserve">Merkle </w:t>
      </w:r>
      <w:r>
        <w:rPr>
          <w:sz w:val="20"/>
        </w:rPr>
        <w:t>证明路径和不一致证据。这些字段属于正确性层，恢复操作不能越过此边界。</w:t>
      </w:r>
    </w:p>
    <w:p w14:paraId="7435EAE4" w14:textId="750EA934" w:rsidR="00580E0B" w:rsidRDefault="00000000" w:rsidP="00A94994">
      <w:pPr>
        <w:ind w:firstLine="408"/>
      </w:pPr>
      <w:r>
        <w:rPr>
          <w:sz w:val="20"/>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1C420DE5" w14:textId="77777777" w:rsidR="00580E0B" w:rsidRDefault="00000000">
      <w:pPr>
        <w:spacing w:line="240" w:lineRule="auto"/>
        <w:ind w:firstLine="0"/>
        <w:jc w:val="left"/>
      </w:pPr>
      <w:r>
        <w:rPr>
          <w:rFonts w:ascii="黑体" w:eastAsia="黑体" w:hAnsi="黑体"/>
          <w:b/>
          <w:sz w:val="23"/>
        </w:rPr>
        <w:t>4.2  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line="240" w:lineRule="auto"/>
        <w:ind w:firstLine="0"/>
        <w:jc w:val="left"/>
      </w:pPr>
      <w:r>
        <w:rPr>
          <w:rFonts w:ascii="黑体" w:eastAsia="黑体" w:hAnsi="黑体"/>
          <w:b/>
          <w:sz w:val="23"/>
        </w:rPr>
        <w:t>4.3  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rPr>
          <w:sz w:val="20"/>
        </w:rPr>
        <w:t>模型比较四类</w:t>
      </w:r>
      <w:r>
        <w:rPr>
          <w:sz w:val="20"/>
        </w:rPr>
        <w:t xml:space="preserve"> DA </w:t>
      </w:r>
      <w:r>
        <w:rPr>
          <w:sz w:val="20"/>
        </w:rPr>
        <w:t>路径：全链上调用数据、紧凑外部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vertAlign w:val="superscript"/>
        </w:rPr>
        <w:t>[19]</w:t>
      </w:r>
      <w:r>
        <w:rPr>
          <w:sz w:val="20"/>
        </w:rPr>
        <w:t>。该比较作为研究原型的成本建模工具，用于刻画不</w:t>
      </w:r>
      <w:r>
        <w:rPr>
          <w:sz w:val="20"/>
        </w:rPr>
        <w:lastRenderedPageBreak/>
        <w:t>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line="240" w:lineRule="auto"/>
        <w:ind w:firstLine="0"/>
        <w:jc w:val="left"/>
      </w:pPr>
      <w:r>
        <w:rPr>
          <w:rFonts w:ascii="黑体" w:eastAsia="黑体" w:hAnsi="黑体"/>
          <w:b/>
          <w:sz w:val="23"/>
        </w:rPr>
        <w:t>5  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77777777" w:rsidR="00580E0B" w:rsidRDefault="00000000">
      <w:pPr>
        <w:spacing w:line="240" w:lineRule="auto"/>
        <w:ind w:firstLine="0"/>
        <w:jc w:val="left"/>
      </w:pPr>
      <w:r>
        <w:rPr>
          <w:rFonts w:ascii="黑体" w:eastAsia="黑体" w:hAnsi="黑体"/>
          <w:b/>
          <w:sz w:val="23"/>
        </w:rPr>
        <w:t>5.1  RQ1：紧凑提交能否降低链上提交规模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w:t>
      </w:r>
      <w:r>
        <w:rPr>
          <w:sz w:val="20"/>
        </w:rPr>
        <w:t>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77777777" w:rsidR="00580E0B" w:rsidRDefault="00000000">
      <w:pPr>
        <w:spacing w:line="240" w:lineRule="auto"/>
        <w:ind w:firstLine="0"/>
        <w:jc w:val="left"/>
      </w:pPr>
      <w:r>
        <w:rPr>
          <w:rFonts w:ascii="黑体" w:eastAsia="黑体" w:hAnsi="黑体"/>
          <w:b/>
          <w:sz w:val="23"/>
        </w:rPr>
        <w:t>5.2  RQ2：批大小如何影响 DA 感知摊销成本</w:t>
      </w:r>
    </w:p>
    <w:p w14:paraId="3B697DC6"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77777777" w:rsidR="00580E0B" w:rsidRDefault="00000000">
      <w:pPr>
        <w:spacing w:line="240" w:lineRule="auto"/>
        <w:ind w:firstLine="0"/>
        <w:jc w:val="left"/>
      </w:pPr>
      <w:r>
        <w:rPr>
          <w:rFonts w:ascii="黑体" w:eastAsia="黑体" w:hAnsi="黑体"/>
          <w:b/>
          <w:sz w:val="23"/>
        </w:rPr>
        <w:t>5.3  RQ3：恢复机制能否改善超时场景下的挑战活性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lastRenderedPageBreak/>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line="240" w:lineRule="auto"/>
        <w:ind w:firstLine="0"/>
        <w:jc w:val="left"/>
      </w:pPr>
      <w:r>
        <w:rPr>
          <w:rFonts w:ascii="黑体" w:eastAsia="黑体" w:hAnsi="黑体"/>
          <w:b/>
          <w:sz w:val="21"/>
        </w:rPr>
        <w:t>5.3.1  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中两条合约路径的相对开销。</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14BEA22A" w14:textId="77777777">
        <w:trPr>
          <w:jc w:val="center"/>
        </w:trPr>
        <w:tc>
          <w:tcPr>
            <w:tcW w:w="4464" w:type="dxa"/>
            <w:tcBorders>
              <w:bottom w:val="single" w:sz="6" w:space="0" w:color="000000"/>
            </w:tcBorders>
            <w:vAlign w:val="center"/>
          </w:tcPr>
          <w:p w14:paraId="6A8270C2" w14:textId="77777777" w:rsidR="00580E0B" w:rsidRDefault="00000000">
            <w:pPr>
              <w:keepNext/>
              <w:spacing w:line="180" w:lineRule="auto"/>
              <w:ind w:firstLine="0"/>
              <w:jc w:val="center"/>
            </w:pPr>
            <w:r>
              <w:rPr>
                <w:noProof/>
                <w:sz w:val="15"/>
                <w:szCs w:val="15"/>
              </w:rPr>
              <w:drawing>
                <wp:inline distT="0" distB="0" distL="0" distR="0" wp14:anchorId="536CC416" wp14:editId="0EAB5EC8">
                  <wp:extent cx="2834640" cy="1602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4640" cy="1602364"/>
                          </a:xfrm>
                          <a:prstGeom prst="rect">
                            <a:avLst/>
                          </a:prstGeom>
                        </pic:spPr>
                      </pic:pic>
                    </a:graphicData>
                  </a:graphic>
                </wp:inline>
              </w:drawing>
            </w:r>
          </w:p>
          <w:p w14:paraId="292CBE1C" w14:textId="77777777" w:rsidR="00580E0B" w:rsidRDefault="00000000">
            <w:pPr>
              <w:spacing w:line="180" w:lineRule="auto"/>
              <w:ind w:firstLine="0"/>
              <w:jc w:val="center"/>
            </w:pPr>
            <w:r>
              <w:rPr>
                <w:sz w:val="15"/>
                <w:szCs w:val="15"/>
              </w:rPr>
              <w:t>图</w:t>
            </w:r>
            <w:r>
              <w:rPr>
                <w:sz w:val="15"/>
                <w:szCs w:val="15"/>
              </w:rPr>
              <w:t xml:space="preserve"> 5  </w:t>
            </w:r>
            <w:r>
              <w:rPr>
                <w:sz w:val="15"/>
                <w:szCs w:val="15"/>
              </w:rPr>
              <w:t>二分挑战轮次与轨迹步数的关系</w:t>
            </w:r>
          </w:p>
          <w:p w14:paraId="348606C6" w14:textId="77777777" w:rsidR="00580E0B" w:rsidRDefault="00000000">
            <w:pPr>
              <w:spacing w:line="180" w:lineRule="auto"/>
              <w:ind w:firstLine="0"/>
              <w:jc w:val="center"/>
            </w:pPr>
            <w:r>
              <w:rPr>
                <w:sz w:val="15"/>
                <w:szCs w:val="15"/>
              </w:rPr>
              <w:t>Fig.5  Relationship between bisection rounds and trace steps</w:t>
            </w:r>
          </w:p>
        </w:tc>
      </w:tr>
      <w:tr w:rsidR="00580E0B" w14:paraId="07D96190" w14:textId="77777777">
        <w:trPr>
          <w:jc w:val="center"/>
        </w:trPr>
        <w:tc>
          <w:tcPr>
            <w:tcW w:w="4464" w:type="dxa"/>
            <w:vAlign w:val="center"/>
          </w:tcPr>
          <w:p w14:paraId="705FDCA1" w14:textId="77777777" w:rsidR="00580E0B" w:rsidRDefault="00000000">
            <w:pPr>
              <w:keepNext/>
              <w:spacing w:line="180" w:lineRule="auto"/>
              <w:ind w:firstLine="0"/>
              <w:jc w:val="center"/>
            </w:pPr>
            <w:r>
              <w:rPr>
                <w:noProof/>
                <w:sz w:val="15"/>
                <w:szCs w:val="15"/>
              </w:rPr>
              <w:drawing>
                <wp:inline distT="0" distB="0" distL="0" distR="0" wp14:anchorId="5F5FC983" wp14:editId="78C2A2E5">
                  <wp:extent cx="2834640" cy="1856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856523"/>
                          </a:xfrm>
                          <a:prstGeom prst="rect">
                            <a:avLst/>
                          </a:prstGeom>
                        </pic:spPr>
                      </pic:pic>
                    </a:graphicData>
                  </a:graphic>
                </wp:inline>
              </w:drawing>
            </w:r>
          </w:p>
          <w:p w14:paraId="289FEF3F" w14:textId="77777777" w:rsidR="00580E0B" w:rsidRDefault="00000000">
            <w:pPr>
              <w:spacing w:line="180" w:lineRule="auto"/>
              <w:ind w:firstLine="0"/>
              <w:jc w:val="center"/>
            </w:pPr>
            <w:r>
              <w:rPr>
                <w:sz w:val="15"/>
                <w:szCs w:val="15"/>
              </w:rPr>
              <w:t>图</w:t>
            </w:r>
            <w:r>
              <w:rPr>
                <w:sz w:val="15"/>
                <w:szCs w:val="15"/>
              </w:rPr>
              <w:t xml:space="preserve"> 6  </w:t>
            </w:r>
            <w:r>
              <w:rPr>
                <w:sz w:val="15"/>
                <w:szCs w:val="15"/>
              </w:rPr>
              <w:t>超时恢复对挑战完成率的影响</w:t>
            </w:r>
          </w:p>
          <w:p w14:paraId="1AAA06F3" w14:textId="77777777" w:rsidR="00580E0B" w:rsidRDefault="00000000">
            <w:pPr>
              <w:spacing w:line="180" w:lineRule="auto"/>
              <w:ind w:firstLine="0"/>
              <w:jc w:val="center"/>
            </w:pPr>
            <w:r>
              <w:rPr>
                <w:sz w:val="15"/>
                <w:szCs w:val="15"/>
              </w:rPr>
              <w:t>Fig.6  Impact of timeout recovery on challenge completion rate</w:t>
            </w:r>
          </w:p>
        </w:tc>
      </w:tr>
    </w:tbl>
    <w:p w14:paraId="39807727" w14:textId="77777777" w:rsidR="00580E0B" w:rsidRDefault="00000000">
      <w:pPr>
        <w:spacing w:line="240" w:lineRule="auto"/>
        <w:ind w:firstLine="0"/>
        <w:jc w:val="left"/>
      </w:pPr>
      <w:r>
        <w:rPr>
          <w:rFonts w:ascii="黑体" w:eastAsia="黑体" w:hAnsi="黑体"/>
          <w:b/>
          <w:sz w:val="23"/>
        </w:rPr>
        <w:t>5.4  RQ4：不同故障场景能否被检测、恢复或惩罚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w:t>
      </w:r>
      <w:r>
        <w:rPr>
          <w:sz w:val="20"/>
        </w:rPr>
        <w:t>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77777777" w:rsidR="00580E0B" w:rsidRDefault="00000000">
      <w:pPr>
        <w:spacing w:line="240" w:lineRule="auto"/>
        <w:ind w:firstLine="0"/>
        <w:jc w:val="left"/>
      </w:pPr>
      <w:r>
        <w:rPr>
          <w:rFonts w:ascii="黑体" w:eastAsia="黑体" w:hAnsi="黑体"/>
          <w:b/>
          <w:sz w:val="23"/>
        </w:rPr>
        <w:t>5.5  RQ5：Solidity、本地 EVM 与 Sepolia 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5EA9C3F9" w14:textId="77777777" w:rsidR="00580E0B" w:rsidRDefault="00580E0B">
      <w:pPr>
        <w:spacing w:after="60" w:line="250" w:lineRule="exact"/>
      </w:pPr>
    </w:p>
    <w:p w14:paraId="31D01E85" w14:textId="77777777" w:rsidR="00580E0B" w:rsidRDefault="00580E0B">
      <w:pPr>
        <w:spacing w:after="60" w:line="250" w:lineRule="exact"/>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w:t>
      </w:r>
      <w:r>
        <w:rPr>
          <w:sz w:val="20"/>
        </w:rPr>
        <w:lastRenderedPageBreak/>
        <w:t>网格、挑战网格、故障场景、汇总文件）由同一实验脚本生成。</w:t>
      </w:r>
    </w:p>
    <w:p w14:paraId="3558A5B1" w14:textId="6201C124" w:rsidR="00580E0B" w:rsidRDefault="00000000">
      <w:pPr>
        <w:spacing w:line="240" w:lineRule="auto"/>
        <w:ind w:firstLine="0"/>
        <w:jc w:val="left"/>
      </w:pPr>
      <w:r>
        <w:rPr>
          <w:rFonts w:ascii="黑体" w:eastAsia="黑体" w:hAnsi="黑体"/>
          <w:b/>
          <w:sz w:val="23"/>
        </w:rPr>
        <w:t>5.</w:t>
      </w:r>
      <w:r w:rsidR="00A75E44">
        <w:rPr>
          <w:rFonts w:ascii="黑体" w:eastAsia="黑体" w:hAnsi="黑体" w:hint="eastAsia"/>
          <w:b/>
          <w:sz w:val="23"/>
        </w:rPr>
        <w:t>6</w:t>
      </w:r>
      <w:r>
        <w:rPr>
          <w:rFonts w:ascii="黑体" w:eastAsia="黑体" w:hAnsi="黑体"/>
          <w:b/>
          <w:sz w:val="23"/>
        </w:rPr>
        <w:t xml:space="preserve">  实验小结</w:t>
      </w:r>
    </w:p>
    <w:p w14:paraId="412736F2" w14:textId="00B7292A" w:rsidR="00580E0B" w:rsidRDefault="00000000" w:rsidP="00A75E44">
      <w:pPr>
        <w:ind w:firstLine="408"/>
        <w:rPr>
          <w:rFonts w:hint="eastAsia"/>
        </w:rPr>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77777777" w:rsidR="00580E0B" w:rsidRDefault="00000000">
      <w:pPr>
        <w:ind w:firstLine="408"/>
      </w:pPr>
      <w:r>
        <w:rPr>
          <w:sz w:val="20"/>
        </w:rPr>
        <w:t>上述对比表明，本文机制的主要贡献在于组合轻量提交、证据绑定和可恢复仲裁路径，使高频场景下的异常处理能够继续推进。</w:t>
      </w:r>
    </w:p>
    <w:p w14:paraId="2CFEF561" w14:textId="77777777" w:rsidR="00580E0B" w:rsidRDefault="00000000">
      <w:pPr>
        <w:spacing w:line="240" w:lineRule="auto"/>
        <w:ind w:firstLine="0"/>
        <w:jc w:val="left"/>
      </w:pPr>
      <w:r>
        <w:rPr>
          <w:rFonts w:ascii="黑体" w:eastAsia="黑体" w:hAnsi="黑体"/>
          <w:b/>
          <w:sz w:val="23"/>
        </w:rPr>
        <w:t>6  讨论与局限性</w:t>
      </w:r>
    </w:p>
    <w:p w14:paraId="4C18529E" w14:textId="77777777" w:rsidR="00580E0B" w:rsidRDefault="00000000">
      <w:pPr>
        <w:ind w:firstLine="408"/>
      </w:pPr>
      <w:r>
        <w:rPr>
          <w:sz w:val="20"/>
        </w:rPr>
        <w:t>本文结论应理解为机制层研究原型结论。下面先从执行环境、数据可用性、成本估算和链上实现四个方面集中说明证据边界，随后单列相关工作，以避免将实验边界与文献定位混写。</w:t>
      </w:r>
    </w:p>
    <w:p w14:paraId="5C266312" w14:textId="77777777" w:rsidR="00580E0B" w:rsidRDefault="00000000">
      <w:pPr>
        <w:spacing w:line="240" w:lineRule="auto"/>
        <w:ind w:firstLine="0"/>
        <w:jc w:val="left"/>
      </w:pPr>
      <w:r>
        <w:rPr>
          <w:rFonts w:ascii="黑体" w:eastAsia="黑体" w:hAnsi="黑体"/>
          <w:b/>
          <w:sz w:val="23"/>
        </w:rPr>
        <w:t>6.1  执行环境边界</w:t>
      </w:r>
    </w:p>
    <w:p w14:paraId="47B3840D" w14:textId="77777777" w:rsidR="00580E0B" w:rsidRDefault="00000000">
      <w:pPr>
        <w:ind w:firstLine="408"/>
      </w:pPr>
      <w:r>
        <w:rPr>
          <w:sz w:val="20"/>
        </w:rPr>
        <w:t>当前系统使用模拟</w:t>
      </w:r>
      <w:r>
        <w:rPr>
          <w:sz w:val="20"/>
        </w:rPr>
        <w:t xml:space="preserve"> TEE</w:t>
      </w:r>
      <w:r>
        <w:rPr>
          <w:sz w:val="20"/>
        </w:rPr>
        <w:t>，远程证明仅建模输入与输出的绑定关系。不覆盖真实硬件侧信道攻击、远程证明格式兼容性、宿主输入输出操控和供应链信任。因此，本文实验验证的是机制接口能否跑通，而非硬件安全强度。</w:t>
      </w:r>
    </w:p>
    <w:p w14:paraId="4CDDD0BF" w14:textId="77777777" w:rsidR="00580E0B" w:rsidRDefault="00000000">
      <w:pPr>
        <w:spacing w:line="240" w:lineRule="auto"/>
        <w:ind w:firstLine="0"/>
        <w:jc w:val="left"/>
      </w:pPr>
      <w:r>
        <w:rPr>
          <w:rFonts w:ascii="黑体" w:eastAsia="黑体" w:hAnsi="黑体"/>
          <w:b/>
          <w:sz w:val="23"/>
        </w:rPr>
        <w:t>6.2  数据可用性边界</w:t>
      </w:r>
    </w:p>
    <w:p w14:paraId="749E0A0C" w14:textId="77777777" w:rsidR="00580E0B" w:rsidRDefault="00000000">
      <w:pPr>
        <w:ind w:firstLine="408"/>
      </w:pPr>
      <w:r>
        <w:rPr>
          <w:sz w:val="20"/>
        </w:rPr>
        <w:t>当前使用可验证数据可用性注册表，实现了数据可用性根、负载哈希、字段级</w:t>
      </w:r>
      <w:r>
        <w:rPr>
          <w:sz w:val="20"/>
        </w:rPr>
        <w:t xml:space="preserve"> Merkle </w:t>
      </w:r>
      <w:r>
        <w:rPr>
          <w:sz w:val="20"/>
        </w:rPr>
        <w:t>证明和可用性状态记录。未接入</w:t>
      </w:r>
      <w:r>
        <w:rPr>
          <w:sz w:val="20"/>
        </w:rPr>
        <w:t xml:space="preserve"> Celestia</w:t>
      </w:r>
      <w:r>
        <w:rPr>
          <w:sz w:val="20"/>
        </w:rPr>
        <w:t>、</w:t>
      </w:r>
      <w:r>
        <w:rPr>
          <w:sz w:val="20"/>
        </w:rPr>
        <w:t xml:space="preserve">EigenDA </w:t>
      </w:r>
      <w:r>
        <w:rPr>
          <w:sz w:val="20"/>
        </w:rPr>
        <w:t>或其他真实数据可用性网络，因而不证明真实数据可用性经济安全或大规模采样下的可用性保证。</w:t>
      </w:r>
    </w:p>
    <w:p w14:paraId="6DF46651" w14:textId="77777777" w:rsidR="00580E0B" w:rsidRDefault="00000000">
      <w:pPr>
        <w:spacing w:line="240" w:lineRule="auto"/>
        <w:ind w:firstLine="0"/>
        <w:jc w:val="left"/>
      </w:pPr>
      <w:r>
        <w:rPr>
          <w:rFonts w:ascii="黑体" w:eastAsia="黑体" w:hAnsi="黑体"/>
          <w:b/>
          <w:sz w:val="23"/>
        </w:rPr>
        <w:t>6.3  成本模型边界</w:t>
      </w:r>
    </w:p>
    <w:p w14:paraId="54062A49" w14:textId="77777777" w:rsidR="00580E0B" w:rsidRDefault="00000000">
      <w:pPr>
        <w:ind w:firstLine="408"/>
      </w:pPr>
      <w:r>
        <w:rPr>
          <w:sz w:val="20"/>
        </w:rPr>
        <w:t>当前成本模型为配置化估算。全链上调用数据、紧凑模块化数据可用性采样等路线下的</w:t>
      </w:r>
      <w:r>
        <w:rPr>
          <w:sz w:val="20"/>
        </w:rPr>
        <w:t xml:space="preserve"> gas </w:t>
      </w:r>
      <w:r>
        <w:rPr>
          <w:sz w:val="20"/>
        </w:rPr>
        <w:t>估算来自预设参数而非主网交易回执或真实数据可用性网络定价。</w:t>
      </w:r>
      <w:r>
        <w:rPr>
          <w:sz w:val="20"/>
        </w:rPr>
        <w:t xml:space="preserve">96.33% </w:t>
      </w:r>
      <w:r>
        <w:rPr>
          <w:sz w:val="20"/>
        </w:rPr>
        <w:t>等降幅比例是给定配置下的趋势结果，不模拟主网拥堵费率、</w:t>
      </w:r>
      <w:r>
        <w:rPr>
          <w:sz w:val="20"/>
        </w:rPr>
        <w:t xml:space="preserve">blob </w:t>
      </w:r>
      <w:r>
        <w:rPr>
          <w:sz w:val="20"/>
        </w:rPr>
        <w:t>基础费率和交易调度延迟。</w:t>
      </w:r>
    </w:p>
    <w:p w14:paraId="0B910BEA" w14:textId="77777777" w:rsidR="00580E0B" w:rsidRDefault="00000000">
      <w:pPr>
        <w:spacing w:line="240" w:lineRule="auto"/>
        <w:ind w:firstLine="0"/>
        <w:jc w:val="left"/>
      </w:pPr>
      <w:r>
        <w:rPr>
          <w:rFonts w:ascii="黑体" w:eastAsia="黑体" w:hAnsi="黑体"/>
          <w:b/>
          <w:sz w:val="23"/>
        </w:rPr>
        <w:t>6.4  链上实现边界</w:t>
      </w:r>
    </w:p>
    <w:p w14:paraId="5682B7DE" w14:textId="77777777" w:rsidR="00580E0B" w:rsidRDefault="00000000">
      <w:pPr>
        <w:ind w:firstLine="408"/>
      </w:pPr>
      <w:r>
        <w:rPr>
          <w:sz w:val="20"/>
        </w:rPr>
        <w:t xml:space="preserve">Hardhat </w:t>
      </w:r>
      <w:r>
        <w:rPr>
          <w:sz w:val="20"/>
        </w:rPr>
        <w:t>本地</w:t>
      </w:r>
      <w:r>
        <w:rPr>
          <w:sz w:val="20"/>
        </w:rPr>
        <w:t xml:space="preserve"> EVM gas </w:t>
      </w:r>
      <w:r>
        <w:rPr>
          <w:sz w:val="20"/>
        </w:rPr>
        <w:t>基线说明</w:t>
      </w:r>
      <w:r>
        <w:rPr>
          <w:sz w:val="20"/>
        </w:rPr>
        <w:t xml:space="preserve"> Solidity </w:t>
      </w:r>
      <w:r>
        <w:rPr>
          <w:sz w:val="20"/>
        </w:rPr>
        <w:t>原型的提交、挑战、恢复、重放和结算路径具有合约对应物。</w:t>
      </w:r>
      <w:r>
        <w:rPr>
          <w:sz w:val="20"/>
        </w:rPr>
        <w:t xml:space="preserve">Sepolia </w:t>
      </w:r>
      <w:r>
        <w:rPr>
          <w:sz w:val="20"/>
        </w:rPr>
        <w:t>部署说明核心合约具有公开测试网可部署性。两者均不代表主网性能、审计就绪性或生产可用性。</w:t>
      </w:r>
    </w:p>
    <w:p w14:paraId="6FD4B1C3" w14:textId="77777777" w:rsidR="00580E0B" w:rsidRDefault="00000000">
      <w:pPr>
        <w:ind w:firstLine="408"/>
      </w:pPr>
      <w:r>
        <w:rPr>
          <w:sz w:val="20"/>
        </w:rPr>
        <w:t>当前原型尚未测量多并发挑战会话、恢复队列增长、重放队列延迟和调度竞争；并发恢复与重放调度仍属于后续工作。</w:t>
      </w:r>
    </w:p>
    <w:p w14:paraId="4DB4782E" w14:textId="77777777" w:rsidR="00580E0B" w:rsidRDefault="00000000">
      <w:pPr>
        <w:spacing w:line="240" w:lineRule="auto"/>
        <w:ind w:firstLine="0"/>
        <w:jc w:val="left"/>
      </w:pPr>
      <w:r>
        <w:rPr>
          <w:rFonts w:ascii="黑体" w:eastAsia="黑体" w:hAnsi="黑体"/>
          <w:b/>
          <w:sz w:val="23"/>
        </w:rPr>
        <w:t>6.5  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27E0247B" w14:textId="77777777" w:rsidR="00580E0B" w:rsidRDefault="00000000">
      <w:pPr>
        <w:ind w:firstLine="408"/>
      </w:pPr>
      <w:r>
        <w:rPr>
          <w:sz w:val="20"/>
        </w:rPr>
        <w:t xml:space="preserve">opML </w:t>
      </w:r>
      <w:r>
        <w:rPr>
          <w:sz w:val="20"/>
        </w:rPr>
        <w:t>等工作研究如何通过乐观欺诈证明支持机器学习或大模型计算，通常包含二分定位、单步仲裁和链上虚拟机验证。本文借鉴交互式争议定位思想，但未实现完整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5CE45015"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3DE127D2"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1C1763D" w14:textId="77777777" w:rsidR="00580E0B" w:rsidRDefault="00580E0B">
      <w:pPr>
        <w:spacing w:after="60" w:line="250" w:lineRule="exact"/>
      </w:pPr>
    </w:p>
    <w:p w14:paraId="75E1B88E" w14:textId="77777777" w:rsidR="00580E0B" w:rsidRDefault="00000000">
      <w:pPr>
        <w:ind w:firstLine="408"/>
      </w:pPr>
      <w:r>
        <w:t>从相关工作梳理可以看出，已有工作已经提供</w:t>
      </w:r>
      <w:r>
        <w:t xml:space="preserve"> TEE-Rollup</w:t>
      </w:r>
      <w:r>
        <w:t>、乐观欺诈证明和模块化数据可用性等主要路线；本文将可恢复挑战路径、数据可用性绑定紧凑提交和轻量成本模型放入同一个可运行研究原型中，并分别用</w:t>
      </w:r>
      <w:r>
        <w:t xml:space="preserve"> Python</w:t>
      </w:r>
      <w:r>
        <w:t>、</w:t>
      </w:r>
      <w:r>
        <w:t xml:space="preserve">Hardhat </w:t>
      </w:r>
      <w:r>
        <w:t>与</w:t>
      </w:r>
      <w:r>
        <w:t xml:space="preserve"> Sepolia </w:t>
      </w:r>
      <w:r>
        <w:t>证据说明机制可行性、链上对应物和可部署性边界。</w:t>
      </w:r>
    </w:p>
    <w:p w14:paraId="6F721AD8" w14:textId="77777777" w:rsidR="00580E0B" w:rsidRDefault="00000000">
      <w:pPr>
        <w:spacing w:line="240" w:lineRule="auto"/>
        <w:ind w:firstLine="0"/>
        <w:jc w:val="left"/>
      </w:pPr>
      <w:r>
        <w:rPr>
          <w:rFonts w:ascii="黑体" w:eastAsia="黑体" w:hAnsi="黑体"/>
          <w:b/>
          <w:sz w:val="23"/>
        </w:rPr>
        <w:t>6.6  小结与未来方向</w:t>
      </w:r>
    </w:p>
    <w:p w14:paraId="077CB999" w14:textId="77777777" w:rsidR="00580E0B" w:rsidRDefault="00000000">
      <w:pPr>
        <w:ind w:firstLine="408"/>
      </w:pPr>
      <w:r>
        <w:rPr>
          <w:sz w:val="20"/>
        </w:rPr>
        <w:t>高频去中心化应用的核心困难在于低成本交互与异常可验证之间的持续权衡。本文在</w:t>
      </w:r>
      <w:r>
        <w:rPr>
          <w:sz w:val="20"/>
        </w:rPr>
        <w:t xml:space="preserve"> Hybrid TEE-Rollup </w:t>
      </w:r>
      <w:r>
        <w:rPr>
          <w:sz w:val="20"/>
        </w:rPr>
        <w:t>背景下研究一个更窄的问题：在不重做完整</w:t>
      </w:r>
      <w:r>
        <w:rPr>
          <w:sz w:val="20"/>
        </w:rPr>
        <w:t xml:space="preserve"> Rollup </w:t>
      </w:r>
      <w:r>
        <w:rPr>
          <w:sz w:val="20"/>
        </w:rPr>
        <w:t>系统的前提下，如何让轻量提交、数据可用性证据和可恢复挑战形成可运行的研究原型。现有证据显示，</w:t>
      </w:r>
      <w:r>
        <w:rPr>
          <w:sz w:val="20"/>
        </w:rPr>
        <w:t xml:space="preserve">Python </w:t>
      </w:r>
      <w:r>
        <w:rPr>
          <w:sz w:val="20"/>
        </w:rPr>
        <w:t>原型跑通了紧凑提交、数据可用性证明、挑战、恢复、重放与结算；对比型实验区分了检测与完成、压缩与证据绑定；本地</w:t>
      </w:r>
      <w:r>
        <w:rPr>
          <w:sz w:val="20"/>
        </w:rPr>
        <w:t xml:space="preserve"> EVM </w:t>
      </w:r>
      <w:r>
        <w:rPr>
          <w:sz w:val="20"/>
        </w:rPr>
        <w:t>和</w:t>
      </w:r>
      <w:r>
        <w:rPr>
          <w:sz w:val="20"/>
        </w:rPr>
        <w:t xml:space="preserve"> Sepolia </w:t>
      </w:r>
      <w:r>
        <w:rPr>
          <w:sz w:val="20"/>
        </w:rPr>
        <w:t>证据说明协议路径具有合约对应物。</w:t>
      </w:r>
    </w:p>
    <w:p w14:paraId="56E8D010" w14:textId="77777777" w:rsidR="00580E0B" w:rsidRDefault="00000000">
      <w:pPr>
        <w:ind w:firstLine="408"/>
      </w:pPr>
      <w:r>
        <w:rPr>
          <w:sz w:val="20"/>
        </w:rPr>
        <w:t>从理论层面看，本文的主要价值在于将挑战恢复从</w:t>
      </w:r>
      <w:r>
        <w:rPr>
          <w:sz w:val="20"/>
        </w:rPr>
        <w:lastRenderedPageBreak/>
        <w:t>工程操作提升为具有协议语义的独立机制，提出并论证仲裁连续性这一协议性质。第</w:t>
      </w:r>
      <w:r>
        <w:rPr>
          <w:sz w:val="20"/>
        </w:rPr>
        <w:t xml:space="preserve"> 4.1.4 </w:t>
      </w:r>
      <w:r>
        <w:rPr>
          <w:sz w:val="20"/>
        </w:rPr>
        <w:t>节系统化了挑战事实不变性、安全性与活性的分离、仲裁连续性和恢复操作正确性四项性质，为该机制进入更复杂的</w:t>
      </w:r>
      <w:r>
        <w:rPr>
          <w:sz w:val="20"/>
        </w:rPr>
        <w:t xml:space="preserve"> Rollup </w:t>
      </w:r>
      <w:r>
        <w:rPr>
          <w:sz w:val="20"/>
        </w:rPr>
        <w:t>协议栈提供了理论参照。</w:t>
      </w:r>
    </w:p>
    <w:p w14:paraId="3C82D978" w14:textId="77777777" w:rsidR="00580E0B" w:rsidRDefault="00000000">
      <w:pPr>
        <w:ind w:firstLine="408"/>
      </w:pPr>
      <w:r>
        <w:rPr>
          <w:sz w:val="20"/>
        </w:rPr>
        <w:t>后续研究可以沿两个方向推进：一是在真实</w:t>
      </w:r>
      <w:r>
        <w:rPr>
          <w:sz w:val="20"/>
        </w:rPr>
        <w:t xml:space="preserve"> TEE </w:t>
      </w:r>
      <w:r>
        <w:rPr>
          <w:sz w:val="20"/>
        </w:rPr>
        <w:t>和数据可用性环境中重新测量成本、活性和异常处理边界；二是加强重放证据的链上可验证性，完善故障到罚没策略，补齐并发挑战和恢复频率限制等工程机制。</w:t>
      </w:r>
    </w:p>
    <w:p w14:paraId="02DD9A67" w14:textId="77777777" w:rsidR="00580E0B" w:rsidRDefault="00000000">
      <w:pPr>
        <w:ind w:firstLine="0"/>
        <w:jc w:val="left"/>
      </w:pPr>
      <w:r>
        <w:rPr>
          <w:rFonts w:ascii="黑体" w:eastAsia="黑体" w:hAnsi="黑体"/>
          <w:b/>
          <w:sz w:val="23"/>
        </w:rPr>
        <w:t>参考文献</w:t>
      </w:r>
    </w:p>
    <w:p w14:paraId="0A7911AD" w14:textId="77777777" w:rsidR="00580E0B" w:rsidRDefault="00000000">
      <w:pPr>
        <w:spacing w:line="288" w:lineRule="auto"/>
        <w:ind w:left="368" w:hanging="368"/>
        <w:jc w:val="left"/>
      </w:pPr>
      <w:r>
        <w:rPr>
          <w:sz w:val="18"/>
        </w:rPr>
        <w:t>[1] WEN X, FENG Q, LYU H, et al. TEEROLLUP: efficient Rollup design using heterogeneous TEE[EB/OL]. arXiv:2409.14647, 2024. https://arxiv.org/abs/2409.14647.</w:t>
      </w:r>
    </w:p>
    <w:p w14:paraId="61A7CC6D" w14:textId="77777777" w:rsidR="00580E0B" w:rsidRDefault="00000000">
      <w:pPr>
        <w:spacing w:line="288" w:lineRule="auto"/>
        <w:ind w:left="368" w:hanging="368"/>
        <w:jc w:val="left"/>
      </w:pPr>
      <w:r>
        <w:rPr>
          <w:sz w:val="18"/>
        </w:rPr>
        <w:t>[2] BUTERIN V. An incomplete guide to Rollups[EB/OL]. 2021 [2026-06-15]. https://vitalik.ca/general/2021/01/05/rollup.html.</w:t>
      </w:r>
    </w:p>
    <w:p w14:paraId="7D5A535E" w14:textId="77777777" w:rsidR="00580E0B" w:rsidRDefault="00000000">
      <w:pPr>
        <w:spacing w:line="288" w:lineRule="auto"/>
        <w:ind w:left="368" w:hanging="368"/>
        <w:jc w:val="left"/>
      </w:pPr>
      <w:r>
        <w:rPr>
          <w:sz w:val="18"/>
        </w:rPr>
        <w:t>[3] RISC ZERO. RISC Zero zkVM documentation[EB/OL]. 2024 [2026-06-15]. https://dev.risczero.com/.</w:t>
      </w:r>
    </w:p>
    <w:p w14:paraId="0D3D2FA4" w14:textId="77777777" w:rsidR="00580E0B" w:rsidRDefault="00000000">
      <w:pPr>
        <w:spacing w:line="288" w:lineRule="auto"/>
        <w:ind w:left="368" w:hanging="368"/>
        <w:jc w:val="left"/>
      </w:pPr>
      <w:r>
        <w:rPr>
          <w:sz w:val="18"/>
        </w:rPr>
        <w:t>[4] SUCCINCT LABS. SP1: a performant, 100% open-source zkVM[EB/OL]. 2024 [2026-06-15]. https://docs.succinct.xyz/.</w:t>
      </w:r>
    </w:p>
    <w:p w14:paraId="7F596F08" w14:textId="77777777" w:rsidR="00580E0B" w:rsidRDefault="00000000">
      <w:pPr>
        <w:spacing w:line="288" w:lineRule="auto"/>
        <w:ind w:left="368" w:hanging="368"/>
        <w:jc w:val="left"/>
      </w:pPr>
      <w:r>
        <w:rPr>
          <w:sz w:val="18"/>
        </w:rPr>
        <w:t>[5] ETHEREUM FOUNDATION. Optimistic Rollups[EB/OL]. 2024 [2026-06-15]. https://ethereum.org/en/developers/docs/scaling/optimistic-rollups/.</w:t>
      </w:r>
    </w:p>
    <w:p w14:paraId="2505788C" w14:textId="77777777" w:rsidR="00580E0B" w:rsidRDefault="00000000">
      <w:pPr>
        <w:spacing w:line="288" w:lineRule="auto"/>
        <w:ind w:left="368" w:hanging="368"/>
        <w:jc w:val="left"/>
      </w:pPr>
      <w:r>
        <w:rPr>
          <w:sz w:val="18"/>
        </w:rPr>
        <w:t>[6] OFFCHAIN LABS. Arbitrum: a next-generation Layer 2 for Ethereum[EB/OL]. 2021 [2026-06-15]. https://github.com/OffchainLabs/arbitrum.</w:t>
      </w:r>
    </w:p>
    <w:p w14:paraId="5DEE6966" w14:textId="77777777" w:rsidR="00580E0B" w:rsidRDefault="00000000">
      <w:pPr>
        <w:spacing w:line="288" w:lineRule="auto"/>
        <w:ind w:left="368" w:hanging="368"/>
        <w:jc w:val="left"/>
      </w:pPr>
      <w:r>
        <w:rPr>
          <w:sz w:val="18"/>
        </w:rPr>
        <w:t>[7] ARBITRUM FOUNDATION. Arbitrum Nitro technical documentation[EB/OL]. 2024 [2026-06-15]. https://docs.arbitrum.io/.</w:t>
      </w:r>
    </w:p>
    <w:p w14:paraId="1E4E6664" w14:textId="77777777" w:rsidR="00580E0B" w:rsidRDefault="00000000">
      <w:pPr>
        <w:spacing w:line="288" w:lineRule="auto"/>
        <w:ind w:left="368" w:hanging="368"/>
        <w:jc w:val="left"/>
      </w:pPr>
      <w:r>
        <w:rPr>
          <w:sz w:val="18"/>
        </w:rPr>
        <w:t>[8] OP LABS. Optimism documentation: fault proofs and dispute games[EB/OL]. 2024 [2026-06-15]. https://docs.optimism.io/.</w:t>
      </w:r>
    </w:p>
    <w:p w14:paraId="40BAD93A" w14:textId="77777777" w:rsidR="00580E0B" w:rsidRDefault="00000000">
      <w:pPr>
        <w:spacing w:line="288" w:lineRule="auto"/>
        <w:ind w:left="368" w:hanging="368"/>
        <w:jc w:val="left"/>
      </w:pPr>
      <w:r>
        <w:rPr>
          <w:sz w:val="18"/>
        </w:rPr>
        <w:t>[9] GOLDWASSER S, MICALI S, RACKOFF R. The knowledge complexity of interactive proof systems[J]. SIAM Journal on Computing, 1989, 18(1): 186-208.</w:t>
      </w:r>
    </w:p>
    <w:p w14:paraId="5B2C6A2C" w14:textId="77777777" w:rsidR="00580E0B" w:rsidRDefault="00000000">
      <w:pPr>
        <w:spacing w:line="288" w:lineRule="auto"/>
        <w:ind w:left="368" w:hanging="368"/>
        <w:jc w:val="left"/>
      </w:pPr>
      <w:r>
        <w:rPr>
          <w:sz w:val="18"/>
        </w:rPr>
        <w:t>[10] PICCO G, FORTUGNO A. Dynamic fraud proof[EB/OL]. arXiv:2502.10321, 2025. https://arxiv.org/abs/2502.10321.</w:t>
      </w:r>
    </w:p>
    <w:p w14:paraId="51F20D99" w14:textId="77777777" w:rsidR="00580E0B" w:rsidRDefault="00000000">
      <w:pPr>
        <w:spacing w:line="288" w:lineRule="auto"/>
        <w:ind w:left="368" w:hanging="368"/>
        <w:jc w:val="left"/>
      </w:pPr>
      <w:r>
        <w:rPr>
          <w:sz w:val="18"/>
        </w:rPr>
        <w:t>[11] AL-BASSAM M. LazyLedger: a distributed data availability ledger with client-side smart contracts[EB/OL]. arXiv:1905.09274, 2019. https://arxiv.org/abs/1905.09274.</w:t>
      </w:r>
    </w:p>
    <w:p w14:paraId="4E008AD6" w14:textId="77777777" w:rsidR="00580E0B" w:rsidRDefault="00000000">
      <w:pPr>
        <w:spacing w:line="288" w:lineRule="auto"/>
        <w:ind w:left="368" w:hanging="368"/>
        <w:jc w:val="left"/>
      </w:pPr>
      <w:r>
        <w:rPr>
          <w:sz w:val="18"/>
        </w:rPr>
        <w:t>[12] TAS E N, TSE D, YANG L, et al. Light clients for lazy blockchains[EB/OL]. arXiv:2203.15968, 2022. https://arxiv.org/abs/2203.15968.</w:t>
      </w:r>
    </w:p>
    <w:p w14:paraId="05DB0EEF" w14:textId="77777777" w:rsidR="00580E0B" w:rsidRDefault="00000000">
      <w:pPr>
        <w:spacing w:line="288" w:lineRule="auto"/>
        <w:ind w:left="368" w:hanging="368"/>
        <w:jc w:val="left"/>
      </w:pPr>
      <w:r>
        <w:rPr>
          <w:sz w:val="18"/>
        </w:rPr>
        <w:t>[13] EIGENLABS. EigenDA documentation[EB/OL]. 2024 [2026-06-15]. https://docs.eigencloud.xyz/products/eigenda/.</w:t>
      </w:r>
    </w:p>
    <w:p w14:paraId="3FD89C79" w14:textId="77777777" w:rsidR="00580E0B" w:rsidRDefault="00000000">
      <w:pPr>
        <w:spacing w:line="288" w:lineRule="auto"/>
        <w:ind w:left="368" w:hanging="368"/>
        <w:jc w:val="left"/>
      </w:pPr>
      <w:r>
        <w:rPr>
          <w:sz w:val="18"/>
        </w:rPr>
        <w:t>[14] CELESTIA. Celestia: modular blockchain network[EB/OL]. 2024 [2026-06-15]. https://docs.celestia.org/.</w:t>
      </w:r>
    </w:p>
    <w:p w14:paraId="73F7A9E4" w14:textId="77777777" w:rsidR="00580E0B" w:rsidRDefault="00000000">
      <w:pPr>
        <w:spacing w:line="288" w:lineRule="auto"/>
        <w:ind w:left="368" w:hanging="368"/>
        <w:jc w:val="left"/>
      </w:pPr>
      <w:r>
        <w:rPr>
          <w:sz w:val="18"/>
        </w:rPr>
        <w:t>[15] INTEL CORPORATION. Intel Software Guard Extensions developer guide[EB/OL]. 2024 [2026-06-15]. https://www.intel.com/content/www/us/en/developer/tools/software-guard-extensions/overview.html.</w:t>
      </w:r>
    </w:p>
    <w:p w14:paraId="7F3D8B28" w14:textId="77777777" w:rsidR="00580E0B" w:rsidRDefault="00000000">
      <w:pPr>
        <w:spacing w:line="288" w:lineRule="auto"/>
        <w:ind w:left="368" w:hanging="368"/>
        <w:jc w:val="left"/>
      </w:pPr>
      <w:r>
        <w:rPr>
          <w:sz w:val="18"/>
        </w:rPr>
        <w:t>[16] INTEL CORPORATION. Intel Trust Domain Extensions architecture specification[EB/OL]. 2024 [2026-06-15]. https://www.intel.com/content/www/us/en/developer/articles/technical/intel-trust-domain-extensions.html.</w:t>
      </w:r>
    </w:p>
    <w:p w14:paraId="77107D22" w14:textId="77777777" w:rsidR="00580E0B" w:rsidRDefault="00000000">
      <w:pPr>
        <w:spacing w:line="288" w:lineRule="auto"/>
        <w:ind w:left="368" w:hanging="368"/>
        <w:jc w:val="left"/>
      </w:pPr>
      <w:r>
        <w:rPr>
          <w:sz w:val="18"/>
        </w:rPr>
        <w:t>[17] CARTESI. Cartesi Rollups documentation[EB/OL]. 2024 [2026-06-15]. https://docs.cartesi.io/cartesi-rollups/.</w:t>
      </w:r>
    </w:p>
    <w:p w14:paraId="4E9D6814" w14:textId="77777777" w:rsidR="00580E0B" w:rsidRDefault="00000000">
      <w:pPr>
        <w:spacing w:line="288" w:lineRule="auto"/>
        <w:ind w:left="368" w:hanging="368"/>
        <w:jc w:val="left"/>
      </w:pPr>
      <w:r>
        <w:rPr>
          <w:sz w:val="18"/>
        </w:rPr>
        <w:t>[18] CANETTI R. Universally composable security: a new paradigm for cryptographic protocols[EB/OL]. 2000 [2026-06-15]. https://eprint.iacr.org/2000/067.</w:t>
      </w:r>
    </w:p>
    <w:p w14:paraId="07AEA24F" w14:textId="77777777" w:rsidR="00580E0B" w:rsidRDefault="00000000">
      <w:pPr>
        <w:spacing w:line="288" w:lineRule="auto"/>
        <w:ind w:left="368" w:hanging="368"/>
        <w:jc w:val="left"/>
      </w:pPr>
      <w:r>
        <w:rPr>
          <w:sz w:val="18"/>
        </w:rPr>
        <w:t>[19] ETHEREUM FOUNDATION. EIP-4844: shard blob transactions[EB/OL]. 2024 [2026-06-15]. https://eips.ethereum.org/EIPS/eip-4844.</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E494" w14:textId="77777777" w:rsidR="004D5904" w:rsidRDefault="004D5904">
      <w:pPr>
        <w:spacing w:line="240" w:lineRule="auto"/>
      </w:pPr>
      <w:r>
        <w:separator/>
      </w:r>
    </w:p>
  </w:endnote>
  <w:endnote w:type="continuationSeparator" w:id="0">
    <w:p w14:paraId="4DE3D92B" w14:textId="77777777" w:rsidR="004D5904" w:rsidRDefault="004D59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AB20" w14:textId="77777777" w:rsidR="004D5904" w:rsidRDefault="004D5904">
      <w:r>
        <w:separator/>
      </w:r>
    </w:p>
  </w:footnote>
  <w:footnote w:type="continuationSeparator" w:id="0">
    <w:p w14:paraId="400CC722" w14:textId="77777777" w:rsidR="004D5904" w:rsidRDefault="004D5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39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D5904"/>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fig1_architecture_600dpi.png"/><Relationship Id="rId19" Type="http://schemas.openxmlformats.org/officeDocument/2006/relationships/image" Target="media/fig2_recoverable_flow_600dpi.png"/></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244</TotalTime>
  <Pages>9</Pages>
  <Words>2663</Words>
  <Characters>15180</Characters>
  <Application>Microsoft Office Word</Application>
  <DocSecurity>0</DocSecurity>
  <Lines>126</Lines>
  <Paragraphs>35</Paragraphs>
  <ScaleCrop>false</ScaleCrop>
  <Company>scp</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33</cp:revision>
  <cp:lastPrinted>2024-12-03T06:07:00Z</cp:lastPrinted>
  <dcterms:created xsi:type="dcterms:W3CDTF">2024-12-03T03:17:00Z</dcterms:created>
  <dcterms:modified xsi:type="dcterms:W3CDTF">2026-06-15T09:53:00Z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