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Segoe UI" w:hAnsi="Segoe UI"/>
          <w:b/>
          <w:color w:val="1E3A8A"/>
          <w:sz w:val="48"/>
        </w:rPr>
        <w:t>BUSINESS REQUIREMENTS DOCUMENT (BRD)</w:t>
      </w:r>
    </w:p>
    <w:p>
      <w:pPr>
        <w:spacing w:after="400"/>
        <w:jc w:val="center"/>
      </w:pPr>
      <w:r>
        <w:rPr>
          <w:rFonts w:ascii="Segoe UI" w:hAnsi="Segoe UI"/>
          <w:i/>
          <w:color w:val="4B5563"/>
          <w:sz w:val="28"/>
        </w:rPr>
        <w:t>Shanta Life Insurance (SLI) Enterprise ERP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</w:rPr>
              <w:t>Document Title:</w:t>
            </w:r>
          </w:p>
        </w:tc>
        <w:tc>
          <w:tcPr>
            <w:tcW w:type="dxa" w:w="69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SLI ERP Enterprise System — Business Requirements Document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</w:rPr>
              <w:t>Organization:</w:t>
            </w:r>
          </w:p>
        </w:tc>
        <w:tc>
          <w:tcPr>
            <w:tcW w:type="dxa" w:w="69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Shanta Life Insurance PLC &amp; Subsidiary Companies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</w:rPr>
              <w:t>Live System URL:</w:t>
            </w:r>
          </w:p>
        </w:tc>
        <w:tc>
          <w:tcPr>
            <w:tcW w:type="dxa" w:w="69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https://erp.shantalife.com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</w:rPr>
              <w:t>System Architecture:</w:t>
            </w:r>
          </w:p>
        </w:tc>
        <w:tc>
          <w:tcPr>
            <w:tcW w:type="dxa" w:w="69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Multi-Tenant Express.js + React TypeScript + PostgreSQL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</w:rPr>
              <w:t>Document Version:</w:t>
            </w:r>
          </w:p>
        </w:tc>
        <w:tc>
          <w:tcPr>
            <w:tcW w:type="dxa" w:w="69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v2.4 (Production Live Specification)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</w:rPr>
              <w:t>Target Audience:</w:t>
            </w:r>
          </w:p>
        </w:tc>
        <w:tc>
          <w:tcPr>
            <w:tcW w:type="dxa" w:w="69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Executive Stakeholders, Business Analysts, Engineers, QA Leads</w:t>
            </w:r>
          </w:p>
        </w:tc>
      </w:tr>
    </w:tbl>
    <w:p>
      <w:pPr>
        <w:spacing w:after="320"/>
      </w:pPr>
    </w:p>
    <w:p>
      <w:pPr>
        <w:spacing w:before="360" w:after="160"/>
      </w:pPr>
      <w:r>
        <w:rPr>
          <w:rFonts w:ascii="Segoe UI" w:hAnsi="Segoe UI"/>
          <w:b/>
          <w:color w:val="1E3A8A"/>
          <w:sz w:val="32"/>
        </w:rPr>
        <w:t>1. Executive Summary &amp; System Vision</w:t>
      </w:r>
    </w:p>
    <w:p>
      <w:pPr>
        <w:spacing w:after="160"/>
      </w:pPr>
      <w:r>
        <w:t>The Shanta Life Insurance (SLI) ERP System is a comprehensive, state-of-the-art web-based Enterprise Resource Planning platform designed to digitize, automate, and centralize end-to-end Procurement (Procure-to-Pay P2P), Inventory Control, Quality Control (QC), Multi-Tenant Administration, and Dynamic Approval Workflows. The system eliminates manual paper-based purchase requisitions, unmonitored vendor quotations, and untracked stock ledgers by enforcing rigorous role-based access control (RBAC), multi-level BPMN workflow approvals, exclusive monetary threshold gateways, and multi-tenant isolation.</w:t>
      </w:r>
    </w:p>
    <w:p>
      <w:pPr>
        <w:spacing w:before="360" w:after="160"/>
      </w:pPr>
      <w:r>
        <w:rPr>
          <w:rFonts w:ascii="Segoe UI" w:hAnsi="Segoe UI"/>
          <w:b/>
          <w:color w:val="1E3A8A"/>
          <w:sz w:val="32"/>
        </w:rPr>
        <w:t>2. System Architecture &amp;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</w:rPr>
              <w:t>Frontend Technology:</w:t>
            </w:r>
          </w:p>
        </w:tc>
        <w:tc>
          <w:tcPr>
            <w:tcW w:type="dxa" w:w="69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React 18, TypeScript, Vite, Tailwind CSS, Lucide Icons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</w:rPr>
              <w:t>Backend Services: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Node.js, Express.js (REST APIs, Static SPA Wildcard Serving)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</w:rPr>
              <w:t>Database &amp; ORM:</w:t>
            </w:r>
          </w:p>
        </w:tc>
        <w:tc>
          <w:tcPr>
            <w:tcW w:type="dxa" w:w="69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Supabase PostgreSQL / Native PostgreSQL (sli_erp_db) with Drizzle ORM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</w:rPr>
              <w:t>Multi-Tenancy Isolation: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Strict companyId UUID scoping per request via resolveTenantId(req)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</w:rPr>
              <w:t>Authentication Engine:</w:t>
            </w:r>
          </w:p>
        </w:tc>
        <w:tc>
          <w:tcPr>
            <w:tcW w:type="dxa" w:w="69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Dual Mode (AUTH_MODE=postgres / AUTH_MODE=supabase) with PBKDF2 Hashing &amp; JWT Signing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</w:rPr>
              <w:t>Production Server: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Ubuntu Live Server (10.16.49.78 / erp.shantalife.com) with Let's Encrypt SSL &amp; Docker</w:t>
            </w:r>
          </w:p>
        </w:tc>
      </w:tr>
    </w:tbl>
    <w:p>
      <w:pPr>
        <w:spacing w:after="240"/>
      </w:pPr>
    </w:p>
    <w:p>
      <w:pPr>
        <w:spacing w:before="360" w:after="160"/>
      </w:pPr>
      <w:r>
        <w:rPr>
          <w:rFonts w:ascii="Segoe UI" w:hAnsi="Segoe UI"/>
          <w:b/>
          <w:color w:val="1E3A8A"/>
          <w:sz w:val="32"/>
        </w:rPr>
        <w:t>3. Core Functional Modules &amp; Business Rules</w:t>
      </w:r>
    </w:p>
    <w:p>
      <w:pPr>
        <w:spacing w:before="240" w:after="80"/>
      </w:pPr>
      <w:r>
        <w:rPr>
          <w:rFonts w:ascii="Segoe UI" w:hAnsi="Segoe UI"/>
          <w:b/>
          <w:color w:val="1F2937"/>
          <w:sz w:val="24"/>
        </w:rPr>
        <w:t>3.1 Module 1: User Authentication, Profile &amp; Multi-Tenancy</w:t>
      </w:r>
    </w:p>
    <w:p>
      <w:pPr>
        <w:spacing w:after="120"/>
      </w:pPr>
      <w:r>
        <w:t>• Native PostgreSQL Login: Users authenticate via email and password. Passwords are secured using PBKDF2 with 1000 iterations and sha512 hashing.</w:t>
        <w:br/>
        <w:t>• User Registration &amp; Profile Changes: Registration of new staff and requests for profile data updates are handled dynamically through BPMN approval workflows.</w:t>
        <w:br/>
        <w:t>• Multi-Tenant Scoping: Users belong to a specific company (companyId UUID). Global Super Admins (companyId = null) possess cross-tenant visibility and can switch active company contexts via the header Company Dropdown.</w:t>
      </w:r>
    </w:p>
    <w:p>
      <w:pPr>
        <w:spacing w:before="240" w:after="80"/>
      </w:pPr>
      <w:r>
        <w:rPr>
          <w:rFonts w:ascii="Segoe UI" w:hAnsi="Segoe UI"/>
          <w:b/>
          <w:color w:val="1F2937"/>
          <w:sz w:val="24"/>
        </w:rPr>
        <w:t>3.2 Module 2: Role-Based Access Control (RBAC) &amp; Hierarchy</w:t>
      </w:r>
    </w:p>
    <w:p>
      <w:pPr>
        <w:spacing w:after="120"/>
      </w:pPr>
      <w:r>
        <w:t>• System Roles: Super Admin, Admin, Procurement Manager, Warehouse Manager, SLI Employee, Requester.</w:t>
        <w:br/>
        <w:t>• Granular Permissions: Module permissions are configured in role_permissions across 5 permission flags: canView, canCreate, canEdit, canDelete, canApprove.</w:t>
        <w:br/>
        <w:t>• Visual Item Badges: Small visual badges are rendered next to item names in lists and approvals for Admin (Blue badge) and IT items (Purple badge).</w:t>
      </w:r>
    </w:p>
    <w:p>
      <w:pPr>
        <w:spacing w:before="240" w:after="80"/>
      </w:pPr>
      <w:r>
        <w:rPr>
          <w:rFonts w:ascii="Segoe UI" w:hAnsi="Segoe UI"/>
          <w:b/>
          <w:color w:val="1F2937"/>
          <w:sz w:val="24"/>
        </w:rPr>
        <w:t>3.3 Module 3: Global Inbox &amp; Dynamic BPMN Approval Workflows</w:t>
      </w:r>
    </w:p>
    <w:p>
      <w:pPr>
        <w:spacing w:after="120"/>
      </w:pPr>
      <w:r>
        <w:t>• Centralized User Inbox: All pending approvals, document reviews, and workflow tasks occur in the User Panel → Global Inbox (/inbox).</w:t>
        <w:br/>
        <w:t>• Task Completion Rule: Actioning an approval step marks ALL pending inbox_tasks for that document as 'Completed' by querying referenceType and referenceId.</w:t>
        <w:br/>
        <w:t>• Approver Fallback Rule: If no user matches a required approval role/department, the system generates a fallback inbox_tasks entry assignedToRole: 'Super Admin' so Super Admins can action it.</w:t>
      </w:r>
    </w:p>
    <w:p>
      <w:pPr>
        <w:spacing w:before="240" w:after="80"/>
      </w:pPr>
      <w:r>
        <w:rPr>
          <w:rFonts w:ascii="Segoe UI" w:hAnsi="Segoe UI"/>
          <w:b/>
          <w:color w:val="1F2937"/>
          <w:sz w:val="24"/>
        </w:rPr>
        <w:t>3.4 Module 4: Procure-to-Pay (P2P) Procurement Lifecycle</w:t>
      </w:r>
    </w:p>
    <w:p>
      <w:pPr>
        <w:spacing w:after="120"/>
      </w:pPr>
      <w:r>
        <w:t>The P2P lifecycle follows 6 strict sequential stages:</w:t>
        <w:br/>
        <w:t>1. Item Requisition (IR) → Purchase Requisition (PR): Employee creates PR from approved IR. Quantities are deduplicated as: Available = (Quantity - DeliveredQty - PRCreatedQty).</w:t>
        <w:br/>
        <w:t>2. Request for Quotation (RFQ): Approved PRs are issued to vendors. Dropdowns display rich context ('PR Number — Vendor — Item Summary') and apply Lifecycle Exclusion Filtering (!hasRfq).</w:t>
        <w:br/>
        <w:t>3. Comparative Statement (CS) Evaluation: Vendor bids are evaluated across exclusive monetary threshold gateways:</w:t>
        <w:br/>
        <w:t xml:space="preserve">   - ≤ 5,000 BDT: Head of Ops Approval Only</w:t>
        <w:br/>
        <w:t xml:space="preserve">   - 5,001 – 100,000 BDT: Head of Ops → CEO Approval</w:t>
        <w:br/>
        <w:t xml:space="preserve">   - &gt; 100,000 BDT: Head of Ops → CEO → Executive Committee (EC) Approval</w:t>
        <w:br/>
        <w:t>4. Purchase Order (PO): Issued upon CS approval. PO items track vendor commitments.</w:t>
        <w:br/>
        <w:t>5. Goods Receipt Note (GRN): Generated upon physical delivery at warehouse.</w:t>
        <w:br/>
        <w:t>6. Invoicing &amp; Payment: Invoices matched against GRN/PO for CFO payment release.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Monetary Threshold (BDT)</w:t>
            </w:r>
          </w:p>
        </w:tc>
        <w:tc>
          <w:tcPr>
            <w:tcW w:type="dxa" w:w="3360"/>
            <w:shd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Approval Workflow Gateway</w:t>
            </w:r>
          </w:p>
        </w:tc>
        <w:tc>
          <w:tcPr>
            <w:tcW w:type="dxa" w:w="3360"/>
            <w:shd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Final Approver Authority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>≤ 5,000 BDT (Minor Purchase)</w:t>
            </w:r>
          </w:p>
        </w:tc>
        <w:tc>
          <w:tcPr>
            <w:tcW w:type="dxa" w:w="403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Head of Operations</w:t>
            </w:r>
          </w:p>
        </w:tc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Head of Operations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>5,001 BDT – 100,000 BDT (Standard)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Head of Operations → Chief Executive Officer (CEO)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CEO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>&gt; 100,000 BDT (Capital / Major)</w:t>
            </w:r>
          </w:p>
        </w:tc>
        <w:tc>
          <w:tcPr>
            <w:tcW w:type="dxa" w:w="403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Head of Ops → CEO → Executive Committee (EC)</w:t>
            </w:r>
          </w:p>
        </w:tc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Executive Committee (EC)</w:t>
            </w:r>
          </w:p>
        </w:tc>
      </w:tr>
    </w:tbl>
    <w:p>
      <w:pPr>
        <w:spacing w:after="200"/>
      </w:pPr>
    </w:p>
    <w:p>
      <w:pPr>
        <w:spacing w:before="240" w:after="80"/>
      </w:pPr>
      <w:r>
        <w:rPr>
          <w:rFonts w:ascii="Segoe UI" w:hAnsi="Segoe UI"/>
          <w:b/>
          <w:color w:val="1F2937"/>
          <w:sz w:val="24"/>
        </w:rPr>
        <w:t>3.5 Module 5: Inventory Control, Quality Control (QC) &amp; Warehouses</w:t>
      </w:r>
    </w:p>
    <w:p>
      <w:pPr>
        <w:spacing w:after="120"/>
      </w:pPr>
      <w:r>
        <w:t>• Immediate Stock Locking: Passed items from QC Inspections are locked into warehouse stock immediately.</w:t>
        <w:br/>
        <w:t>• QC Status Badges &amp; Re-Inspection: Items have visual status badges: '✓ Passed (In Stock)' (Green) and '⚠️ Hold' (Yellow). The Re-inspect Hold modal is strictly scoped to remaining held items only.</w:t>
        <w:br/>
        <w:t>• Incremental Stock Addition: Stock ledger calculations compute incremental additions: newlyPassed = passedQty - previousPassedTotal.</w:t>
        <w:br/>
        <w:t>• Warehouse Manager Control: Non-admin warehouse managers (mapped in warehouse_managers) can only manage assigned warehouses and item types (Admin, IT, Both).</w:t>
      </w:r>
    </w:p>
    <w:p>
      <w:pPr>
        <w:spacing w:before="240" w:after="80"/>
      </w:pPr>
      <w:r>
        <w:rPr>
          <w:rFonts w:ascii="Segoe UI" w:hAnsi="Segoe UI"/>
          <w:b/>
          <w:color w:val="1F2937"/>
          <w:sz w:val="24"/>
        </w:rPr>
        <w:t>3.6 Module 6: Administration &amp; System Branding Settings</w:t>
      </w:r>
    </w:p>
    <w:p>
      <w:pPr>
        <w:spacing w:after="120"/>
      </w:pPr>
      <w:r>
        <w:t>• Organizational Master Data: Central management of Companies, Branches, Departments, Designations, Roles, and Plugins.</w:t>
        <w:br/>
        <w:t>• System Settings &amp; Base64 Branding: Primary WebP Logo, White WebP Logo, and Favicon PNG are stored in system_settings as base64 data URIs for instant rendering across all devices.</w:t>
        <w:br/>
        <w:t>• Dynamic Currency: Amounts are prefixed dynamically using the useCurrency() hook from SettingsProvider ({currencySymbol}{amount}).</w:t>
      </w:r>
    </w:p>
    <w:p>
      <w:pPr>
        <w:spacing w:before="360" w:after="160"/>
      </w:pPr>
      <w:r>
        <w:rPr>
          <w:rFonts w:ascii="Segoe UI" w:hAnsi="Segoe UI"/>
          <w:b/>
          <w:color w:val="1E3A8A"/>
          <w:sz w:val="32"/>
        </w:rPr>
        <w:t>4. Key Database Entities &amp; Data Schema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Table Name</w:t>
            </w:r>
          </w:p>
        </w:tc>
        <w:tc>
          <w:tcPr>
            <w:tcW w:type="dxa" w:w="3360"/>
            <w:shd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Primary Key &amp; Multi-Tenant Field</w:t>
            </w:r>
          </w:p>
        </w:tc>
        <w:tc>
          <w:tcPr>
            <w:tcW w:type="dxa" w:w="3360"/>
            <w:shd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Business Description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>users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id (Serial), uid (UUID), company_id</w:t>
            </w:r>
          </w:p>
        </w:tc>
        <w:tc>
          <w:tcPr>
            <w:tcW w:type="dxa" w:w="432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Stores user accounts, authentication credentials, role, department, designation, and branch.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>companies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id (UUID)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Master tenant directory (Shanta Life Insurance PLC, Shanta Asset Management Limited, etc.).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>purchase_requisitions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id (Serial), company_id</w:t>
            </w:r>
          </w:p>
        </w:tc>
        <w:tc>
          <w:tcPr>
            <w:tcW w:type="dxa" w:w="432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Stores PR headers, requisition status, total amount, requester UID, and approval state.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>rfq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id (Serial), company_id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Request for Quotation records issued to vendors for bidding.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>comparative_statements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id (Serial), company_id</w:t>
            </w:r>
          </w:p>
        </w:tc>
        <w:tc>
          <w:tcPr>
            <w:tcW w:type="dxa" w:w="432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CS evaluations comparing vendor quotation prices and amount gateways.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>purchase_orders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id (Serial), company_id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Binding PO contracts issued to winning vendors.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>grn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id (Serial), company_id</w:t>
            </w:r>
          </w:p>
        </w:tc>
        <w:tc>
          <w:tcPr>
            <w:tcW w:type="dxa" w:w="432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Goods Receipt Notes tracking physical items delivered at warehouses.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>qc_inspections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id (Serial), company_id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Quality Control inspection logs detailing passed vs held quantities.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>inventory_items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id (Serial), company_id</w:t>
            </w:r>
          </w:p>
        </w:tc>
        <w:tc>
          <w:tcPr>
            <w:tcW w:type="dxa" w:w="432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Item master catalog including SKU, unit, category, and stock balance.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>system_settings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id (Serial), company_id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Stores Base64 logos, favicons, currency symbols, and company contact details.</w:t>
            </w:r>
          </w:p>
        </w:tc>
      </w:tr>
    </w:tbl>
    <w:p>
      <w:pPr>
        <w:spacing w:after="240"/>
      </w:pPr>
    </w:p>
    <w:p>
      <w:pPr>
        <w:spacing w:before="360" w:after="160"/>
      </w:pPr>
      <w:r>
        <w:rPr>
          <w:rFonts w:ascii="Segoe UI" w:hAnsi="Segoe UI"/>
          <w:b/>
          <w:color w:val="1E3A8A"/>
          <w:sz w:val="32"/>
        </w:rPr>
        <w:t>5. Non-Functional &amp; Security Requirements</w:t>
      </w:r>
    </w:p>
    <w:p>
      <w:pPr>
        <w:spacing w:after="120"/>
      </w:pPr>
      <w:r>
        <w:t>• Security Header Compliance: Express app uses helmet middleware stripping X-Powered-By headers, enforcing CORS restricted strictly to FRONTEND_URL in production.</w:t>
        <w:br/>
        <w:t>• Database Foreign Key Cascade Integrity: Foreign keys referencing users.uid specify { onUpdate: 'cascade' } to prevent database crashes if authentication UIDs mutate.</w:t>
        <w:br/>
        <w:t>• Form Double Submit Prevention: All POST/PUT form submission handlers incorporate isSubmitting state guards to disable submit buttons and block duplicate network calls.</w:t>
        <w:br/>
        <w:t>• Deployment Architecture: Code changes are built locally (npm run build) and deployed to live server (10.16.49.78) via MCP tool scripts (scripts/mcp-deploy-server.ts) executing Docker container rebuilds.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7415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