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Sales Data Pipeline</w:t>
      </w:r>
    </w:p>
    <w:p>
      <w:pPr>
        <w:spacing w:after="300"/>
      </w:pPr>
      <w:r>
        <w:rPr>
          <w:i/>
          <w:iCs/>
          <w:color w:val="555555"/>
          <w:sz w:val="24"/>
          <w:szCs w:val="24"/>
        </w:rPr>
        <w:t xml:space="preserve">Azure Blob Storage → PostgreSQL / Snowflake Medallion Architecture → Live Dashboard</w:t>
      </w:r>
    </w:p>
    <w:p>
      <w:pPr>
        <w:spacing w:after="160"/>
      </w:pPr>
      <w:r>
        <w:rPr>
          <w:sz w:val="22"/>
          <w:szCs w:val="22"/>
        </w:rPr>
        <w:t xml:space="preserve">Repository: https://github.com/shantanu073/sales-app</w:t>
      </w:r>
    </w:p>
    <w:p>
      <w:pPr>
        <w:spacing w:after="160"/>
      </w:pPr>
      <w:r>
        <w:rPr>
          <w:sz w:val="22"/>
          <w:szCs w:val="22"/>
        </w:rPr>
        <w:t xml:space="preserve">Live dashboard: http://sales-dashboard-snagwekar.azurewebsites.net/dashboard</w:t>
      </w:r>
    </w:p>
    <w:p>
      <w:pPr>
        <w:pStyle w:val="Heading1"/>
        <w:spacing w:after="200" w:before="400"/>
      </w:pPr>
      <w:r>
        <w:rPr>
          <w:b/>
          <w:bCs/>
          <w:color w:val="1F4E79"/>
          <w:sz w:val="32"/>
          <w:szCs w:val="32"/>
        </w:rPr>
        <w:t xml:space="preserve">1. Project Objective</w:t>
      </w:r>
    </w:p>
    <w:p>
      <w:pPr>
        <w:spacing w:after="160"/>
      </w:pPr>
      <w:r>
        <w:rPr>
          <w:sz w:val="22"/>
          <w:szCs w:val="22"/>
        </w:rPr>
        <w:t xml:space="preserve">This project implements an end-to-end sales data pipeline that ingests CSV uploads through a Flask web application and fans the data out to two independent downstream systems: an operational PostgreSQL database, and a Snowflake analytics warehouse built on a medallion (Bronze / Silver / Gold) architecture. The Gold layer feeds a dashboard that reflects new uploads automatically.</w:t>
      </w:r>
    </w:p>
    <w:p>
      <w:pPr>
        <w:spacing w:after="160"/>
      </w:pPr>
      <w:r>
        <w:rPr>
          <w:sz w:val="22"/>
          <w:szCs w:val="22"/>
        </w:rPr>
        <w:t xml:space="preserve">The project was built to demonstrate practical, hands-on experience across Azure infrastructure, Python-based ETL, Snowflake data engineering, and CI/CD deployment — mirroring a realistic production data platform at small scale.</w:t>
      </w:r>
    </w:p>
    <w:p>
      <w:pPr>
        <w:pStyle w:val="Heading1"/>
        <w:spacing w:after="200" w:before="400"/>
      </w:pPr>
      <w:r>
        <w:rPr>
          <w:b/>
          <w:bCs/>
          <w:color w:val="1F4E79"/>
          <w:sz w:val="32"/>
          <w:szCs w:val="32"/>
        </w:rPr>
        <w:t xml:space="preserve">2. Architecture Overview</w:t>
      </w:r>
    </w:p>
    <w:p>
      <w:pPr>
        <w:spacing w:after="160"/>
      </w:pPr>
      <w:r>
        <w:rPr>
          <w:sz w:val="22"/>
          <w:szCs w:val="22"/>
        </w:rPr>
        <w:t xml:space="preserve">A single file upload triggers two parallel, independent pipelines: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GitHub -&gt; GitHub Actions -&gt; Azure App Service (Flask)</w:t>
      </w:r>
      <w:r>
        <w:rPr>
          <w:rFonts w:ascii="Consolas" w:cs="Consolas" w:eastAsia="Consolas" w:hAnsi="Consolas"/>
          <w:sz w:val="18"/>
          <w:szCs w:val="18"/>
        </w:rPr>
        <w:br/>
        <w:t xml:space="preserve">                                  |</w:t>
      </w:r>
      <w:r>
        <w:rPr>
          <w:rFonts w:ascii="Consolas" w:cs="Consolas" w:eastAsia="Consolas" w:hAnsi="Consolas"/>
          <w:sz w:val="18"/>
          <w:szCs w:val="18"/>
        </w:rPr>
        <w:br/>
        <w:t xml:space="preserve">                          Upload Sales CSV</w:t>
      </w:r>
      <w:r>
        <w:rPr>
          <w:rFonts w:ascii="Consolas" w:cs="Consolas" w:eastAsia="Consolas" w:hAnsi="Consolas"/>
          <w:sz w:val="18"/>
          <w:szCs w:val="18"/>
        </w:rPr>
        <w:br/>
        <w:t xml:space="preserve">                                  v</w:t>
      </w:r>
      <w:r>
        <w:rPr>
          <w:rFonts w:ascii="Consolas" w:cs="Consolas" w:eastAsia="Consolas" w:hAnsi="Consolas"/>
          <w:sz w:val="18"/>
          <w:szCs w:val="18"/>
        </w:rPr>
        <w:br/>
        <w:t xml:space="preserve">                       Azure Blob Storage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                                 v</w:t>
      </w:r>
      <w:r>
        <w:rPr>
          <w:rFonts w:ascii="Consolas" w:cs="Consolas" w:eastAsia="Consolas" w:hAnsi="Consolas"/>
          <w:sz w:val="18"/>
          <w:szCs w:val="18"/>
        </w:rPr>
        <w:br/>
        <w:t xml:space="preserve">        Operational ETL                     Analytics ETL</w:t>
      </w:r>
      <w:r>
        <w:rPr>
          <w:rFonts w:ascii="Consolas" w:cs="Consolas" w:eastAsia="Consolas" w:hAnsi="Consolas"/>
          <w:sz w:val="18"/>
          <w:szCs w:val="18"/>
        </w:rPr>
        <w:br/>
        <w:t xml:space="preserve">        (pandas, synchronous)                (Snowpipe, event-driven)</w:t>
      </w:r>
      <w:r>
        <w:rPr>
          <w:rFonts w:ascii="Consolas" w:cs="Consolas" w:eastAsia="Consolas" w:hAnsi="Consolas"/>
          <w:sz w:val="18"/>
          <w:szCs w:val="18"/>
        </w:rPr>
        <w:br/>
        <w:t xml:space="preserve">                 |                                 |</w:t>
      </w:r>
      <w:r>
        <w:rPr>
          <w:rFonts w:ascii="Consolas" w:cs="Consolas" w:eastAsia="Consolas" w:hAnsi="Consolas"/>
          <w:sz w:val="18"/>
          <w:szCs w:val="18"/>
        </w:rPr>
        <w:br/>
        <w:t xml:space="preserve">                 v                                 v</w:t>
      </w:r>
      <w:r>
        <w:rPr>
          <w:rFonts w:ascii="Consolas" w:cs="Consolas" w:eastAsia="Consolas" w:hAnsi="Consolas"/>
          <w:sz w:val="18"/>
          <w:szCs w:val="18"/>
        </w:rPr>
        <w:br/>
        <w:t xml:space="preserve">        Azure PostgreSQL                Snowflake External Stage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Bronze -- SALES_RAW</w:t>
      </w:r>
      <w:r>
        <w:rPr>
          <w:rFonts w:ascii="Consolas" w:cs="Consolas" w:eastAsia="Consolas" w:hAnsi="Consolas"/>
          <w:sz w:val="18"/>
          <w:szCs w:val="18"/>
        </w:rPr>
        <w:br/>
        <w:t xml:space="preserve">                                                    |</w:t>
      </w:r>
      <w:r>
        <w:rPr>
          <w:rFonts w:ascii="Consolas" w:cs="Consolas" w:eastAsia="Consolas" w:hAnsi="Consolas"/>
          <w:sz w:val="18"/>
          <w:szCs w:val="18"/>
        </w:rPr>
        <w:br/>
        <w:t xml:space="preserve">                                  Stream + Task (LOAD_SALES_SILVER)</w:t>
      </w:r>
      <w:r>
        <w:rPr>
          <w:rFonts w:ascii="Consolas" w:cs="Consolas" w:eastAsia="Consolas" w:hAnsi="Consolas"/>
          <w:sz w:val="18"/>
          <w:szCs w:val="18"/>
        </w:rPr>
        <w:br/>
        <w:t xml:space="preserve">                                                    v</w:t>
      </w:r>
      <w:r>
        <w:rPr>
          <w:rFonts w:ascii="Consolas" w:cs="Consolas" w:eastAsia="Consolas" w:hAnsi="Consolas"/>
          <w:sz w:val="18"/>
          <w:szCs w:val="18"/>
        </w:rPr>
        <w:br/>
        <w:t xml:space="preserve">                                          Silver -- SALES_CLEAN</w:t>
      </w:r>
      <w:r>
        <w:rPr>
          <w:rFonts w:ascii="Consolas" w:cs="Consolas" w:eastAsia="Consolas" w:hAnsi="Consolas"/>
          <w:sz w:val="18"/>
          <w:szCs w:val="18"/>
        </w:rPr>
        <w:br/>
        <w:t xml:space="preserve">                                                    |</w:t>
      </w:r>
      <w:r>
        <w:rPr>
          <w:rFonts w:ascii="Consolas" w:cs="Consolas" w:eastAsia="Consolas" w:hAnsi="Consolas"/>
          <w:sz w:val="18"/>
          <w:szCs w:val="18"/>
        </w:rPr>
        <w:br/>
        <w:t xml:space="preserve">                                  Stream + Task (LOAD_SALES_GOLD,</w:t>
      </w:r>
      <w:r>
        <w:rPr>
          <w:rFonts w:ascii="Consolas" w:cs="Consolas" w:eastAsia="Consolas" w:hAnsi="Consolas"/>
          <w:sz w:val="18"/>
          <w:szCs w:val="18"/>
        </w:rPr>
        <w:br/>
        <w:t xml:space="preserve">                                     chained AFTER the Silver task)</w:t>
      </w:r>
      <w:r>
        <w:rPr>
          <w:rFonts w:ascii="Consolas" w:cs="Consolas" w:eastAsia="Consolas" w:hAnsi="Consolas"/>
          <w:sz w:val="18"/>
          <w:szCs w:val="18"/>
        </w:rPr>
        <w:br/>
        <w:t xml:space="preserve">                                                    v</w:t>
      </w:r>
      <w:r>
        <w:rPr>
          <w:rFonts w:ascii="Consolas" w:cs="Consolas" w:eastAsia="Consolas" w:hAnsi="Consolas"/>
          <w:sz w:val="18"/>
          <w:szCs w:val="18"/>
        </w:rPr>
        <w:br/>
        <w:t xml:space="preserve">                                    Gold -- SALES_KPIS_BY_REGION_CATEGORY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Dashboard (auto-refreshing)</w:t>
      </w:r>
    </w:p>
    <w:p>
      <w:pPr>
        <w:pStyle w:val="Heading2"/>
        <w:spacing w:after="150" w:before="300"/>
      </w:pPr>
      <w:r>
        <w:rPr>
          <w:b/>
          <w:bCs/>
          <w:color w:val="2E74B5"/>
          <w:sz w:val="26"/>
          <w:szCs w:val="26"/>
        </w:rPr>
        <w:t xml:space="preserve">2.1 Why two independent branches</w:t>
      </w:r>
    </w:p>
    <w:p>
      <w:pPr>
        <w:pStyle w:val="ListParagraph"/>
        <w:numPr>
          <w:ilvl w:val="0"/>
          <w:numId w:val="2"/>
        </w:numPr>
        <w:spacing w:after="80"/>
      </w:pPr>
      <w:r>
        <w:rPr>
          <w:sz w:val="22"/>
          <w:szCs w:val="22"/>
        </w:rPr>
        <w:t xml:space="preserve">Operational (PostgreSQL): optimized for fast, single-row reads and writes — serves any live application layer that needs current-state data.</w:t>
      </w:r>
    </w:p>
    <w:p>
      <w:pPr>
        <w:pStyle w:val="ListParagraph"/>
        <w:numPr>
          <w:ilvl w:val="0"/>
          <w:numId w:val="2"/>
        </w:numPr>
        <w:spacing w:after="80"/>
      </w:pPr>
      <w:r>
        <w:rPr>
          <w:sz w:val="22"/>
          <w:szCs w:val="22"/>
        </w:rPr>
        <w:t xml:space="preserve">Analytical (Snowflake): a columnar warehouse optimized for aggregating across the full historical dataset, feeding KPI-level reporting.</w:t>
      </w:r>
    </w:p>
    <w:p>
      <w:pPr>
        <w:pStyle w:val="ListParagraph"/>
        <w:numPr>
          <w:ilvl w:val="0"/>
          <w:numId w:val="2"/>
        </w:numPr>
        <w:spacing w:after="80"/>
      </w:pPr>
      <w:r>
        <w:rPr>
          <w:sz w:val="22"/>
          <w:szCs w:val="22"/>
        </w:rPr>
        <w:t xml:space="preserve">The two branches are deliberately decoupled: a failure in one (e.g. PostgreSQL temporarily unreachable) never blocks or is misreported as a failure in the other. The Flask app reads the uploaded file into memory once and reuses those bytes for both branches.</w:t>
      </w:r>
    </w:p>
    <w:p>
      <w:pPr>
        <w:pStyle w:val="Heading1"/>
        <w:spacing w:after="200" w:before="400"/>
      </w:pPr>
      <w:r>
        <w:rPr>
          <w:b/>
          <w:bCs/>
          <w:color w:val="1F4E79"/>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Pr>
          <w:p>
            <w:r>
              <w:rPr>
                <w:b/>
                <w:bCs/>
                <w:sz w:val="20"/>
                <w:szCs w:val="20"/>
              </w:rPr>
              <w:t xml:space="preserve">Layer</w:t>
            </w:r>
          </w:p>
        </w:tc>
        <w:tc>
          <w:tcPr>
            <w:tcW w:type="dxa" w:w="4680"/>
            <w:shd w:fill="D9E2F3" w:val="clear"/>
          </w:tcPr>
          <w:p>
            <w:r>
              <w:rPr>
                <w:b/>
                <w:bCs/>
                <w:sz w:val="20"/>
                <w:szCs w:val="20"/>
              </w:rPr>
              <w:t xml:space="preserve">Technology</w:t>
            </w:r>
          </w:p>
        </w:tc>
      </w:tr>
      <w:tr>
        <w:tc>
          <w:tcPr>
            <w:tcW w:type="dxa" w:w="4680"/>
          </w:tcPr>
          <w:p>
            <w:r>
              <w:rPr>
                <w:b w:val="false"/>
                <w:bCs w:val="false"/>
                <w:sz w:val="20"/>
                <w:szCs w:val="20"/>
              </w:rPr>
              <w:t xml:space="preserve">Ingestion</w:t>
            </w:r>
          </w:p>
        </w:tc>
        <w:tc>
          <w:tcPr>
            <w:tcW w:type="dxa" w:w="4680"/>
          </w:tcPr>
          <w:p>
            <w:r>
              <w:rPr>
                <w:b w:val="false"/>
                <w:bCs w:val="false"/>
                <w:sz w:val="20"/>
                <w:szCs w:val="20"/>
              </w:rPr>
              <w:t xml:space="preserve">Flask, deployed on Azure App Service</w:t>
            </w:r>
          </w:p>
        </w:tc>
      </w:tr>
      <w:tr>
        <w:tc>
          <w:tcPr>
            <w:tcW w:type="dxa" w:w="4680"/>
          </w:tcPr>
          <w:p>
            <w:r>
              <w:rPr>
                <w:b w:val="false"/>
                <w:bCs w:val="false"/>
                <w:sz w:val="20"/>
                <w:szCs w:val="20"/>
              </w:rPr>
              <w:t xml:space="preserve">Object storage</w:t>
            </w:r>
          </w:p>
        </w:tc>
        <w:tc>
          <w:tcPr>
            <w:tcW w:type="dxa" w:w="4680"/>
          </w:tcPr>
          <w:p>
            <w:r>
              <w:rPr>
                <w:b w:val="false"/>
                <w:bCs w:val="false"/>
                <w:sz w:val="20"/>
                <w:szCs w:val="20"/>
              </w:rPr>
              <w:t xml:space="preserve">Azure Blob Storage</w:t>
            </w:r>
          </w:p>
        </w:tc>
      </w:tr>
      <w:tr>
        <w:tc>
          <w:tcPr>
            <w:tcW w:type="dxa" w:w="4680"/>
          </w:tcPr>
          <w:p>
            <w:r>
              <w:rPr>
                <w:b w:val="false"/>
                <w:bCs w:val="false"/>
                <w:sz w:val="20"/>
                <w:szCs w:val="20"/>
              </w:rPr>
              <w:t xml:space="preserve">Operational database</w:t>
            </w:r>
          </w:p>
        </w:tc>
        <w:tc>
          <w:tcPr>
            <w:tcW w:type="dxa" w:w="4680"/>
          </w:tcPr>
          <w:p>
            <w:r>
              <w:rPr>
                <w:b w:val="false"/>
                <w:bCs w:val="false"/>
                <w:sz w:val="20"/>
                <w:szCs w:val="20"/>
              </w:rPr>
              <w:t xml:space="preserve">Azure Database for PostgreSQL (Flexible Server)</w:t>
            </w:r>
          </w:p>
        </w:tc>
      </w:tr>
      <w:tr>
        <w:tc>
          <w:tcPr>
            <w:tcW w:type="dxa" w:w="4680"/>
          </w:tcPr>
          <w:p>
            <w:r>
              <w:rPr>
                <w:b w:val="false"/>
                <w:bCs w:val="false"/>
                <w:sz w:val="20"/>
                <w:szCs w:val="20"/>
              </w:rPr>
              <w:t xml:space="preserve">Event trigger</w:t>
            </w:r>
          </w:p>
        </w:tc>
        <w:tc>
          <w:tcPr>
            <w:tcW w:type="dxa" w:w="4680"/>
          </w:tcPr>
          <w:p>
            <w:r>
              <w:rPr>
                <w:b w:val="false"/>
                <w:bCs w:val="false"/>
                <w:sz w:val="20"/>
                <w:szCs w:val="20"/>
              </w:rPr>
              <w:t xml:space="preserve">Azure Storage Queue + Event Grid → Snowflake Notification Integration</w:t>
            </w:r>
          </w:p>
        </w:tc>
      </w:tr>
      <w:tr>
        <w:tc>
          <w:tcPr>
            <w:tcW w:type="dxa" w:w="4680"/>
          </w:tcPr>
          <w:p>
            <w:r>
              <w:rPr>
                <w:b w:val="false"/>
                <w:bCs w:val="false"/>
                <w:sz w:val="20"/>
                <w:szCs w:val="20"/>
              </w:rPr>
              <w:t xml:space="preserve">Analytics warehouse</w:t>
            </w:r>
          </w:p>
        </w:tc>
        <w:tc>
          <w:tcPr>
            <w:tcW w:type="dxa" w:w="4680"/>
          </w:tcPr>
          <w:p>
            <w:r>
              <w:rPr>
                <w:b w:val="false"/>
                <w:bCs w:val="false"/>
                <w:sz w:val="20"/>
                <w:szCs w:val="20"/>
              </w:rPr>
              <w:t xml:space="preserve">Snowflake (Storage Integration, Snowpipe, Streams, Tasks)</w:t>
            </w:r>
          </w:p>
        </w:tc>
      </w:tr>
      <w:tr>
        <w:tc>
          <w:tcPr>
            <w:tcW w:type="dxa" w:w="4680"/>
          </w:tcPr>
          <w:p>
            <w:r>
              <w:rPr>
                <w:b w:val="false"/>
                <w:bCs w:val="false"/>
                <w:sz w:val="20"/>
                <w:szCs w:val="20"/>
              </w:rPr>
              <w:t xml:space="preserve">Transformation</w:t>
            </w:r>
          </w:p>
        </w:tc>
        <w:tc>
          <w:tcPr>
            <w:tcW w:type="dxa" w:w="4680"/>
          </w:tcPr>
          <w:p>
            <w:r>
              <w:rPr>
                <w:b w:val="false"/>
                <w:bCs w:val="false"/>
                <w:sz w:val="20"/>
                <w:szCs w:val="20"/>
              </w:rPr>
              <w:t xml:space="preserve">pandas (operational branch); SQL Streams/Tasks (Silver/Gold)</w:t>
            </w:r>
          </w:p>
        </w:tc>
      </w:tr>
      <w:tr>
        <w:tc>
          <w:tcPr>
            <w:tcW w:type="dxa" w:w="4680"/>
          </w:tcPr>
          <w:p>
            <w:r>
              <w:rPr>
                <w:b w:val="false"/>
                <w:bCs w:val="false"/>
                <w:sz w:val="20"/>
                <w:szCs w:val="20"/>
              </w:rPr>
              <w:t xml:space="preserve">CI/CD</w:t>
            </w:r>
          </w:p>
        </w:tc>
        <w:tc>
          <w:tcPr>
            <w:tcW w:type="dxa" w:w="4680"/>
          </w:tcPr>
          <w:p>
            <w:r>
              <w:rPr>
                <w:b w:val="false"/>
                <w:bCs w:val="false"/>
                <w:sz w:val="20"/>
                <w:szCs w:val="20"/>
              </w:rPr>
              <w:t xml:space="preserve">GitHub Actions → Azure App Service</w:t>
            </w:r>
          </w:p>
        </w:tc>
      </w:tr>
      <w:tr>
        <w:tc>
          <w:tcPr>
            <w:tcW w:type="dxa" w:w="4680"/>
          </w:tcPr>
          <w:p>
            <w:r>
              <w:rPr>
                <w:b w:val="false"/>
                <w:bCs w:val="false"/>
                <w:sz w:val="20"/>
                <w:szCs w:val="20"/>
              </w:rPr>
              <w:t xml:space="preserve">Dashboard</w:t>
            </w:r>
          </w:p>
        </w:tc>
        <w:tc>
          <w:tcPr>
            <w:tcW w:type="dxa" w:w="4680"/>
          </w:tcPr>
          <w:p>
            <w:r>
              <w:rPr>
                <w:b w:val="false"/>
                <w:bCs w:val="false"/>
                <w:sz w:val="20"/>
                <w:szCs w:val="20"/>
              </w:rPr>
              <w:t xml:space="preserve">Web view over the Snowflake Gold layer, auto-refreshing</w:t>
            </w:r>
          </w:p>
        </w:tc>
      </w:tr>
    </w:tbl>
    <w:p>
      <w:pPr>
        <w:pStyle w:val="Heading1"/>
        <w:spacing w:after="200" w:before="400"/>
      </w:pPr>
      <w:r>
        <w:rPr>
          <w:b/>
          <w:bCs/>
          <w:color w:val="1F4E79"/>
          <w:sz w:val="32"/>
          <w:szCs w:val="32"/>
        </w:rPr>
        <w:t xml:space="preserve">4. Data Model</w:t>
      </w:r>
    </w:p>
    <w:p>
      <w:pPr>
        <w:spacing w:after="160"/>
      </w:pPr>
      <w:r>
        <w:rPr>
          <w:sz w:val="22"/>
          <w:szCs w:val="22"/>
        </w:rPr>
        <w:t xml:space="preserve">Source CSV columns: Product_ID, Sale_Date, Sales_Rep, Region, Sales_Amount, Quantity_Sold, Product_Category, Unit_Cost, Unit_Price, Customer_Type, Discount, Payment_Method, Sales_Channel, Region_and_Sales_Rep.</w:t>
      </w:r>
    </w:p>
    <w:p>
      <w:pPr>
        <w:spacing w:after="160"/>
      </w:pPr>
      <w:r>
        <w:rPr>
          <w:sz w:val="22"/>
          <w:szCs w:val="22"/>
        </w:rPr>
        <w:t xml:space="preserve">Design decision: Product_ID increments per row rather than identifying a distinct product, so it is not a safe deduplication key. The Bronze → Silver step is therefore append-only (INSERT, not MERGE), preventing later rows from silently overwriting earlier sales records. The Gold layer aggregates incrementally via MERGE keyed on (Region, Product_Category), maintaining running totals for revenue, units sold, profit, and order count.</w:t>
      </w:r>
    </w:p>
    <w:p>
      <w:pPr>
        <w:pStyle w:val="Heading1"/>
        <w:spacing w:after="200" w:before="400"/>
      </w:pPr>
      <w:r>
        <w:rPr>
          <w:b/>
          <w:bCs/>
          <w:color w:val="1F4E79"/>
          <w:sz w:val="32"/>
          <w:szCs w:val="32"/>
        </w:rPr>
        <w:t xml:space="preserve">5. Implementation Steps</w:t>
      </w:r>
    </w:p>
    <w:p>
      <w:pPr>
        <w:pStyle w:val="ListParagraph"/>
        <w:numPr>
          <w:ilvl w:val="0"/>
          <w:numId w:val="3"/>
        </w:numPr>
        <w:spacing w:after="80"/>
      </w:pPr>
      <w:r>
        <w:rPr>
          <w:sz w:val="22"/>
          <w:szCs w:val="22"/>
        </w:rPr>
        <w:t xml:space="preserve">Provisioned Azure infrastructure: Storage Account, Blob container, Storage Queue, and an Event Grid subscription linking blob-created events to the queue.</w:t>
      </w:r>
    </w:p>
    <w:p>
      <w:pPr>
        <w:pStyle w:val="ListParagraph"/>
        <w:numPr>
          <w:ilvl w:val="0"/>
          <w:numId w:val="3"/>
        </w:numPr>
        <w:spacing w:after="80"/>
      </w:pPr>
      <w:r>
        <w:rPr>
          <w:sz w:val="22"/>
          <w:szCs w:val="22"/>
        </w:rPr>
        <w:t xml:space="preserve">Created Snowflake Storage and Notification Integrations pointing at the Azure resources, and granted the resulting Snowflake service principal the required IAM roles (Storage Blob Data Reader; Storage Queue Data Contributor) in Azure.</w:t>
      </w:r>
    </w:p>
    <w:p>
      <w:pPr>
        <w:pStyle w:val="ListParagraph"/>
        <w:numPr>
          <w:ilvl w:val="0"/>
          <w:numId w:val="3"/>
        </w:numPr>
        <w:spacing w:after="80"/>
      </w:pPr>
      <w:r>
        <w:rPr>
          <w:sz w:val="22"/>
          <w:szCs w:val="22"/>
        </w:rPr>
        <w:t xml:space="preserve">Built the Bronze layer (SALES_RAW) with an auto-ingest Snowpipe, verified with manual pipe refreshes and COPY_HISTORY checks during setup.</w:t>
      </w:r>
    </w:p>
    <w:p>
      <w:pPr>
        <w:pStyle w:val="ListParagraph"/>
        <w:numPr>
          <w:ilvl w:val="0"/>
          <w:numId w:val="3"/>
        </w:numPr>
        <w:spacing w:after="80"/>
      </w:pPr>
      <w:r>
        <w:rPr>
          <w:sz w:val="22"/>
          <w:szCs w:val="22"/>
        </w:rPr>
        <w:t xml:space="preserve">Built the Silver layer (SALES_CLEAN) via a stream-triggered task performing column trimming, uppercasing, and data-quality filtering (null checks, non-negative amounts, positive quantities).</w:t>
      </w:r>
    </w:p>
    <w:p>
      <w:pPr>
        <w:pStyle w:val="ListParagraph"/>
        <w:numPr>
          <w:ilvl w:val="0"/>
          <w:numId w:val="3"/>
        </w:numPr>
        <w:spacing w:after="80"/>
      </w:pPr>
      <w:r>
        <w:rPr>
          <w:sz w:val="22"/>
          <w:szCs w:val="22"/>
        </w:rPr>
        <w:t xml:space="preserve">Built the Gold layer (SALES_KPIS_BY_REGION_CATEGORY) via a second task chained AFTER the Silver task, aggregating revenue, units, profit, and discount metrics, exposed through a reporting view.</w:t>
      </w:r>
    </w:p>
    <w:p>
      <w:pPr>
        <w:pStyle w:val="ListParagraph"/>
        <w:numPr>
          <w:ilvl w:val="0"/>
          <w:numId w:val="3"/>
        </w:numPr>
        <w:spacing w:after="80"/>
      </w:pPr>
      <w:r>
        <w:rPr>
          <w:sz w:val="22"/>
          <w:szCs w:val="22"/>
        </w:rPr>
        <w:t xml:space="preserve">Provisioned an Azure Database for PostgreSQL Flexible Server and created the operational sales_table schema.</w:t>
      </w:r>
    </w:p>
    <w:p>
      <w:pPr>
        <w:pStyle w:val="ListParagraph"/>
        <w:numPr>
          <w:ilvl w:val="0"/>
          <w:numId w:val="3"/>
        </w:numPr>
        <w:spacing w:after="80"/>
      </w:pPr>
      <w:r>
        <w:rPr>
          <w:sz w:val="22"/>
          <w:szCs w:val="22"/>
        </w:rPr>
        <w:t xml:space="preserve">Built the Flask upload application (Blob upload branch + pandas-based operational ETL branch), with independent error handling and status reporting per branch.</w:t>
      </w:r>
    </w:p>
    <w:p>
      <w:pPr>
        <w:pStyle w:val="ListParagraph"/>
        <w:numPr>
          <w:ilvl w:val="0"/>
          <w:numId w:val="3"/>
        </w:numPr>
        <w:spacing w:after="80"/>
      </w:pPr>
      <w:r>
        <w:rPr>
          <w:sz w:val="22"/>
          <w:szCs w:val="22"/>
        </w:rPr>
        <w:t xml:space="preserve">Deployed the application to Azure App Service with CI/CD via GitHub Actions.</w:t>
      </w:r>
    </w:p>
    <w:p>
      <w:pPr>
        <w:pStyle w:val="ListParagraph"/>
        <w:numPr>
          <w:ilvl w:val="0"/>
          <w:numId w:val="3"/>
        </w:numPr>
        <w:spacing w:after="80"/>
      </w:pPr>
      <w:r>
        <w:rPr>
          <w:sz w:val="22"/>
          <w:szCs w:val="22"/>
        </w:rPr>
        <w:t xml:space="preserve">Connected the Gold layer to a live, auto-refreshing dashboard.</w:t>
      </w:r>
    </w:p>
    <w:p>
      <w:pPr>
        <w:pStyle w:val="Heading1"/>
        <w:spacing w:after="200" w:before="400"/>
      </w:pPr>
      <w:r>
        <w:rPr>
          <w:b/>
          <w:bCs/>
          <w:color w:val="1F4E79"/>
          <w:sz w:val="32"/>
          <w:szCs w:val="32"/>
        </w:rPr>
        <w:t xml:space="preserve">6. Challenges and Resolutions</w:t>
      </w:r>
    </w:p>
    <w:p>
      <w:pPr>
        <w:pStyle w:val="Heading2"/>
        <w:spacing w:after="150" w:before="300"/>
      </w:pPr>
      <w:r>
        <w:rPr>
          <w:b/>
          <w:bCs/>
          <w:color w:val="2E74B5"/>
          <w:sz w:val="26"/>
          <w:szCs w:val="26"/>
        </w:rPr>
        <w:t xml:space="preserve">6.1 Non-unique row identifier</w:t>
      </w:r>
    </w:p>
    <w:p>
      <w:pPr>
        <w:spacing w:after="160"/>
      </w:pPr>
      <w:r>
        <w:rPr>
          <w:sz w:val="22"/>
          <w:szCs w:val="22"/>
        </w:rPr>
        <w:t xml:space="preserve">The dataset's Product_ID column behaves as an incrementing row identifier rather than a true product key. An initial MERGE-based Silver design keyed on Product_ID would have silently overwritten sales records whenever an ID was reused. Resolved by switching Silver to append-only INSERT semantics.</w:t>
      </w:r>
    </w:p>
    <w:p>
      <w:pPr>
        <w:pStyle w:val="Heading2"/>
        <w:spacing w:after="150" w:before="300"/>
      </w:pPr>
      <w:r>
        <w:rPr>
          <w:b/>
          <w:bCs/>
          <w:color w:val="2E74B5"/>
          <w:sz w:val="26"/>
          <w:szCs w:val="26"/>
        </w:rPr>
        <w:t xml:space="preserve">6.2 Inconsistent source data formats</w:t>
      </w:r>
    </w:p>
    <w:p>
      <w:pPr>
        <w:spacing w:after="160"/>
      </w:pPr>
      <w:r>
        <w:rPr>
          <w:sz w:val="22"/>
          <w:szCs w:val="22"/>
        </w:rPr>
        <w:t xml:space="preserve">Test files generated across sessions varied in date format (YYYY-MM-DD vs. M/D/YYYY) and discount scale (0–1 fraction vs. 0–100 percentage). This surfaced as failed COPY loads (unrecognized date literals) and as impossible aggregate values (negative profit, average discount above 1). Resolved by setting the Snowflake file format to DATE_FORMAT = 'AUTO', removing a pinned date format from the pandas ETL in favor of pandas' automatic date inference, and normalizing discount values greater than 1 by dividing by 100 during Silver transformation.</w:t>
      </w:r>
    </w:p>
    <w:p>
      <w:pPr>
        <w:pStyle w:val="Heading2"/>
        <w:spacing w:after="150" w:before="300"/>
      </w:pPr>
      <w:r>
        <w:rPr>
          <w:b/>
          <w:bCs/>
          <w:color w:val="2E74B5"/>
          <w:sz w:val="26"/>
          <w:szCs w:val="26"/>
        </w:rPr>
        <w:t xml:space="preserve">6.3 Suspended tasks after redeployment</w:t>
      </w:r>
    </w:p>
    <w:p>
      <w:pPr>
        <w:spacing w:after="160"/>
      </w:pPr>
      <w:r>
        <w:rPr>
          <w:sz w:val="22"/>
          <w:szCs w:val="22"/>
        </w:rPr>
        <w:t xml:space="preserve">Re-running CREATE OR REPLACE TASK statements resets task state to suspended by default. This caused streams to accumulate unconsumed data silently. Diagnosed via SYSTEM$STREAM_HAS_DATA (confirmed pending data) and SHOW TASKS (confirmed suspended state); resolved by explicitly resuming tasks, resuming child tasks before parent tasks in the DAG.</w:t>
      </w:r>
    </w:p>
    <w:p>
      <w:pPr>
        <w:pStyle w:val="Heading2"/>
        <w:spacing w:after="150" w:before="300"/>
      </w:pPr>
      <w:r>
        <w:rPr>
          <w:b/>
          <w:bCs/>
          <w:color w:val="2E74B5"/>
          <w:sz w:val="26"/>
          <w:szCs w:val="26"/>
        </w:rPr>
        <w:t xml:space="preserve">6.4 Local PostgreSQL connectivity</w:t>
      </w:r>
    </w:p>
    <w:p>
      <w:pPr>
        <w:spacing w:after="160"/>
      </w:pPr>
      <w:r>
        <w:rPr>
          <w:sz w:val="22"/>
          <w:szCs w:val="22"/>
        </w:rPr>
        <w:t xml:space="preserve">Local development network blocked outbound connections on port 5432, preventing direct verification of the operational ETL branch from a local machine. The Flask application was designed to detect this condition explicitly (distinguishing an unreachable-host error from a genuine data or credentials error) rather than fail silently, and the branch was fully verified once the application was deployed to Azure App Service, which is not subject to the same network restriction.</w:t>
      </w:r>
    </w:p>
    <w:p>
      <w:pPr>
        <w:pStyle w:val="Heading2"/>
        <w:spacing w:after="150" w:before="300"/>
      </w:pPr>
      <w:r>
        <w:rPr>
          <w:b/>
          <w:bCs/>
          <w:color w:val="2E74B5"/>
          <w:sz w:val="26"/>
          <w:szCs w:val="26"/>
        </w:rPr>
        <w:t xml:space="preserve">6.5 Python packaging naming collision</w:t>
      </w:r>
    </w:p>
    <w:p>
      <w:pPr>
        <w:spacing w:after="160"/>
      </w:pPr>
      <w:r>
        <w:rPr>
          <w:sz w:val="22"/>
          <w:szCs w:val="22"/>
        </w:rPr>
        <w:t xml:space="preserve">An early project layout named both the application entry point (app.py) and its ETL package (app/) identically, causing Python's import system to resolve the wrong module. Resolved by renaming the entry point script and correcting the corresponding import path.</w:t>
      </w:r>
    </w:p>
    <w:p>
      <w:pPr>
        <w:pStyle w:val="Heading1"/>
        <w:spacing w:after="200" w:before="400"/>
      </w:pPr>
      <w:r>
        <w:rPr>
          <w:b/>
          <w:bCs/>
          <w:color w:val="1F4E79"/>
          <w:sz w:val="32"/>
          <w:szCs w:val="32"/>
        </w:rPr>
        <w:t xml:space="preserve">7. Key Design Decisions</w:t>
      </w:r>
    </w:p>
    <w:p>
      <w:pPr>
        <w:pStyle w:val="ListParagraph"/>
        <w:numPr>
          <w:ilvl w:val="0"/>
          <w:numId w:val="2"/>
        </w:numPr>
        <w:spacing w:after="80"/>
      </w:pPr>
      <w:r>
        <w:rPr>
          <w:sz w:val="22"/>
          <w:szCs w:val="22"/>
        </w:rPr>
        <w:t xml:space="preserve">Task DAG chaining: the Gold task runs AFTER the Silver task rather than on an independent trigger, ensuring the full Bronze → Silver → Gold sequence completes coherently per upload.</w:t>
      </w:r>
    </w:p>
    <w:p>
      <w:pPr>
        <w:pStyle w:val="ListParagraph"/>
        <w:numPr>
          <w:ilvl w:val="0"/>
          <w:numId w:val="2"/>
        </w:numPr>
        <w:spacing w:after="80"/>
      </w:pPr>
      <w:r>
        <w:rPr>
          <w:sz w:val="22"/>
          <w:szCs w:val="22"/>
        </w:rPr>
        <w:t xml:space="preserve">Defensive parsing: both the Snowflake file format and the Python ETL tolerate variation in date format and discount scale rather than assuming a single fixed convention.</w:t>
      </w:r>
    </w:p>
    <w:p>
      <w:pPr>
        <w:pStyle w:val="ListParagraph"/>
        <w:numPr>
          <w:ilvl w:val="0"/>
          <w:numId w:val="2"/>
        </w:numPr>
        <w:spacing w:after="80"/>
      </w:pPr>
      <w:r>
        <w:rPr>
          <w:sz w:val="22"/>
          <w:szCs w:val="22"/>
        </w:rPr>
        <w:t xml:space="preserve">Branch independence: Blob Storage and PostgreSQL outcomes are reported and handled separately in the Flask application, so a failure in one branch is never misattributed to the other.</w:t>
      </w:r>
    </w:p>
    <w:p>
      <w:pPr>
        <w:pStyle w:val="ListParagraph"/>
        <w:numPr>
          <w:ilvl w:val="0"/>
          <w:numId w:val="2"/>
        </w:numPr>
        <w:spacing w:after="80"/>
      </w:pPr>
      <w:r>
        <w:rPr>
          <w:sz w:val="22"/>
          <w:szCs w:val="22"/>
        </w:rPr>
        <w:t xml:space="preserve">Running sums over running averages: the Gold layer stores a running discount sum and order count rather than an averaged average, with the true average computed in a view — avoiding the mathematical error of averaging pre-aggregated averages.</w:t>
      </w:r>
    </w:p>
    <w:p>
      <w:pPr>
        <w:pStyle w:val="Heading1"/>
        <w:spacing w:after="200" w:before="400"/>
      </w:pPr>
      <w:r>
        <w:rPr>
          <w:b/>
          <w:bCs/>
          <w:color w:val="1F4E79"/>
          <w:sz w:val="32"/>
          <w:szCs w:val="32"/>
        </w:rPr>
        <w:t xml:space="preserve">8. Conclusion</w:t>
      </w:r>
    </w:p>
    <w:p>
      <w:pPr>
        <w:spacing w:after="160"/>
      </w:pPr>
      <w:r>
        <w:rPr>
          <w:sz w:val="22"/>
          <w:szCs w:val="22"/>
        </w:rPr>
        <w:t xml:space="preserve">The completed pipeline demonstrates a working, deployed data platform spanning ingestion, dual-path ETL, a medallion-architecture analytics warehouse, and a live reporting layer, with defensive handling for the data-quality and infrastructure issues encountered during development.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2026-08-17T10:33:17.485Z</dcterms:created>
  <dcterms:modified xsi:type="dcterms:W3CDTF">2026-08-17T10:33:17.496Z</dcterms:modified>
</cp:coreProperties>
</file>

<file path=docProps/custom.xml><?xml version="1.0" encoding="utf-8"?>
<Properties xmlns="http://schemas.openxmlformats.org/officeDocument/2006/custom-properties" xmlns:vt="http://schemas.openxmlformats.org/officeDocument/2006/docPropsVTypes"/>
</file>