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351291"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Nonverbal communication cues make up nearly 65% of all human interpersonal communication</w:t>
      </w:r>
      <w:r w:rsidR="00773960">
        <w:rPr>
          <w:rFonts w:ascii="Times New Roman" w:hAnsi="Times New Roman" w:cs="Times New Roman"/>
          <w:sz w:val="24"/>
          <w:szCs w:val="24"/>
        </w:rPr>
        <w:t xml:space="preserve"> [1]</w:t>
      </w:r>
      <w:r>
        <w:rPr>
          <w:rFonts w:ascii="Times New Roman" w:hAnsi="Times New Roman" w:cs="Times New Roman"/>
          <w:sz w:val="24"/>
          <w:szCs w:val="24"/>
        </w:rPr>
        <w:t>. Unless the communication is being carried out remotely (through telep</w:t>
      </w:r>
      <w:r w:rsidR="0093344F">
        <w:rPr>
          <w:rFonts w:ascii="Times New Roman" w:hAnsi="Times New Roman" w:cs="Times New Roman"/>
          <w:sz w:val="24"/>
          <w:szCs w:val="24"/>
        </w:rPr>
        <w:t>hone, instant messenger, social networking,</w:t>
      </w:r>
      <w:r>
        <w:rPr>
          <w:rFonts w:ascii="Times New Roman" w:hAnsi="Times New Roman" w:cs="Times New Roman"/>
          <w:sz w:val="24"/>
          <w:szCs w:val="24"/>
        </w:rPr>
        <w:t xml:space="preserve"> etc), people tend to enrich their communication through the use of head and body po</w:t>
      </w:r>
      <w:r w:rsidR="0093344F">
        <w:rPr>
          <w:rFonts w:ascii="Times New Roman" w:hAnsi="Times New Roman" w:cs="Times New Roman"/>
          <w:sz w:val="24"/>
          <w:szCs w:val="24"/>
        </w:rPr>
        <w:t>stures or gestures</w:t>
      </w:r>
      <w:r>
        <w:rPr>
          <w:rFonts w:ascii="Times New Roman" w:hAnsi="Times New Roman" w:cs="Times New Roman"/>
          <w:sz w:val="24"/>
          <w:szCs w:val="24"/>
        </w:rPr>
        <w:t xml:space="preserve">.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encounters</w:t>
      </w:r>
      <w:r w:rsidR="00773960">
        <w:rPr>
          <w:rFonts w:ascii="Times New Roman" w:hAnsi="Times New Roman" w:cs="Times New Roman"/>
          <w:sz w:val="24"/>
          <w:szCs w:val="24"/>
        </w:rPr>
        <w:t xml:space="preserve"> [2]</w:t>
      </w:r>
      <w:r w:rsidR="001E40A5" w:rsidRPr="00816853">
        <w:rPr>
          <w:rFonts w:ascii="Times New Roman" w:hAnsi="Times New Roman" w:cs="Times New Roman"/>
          <w:sz w:val="24"/>
          <w:szCs w:val="24"/>
        </w:rPr>
        <w:t xml:space="preserve">.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w:t>
      </w:r>
      <w:r w:rsidR="00773960">
        <w:rPr>
          <w:rFonts w:ascii="Times New Roman" w:hAnsi="Times New Roman" w:cs="Times New Roman"/>
          <w:sz w:val="24"/>
          <w:szCs w:val="24"/>
        </w:rPr>
        <w:t>se</w:t>
      </w:r>
      <w:r>
        <w:rPr>
          <w:rFonts w:ascii="Times New Roman" w:hAnsi="Times New Roman" w:cs="Times New Roman"/>
          <w:sz w:val="24"/>
          <w:szCs w:val="24"/>
        </w:rPr>
        <w:t xml:space="preserv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w:t>
      </w:r>
      <w:r w:rsidR="00EF063D">
        <w:rPr>
          <w:rFonts w:ascii="Times New Roman" w:hAnsi="Times New Roman" w:cs="Times New Roman"/>
          <w:sz w:val="24"/>
          <w:szCs w:val="24"/>
        </w:rPr>
        <w:t>,</w:t>
      </w:r>
      <w:r w:rsidR="00672F7A">
        <w:rPr>
          <w:rFonts w:ascii="Times New Roman" w:hAnsi="Times New Roman" w:cs="Times New Roman"/>
          <w:sz w:val="24"/>
          <w:szCs w:val="24"/>
        </w:rPr>
        <w:t xml:space="preserve">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672F7A">
        <w:rPr>
          <w:rFonts w:ascii="Times New Roman" w:hAnsi="Times New Roman" w:cs="Times New Roman"/>
          <w:sz w:val="24"/>
          <w:szCs w:val="24"/>
        </w:rPr>
        <w:t>C</w:t>
      </w:r>
      <w:r w:rsidR="00BB2233">
        <w:rPr>
          <w:rFonts w:ascii="Times New Roman" w:hAnsi="Times New Roman" w:cs="Times New Roman"/>
          <w:sz w:val="24"/>
          <w:szCs w:val="24"/>
        </w:rPr>
        <w:t xml:space="preserve">ultural artifacts impose variations on these visual displays of expressions, mannerisms and gestures which are very difficult to comprehend even with continuous visual feedback and social learning. </w:t>
      </w:r>
      <w:r w:rsidR="00233769">
        <w:rPr>
          <w:rFonts w:ascii="Times New Roman" w:hAnsi="Times New Roman" w:cs="Times New Roman"/>
          <w:sz w:val="24"/>
          <w:szCs w:val="24"/>
        </w:rPr>
        <w:t xml:space="preserve">Recent studies on child development, </w:t>
      </w:r>
      <w:r w:rsidR="00233769">
        <w:rPr>
          <w:rFonts w:ascii="Times New Roman" w:hAnsi="Times New Roman" w:cs="Times New Roman"/>
          <w:sz w:val="24"/>
          <w:szCs w:val="24"/>
        </w:rPr>
        <w:lastRenderedPageBreak/>
        <w:t>especially children who are blind, have revealed the importance of nonverbal cues in the overall development of social skills. 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To compound these problems, sighted individuals are often unaware of their non-verbal cues and often do not (or 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rnate modes for understanding some of these cues, such as,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7C271F">
        <w:rPr>
          <w:rFonts w:ascii="Times New Roman" w:hAnsi="Times New Roman" w:cs="Times New Roman"/>
          <w:sz w:val="24"/>
          <w:szCs w:val="24"/>
        </w:rPr>
        <w:t xml:space="preserve">Any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sidR="00EF063D">
        <w:rPr>
          <w:rFonts w:ascii="Times New Roman" w:hAnsi="Times New Roman" w:cs="Times New Roman"/>
          <w:sz w:val="24"/>
          <w:szCs w:val="24"/>
        </w:rPr>
        <w:t>3</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Some of the important aspects of interactions that were identified include</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 xml:space="preserve">access to </w:t>
      </w:r>
      <w:r w:rsidRPr="00816853">
        <w:rPr>
          <w:rFonts w:ascii="Times New Roman" w:hAnsi="Times New Roman" w:cs="Times New Roman"/>
          <w:sz w:val="24"/>
          <w:szCs w:val="24"/>
        </w:rPr>
        <w:t xml:space="preserve">(1) </w:t>
      </w:r>
      <w:r w:rsidR="007B2D27">
        <w:rPr>
          <w:rFonts w:ascii="Times New Roman" w:hAnsi="Times New Roman" w:cs="Times New Roman"/>
          <w:sz w:val="24"/>
          <w:szCs w:val="24"/>
        </w:rPr>
        <w:t xml:space="preserve">information on </w:t>
      </w:r>
      <w:r w:rsidRPr="00816853">
        <w:rPr>
          <w:rFonts w:ascii="Times New Roman" w:hAnsi="Times New Roman" w:cs="Times New Roman"/>
          <w:sz w:val="24"/>
          <w:szCs w:val="24"/>
        </w:rPr>
        <w:t>the num</w:t>
      </w:r>
      <w:r w:rsidR="0043494B">
        <w:rPr>
          <w:rFonts w:ascii="Times New Roman" w:hAnsi="Times New Roman" w:cs="Times New Roman"/>
          <w:sz w:val="24"/>
          <w:szCs w:val="24"/>
        </w:rPr>
        <w:t xml:space="preserve">ber </w:t>
      </w:r>
      <w:r w:rsidR="007B2D27">
        <w:rPr>
          <w:rFonts w:ascii="Times New Roman" w:hAnsi="Times New Roman" w:cs="Times New Roman"/>
          <w:sz w:val="24"/>
          <w:szCs w:val="24"/>
        </w:rPr>
        <w:t xml:space="preserve">and location </w:t>
      </w:r>
      <w:r w:rsidR="0043494B">
        <w:rPr>
          <w:rFonts w:ascii="Times New Roman" w:hAnsi="Times New Roman" w:cs="Times New Roman"/>
          <w:sz w:val="24"/>
          <w:szCs w:val="24"/>
        </w:rPr>
        <w:t>of people standing in the front</w:t>
      </w:r>
      <w:r w:rsidRPr="00816853">
        <w:rPr>
          <w:rFonts w:ascii="Times New Roman" w:hAnsi="Times New Roman" w:cs="Times New Roman"/>
          <w:sz w:val="24"/>
          <w:szCs w:val="24"/>
        </w:rPr>
        <w:t xml:space="preserve">; (2) where </w:t>
      </w:r>
      <w:r w:rsidR="007B2D27">
        <w:rPr>
          <w:rFonts w:ascii="Times New Roman" w:hAnsi="Times New Roman" w:cs="Times New Roman"/>
          <w:sz w:val="24"/>
          <w:szCs w:val="24"/>
        </w:rPr>
        <w:t>individuals are</w:t>
      </w:r>
      <w:r w:rsidRPr="00816853">
        <w:rPr>
          <w:rFonts w:ascii="Times New Roman" w:hAnsi="Times New Roman" w:cs="Times New Roman"/>
          <w:sz w:val="24"/>
          <w:szCs w:val="24"/>
        </w:rPr>
        <w:t xml:space="preserve"> directing </w:t>
      </w:r>
      <w:r w:rsidR="007B2D27">
        <w:rPr>
          <w:rFonts w:ascii="Times New Roman" w:hAnsi="Times New Roman" w:cs="Times New Roman"/>
          <w:sz w:val="24"/>
          <w:szCs w:val="24"/>
        </w:rPr>
        <w:t>their</w:t>
      </w:r>
      <w:r w:rsidRPr="00816853">
        <w:rPr>
          <w:rFonts w:ascii="Times New Roman" w:hAnsi="Times New Roman" w:cs="Times New Roman"/>
          <w:sz w:val="24"/>
          <w:szCs w:val="24"/>
        </w:rPr>
        <w:t xml:space="preserve"> attention; (3) the identities of </w:t>
      </w:r>
      <w:r w:rsidR="0043494B">
        <w:rPr>
          <w:rFonts w:ascii="Times New Roman" w:hAnsi="Times New Roman" w:cs="Times New Roman"/>
          <w:sz w:val="24"/>
          <w:szCs w:val="24"/>
        </w:rPr>
        <w:t>the people</w:t>
      </w:r>
      <w:r w:rsidR="007B2D27">
        <w:rPr>
          <w:rFonts w:ascii="Times New Roman" w:hAnsi="Times New Roman" w:cs="Times New Roman"/>
          <w:sz w:val="24"/>
          <w:szCs w:val="24"/>
        </w:rPr>
        <w:t xml:space="preserve">; (4) the appearance of </w:t>
      </w:r>
      <w:r w:rsidRPr="00816853">
        <w:rPr>
          <w:rFonts w:ascii="Times New Roman" w:hAnsi="Times New Roman" w:cs="Times New Roman"/>
          <w:sz w:val="24"/>
          <w:szCs w:val="24"/>
        </w:rPr>
        <w:t xml:space="preserve">people; (5) whether the </w:t>
      </w:r>
      <w:r w:rsidR="00B16F05">
        <w:rPr>
          <w:rFonts w:ascii="Times New Roman" w:hAnsi="Times New Roman" w:cs="Times New Roman"/>
          <w:sz w:val="24"/>
          <w:szCs w:val="24"/>
        </w:rPr>
        <w:t>p</w:t>
      </w:r>
      <w:r w:rsidRPr="00816853">
        <w:rPr>
          <w:rFonts w:ascii="Times New Roman" w:hAnsi="Times New Roman" w:cs="Times New Roman"/>
          <w:sz w:val="24"/>
          <w:szCs w:val="24"/>
        </w:rPr>
        <w:t>hysical appearance of a person</w:t>
      </w:r>
      <w:r w:rsidR="00B16F05">
        <w:rPr>
          <w:rFonts w:ascii="Times New Roman" w:hAnsi="Times New Roman" w:cs="Times New Roman"/>
          <w:sz w:val="24"/>
          <w:szCs w:val="24"/>
        </w:rPr>
        <w:t xml:space="preserve"> has changed from a previous encounter</w:t>
      </w:r>
      <w:r w:rsidRPr="00816853">
        <w:rPr>
          <w:rFonts w:ascii="Times New Roman" w:hAnsi="Times New Roman" w:cs="Times New Roman"/>
          <w:sz w:val="24"/>
          <w:szCs w:val="24"/>
        </w:rPr>
        <w:t xml:space="preserve">; (6) the facial expressions of the person </w:t>
      </w:r>
      <w:r w:rsidR="007B2D27">
        <w:rPr>
          <w:rFonts w:ascii="Times New Roman" w:hAnsi="Times New Roman" w:cs="Times New Roman"/>
          <w:sz w:val="24"/>
          <w:szCs w:val="24"/>
        </w:rPr>
        <w:t>involved in a conversation</w:t>
      </w:r>
      <w:r w:rsidRPr="00816853">
        <w:rPr>
          <w:rFonts w:ascii="Times New Roman" w:hAnsi="Times New Roman" w:cs="Times New Roman"/>
          <w:sz w:val="24"/>
          <w:szCs w:val="24"/>
        </w:rPr>
        <w:t xml:space="preserve">; (7) the hand </w:t>
      </w:r>
      <w:r w:rsidR="007B2D27">
        <w:rPr>
          <w:rFonts w:ascii="Times New Roman" w:hAnsi="Times New Roman" w:cs="Times New Roman"/>
          <w:sz w:val="24"/>
          <w:szCs w:val="24"/>
        </w:rPr>
        <w:t xml:space="preserve">and </w:t>
      </w:r>
      <w:r w:rsidRPr="00816853">
        <w:rPr>
          <w:rFonts w:ascii="Times New Roman" w:hAnsi="Times New Roman" w:cs="Times New Roman"/>
          <w:sz w:val="24"/>
          <w:szCs w:val="24"/>
        </w:rPr>
        <w:t xml:space="preserve">body </w:t>
      </w:r>
      <w:r w:rsidR="007B2D27">
        <w:rPr>
          <w:rFonts w:ascii="Times New Roman" w:hAnsi="Times New Roman" w:cs="Times New Roman"/>
          <w:sz w:val="24"/>
          <w:szCs w:val="24"/>
        </w:rPr>
        <w:t>gestures</w:t>
      </w:r>
      <w:r w:rsidRPr="00816853">
        <w:rPr>
          <w:rFonts w:ascii="Times New Roman" w:hAnsi="Times New Roman" w:cs="Times New Roman"/>
          <w:sz w:val="24"/>
          <w:szCs w:val="24"/>
        </w:rPr>
        <w:t xml:space="preserve"> of </w:t>
      </w:r>
      <w:r w:rsidR="007B2D27">
        <w:rPr>
          <w:rFonts w:ascii="Times New Roman" w:hAnsi="Times New Roman" w:cs="Times New Roman"/>
          <w:sz w:val="24"/>
          <w:szCs w:val="24"/>
        </w:rPr>
        <w:t>individuals involved in conversations</w:t>
      </w:r>
      <w:r w:rsidRPr="00816853">
        <w:rPr>
          <w:rFonts w:ascii="Times New Roman" w:hAnsi="Times New Roman" w:cs="Times New Roman"/>
          <w:sz w:val="24"/>
          <w:szCs w:val="24"/>
        </w:rPr>
        <w:t xml:space="preserve">;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 xml:space="preserve">in </w:t>
      </w:r>
      <w:r w:rsidR="007B2D27">
        <w:rPr>
          <w:rFonts w:ascii="Times New Roman" w:hAnsi="Times New Roman" w:cs="Times New Roman"/>
          <w:sz w:val="24"/>
          <w:szCs w:val="24"/>
        </w:rPr>
        <w:t>an</w:t>
      </w:r>
      <w:r>
        <w:rPr>
          <w:rFonts w:ascii="Times New Roman" w:hAnsi="Times New Roman" w:cs="Times New Roman"/>
          <w:sz w:val="24"/>
          <w:szCs w:val="24"/>
        </w:rPr>
        <w:t xml:space="preserve"> interaction</w:t>
      </w:r>
      <w:r w:rsidR="00B16F05">
        <w:rPr>
          <w:rFonts w:ascii="Times New Roman" w:hAnsi="Times New Roman" w:cs="Times New Roman"/>
          <w:sz w:val="24"/>
          <w:szCs w:val="24"/>
        </w:rPr>
        <w:t>. Among these, the personal mannerisms, facial expressions and identities of people ranked on the top three priorities. As discussed below, in the past, we have worked towards addressing the needs of personal mannerism [</w:t>
      </w:r>
      <w:r w:rsidR="00EF063D">
        <w:rPr>
          <w:rFonts w:ascii="Times New Roman" w:hAnsi="Times New Roman" w:cs="Times New Roman"/>
          <w:sz w:val="24"/>
          <w:szCs w:val="24"/>
        </w:rPr>
        <w:t>5</w:t>
      </w:r>
      <w:r w:rsidR="00B16F05">
        <w:rPr>
          <w:rFonts w:ascii="Times New Roman" w:hAnsi="Times New Roman" w:cs="Times New Roman"/>
          <w:sz w:val="24"/>
          <w:szCs w:val="24"/>
        </w:rPr>
        <w:t>] and identities of people [</w:t>
      </w:r>
      <w:r w:rsidR="008C474B">
        <w:rPr>
          <w:rFonts w:ascii="Times New Roman" w:hAnsi="Times New Roman" w:cs="Times New Roman"/>
          <w:sz w:val="24"/>
          <w:szCs w:val="24"/>
        </w:rPr>
        <w:t>4</w:t>
      </w:r>
      <w:r w:rsidR="00B16F05">
        <w:rPr>
          <w:rFonts w:ascii="Times New Roman" w:hAnsi="Times New Roman" w:cs="Times New Roman"/>
          <w:sz w:val="24"/>
          <w:szCs w:val="24"/>
        </w:rPr>
        <w:t xml:space="preserve">]. This paper specifically discusses a novel interface that can deliver facial expressions through </w:t>
      </w:r>
      <w:proofErr w:type="spellStart"/>
      <w:r w:rsidR="00B16F05">
        <w:rPr>
          <w:rFonts w:ascii="Times New Roman" w:hAnsi="Times New Roman" w:cs="Times New Roman"/>
          <w:sz w:val="24"/>
          <w:szCs w:val="24"/>
        </w:rPr>
        <w:t>vibrotactile</w:t>
      </w:r>
      <w:proofErr w:type="spellEnd"/>
      <w:r w:rsidR="00B16F05">
        <w:rPr>
          <w:rFonts w:ascii="Times New Roman" w:hAnsi="Times New Roman" w:cs="Times New Roman"/>
          <w:sz w:val="24"/>
          <w:szCs w:val="24"/>
        </w:rPr>
        <w:t xml:space="preserve"> cueing.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w:t>
      </w:r>
      <w:r w:rsidR="00603443">
        <w:rPr>
          <w:rFonts w:ascii="Times New Roman" w:hAnsi="Times New Roman" w:cs="Times New Roman"/>
          <w:b/>
          <w:sz w:val="28"/>
          <w:szCs w:val="28"/>
        </w:rPr>
        <w:t>ant</w:t>
      </w:r>
      <w:r w:rsidRPr="00304529">
        <w:rPr>
          <w:rFonts w:ascii="Times New Roman" w:hAnsi="Times New Roman" w:cs="Times New Roman"/>
          <w:b/>
          <w:sz w:val="28"/>
          <w:szCs w:val="28"/>
        </w:rPr>
        <w:t>:</w:t>
      </w:r>
    </w:p>
    <w:p w:rsidR="001E40A5" w:rsidRDefault="002A464C" w:rsidP="001E40A5">
      <w:pPr>
        <w:rPr>
          <w:rFonts w:ascii="Times New Roman" w:hAnsi="Times New Roman" w:cs="Times New Roman"/>
          <w:sz w:val="24"/>
          <w:szCs w:val="24"/>
        </w:rPr>
      </w:pPr>
      <w:r>
        <w:rPr>
          <w:rFonts w:ascii="Times New Roman" w:hAnsi="Times New Roman" w:cs="Times New Roman"/>
          <w:sz w:val="24"/>
          <w:szCs w:val="24"/>
        </w:rPr>
        <w:t>A</w:t>
      </w:r>
      <w:r w:rsidR="001E40A5" w:rsidRPr="00816853">
        <w:rPr>
          <w:rFonts w:ascii="Times New Roman" w:hAnsi="Times New Roman" w:cs="Times New Roman"/>
          <w:sz w:val="24"/>
          <w:szCs w:val="24"/>
        </w:rPr>
        <w:t xml:space="preserve">t </w:t>
      </w:r>
      <w:proofErr w:type="spellStart"/>
      <w:r w:rsidR="001E40A5" w:rsidRPr="00816853">
        <w:rPr>
          <w:rFonts w:ascii="Times New Roman" w:hAnsi="Times New Roman" w:cs="Times New Roman"/>
          <w:sz w:val="24"/>
          <w:szCs w:val="24"/>
        </w:rPr>
        <w:t>CUbiC</w:t>
      </w:r>
      <w:proofErr w:type="spellEnd"/>
      <w:r w:rsidR="001E40A5" w:rsidRPr="00816853">
        <w:rPr>
          <w:rFonts w:ascii="Times New Roman" w:hAnsi="Times New Roman" w:cs="Times New Roman"/>
          <w:sz w:val="24"/>
          <w:szCs w:val="24"/>
        </w:rPr>
        <w:t xml:space="preserve">, we </w:t>
      </w:r>
      <w:r>
        <w:rPr>
          <w:rFonts w:ascii="Times New Roman" w:hAnsi="Times New Roman" w:cs="Times New Roman"/>
          <w:sz w:val="24"/>
          <w:szCs w:val="24"/>
        </w:rPr>
        <w:t xml:space="preserve">have </w:t>
      </w:r>
      <w:r w:rsidR="001E40A5" w:rsidRPr="00816853">
        <w:rPr>
          <w:rFonts w:ascii="Times New Roman" w:hAnsi="Times New Roman" w:cs="Times New Roman"/>
          <w:sz w:val="24"/>
          <w:szCs w:val="24"/>
        </w:rPr>
        <w:t>developed the Social Interaction Assistant [</w:t>
      </w:r>
      <w:r w:rsidR="00EF063D">
        <w:rPr>
          <w:rFonts w:ascii="Times New Roman" w:hAnsi="Times New Roman" w:cs="Times New Roman"/>
          <w:sz w:val="24"/>
          <w:szCs w:val="24"/>
        </w:rPr>
        <w:t>4</w:t>
      </w:r>
      <w:r w:rsidR="001E40A5"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w:t>
      </w:r>
      <w:r>
        <w:rPr>
          <w:rFonts w:ascii="Times New Roman" w:hAnsi="Times New Roman" w:cs="Times New Roman"/>
          <w:sz w:val="24"/>
          <w:szCs w:val="24"/>
        </w:rPr>
        <w:t xml:space="preserve">on-body motion sensor, </w:t>
      </w:r>
      <w:r w:rsidR="001E40A5" w:rsidRPr="00816853">
        <w:rPr>
          <w:rFonts w:ascii="Times New Roman" w:hAnsi="Times New Roman" w:cs="Times New Roman"/>
          <w:sz w:val="24"/>
          <w:szCs w:val="24"/>
        </w:rPr>
        <w:t xml:space="preserve">a computing element, and a </w:t>
      </w:r>
      <w:proofErr w:type="spellStart"/>
      <w:r w:rsidR="001E40A5" w:rsidRPr="00816853">
        <w:rPr>
          <w:rFonts w:ascii="Times New Roman" w:hAnsi="Times New Roman" w:cs="Times New Roman"/>
          <w:sz w:val="24"/>
          <w:szCs w:val="24"/>
        </w:rPr>
        <w:t>vibrotactile</w:t>
      </w:r>
      <w:proofErr w:type="spellEnd"/>
      <w:r w:rsidR="001E40A5" w:rsidRPr="00816853">
        <w:rPr>
          <w:rFonts w:ascii="Times New Roman" w:hAnsi="Times New Roman" w:cs="Times New Roman"/>
          <w:sz w:val="24"/>
          <w:szCs w:val="24"/>
        </w:rPr>
        <w:t xml:space="preserve"> belt that can convey </w:t>
      </w:r>
      <w:r w:rsidR="00D320C6">
        <w:rPr>
          <w:rFonts w:ascii="Times New Roman" w:hAnsi="Times New Roman" w:cs="Times New Roman"/>
          <w:sz w:val="24"/>
          <w:szCs w:val="24"/>
        </w:rPr>
        <w:t xml:space="preserve">elementary </w:t>
      </w:r>
      <w:r w:rsidR="001E40A5" w:rsidRPr="00816853">
        <w:rPr>
          <w:rFonts w:ascii="Times New Roman" w:hAnsi="Times New Roman" w:cs="Times New Roman"/>
          <w:sz w:val="24"/>
          <w:szCs w:val="24"/>
        </w:rPr>
        <w:t>non-verbal communication cues</w:t>
      </w:r>
      <w:r w:rsidR="00D320C6">
        <w:rPr>
          <w:rFonts w:ascii="Times New Roman" w:hAnsi="Times New Roman" w:cs="Times New Roman"/>
          <w:sz w:val="24"/>
          <w:szCs w:val="24"/>
        </w:rPr>
        <w:t xml:space="preserve"> [</w:t>
      </w:r>
      <w:r w:rsidR="008C474B">
        <w:rPr>
          <w:rFonts w:ascii="Times New Roman" w:hAnsi="Times New Roman" w:cs="Times New Roman"/>
          <w:sz w:val="24"/>
          <w:szCs w:val="24"/>
        </w:rPr>
        <w:t>6</w:t>
      </w:r>
      <w:r w:rsidR="00D320C6">
        <w:rPr>
          <w:rFonts w:ascii="Times New Roman" w:hAnsi="Times New Roman" w:cs="Times New Roman"/>
          <w:sz w:val="24"/>
          <w:szCs w:val="24"/>
        </w:rPr>
        <w:t>]</w:t>
      </w:r>
      <w:r w:rsidR="001E40A5" w:rsidRPr="00816853">
        <w:rPr>
          <w:rFonts w:ascii="Times New Roman" w:hAnsi="Times New Roman" w:cs="Times New Roman"/>
          <w:sz w:val="24"/>
          <w:szCs w:val="24"/>
        </w:rPr>
        <w:t xml:space="preserve"> </w:t>
      </w:r>
      <w:r>
        <w:rPr>
          <w:rFonts w:ascii="Times New Roman" w:hAnsi="Times New Roman" w:cs="Times New Roman"/>
          <w:sz w:val="24"/>
          <w:szCs w:val="24"/>
        </w:rPr>
        <w:t>while also delivering rehabilitative feedback towards reducing stereotypic body mannerisms</w:t>
      </w:r>
      <w:r w:rsidR="00D320C6">
        <w:rPr>
          <w:rFonts w:ascii="Times New Roman" w:hAnsi="Times New Roman" w:cs="Times New Roman"/>
          <w:sz w:val="24"/>
          <w:szCs w:val="24"/>
        </w:rPr>
        <w:t xml:space="preserve"> [</w:t>
      </w:r>
      <w:r w:rsidR="008C474B">
        <w:rPr>
          <w:rFonts w:ascii="Times New Roman" w:hAnsi="Times New Roman" w:cs="Times New Roman"/>
          <w:sz w:val="24"/>
          <w:szCs w:val="24"/>
        </w:rPr>
        <w:t>5</w:t>
      </w:r>
      <w:r w:rsidR="00D320C6">
        <w:rPr>
          <w:rFonts w:ascii="Times New Roman" w:hAnsi="Times New Roman" w:cs="Times New Roman"/>
          <w:sz w:val="24"/>
          <w:szCs w:val="24"/>
        </w:rPr>
        <w:t>]</w:t>
      </w:r>
      <w:r>
        <w:rPr>
          <w:rFonts w:ascii="Times New Roman" w:hAnsi="Times New Roman" w:cs="Times New Roman"/>
          <w:sz w:val="24"/>
          <w:szCs w:val="24"/>
        </w:rPr>
        <w:t>.</w:t>
      </w:r>
      <w:r w:rsidR="00603443">
        <w:rPr>
          <w:rFonts w:ascii="Times New Roman" w:hAnsi="Times New Roman" w:cs="Times New Roman"/>
          <w:sz w:val="24"/>
          <w:szCs w:val="24"/>
        </w:rPr>
        <w:t xml:space="preserve"> Adding to the capabilities of the Social Interaction Assistant, the </w:t>
      </w:r>
      <w:proofErr w:type="spellStart"/>
      <w:r w:rsidR="00603443">
        <w:rPr>
          <w:rFonts w:ascii="Times New Roman" w:hAnsi="Times New Roman" w:cs="Times New Roman"/>
          <w:sz w:val="24"/>
          <w:szCs w:val="24"/>
        </w:rPr>
        <w:t>Haptic</w:t>
      </w:r>
      <w:proofErr w:type="spellEnd"/>
      <w:r w:rsidR="00603443">
        <w:rPr>
          <w:rFonts w:ascii="Times New Roman" w:hAnsi="Times New Roman" w:cs="Times New Roman"/>
          <w:sz w:val="24"/>
          <w:szCs w:val="24"/>
        </w:rPr>
        <w:t xml:space="preserve"> Glove </w:t>
      </w:r>
      <w:r w:rsidR="00F25A79">
        <w:rPr>
          <w:rFonts w:ascii="Times New Roman" w:hAnsi="Times New Roman" w:cs="Times New Roman"/>
          <w:sz w:val="24"/>
          <w:szCs w:val="24"/>
        </w:rPr>
        <w:t>addresses</w:t>
      </w:r>
      <w:r w:rsidR="001F1BD5">
        <w:rPr>
          <w:rFonts w:ascii="Times New Roman" w:hAnsi="Times New Roman" w:cs="Times New Roman"/>
          <w:sz w:val="24"/>
          <w:szCs w:val="24"/>
        </w:rPr>
        <w:t xml:space="preserve"> the need to access facial expressions during interpersonal communicative conversations.</w:t>
      </w:r>
      <w:r>
        <w:rPr>
          <w:rFonts w:ascii="Times New Roman" w:hAnsi="Times New Roman" w:cs="Times New Roman"/>
          <w:sz w:val="24"/>
          <w:szCs w:val="24"/>
        </w:rPr>
        <w:t xml:space="preserve"> </w:t>
      </w:r>
    </w:p>
    <w:p w:rsidR="00F25A79" w:rsidRPr="00F25A79" w:rsidRDefault="00F25A79" w:rsidP="001E40A5">
      <w:pPr>
        <w:rPr>
          <w:rFonts w:ascii="Times New Roman" w:hAnsi="Times New Roman" w:cs="Times New Roman"/>
          <w:b/>
          <w:sz w:val="28"/>
          <w:szCs w:val="24"/>
        </w:rPr>
      </w:pPr>
      <w:r w:rsidRPr="00F25A79">
        <w:rPr>
          <w:rFonts w:ascii="Times New Roman" w:hAnsi="Times New Roman" w:cs="Times New Roman"/>
          <w:b/>
          <w:sz w:val="28"/>
          <w:szCs w:val="24"/>
        </w:rPr>
        <w:t>Design Considerations:</w:t>
      </w:r>
    </w:p>
    <w:p w:rsidR="00F25A79" w:rsidRPr="00F25A79" w:rsidRDefault="00F25A79" w:rsidP="001E40A5">
      <w:pPr>
        <w:rPr>
          <w:rFonts w:ascii="Times New Roman" w:hAnsi="Times New Roman" w:cs="Times New Roman"/>
          <w:sz w:val="24"/>
          <w:szCs w:val="28"/>
        </w:rPr>
      </w:pPr>
      <w:r>
        <w:rPr>
          <w:rFonts w:ascii="Times New Roman" w:hAnsi="Times New Roman" w:cs="Times New Roman"/>
          <w:sz w:val="24"/>
          <w:szCs w:val="28"/>
        </w:rPr>
        <w:t xml:space="preserve">People who are blind or visually impaired rely on their auditory senses to understand and comprehend the environment around them. Assistive technologies that use audio cues to deliver information back to </w:t>
      </w:r>
      <w:r w:rsidR="00F6648C">
        <w:rPr>
          <w:rFonts w:ascii="Times New Roman" w:hAnsi="Times New Roman" w:cs="Times New Roman"/>
          <w:sz w:val="24"/>
          <w:szCs w:val="28"/>
        </w:rPr>
        <w:t>a</w:t>
      </w:r>
      <w:r>
        <w:rPr>
          <w:rFonts w:ascii="Times New Roman" w:hAnsi="Times New Roman" w:cs="Times New Roman"/>
          <w:sz w:val="24"/>
          <w:szCs w:val="28"/>
        </w:rPr>
        <w:t xml:space="preserve"> user can cause sensory overload leading to the rejection of any benefits that a device might offer. Especially during social interactions and bilateral conversations, it is imperative that any device should not hinder the primary sensory channel of the user. To this </w:t>
      </w:r>
      <w:r>
        <w:rPr>
          <w:rFonts w:ascii="Times New Roman" w:hAnsi="Times New Roman" w:cs="Times New Roman"/>
          <w:sz w:val="24"/>
          <w:szCs w:val="28"/>
        </w:rPr>
        <w:lastRenderedPageBreak/>
        <w:t xml:space="preserve">end, the proposed facial expression delivery mechanism uses the </w:t>
      </w:r>
      <w:proofErr w:type="spellStart"/>
      <w:r>
        <w:rPr>
          <w:rFonts w:ascii="Times New Roman" w:hAnsi="Times New Roman" w:cs="Times New Roman"/>
          <w:sz w:val="24"/>
          <w:szCs w:val="28"/>
        </w:rPr>
        <w:t>somatosensory</w:t>
      </w:r>
      <w:proofErr w:type="spellEnd"/>
      <w:r>
        <w:rPr>
          <w:rFonts w:ascii="Times New Roman" w:hAnsi="Times New Roman" w:cs="Times New Roman"/>
          <w:sz w:val="24"/>
          <w:szCs w:val="28"/>
        </w:rPr>
        <w:t xml:space="preserve"> (touch) system to deliver facial expressions to the user while </w:t>
      </w:r>
      <w:r w:rsidR="00A85104">
        <w:rPr>
          <w:rFonts w:ascii="Times New Roman" w:hAnsi="Times New Roman" w:cs="Times New Roman"/>
          <w:sz w:val="24"/>
          <w:szCs w:val="28"/>
        </w:rPr>
        <w:t xml:space="preserve">he/she is </w:t>
      </w:r>
      <w:r w:rsidR="006A12FC">
        <w:rPr>
          <w:rFonts w:ascii="Times New Roman" w:hAnsi="Times New Roman" w:cs="Times New Roman"/>
          <w:sz w:val="24"/>
          <w:szCs w:val="28"/>
        </w:rPr>
        <w:t xml:space="preserve">engaged in </w:t>
      </w:r>
      <w:r>
        <w:rPr>
          <w:rFonts w:ascii="Times New Roman" w:hAnsi="Times New Roman" w:cs="Times New Roman"/>
          <w:sz w:val="24"/>
          <w:szCs w:val="28"/>
        </w:rPr>
        <w:t>bilateral interaction</w:t>
      </w:r>
      <w:r w:rsidR="006A12FC">
        <w:rPr>
          <w:rFonts w:ascii="Times New Roman" w:hAnsi="Times New Roman" w:cs="Times New Roman"/>
          <w:sz w:val="24"/>
          <w:szCs w:val="28"/>
        </w:rPr>
        <w:t>s</w:t>
      </w:r>
      <w:r>
        <w:rPr>
          <w:rFonts w:ascii="Times New Roman" w:hAnsi="Times New Roman" w:cs="Times New Roman"/>
          <w:sz w:val="24"/>
          <w:szCs w:val="28"/>
        </w:rPr>
        <w:t xml:space="preserve">.  </w:t>
      </w:r>
      <w:r w:rsidR="00A85104">
        <w:rPr>
          <w:rFonts w:ascii="Times New Roman" w:hAnsi="Times New Roman" w:cs="Times New Roman"/>
          <w:sz w:val="24"/>
          <w:szCs w:val="28"/>
        </w:rPr>
        <w:t>Currently, the device only delivers the 6 basic expressions (Smile, Anger, Disgust, Surprise, Sad and Fear) [</w:t>
      </w:r>
      <w:r w:rsidR="004F1878">
        <w:rPr>
          <w:rFonts w:ascii="Times New Roman" w:hAnsi="Times New Roman" w:cs="Times New Roman"/>
          <w:sz w:val="24"/>
          <w:szCs w:val="28"/>
        </w:rPr>
        <w:t>1</w:t>
      </w:r>
      <w:r w:rsidR="00A85104">
        <w:rPr>
          <w:rFonts w:ascii="Times New Roman" w:hAnsi="Times New Roman" w:cs="Times New Roman"/>
          <w:sz w:val="24"/>
          <w:szCs w:val="28"/>
        </w:rPr>
        <w:t xml:space="preserve">] along with indications of when the face reaches neutral expression. </w:t>
      </w:r>
      <w:r w:rsidR="00576455">
        <w:rPr>
          <w:rFonts w:ascii="Times New Roman" w:hAnsi="Times New Roman" w:cs="Times New Roman"/>
          <w:sz w:val="24"/>
          <w:szCs w:val="28"/>
        </w:rPr>
        <w:t xml:space="preserve">In future, we plan to encode the dynamic motion of the human facial features into </w:t>
      </w:r>
      <w:proofErr w:type="spellStart"/>
      <w:r w:rsidR="00576455">
        <w:rPr>
          <w:rFonts w:ascii="Times New Roman" w:hAnsi="Times New Roman" w:cs="Times New Roman"/>
          <w:sz w:val="24"/>
          <w:szCs w:val="28"/>
        </w:rPr>
        <w:t>vibrotactile</w:t>
      </w:r>
      <w:proofErr w:type="spellEnd"/>
      <w:r w:rsidR="00576455">
        <w:rPr>
          <w:rFonts w:ascii="Times New Roman" w:hAnsi="Times New Roman" w:cs="Times New Roman"/>
          <w:sz w:val="24"/>
          <w:szCs w:val="28"/>
        </w:rPr>
        <w:t xml:space="preserve"> patterns. This would allow indiscriminate access of facial movements to the user who is blind or visually impaired. </w:t>
      </w:r>
      <w:r w:rsidR="00F6648C">
        <w:rPr>
          <w:rFonts w:ascii="Times New Roman" w:hAnsi="Times New Roman" w:cs="Times New Roman"/>
          <w:sz w:val="24"/>
          <w:szCs w:val="28"/>
        </w:rPr>
        <w:t>Due to the lack of space we do not discuss the details of the design process, but we introduce</w:t>
      </w:r>
      <w:r w:rsidR="00A85104">
        <w:rPr>
          <w:rFonts w:ascii="Times New Roman" w:hAnsi="Times New Roman" w:cs="Times New Roman"/>
          <w:sz w:val="24"/>
          <w:szCs w:val="28"/>
        </w:rPr>
        <w:t xml:space="preserve"> in brief</w:t>
      </w:r>
      <w:r w:rsidR="00F6648C">
        <w:rPr>
          <w:rFonts w:ascii="Times New Roman" w:hAnsi="Times New Roman" w:cs="Times New Roman"/>
          <w:sz w:val="24"/>
          <w:szCs w:val="28"/>
        </w:rPr>
        <w:t xml:space="preserve"> the construction of the </w:t>
      </w:r>
      <w:proofErr w:type="spellStart"/>
      <w:r w:rsidR="00F6648C">
        <w:rPr>
          <w:rFonts w:ascii="Times New Roman" w:hAnsi="Times New Roman" w:cs="Times New Roman"/>
          <w:sz w:val="24"/>
          <w:szCs w:val="28"/>
        </w:rPr>
        <w:t>haptic</w:t>
      </w:r>
      <w:proofErr w:type="spellEnd"/>
      <w:r w:rsidR="00F6648C">
        <w:rPr>
          <w:rFonts w:ascii="Times New Roman" w:hAnsi="Times New Roman" w:cs="Times New Roman"/>
          <w:sz w:val="24"/>
          <w:szCs w:val="28"/>
        </w:rPr>
        <w:t xml:space="preserve"> device</w:t>
      </w:r>
      <w:r w:rsidR="00A85104">
        <w:rPr>
          <w:rFonts w:ascii="Times New Roman" w:hAnsi="Times New Roman" w:cs="Times New Roman"/>
          <w:sz w:val="24"/>
          <w:szCs w:val="28"/>
        </w:rPr>
        <w:t xml:space="preserve">, the </w:t>
      </w:r>
      <w:proofErr w:type="spellStart"/>
      <w:r w:rsidR="00A85104">
        <w:rPr>
          <w:rFonts w:ascii="Times New Roman" w:hAnsi="Times New Roman" w:cs="Times New Roman"/>
          <w:sz w:val="24"/>
          <w:szCs w:val="28"/>
        </w:rPr>
        <w:t>vibotactile</w:t>
      </w:r>
      <w:proofErr w:type="spellEnd"/>
      <w:r w:rsidR="00A85104">
        <w:rPr>
          <w:rFonts w:ascii="Times New Roman" w:hAnsi="Times New Roman" w:cs="Times New Roman"/>
          <w:sz w:val="24"/>
          <w:szCs w:val="28"/>
        </w:rPr>
        <w:t xml:space="preserve"> structure of the expressions</w:t>
      </w:r>
      <w:r w:rsidR="00576455">
        <w:rPr>
          <w:rFonts w:ascii="Times New Roman" w:hAnsi="Times New Roman" w:cs="Times New Roman"/>
          <w:sz w:val="24"/>
          <w:szCs w:val="28"/>
        </w:rPr>
        <w:t xml:space="preserve"> and describe an experiment carried out on the </w:t>
      </w:r>
      <w:proofErr w:type="spellStart"/>
      <w:r w:rsidR="00576455">
        <w:rPr>
          <w:rFonts w:ascii="Times New Roman" w:hAnsi="Times New Roman" w:cs="Times New Roman"/>
          <w:sz w:val="24"/>
          <w:szCs w:val="28"/>
        </w:rPr>
        <w:t>haptic</w:t>
      </w:r>
      <w:proofErr w:type="spellEnd"/>
      <w:r w:rsidR="00576455">
        <w:rPr>
          <w:rFonts w:ascii="Times New Roman" w:hAnsi="Times New Roman" w:cs="Times New Roman"/>
          <w:sz w:val="24"/>
          <w:szCs w:val="28"/>
        </w:rPr>
        <w:t xml:space="preserve"> glove</w:t>
      </w:r>
      <w:r w:rsidR="00F6648C">
        <w:rPr>
          <w:rFonts w:ascii="Times New Roman" w:hAnsi="Times New Roman" w:cs="Times New Roman"/>
          <w:sz w:val="24"/>
          <w:szCs w:val="28"/>
        </w:rPr>
        <w:t>.</w:t>
      </w:r>
      <w:r w:rsidR="00080F82">
        <w:rPr>
          <w:rFonts w:ascii="Times New Roman" w:hAnsi="Times New Roman" w:cs="Times New Roman"/>
          <w:sz w:val="24"/>
          <w:szCs w:val="28"/>
        </w:rPr>
        <w:t xml:space="preserve"> </w:t>
      </w:r>
    </w:p>
    <w:p w:rsidR="00007D4B" w:rsidRPr="001F1BD5" w:rsidRDefault="001F1BD5" w:rsidP="001E40A5">
      <w:pPr>
        <w:rPr>
          <w:rFonts w:ascii="Times New Roman" w:hAnsi="Times New Roman" w:cs="Times New Roman"/>
          <w:b/>
          <w:sz w:val="28"/>
          <w:szCs w:val="28"/>
        </w:rPr>
      </w:pPr>
      <w:r w:rsidRPr="001F1BD5">
        <w:rPr>
          <w:rFonts w:ascii="Times New Roman" w:hAnsi="Times New Roman" w:cs="Times New Roman"/>
          <w:b/>
          <w:sz w:val="28"/>
          <w:szCs w:val="28"/>
        </w:rPr>
        <w:t xml:space="preserve">Construction of the </w:t>
      </w:r>
      <w:proofErr w:type="spellStart"/>
      <w:r w:rsidRPr="001F1BD5">
        <w:rPr>
          <w:rFonts w:ascii="Times New Roman" w:hAnsi="Times New Roman" w:cs="Times New Roman"/>
          <w:b/>
          <w:sz w:val="28"/>
          <w:szCs w:val="28"/>
        </w:rPr>
        <w:t>Haptic</w:t>
      </w:r>
      <w:proofErr w:type="spellEnd"/>
      <w:r w:rsidRPr="001F1BD5">
        <w:rPr>
          <w:rFonts w:ascii="Times New Roman" w:hAnsi="Times New Roman" w:cs="Times New Roman"/>
          <w:b/>
          <w:sz w:val="28"/>
          <w:szCs w:val="28"/>
        </w:rPr>
        <w:t xml:space="preserve"> Glove:</w:t>
      </w:r>
    </w:p>
    <w:p w:rsidR="00126A5A" w:rsidRDefault="00126A5A" w:rsidP="001E40A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glove</w:t>
      </w:r>
      <w:r w:rsidR="001E40A5">
        <w:rPr>
          <w:rFonts w:ascii="Times New Roman" w:hAnsi="Times New Roman" w:cs="Times New Roman"/>
          <w:sz w:val="24"/>
          <w:szCs w:val="24"/>
        </w:rPr>
        <w:t xml:space="preserve"> has</w:t>
      </w:r>
      <w:r>
        <w:rPr>
          <w:rFonts w:ascii="Times New Roman" w:hAnsi="Times New Roman" w:cs="Times New Roman"/>
          <w:sz w:val="24"/>
          <w:szCs w:val="24"/>
        </w:rPr>
        <w:t xml:space="preserve"> 14</w:t>
      </w:r>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tactors</w:t>
      </w:r>
      <w:proofErr w:type="spellEnd"/>
      <w:r w:rsidR="001E40A5" w:rsidRPr="00816853">
        <w:rPr>
          <w:rFonts w:ascii="Times New Roman" w:hAnsi="Times New Roman" w:cs="Times New Roman"/>
          <w:sz w:val="24"/>
          <w:szCs w:val="24"/>
        </w:rPr>
        <w:t xml:space="preserve"> </w:t>
      </w:r>
      <w:r>
        <w:rPr>
          <w:rFonts w:ascii="Times New Roman" w:hAnsi="Times New Roman" w:cs="Times New Roman"/>
          <w:sz w:val="24"/>
          <w:szCs w:val="24"/>
        </w:rPr>
        <w:t>(vibration motors – typically found inside cellular phone to cause vibration while ringing) mounted on the back of the fingers, one per phalange. The 14 motors correspond to the 14 phalanges (</w:t>
      </w:r>
      <w:r w:rsidR="00904001">
        <w:rPr>
          <w:rFonts w:ascii="Times New Roman" w:hAnsi="Times New Roman" w:cs="Times New Roman"/>
          <w:sz w:val="24"/>
          <w:szCs w:val="24"/>
        </w:rPr>
        <w:t xml:space="preserve">12 motors with </w:t>
      </w:r>
      <w:r>
        <w:rPr>
          <w:rFonts w:ascii="Times New Roman" w:hAnsi="Times New Roman" w:cs="Times New Roman"/>
          <w:sz w:val="24"/>
          <w:szCs w:val="24"/>
        </w:rPr>
        <w:t>3 each on the index</w:t>
      </w:r>
      <w:r w:rsidR="00904001">
        <w:rPr>
          <w:rFonts w:ascii="Times New Roman" w:hAnsi="Times New Roman" w:cs="Times New Roman"/>
          <w:sz w:val="24"/>
          <w:szCs w:val="24"/>
        </w:rPr>
        <w:t xml:space="preserve"> finger</w:t>
      </w:r>
      <w:r>
        <w:rPr>
          <w:rFonts w:ascii="Times New Roman" w:hAnsi="Times New Roman" w:cs="Times New Roman"/>
          <w:sz w:val="24"/>
          <w:szCs w:val="24"/>
        </w:rPr>
        <w:t>, middle</w:t>
      </w:r>
      <w:r w:rsidR="00904001">
        <w:rPr>
          <w:rFonts w:ascii="Times New Roman" w:hAnsi="Times New Roman" w:cs="Times New Roman"/>
          <w:sz w:val="24"/>
          <w:szCs w:val="24"/>
        </w:rPr>
        <w:t xml:space="preserve"> finger</w:t>
      </w:r>
      <w:r>
        <w:rPr>
          <w:rFonts w:ascii="Times New Roman" w:hAnsi="Times New Roman" w:cs="Times New Roman"/>
          <w:sz w:val="24"/>
          <w:szCs w:val="24"/>
        </w:rPr>
        <w:t xml:space="preserve">, ring </w:t>
      </w:r>
      <w:r w:rsidR="00904001">
        <w:rPr>
          <w:rFonts w:ascii="Times New Roman" w:hAnsi="Times New Roman" w:cs="Times New Roman"/>
          <w:sz w:val="24"/>
          <w:szCs w:val="24"/>
        </w:rPr>
        <w:t xml:space="preserve">finger </w:t>
      </w:r>
      <w:r>
        <w:rPr>
          <w:rFonts w:ascii="Times New Roman" w:hAnsi="Times New Roman" w:cs="Times New Roman"/>
          <w:sz w:val="24"/>
          <w:szCs w:val="24"/>
        </w:rPr>
        <w:t>and the pinky with two on the thumb) on the human hand. A microcontroller is also integrated on the glove to allow control of the motor</w:t>
      </w:r>
      <w:r w:rsidR="00904001">
        <w:rPr>
          <w:rFonts w:ascii="Times New Roman" w:hAnsi="Times New Roman" w:cs="Times New Roman"/>
          <w:sz w:val="24"/>
          <w:szCs w:val="24"/>
        </w:rPr>
        <w:t>’</w:t>
      </w:r>
      <w:r>
        <w:rPr>
          <w:rFonts w:ascii="Times New Roman" w:hAnsi="Times New Roman" w:cs="Times New Roman"/>
          <w:sz w:val="24"/>
          <w:szCs w:val="24"/>
        </w:rPr>
        <w:t xml:space="preserve">s vibration (magnitude, duration and temporal rhythm) through the USB port of a PC. </w:t>
      </w:r>
    </w:p>
    <w:p w:rsidR="001E40A5" w:rsidRPr="00816853" w:rsidRDefault="00351291"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5" type="#_x0000_t75" style="position:absolute;left:1567;top:8551;width:5370;height:3378">
              <v:imagedata r:id="rId9" o:title="0726091439-00" croptop="12950f" cropbottom="8389f" cropleft="5620f" cropright="4315f"/>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w:t>
      </w:r>
      <w:r w:rsidR="00904001">
        <w:rPr>
          <w:rFonts w:ascii="Times New Roman" w:hAnsi="Times New Roman" w:cs="Times New Roman"/>
          <w:sz w:val="24"/>
          <w:szCs w:val="24"/>
        </w:rPr>
        <w:t>Glove</w:t>
      </w:r>
      <w:r>
        <w:rPr>
          <w:rFonts w:ascii="Times New Roman" w:hAnsi="Times New Roman" w:cs="Times New Roman"/>
          <w:sz w:val="24"/>
          <w:szCs w:val="24"/>
        </w:rPr>
        <w:t xml:space="preserve">: The figure shows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904001">
        <w:rPr>
          <w:rFonts w:ascii="Times New Roman" w:hAnsi="Times New Roman" w:cs="Times New Roman"/>
          <w:sz w:val="24"/>
          <w:szCs w:val="24"/>
        </w:rPr>
        <w:t xml:space="preserve">glove made out of </w:t>
      </w:r>
      <w:proofErr w:type="spellStart"/>
      <w:r w:rsidR="00904001">
        <w:rPr>
          <w:rFonts w:ascii="Times New Roman" w:hAnsi="Times New Roman" w:cs="Times New Roman"/>
          <w:sz w:val="24"/>
          <w:szCs w:val="24"/>
        </w:rPr>
        <w:t>streachable</w:t>
      </w:r>
      <w:proofErr w:type="spellEnd"/>
      <w:r w:rsidR="00904001">
        <w:rPr>
          <w:rFonts w:ascii="Times New Roman" w:hAnsi="Times New Roman" w:cs="Times New Roman"/>
          <w:sz w:val="24"/>
          <w:szCs w:val="24"/>
        </w:rPr>
        <w:t xml:space="preserve"> material with 14 </w:t>
      </w:r>
      <w:proofErr w:type="spellStart"/>
      <w:r w:rsidR="00904001">
        <w:rPr>
          <w:rFonts w:ascii="Times New Roman" w:hAnsi="Times New Roman" w:cs="Times New Roman"/>
          <w:sz w:val="24"/>
          <w:szCs w:val="24"/>
        </w:rPr>
        <w:t>vibrotactile</w:t>
      </w:r>
      <w:proofErr w:type="spellEnd"/>
      <w:r w:rsidR="00904001">
        <w:rPr>
          <w:rFonts w:ascii="Times New Roman" w:hAnsi="Times New Roman" w:cs="Times New Roman"/>
          <w:sz w:val="24"/>
          <w:szCs w:val="24"/>
        </w:rPr>
        <w:t xml:space="preserve"> motors on back of the hand with each motor corresponding to each phalange of the 5 digits</w:t>
      </w:r>
      <w:r>
        <w:rPr>
          <w:rFonts w:ascii="Times New Roman" w:hAnsi="Times New Roman" w:cs="Times New Roman"/>
          <w:sz w:val="24"/>
          <w:szCs w:val="24"/>
        </w:rPr>
        <w:t>.</w:t>
      </w:r>
      <w:r w:rsidR="00CF59AF">
        <w:rPr>
          <w:rFonts w:ascii="Times New Roman" w:hAnsi="Times New Roman" w:cs="Times New Roman"/>
          <w:sz w:val="24"/>
          <w:szCs w:val="24"/>
        </w:rPr>
        <w:t xml:space="preserve"> A microcontroller,</w:t>
      </w:r>
      <w:r w:rsidR="00904001">
        <w:rPr>
          <w:rFonts w:ascii="Times New Roman" w:hAnsi="Times New Roman" w:cs="Times New Roman"/>
          <w:sz w:val="24"/>
          <w:szCs w:val="24"/>
        </w:rPr>
        <w:t xml:space="preserve"> two motor drivers</w:t>
      </w:r>
      <w:r w:rsidR="00CF59AF">
        <w:rPr>
          <w:rFonts w:ascii="Times New Roman" w:hAnsi="Times New Roman" w:cs="Times New Roman"/>
          <w:sz w:val="24"/>
          <w:szCs w:val="24"/>
        </w:rPr>
        <w:t xml:space="preserve"> and 1 USB controller</w:t>
      </w:r>
      <w:r w:rsidR="00904001">
        <w:rPr>
          <w:rFonts w:ascii="Times New Roman" w:hAnsi="Times New Roman" w:cs="Times New Roman"/>
          <w:sz w:val="24"/>
          <w:szCs w:val="24"/>
        </w:rPr>
        <w:t xml:space="preserve"> </w:t>
      </w:r>
      <w:r w:rsidR="00CF59AF">
        <w:rPr>
          <w:rFonts w:ascii="Times New Roman" w:hAnsi="Times New Roman" w:cs="Times New Roman"/>
          <w:sz w:val="24"/>
          <w:szCs w:val="24"/>
        </w:rPr>
        <w:t>(4 ICs) are also integrated on to the back of the glove with ultra thin flexible USB cable leaving the glove.</w:t>
      </w:r>
    </w:p>
    <w:p w:rsidR="00284512" w:rsidRDefault="00284512" w:rsidP="001E40A5">
      <w:pPr>
        <w:rPr>
          <w:rFonts w:ascii="Times New Roman" w:hAnsi="Times New Roman" w:cs="Times New Roman"/>
          <w:b/>
          <w:sz w:val="28"/>
          <w:szCs w:val="24"/>
        </w:rPr>
      </w:pPr>
      <w:proofErr w:type="spellStart"/>
      <w:r w:rsidRPr="00284512">
        <w:rPr>
          <w:rFonts w:ascii="Times New Roman" w:hAnsi="Times New Roman" w:cs="Times New Roman"/>
          <w:b/>
          <w:sz w:val="28"/>
          <w:szCs w:val="24"/>
        </w:rPr>
        <w:t>Haptic</w:t>
      </w:r>
      <w:proofErr w:type="spellEnd"/>
      <w:r w:rsidRPr="00284512">
        <w:rPr>
          <w:rFonts w:ascii="Times New Roman" w:hAnsi="Times New Roman" w:cs="Times New Roman"/>
          <w:b/>
          <w:sz w:val="28"/>
          <w:szCs w:val="24"/>
        </w:rPr>
        <w:t xml:space="preserve"> Encoding of Expressions:</w:t>
      </w:r>
    </w:p>
    <w:p w:rsidR="00284512" w:rsidRDefault="00284512" w:rsidP="001E40A5">
      <w:pPr>
        <w:rPr>
          <w:rFonts w:ascii="Times New Roman" w:hAnsi="Times New Roman" w:cs="Times New Roman"/>
          <w:sz w:val="24"/>
          <w:szCs w:val="24"/>
        </w:rPr>
      </w:pPr>
      <w:r>
        <w:rPr>
          <w:rFonts w:ascii="Times New Roman" w:hAnsi="Times New Roman" w:cs="Times New Roman"/>
          <w:sz w:val="24"/>
          <w:szCs w:val="24"/>
        </w:rPr>
        <w:t xml:space="preserve">In order to encode the 6 basic expressions and neutral facial posture into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cues, we resorted to popular emoticon representations of these basic expressions. For example, smile is popularly represented by a smiley which was translated to a vibratory pattern of index finger top phalange, </w:t>
      </w:r>
      <w:r>
        <w:rPr>
          <w:rFonts w:ascii="Times New Roman" w:hAnsi="Times New Roman" w:cs="Times New Roman"/>
          <w:sz w:val="24"/>
          <w:szCs w:val="24"/>
        </w:rPr>
        <w:lastRenderedPageBreak/>
        <w:t>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Expression</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Smile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IT, MB, RT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Sad</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IB, MT,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Surprise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MT, IM, MB, RM, MT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Anger</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IB, MM, MB, RM,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Neutral</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MM, RM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Disgust</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RB, MB, IB</w:t>
            </w:r>
          </w:p>
        </w:tc>
      </w:tr>
      <w:tr w:rsidR="000A068C" w:rsidTr="000A068C">
        <w:tc>
          <w:tcPr>
            <w:tcW w:w="154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Fear</w:t>
            </w:r>
          </w:p>
        </w:tc>
        <w:tc>
          <w:tcPr>
            <w:tcW w:w="802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IT, MT, RT, MT, IT, MT, RT</w:t>
            </w:r>
          </w:p>
        </w:tc>
      </w:tr>
    </w:tbl>
    <w:p w:rsidR="000A068C" w:rsidRDefault="000A068C" w:rsidP="001E40A5">
      <w:pPr>
        <w:rPr>
          <w:rFonts w:ascii="Times New Roman" w:hAnsi="Times New Roman" w:cs="Times New Roman"/>
          <w:b/>
          <w:sz w:val="28"/>
          <w:szCs w:val="28"/>
        </w:rPr>
      </w:pPr>
    </w:p>
    <w:p w:rsidR="001E40A5" w:rsidRPr="00304529" w:rsidRDefault="00284512" w:rsidP="001E40A5">
      <w:pPr>
        <w:rPr>
          <w:rFonts w:ascii="Times New Roman" w:hAnsi="Times New Roman" w:cs="Times New Roman"/>
          <w:b/>
          <w:sz w:val="28"/>
          <w:szCs w:val="28"/>
        </w:rPr>
      </w:pPr>
      <w:r>
        <w:rPr>
          <w:rFonts w:ascii="Times New Roman" w:hAnsi="Times New Roman" w:cs="Times New Roman"/>
          <w:b/>
          <w:sz w:val="28"/>
          <w:szCs w:val="28"/>
        </w:rPr>
        <w:t>Experiment</w:t>
      </w:r>
      <w:r w:rsidR="001E40A5" w:rsidRPr="00304529">
        <w:rPr>
          <w:rFonts w:ascii="Times New Roman" w:hAnsi="Times New Roman" w:cs="Times New Roman"/>
          <w:b/>
          <w:sz w:val="28"/>
          <w:szCs w:val="28"/>
        </w:rPr>
        <w:t>:</w:t>
      </w:r>
    </w:p>
    <w:p w:rsidR="00BD32EA" w:rsidRDefault="00A76812" w:rsidP="00BD32EA">
      <w:pPr>
        <w:rPr>
          <w:rFonts w:ascii="Times New Roman" w:hAnsi="Times New Roman" w:cs="Times New Roman"/>
          <w:sz w:val="24"/>
          <w:szCs w:val="24"/>
        </w:rPr>
      </w:pPr>
      <w:r>
        <w:rPr>
          <w:rFonts w:ascii="Times New Roman" w:hAnsi="Times New Roman" w:cs="Times New Roman"/>
          <w:sz w:val="24"/>
          <w:szCs w:val="24"/>
        </w:rPr>
        <w:t xml:space="preserve">The </w:t>
      </w:r>
      <w:r w:rsidR="00B84CD9">
        <w:rPr>
          <w:rFonts w:ascii="Times New Roman" w:hAnsi="Times New Roman" w:cs="Times New Roman"/>
          <w:sz w:val="24"/>
          <w:szCs w:val="24"/>
        </w:rPr>
        <w:t>above expressions were conveyed to 10 participants one of whom is blind</w:t>
      </w:r>
      <w:r w:rsidR="001E40A5" w:rsidRPr="00816853">
        <w:rPr>
          <w:rFonts w:ascii="Times New Roman" w:hAnsi="Times New Roman" w:cs="Times New Roman"/>
          <w:sz w:val="24"/>
          <w:szCs w:val="24"/>
        </w:rPr>
        <w:t>.</w:t>
      </w:r>
      <w:r w:rsidR="00B84CD9">
        <w:rPr>
          <w:rFonts w:ascii="Times New Roman" w:hAnsi="Times New Roman" w:cs="Times New Roman"/>
          <w:sz w:val="24"/>
          <w:szCs w:val="24"/>
        </w:rPr>
        <w:t xml:space="preserve">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tbl>
      <w:tblPr>
        <w:tblStyle w:val="TableGrid"/>
        <w:tblW w:w="0" w:type="auto"/>
        <w:tblLook w:val="04A0"/>
      </w:tblPr>
      <w:tblGrid>
        <w:gridCol w:w="506"/>
        <w:gridCol w:w="1097"/>
        <w:gridCol w:w="996"/>
        <w:gridCol w:w="996"/>
        <w:gridCol w:w="996"/>
        <w:gridCol w:w="996"/>
        <w:gridCol w:w="996"/>
        <w:gridCol w:w="1097"/>
        <w:gridCol w:w="1003"/>
      </w:tblGrid>
      <w:tr w:rsidR="00BD32EA" w:rsidTr="00867D98">
        <w:tc>
          <w:tcPr>
            <w:tcW w:w="0" w:type="auto"/>
          </w:tcPr>
          <w:p w:rsidR="00BD32EA" w:rsidRDefault="00BD32EA" w:rsidP="00867D98">
            <w:pPr>
              <w:rPr>
                <w:rFonts w:ascii="Times New Roman" w:hAnsi="Times New Roman" w:cs="Times New Roman"/>
                <w:sz w:val="24"/>
                <w:szCs w:val="24"/>
              </w:rPr>
            </w:pPr>
          </w:p>
        </w:tc>
        <w:tc>
          <w:tcPr>
            <w:tcW w:w="0" w:type="auto"/>
            <w:gridSpan w:val="8"/>
          </w:tcPr>
          <w:p w:rsidR="00BD32EA" w:rsidRPr="00017B1B" w:rsidRDefault="00BD32EA" w:rsidP="00867D98">
            <w:pPr>
              <w:jc w:val="center"/>
              <w:rPr>
                <w:rFonts w:ascii="Times New Roman" w:hAnsi="Times New Roman" w:cs="Times New Roman"/>
                <w:b/>
                <w:sz w:val="24"/>
                <w:szCs w:val="24"/>
              </w:rPr>
            </w:pPr>
            <w:r>
              <w:rPr>
                <w:rFonts w:ascii="Times New Roman" w:hAnsi="Times New Roman" w:cs="Times New Roman"/>
                <w:b/>
                <w:sz w:val="24"/>
                <w:szCs w:val="24"/>
              </w:rPr>
              <w:t>Response</w:t>
            </w:r>
          </w:p>
        </w:tc>
      </w:tr>
      <w:tr w:rsidR="00BD32EA" w:rsidTr="00867D98">
        <w:tc>
          <w:tcPr>
            <w:tcW w:w="0" w:type="auto"/>
            <w:vMerge w:val="restart"/>
            <w:textDirection w:val="btLr"/>
          </w:tcPr>
          <w:p w:rsidR="00BD32EA" w:rsidRPr="00017B1B" w:rsidRDefault="00BD32EA" w:rsidP="00867D98">
            <w:pPr>
              <w:ind w:left="113" w:right="113"/>
              <w:jc w:val="center"/>
              <w:rPr>
                <w:rFonts w:ascii="Times New Roman" w:hAnsi="Times New Roman" w:cs="Times New Roman"/>
                <w:b/>
                <w:sz w:val="24"/>
                <w:szCs w:val="24"/>
              </w:rPr>
            </w:pPr>
            <w:r w:rsidRPr="00017B1B">
              <w:rPr>
                <w:rFonts w:ascii="Times New Roman" w:hAnsi="Times New Roman" w:cs="Times New Roman"/>
                <w:b/>
                <w:sz w:val="24"/>
                <w:szCs w:val="24"/>
              </w:rPr>
              <w:t>Stimulation</w:t>
            </w:r>
          </w:p>
        </w:tc>
        <w:tc>
          <w:tcPr>
            <w:tcW w:w="0" w:type="auto"/>
          </w:tcPr>
          <w:p w:rsidR="00BD32EA" w:rsidRDefault="00BD32EA" w:rsidP="00867D98">
            <w:pPr>
              <w:rPr>
                <w:rFonts w:ascii="Times New Roman" w:hAnsi="Times New Roman" w:cs="Times New Roman"/>
                <w:sz w:val="24"/>
                <w:szCs w:val="24"/>
              </w:rPr>
            </w:pPr>
          </w:p>
        </w:tc>
        <w:tc>
          <w:tcPr>
            <w:tcW w:w="0" w:type="auto"/>
            <w:tcBorders>
              <w:bottom w:val="single" w:sz="4" w:space="0" w:color="000000" w:themeColor="text1"/>
            </w:tcBorders>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Angry</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Disgust</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Fear</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Smile</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Sad</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Surprise</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Neutral</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Angry</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88, 2.28</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1, 4.45</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11, 2.99</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Disgust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95, 1.89</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2, 1.52</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2, 3.44</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1, 1.67</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Fear</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1, 2.64</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98, 1.66</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1, 3.62</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Smile</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88, 2.12</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5, 4.18</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7, 2.8</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Sad</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4, 2.54</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2, 2.32</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82, 2.67</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10, 2.68</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2, 2.38</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Surprise</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10, 3.12</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2, 2.71</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1, 3.48</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87, 2.52</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Neutral</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2, 2.69</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1, 2.94</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3, 3.6</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8, 3.56</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86, 2.23</w:t>
            </w:r>
          </w:p>
        </w:tc>
      </w:tr>
    </w:tbl>
    <w:p w:rsidR="00BD32EA" w:rsidRDefault="00BD32EA" w:rsidP="00BD32EA">
      <w:pPr>
        <w:rPr>
          <w:rFonts w:ascii="Times New Roman" w:hAnsi="Times New Roman" w:cs="Times New Roman"/>
          <w:sz w:val="24"/>
          <w:szCs w:val="24"/>
        </w:rPr>
      </w:pPr>
      <w:r w:rsidRPr="00BD32EA">
        <w:rPr>
          <w:rFonts w:ascii="Times New Roman" w:hAnsi="Times New Roman" w:cs="Times New Roman"/>
          <w:b/>
          <w:sz w:val="24"/>
          <w:szCs w:val="24"/>
        </w:rPr>
        <w:t>Table 1:</w:t>
      </w:r>
      <w:r>
        <w:rPr>
          <w:rFonts w:ascii="Times New Roman" w:hAnsi="Times New Roman" w:cs="Times New Roman"/>
          <w:sz w:val="24"/>
          <w:szCs w:val="24"/>
        </w:rPr>
        <w:t xml:space="preserve"> Rows represent the stimulation provided to the users and the columns represent the response provided by the user. Each cell has two numbers. The first number represents the percentage recognition of a specific stimulation and a corresponding response. The second number represents the average time taken in seconds for that specific stimulation and response. Ideally this matrix should have 100% recognition along the diagonal with as low a time as possible.</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lastRenderedPageBreak/>
        <w:t>References:</w:t>
      </w:r>
    </w:p>
    <w:p w:rsidR="00773960" w:rsidRDefault="00773960" w:rsidP="00773960">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EF063D" w:rsidRDefault="00EF063D" w:rsidP="001E40A5">
      <w:pPr>
        <w:pStyle w:val="IEEEReference"/>
        <w:numPr>
          <w:ilvl w:val="0"/>
          <w:numId w:val="1"/>
        </w:numPr>
        <w:spacing w:after="120"/>
        <w:jc w:val="left"/>
        <w:rPr>
          <w:sz w:val="24"/>
          <w:szCs w:val="24"/>
        </w:rPr>
      </w:pPr>
      <w:r>
        <w:rPr>
          <w:sz w:val="24"/>
          <w:szCs w:val="24"/>
        </w:rPr>
        <w:t xml:space="preserve">S. Krishna, C. K. Narayanan and S. </w:t>
      </w:r>
      <w:proofErr w:type="spellStart"/>
      <w:r>
        <w:rPr>
          <w:sz w:val="24"/>
          <w:szCs w:val="24"/>
        </w:rPr>
        <w:t>Panchanathan</w:t>
      </w:r>
      <w:proofErr w:type="spellEnd"/>
      <w:r>
        <w:rPr>
          <w:sz w:val="24"/>
          <w:szCs w:val="24"/>
        </w:rPr>
        <w:t>, “</w:t>
      </w:r>
      <w:r w:rsidRPr="00EF063D">
        <w:rPr>
          <w:sz w:val="24"/>
          <w:szCs w:val="24"/>
        </w:rPr>
        <w:t>Detecting Stereotype Body Rocking Behavior through Embodied Motion Sensors</w:t>
      </w:r>
      <w:r>
        <w:rPr>
          <w:sz w:val="24"/>
          <w:szCs w:val="24"/>
        </w:rPr>
        <w:t>”, In the Proceedings of the International Annual Conference of Rehabilitation Engineering and Assistive Technology Society of North America (RESNA), June 2009.</w:t>
      </w:r>
    </w:p>
    <w:tbl>
      <w:tblPr>
        <w:tblW w:w="0" w:type="auto"/>
        <w:tblCellMar>
          <w:top w:w="15" w:type="dxa"/>
          <w:left w:w="15" w:type="dxa"/>
          <w:bottom w:w="15" w:type="dxa"/>
          <w:right w:w="15" w:type="dxa"/>
        </w:tblCellMar>
        <w:tblLook w:val="04A0"/>
      </w:tblPr>
      <w:tblGrid>
        <w:gridCol w:w="310"/>
        <w:gridCol w:w="9080"/>
      </w:tblGrid>
      <w:tr w:rsidR="00EF063D" w:rsidRPr="00EF063D" w:rsidTr="00EF063D">
        <w:tc>
          <w:tcPr>
            <w:tcW w:w="0" w:type="auto"/>
            <w:hideMark/>
          </w:tcPr>
          <w:p w:rsidR="00EF063D" w:rsidRPr="00EF063D" w:rsidRDefault="00EF063D" w:rsidP="00EF063D">
            <w:pPr>
              <w:spacing w:after="0" w:line="26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EF063D">
              <w:rPr>
                <w:rFonts w:ascii="Times New Roman" w:eastAsia="Times New Roman" w:hAnsi="Times New Roman" w:cs="Times New Roman"/>
                <w:sz w:val="24"/>
                <w:szCs w:val="24"/>
              </w:rPr>
              <w:t>]</w:t>
            </w:r>
          </w:p>
        </w:tc>
        <w:tc>
          <w:tcPr>
            <w:tcW w:w="0" w:type="auto"/>
            <w:tcMar>
              <w:top w:w="15" w:type="dxa"/>
              <w:left w:w="80" w:type="dxa"/>
              <w:bottom w:w="15" w:type="dxa"/>
              <w:right w:w="15" w:type="dxa"/>
            </w:tcMar>
            <w:hideMark/>
          </w:tcPr>
          <w:p w:rsidR="00EF063D" w:rsidRPr="00EF063D" w:rsidRDefault="00EF063D" w:rsidP="00EF063D">
            <w:pPr>
              <w:spacing w:after="0" w:line="264" w:lineRule="atLeast"/>
              <w:rPr>
                <w:rFonts w:ascii="Times New Roman" w:eastAsia="Times New Roman" w:hAnsi="Times New Roman" w:cs="Times New Roman"/>
                <w:sz w:val="24"/>
                <w:szCs w:val="24"/>
              </w:rPr>
            </w:pPr>
            <w:r w:rsidRPr="00EF063D">
              <w:rPr>
                <w:rFonts w:ascii="Times New Roman" w:eastAsia="Times New Roman" w:hAnsi="Times New Roman" w:cs="Times New Roman"/>
                <w:sz w:val="24"/>
                <w:szCs w:val="24"/>
              </w:rPr>
              <w:t xml:space="preserve">T. McDaniel, S. Krishna, V. </w:t>
            </w:r>
            <w:proofErr w:type="spellStart"/>
            <w:r w:rsidRPr="00EF063D">
              <w:rPr>
                <w:rFonts w:ascii="Times New Roman" w:eastAsia="Times New Roman" w:hAnsi="Times New Roman" w:cs="Times New Roman"/>
                <w:sz w:val="24"/>
                <w:szCs w:val="24"/>
              </w:rPr>
              <w:t>Balasubramanian</w:t>
            </w:r>
            <w:proofErr w:type="spellEnd"/>
            <w:r w:rsidRPr="00EF063D">
              <w:rPr>
                <w:rFonts w:ascii="Times New Roman" w:eastAsia="Times New Roman" w:hAnsi="Times New Roman" w:cs="Times New Roman"/>
                <w:sz w:val="24"/>
                <w:szCs w:val="24"/>
              </w:rPr>
              <w:t xml:space="preserve">, D. </w:t>
            </w:r>
            <w:proofErr w:type="spellStart"/>
            <w:r w:rsidRPr="00EF063D">
              <w:rPr>
                <w:rFonts w:ascii="Times New Roman" w:eastAsia="Times New Roman" w:hAnsi="Times New Roman" w:cs="Times New Roman"/>
                <w:sz w:val="24"/>
                <w:szCs w:val="24"/>
              </w:rPr>
              <w:t>colbry</w:t>
            </w:r>
            <w:proofErr w:type="spellEnd"/>
            <w:r w:rsidRPr="00EF063D">
              <w:rPr>
                <w:rFonts w:ascii="Times New Roman" w:eastAsia="Times New Roman" w:hAnsi="Times New Roman" w:cs="Times New Roman"/>
                <w:sz w:val="24"/>
                <w:szCs w:val="24"/>
              </w:rPr>
              <w:t xml:space="preserve">, and S. </w:t>
            </w:r>
            <w:proofErr w:type="spellStart"/>
            <w:r w:rsidRPr="00EF063D">
              <w:rPr>
                <w:rFonts w:ascii="Times New Roman" w:eastAsia="Times New Roman" w:hAnsi="Times New Roman" w:cs="Times New Roman"/>
                <w:sz w:val="24"/>
                <w:szCs w:val="24"/>
              </w:rPr>
              <w:t>Panchanathan</w:t>
            </w:r>
            <w:proofErr w:type="spellEnd"/>
            <w:r w:rsidRPr="00EF063D">
              <w:rPr>
                <w:rFonts w:ascii="Times New Roman" w:eastAsia="Times New Roman" w:hAnsi="Times New Roman" w:cs="Times New Roman"/>
                <w:sz w:val="24"/>
                <w:szCs w:val="24"/>
              </w:rPr>
              <w:t xml:space="preserve">, “Using a </w:t>
            </w:r>
            <w:proofErr w:type="spellStart"/>
            <w:r w:rsidRPr="00EF063D">
              <w:rPr>
                <w:rFonts w:ascii="Times New Roman" w:eastAsia="Times New Roman" w:hAnsi="Times New Roman" w:cs="Times New Roman"/>
                <w:sz w:val="24"/>
                <w:szCs w:val="24"/>
              </w:rPr>
              <w:t>Haptic</w:t>
            </w:r>
            <w:proofErr w:type="spellEnd"/>
            <w:r w:rsidRPr="00EF063D">
              <w:rPr>
                <w:rFonts w:ascii="Times New Roman" w:eastAsia="Times New Roman" w:hAnsi="Times New Roman" w:cs="Times New Roman"/>
                <w:sz w:val="24"/>
                <w:szCs w:val="24"/>
              </w:rPr>
              <w:t xml:space="preserve"> Belt to convey Non-Verbal communication cues during Social Interactions to Individuals who are Blind,” Ottawa, Canada: 2008.</w:t>
            </w:r>
          </w:p>
        </w:tc>
      </w:tr>
    </w:tbl>
    <w:p w:rsidR="00EF063D" w:rsidRDefault="00EF063D" w:rsidP="00EF063D">
      <w:pPr>
        <w:pStyle w:val="IEEEReference"/>
        <w:tabs>
          <w:tab w:val="clear" w:pos="720"/>
        </w:tabs>
        <w:spacing w:after="120"/>
        <w:ind w:left="360" w:firstLine="0"/>
        <w:jc w:val="left"/>
        <w:rPr>
          <w:sz w:val="24"/>
          <w:szCs w:val="24"/>
        </w:rPr>
      </w:pP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07D4B"/>
    <w:rsid w:val="00017B1B"/>
    <w:rsid w:val="00063E3F"/>
    <w:rsid w:val="00080F82"/>
    <w:rsid w:val="0009463B"/>
    <w:rsid w:val="000A068C"/>
    <w:rsid w:val="000F64C8"/>
    <w:rsid w:val="00126A5A"/>
    <w:rsid w:val="001727C1"/>
    <w:rsid w:val="001E40A5"/>
    <w:rsid w:val="001F1BD5"/>
    <w:rsid w:val="0020705B"/>
    <w:rsid w:val="00233769"/>
    <w:rsid w:val="00284512"/>
    <w:rsid w:val="00292906"/>
    <w:rsid w:val="002A464C"/>
    <w:rsid w:val="00351291"/>
    <w:rsid w:val="00353352"/>
    <w:rsid w:val="003A1A20"/>
    <w:rsid w:val="003C597F"/>
    <w:rsid w:val="00401D90"/>
    <w:rsid w:val="0043494B"/>
    <w:rsid w:val="004408A2"/>
    <w:rsid w:val="00455FF9"/>
    <w:rsid w:val="004A726E"/>
    <w:rsid w:val="004E7342"/>
    <w:rsid w:val="004F1878"/>
    <w:rsid w:val="00500A99"/>
    <w:rsid w:val="00555782"/>
    <w:rsid w:val="005568F7"/>
    <w:rsid w:val="00576455"/>
    <w:rsid w:val="00603443"/>
    <w:rsid w:val="00617EFD"/>
    <w:rsid w:val="0064656C"/>
    <w:rsid w:val="00672F7A"/>
    <w:rsid w:val="006A12FC"/>
    <w:rsid w:val="006C4F2C"/>
    <w:rsid w:val="00773960"/>
    <w:rsid w:val="007B2D27"/>
    <w:rsid w:val="007C271F"/>
    <w:rsid w:val="00811EAC"/>
    <w:rsid w:val="008B4972"/>
    <w:rsid w:val="008C230E"/>
    <w:rsid w:val="008C474B"/>
    <w:rsid w:val="00904001"/>
    <w:rsid w:val="00904F9B"/>
    <w:rsid w:val="009126AD"/>
    <w:rsid w:val="009248BA"/>
    <w:rsid w:val="0093344F"/>
    <w:rsid w:val="00984099"/>
    <w:rsid w:val="00A76812"/>
    <w:rsid w:val="00A85104"/>
    <w:rsid w:val="00AF15C1"/>
    <w:rsid w:val="00B16F05"/>
    <w:rsid w:val="00B52FC9"/>
    <w:rsid w:val="00B84CD9"/>
    <w:rsid w:val="00BB2233"/>
    <w:rsid w:val="00BD32EA"/>
    <w:rsid w:val="00C51A9A"/>
    <w:rsid w:val="00CA6122"/>
    <w:rsid w:val="00CF59AF"/>
    <w:rsid w:val="00D320C6"/>
    <w:rsid w:val="00D404A1"/>
    <w:rsid w:val="00D8370C"/>
    <w:rsid w:val="00DE3CEB"/>
    <w:rsid w:val="00E44848"/>
    <w:rsid w:val="00E769B8"/>
    <w:rsid w:val="00EF063D"/>
    <w:rsid w:val="00F25A79"/>
    <w:rsid w:val="00F37576"/>
    <w:rsid w:val="00F529C7"/>
    <w:rsid w:val="00F66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 w:type="table" w:styleId="TableGrid">
    <w:name w:val="Table Grid"/>
    <w:basedOn w:val="TableNormal"/>
    <w:uiPriority w:val="59"/>
    <w:rsid w:val="00284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 w:id="16338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3" Type="http://schemas.openxmlformats.org/officeDocument/2006/relationships/settings" Target="settings.xml"/><Relationship Id="rId7" Type="http://schemas.openxmlformats.org/officeDocument/2006/relationships/hyperlink" Target="mailto:troy.mcdaniel@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theme" Target="theme/theme1.xml"/><Relationship Id="rId5" Type="http://schemas.openxmlformats.org/officeDocument/2006/relationships/hyperlink" Target="mailto:Sreekar.Krishna@a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2</cp:revision>
  <cp:lastPrinted>2009-10-25T19:46:00Z</cp:lastPrinted>
  <dcterms:created xsi:type="dcterms:W3CDTF">2009-10-25T21:02:00Z</dcterms:created>
  <dcterms:modified xsi:type="dcterms:W3CDTF">2009-10-25T21:02:00Z</dcterms:modified>
</cp:coreProperties>
</file>