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0E1" w:rsidRPr="00F77107" w:rsidRDefault="00BB32C6" w:rsidP="00A93971">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rsearch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2144E4" w:rsidP="00F77107">
      <w:pPr>
        <w:pStyle w:val="Heading1"/>
        <w:jc w:val="both"/>
        <w:rPr>
          <w:rFonts w:ascii="Times New Roman" w:hAnsi="Times New Roman" w:cs="Times New Roman"/>
        </w:rPr>
      </w:pPr>
      <w:r w:rsidRPr="00F77107">
        <w:rPr>
          <w:rFonts w:ascii="Times New Roman" w:hAnsi="Times New Roman" w:cs="Times New Roman"/>
        </w:rPr>
        <w:t>Requirements for a Social Interaction Assistant</w:t>
      </w:r>
    </w:p>
    <w:p w:rsidR="00BB2430"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F77107">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F77107">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F3547E" w:rsidP="00F77107">
      <w:pPr>
        <w:pStyle w:val="Heading1"/>
        <w:jc w:val="both"/>
        <w:rPr>
          <w:rFonts w:ascii="Times New Roman" w:hAnsi="Times New Roman" w:cs="Times New Roman"/>
        </w:rPr>
      </w:pPr>
      <w:r w:rsidRPr="00F77107">
        <w:rPr>
          <w:rFonts w:ascii="Times New Roman" w:hAnsi="Times New Roman" w:cs="Times New Roman"/>
        </w:rPr>
        <w:t>Online Survey</w:t>
      </w:r>
    </w:p>
    <w:p w:rsidR="00F3547E" w:rsidRPr="00F77107"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F77107">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180822" w:rsidP="00180822">
      <w:pPr>
        <w:pStyle w:val="Heading1"/>
      </w:pPr>
      <w:r>
        <w:t>Results:</w:t>
      </w:r>
    </w:p>
    <w:p w:rsidR="00180822" w:rsidRPr="00180822" w:rsidRDefault="00180822" w:rsidP="00180822">
      <w:pPr>
        <w:pStyle w:val="Heading2"/>
      </w:pPr>
      <w:r>
        <w:t>Mean Score Table:</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180822" w:rsidP="00180822">
      <w:pPr>
        <w:pStyle w:val="Heading2"/>
      </w:pPr>
      <w:r>
        <w:t>Histogram of Responses: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857660">
      <w:pPr>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180822" w:rsidP="00180822">
      <w:pPr>
        <w:pStyle w:val="Heading2"/>
      </w:pPr>
      <w:r>
        <w:lastRenderedPageBreak/>
        <w:t>Box Plot Analysis: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6625" cy="2742230"/>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336625" cy="2742230"/>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350BC6" w:rsidP="00857660">
      <w:pPr>
        <w:rPr>
          <w:rFonts w:ascii="Times New Roman" w:hAnsi="Times New Roman" w:cs="Times New Roman"/>
          <w:sz w:val="24"/>
          <w:szCs w:val="24"/>
        </w:rPr>
      </w:pPr>
      <w:r>
        <w:rPr>
          <w:rFonts w:ascii="Times New Roman" w:hAnsi="Times New Roman" w:cs="Times New Roman"/>
          <w:sz w:val="24"/>
          <w:szCs w:val="24"/>
        </w:rPr>
        <w:t>The Box Plot of the 8 question responses is shown in Figure 3. The median values of the responses are shown as red lines for each of the 8 questions. While the blue box shows the enclosure for all responses between the 75 percentile and the 25 percentile points. Since the responses were on an integer scale of 1 through 5, the median coincides with the upper or lower 25 percentile. The whisker corresponds to the upper and lower limit of the values represented under that particular question. The plus marks represent any outliers under each question. Outliers are indentified based on whether they are outside the 3 sigma (variance) from the mean value. Note that the median value for questions 6 and 8 are at 5, median value of 4 for questions 1, 2, 3, 5 and 7, and median of 3 for question 4.</w:t>
      </w:r>
      <w:r w:rsidR="00D5367C">
        <w:rPr>
          <w:rFonts w:ascii="Times New Roman" w:hAnsi="Times New Roman" w:cs="Times New Roman"/>
          <w:sz w:val="24"/>
          <w:szCs w:val="24"/>
        </w:rPr>
        <w:t xml:space="preserve"> Historically, Licket Scale data has been analyzed using Box Plot analysis as the plot captures all the descriptive statistics of minimum value, maximum value, median, variance, and the inter quartile range that encapsulates the 50 percentile of the data around the mean.</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180822" w:rsidP="00180822">
      <w:pPr>
        <w:pStyle w:val="Heading2"/>
      </w:pPr>
      <w:r>
        <w:lastRenderedPageBreak/>
        <w:t>Questionnaire Bias:</w:t>
      </w:r>
    </w:p>
    <w:p w:rsidR="00180822" w:rsidRDefault="00180822" w:rsidP="005F40DA">
      <w:pPr>
        <w:jc w:val="center"/>
      </w:pPr>
      <w:r>
        <w:rPr>
          <w:noProof/>
        </w:rPr>
        <w:drawing>
          <wp:inline distT="0" distB="0" distL="0" distR="0">
            <wp:extent cx="3483275" cy="2942772"/>
            <wp:effectExtent l="19050" t="0" r="2875"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rcRect l="4066" r="6945"/>
                    <a:stretch>
                      <a:fillRect/>
                    </a:stretch>
                  </pic:blipFill>
                  <pic:spPr>
                    <a:xfrm>
                      <a:off x="0" y="0"/>
                      <a:ext cx="3483275" cy="2942772"/>
                    </a:xfrm>
                    <a:prstGeom prst="rect">
                      <a:avLst/>
                    </a:prstGeom>
                  </pic:spPr>
                </pic:pic>
              </a:graphicData>
            </a:graphic>
          </wp:inline>
        </w:drawing>
      </w:r>
    </w:p>
    <w:p w:rsidR="005F40DA" w:rsidRDefault="005F40DA" w:rsidP="005F40DA">
      <w:pPr>
        <w:jc w:val="center"/>
        <w:rPr>
          <w:rFonts w:ascii="Times New Roman" w:hAnsi="Times New Roman" w:cs="Times New Roman"/>
          <w:sz w:val="24"/>
          <w:szCs w:val="24"/>
        </w:rPr>
      </w:pPr>
      <w:r w:rsidRPr="005F40DA">
        <w:rPr>
          <w:rFonts w:ascii="Times New Roman" w:hAnsi="Times New Roman" w:cs="Times New Roman"/>
          <w:sz w:val="24"/>
          <w:szCs w:val="24"/>
        </w:rPr>
        <w:t xml:space="preserve">Figure </w:t>
      </w:r>
      <w:r>
        <w:rPr>
          <w:rFonts w:ascii="Times New Roman" w:hAnsi="Times New Roman" w:cs="Times New Roman"/>
          <w:sz w:val="24"/>
          <w:szCs w:val="24"/>
        </w:rPr>
        <w:t>4: Questionnaire Bias</w:t>
      </w:r>
    </w:p>
    <w:p w:rsidR="005F40DA" w:rsidRDefault="005F40DA" w:rsidP="005F40DA">
      <w:pPr>
        <w:rPr>
          <w:rFonts w:ascii="Times New Roman" w:hAnsi="Times New Roman" w:cs="Times New Roman"/>
          <w:sz w:val="24"/>
          <w:szCs w:val="24"/>
        </w:rPr>
      </w:pPr>
      <w:r>
        <w:rPr>
          <w:rFonts w:ascii="Times New Roman" w:hAnsi="Times New Roman" w:cs="Times New Roman"/>
          <w:sz w:val="24"/>
          <w:szCs w:val="24"/>
        </w:rPr>
        <w:t xml:space="preserve">Figure 4 shows the number of times the users chose to answer the 8 questions with their agreement or disagreement. The y-axis has been normalized to 100 points. The graph shows that users chose to answer the most with agreeing with the 8 questions. Followed closely behind was the strong agreement with the questions asked in the survey. The respondents chose to answer the least through strong disagreement to what was asked in the survey. </w:t>
      </w:r>
    </w:p>
    <w:p w:rsidR="00180822" w:rsidRDefault="00180822" w:rsidP="00180822">
      <w:pPr>
        <w:pStyle w:val="Heading2"/>
      </w:pPr>
      <w:r>
        <w:t>Rank Average and F-score:</w:t>
      </w:r>
    </w:p>
    <w:p w:rsidR="00180822" w:rsidRPr="002D69BD" w:rsidRDefault="00180822" w:rsidP="00180822">
      <w:pPr>
        <w:rPr>
          <w:rFonts w:ascii="Times New Roman" w:hAnsi="Times New Roman" w:cs="Times New Roman"/>
          <w:sz w:val="24"/>
          <w:szCs w:val="24"/>
        </w:rPr>
      </w:pPr>
      <w:r w:rsidRPr="002D69BD">
        <w:rPr>
          <w:rFonts w:ascii="Times New Roman" w:hAnsi="Times New Roman" w:cs="Times New Roman"/>
          <w:noProof/>
          <w:sz w:val="24"/>
          <w:szCs w:val="24"/>
        </w:rPr>
        <w:drawing>
          <wp:inline distT="0" distB="0" distL="0" distR="0">
            <wp:extent cx="2928192" cy="2372264"/>
            <wp:effectExtent l="19050" t="0" r="5508"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rcRect l="2972" r="7334" b="2795"/>
                    <a:stretch>
                      <a:fillRect/>
                    </a:stretch>
                  </pic:blipFill>
                  <pic:spPr>
                    <a:xfrm>
                      <a:off x="0" y="0"/>
                      <a:ext cx="2928192" cy="2372264"/>
                    </a:xfrm>
                    <a:prstGeom prst="rect">
                      <a:avLst/>
                    </a:prstGeom>
                  </pic:spPr>
                </pic:pic>
              </a:graphicData>
            </a:graphic>
          </wp:inline>
        </w:drawing>
      </w:r>
      <w:r w:rsidRPr="002D69BD">
        <w:rPr>
          <w:rFonts w:ascii="Times New Roman" w:hAnsi="Times New Roman" w:cs="Times New Roman"/>
          <w:noProof/>
          <w:sz w:val="24"/>
          <w:szCs w:val="24"/>
        </w:rPr>
        <w:drawing>
          <wp:inline distT="0" distB="0" distL="0" distR="0">
            <wp:extent cx="2926682" cy="2303253"/>
            <wp:effectExtent l="19050" t="0" r="7018" b="0"/>
            <wp:docPr id="9" name="Picture 8" descr="Fsc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ore.bmp"/>
                    <pic:cNvPicPr/>
                  </pic:nvPicPr>
                  <pic:blipFill>
                    <a:blip r:embed="rId12" cstate="print"/>
                    <a:srcRect l="4132" t="4399" r="7461" b="2873"/>
                    <a:stretch>
                      <a:fillRect/>
                    </a:stretch>
                  </pic:blipFill>
                  <pic:spPr>
                    <a:xfrm>
                      <a:off x="0" y="0"/>
                      <a:ext cx="2928569" cy="2304738"/>
                    </a:xfrm>
                    <a:prstGeom prst="rect">
                      <a:avLst/>
                    </a:prstGeom>
                  </pic:spPr>
                </pic:pic>
              </a:graphicData>
            </a:graphic>
          </wp:inline>
        </w:drawing>
      </w:r>
    </w:p>
    <w:p w:rsidR="002D69BD" w:rsidRDefault="002D69BD" w:rsidP="002D69BD">
      <w:pPr>
        <w:jc w:val="center"/>
        <w:rPr>
          <w:rFonts w:ascii="Times New Roman" w:hAnsi="Times New Roman" w:cs="Times New Roman"/>
          <w:sz w:val="24"/>
          <w:szCs w:val="24"/>
        </w:rPr>
      </w:pPr>
      <w:r w:rsidRPr="002D69BD">
        <w:rPr>
          <w:rFonts w:ascii="Times New Roman" w:hAnsi="Times New Roman" w:cs="Times New Roman"/>
          <w:sz w:val="24"/>
          <w:szCs w:val="24"/>
        </w:rPr>
        <w:t>Figure 5: (a) Rank Average of responses for the 8 questions asked in the online survey. (b) F Score for the 8 questions with unity line marked with a dash-dot line.</w:t>
      </w:r>
    </w:p>
    <w:p w:rsidR="002D69BD" w:rsidRDefault="00061187" w:rsidP="002D69BD">
      <w:pPr>
        <w:rPr>
          <w:rFonts w:ascii="Times New Roman" w:hAnsi="Times New Roman" w:cs="Times New Roman"/>
          <w:sz w:val="24"/>
          <w:szCs w:val="24"/>
        </w:rPr>
      </w:pPr>
      <w:r>
        <w:rPr>
          <w:rFonts w:ascii="Times New Roman" w:hAnsi="Times New Roman" w:cs="Times New Roman"/>
          <w:sz w:val="24"/>
          <w:szCs w:val="24"/>
        </w:rPr>
        <w:lastRenderedPageBreak/>
        <w:t xml:space="preserve">As can be seen from Figure 4, the questionnaires were biased due to the focus group studies that lead to the questions </w:t>
      </w:r>
      <w:r w:rsidR="0054058B">
        <w:rPr>
          <w:rFonts w:ascii="Times New Roman" w:hAnsi="Times New Roman" w:cs="Times New Roman"/>
          <w:sz w:val="24"/>
          <w:szCs w:val="24"/>
        </w:rPr>
        <w:t xml:space="preserve">themselves which were then answered </w:t>
      </w:r>
      <w:r>
        <w:rPr>
          <w:rFonts w:ascii="Times New Roman" w:hAnsi="Times New Roman" w:cs="Times New Roman"/>
          <w:sz w:val="24"/>
          <w:szCs w:val="24"/>
        </w:rPr>
        <w:t>in the online s</w:t>
      </w:r>
      <w:r w:rsidR="0054058B">
        <w:rPr>
          <w:rFonts w:ascii="Times New Roman" w:hAnsi="Times New Roman" w:cs="Times New Roman"/>
          <w:sz w:val="24"/>
          <w:szCs w:val="24"/>
        </w:rPr>
        <w:t>urvey. Because of this bias, just the mean of the Lickert Scale will immediately show the same bias. This is due to the Gaussian iid assumption that is made while extracting the mean for the answers. In order to overcome this non-Gaussianity that is introduced due to the bias, we resort to non-parametric mean for the responses. R</w:t>
      </w:r>
      <w:r>
        <w:rPr>
          <w:rFonts w:ascii="Times New Roman" w:hAnsi="Times New Roman" w:cs="Times New Roman"/>
          <w:sz w:val="24"/>
          <w:szCs w:val="24"/>
        </w:rPr>
        <w:t xml:space="preserve">ank </w:t>
      </w:r>
      <w:r w:rsidR="00626469">
        <w:rPr>
          <w:rFonts w:ascii="Times New Roman" w:hAnsi="Times New Roman" w:cs="Times New Roman"/>
          <w:sz w:val="24"/>
          <w:szCs w:val="24"/>
        </w:rPr>
        <w:t>average of the responses is est</w:t>
      </w:r>
      <w:r w:rsidR="0054058B">
        <w:rPr>
          <w:rFonts w:ascii="Times New Roman" w:hAnsi="Times New Roman" w:cs="Times New Roman"/>
          <w:sz w:val="24"/>
          <w:szCs w:val="24"/>
        </w:rPr>
        <w:t>imated instead of the typical mean of the responses for each of the questions</w:t>
      </w:r>
      <w:r w:rsidR="00626469">
        <w:rPr>
          <w:rFonts w:ascii="Times New Roman" w:hAnsi="Times New Roman" w:cs="Times New Roman"/>
          <w:sz w:val="24"/>
          <w:szCs w:val="24"/>
        </w:rPr>
        <w:t>. Procedure for estimation of the rank average is shown below:</w:t>
      </w:r>
    </w:p>
    <w:p w:rsidR="00626469" w:rsidRDefault="0054058B" w:rsidP="0054058B">
      <w:pPr>
        <w:pStyle w:val="ListParagraph"/>
        <w:numPr>
          <w:ilvl w:val="0"/>
          <w:numId w:val="5"/>
        </w:numPr>
        <w:rPr>
          <w:rFonts w:ascii="Times New Roman" w:hAnsi="Times New Roman" w:cs="Times New Roman"/>
          <w:sz w:val="24"/>
          <w:szCs w:val="24"/>
        </w:rPr>
      </w:pPr>
      <w:r w:rsidRPr="0054058B">
        <w:rPr>
          <w:rFonts w:ascii="Times New Roman" w:hAnsi="Times New Roman" w:cs="Times New Roman"/>
          <w:sz w:val="24"/>
          <w:szCs w:val="24"/>
        </w:rPr>
        <w:t>Rank all data from all</w:t>
      </w:r>
      <w:r>
        <w:rPr>
          <w:rFonts w:ascii="Times New Roman" w:hAnsi="Times New Roman" w:cs="Times New Roman"/>
          <w:sz w:val="24"/>
          <w:szCs w:val="24"/>
        </w:rPr>
        <w:t xml:space="preserve"> (question)</w:t>
      </w:r>
      <w:r w:rsidRPr="0054058B">
        <w:rPr>
          <w:rFonts w:ascii="Times New Roman" w:hAnsi="Times New Roman" w:cs="Times New Roman"/>
          <w:sz w:val="24"/>
          <w:szCs w:val="24"/>
        </w:rPr>
        <w:t xml:space="preserve"> groups together; i.e., rank the data from 1 to N ignoring group membership. Assign any tied values the average of the ranks they would have received had they not been tied.</w:t>
      </w:r>
    </w:p>
    <w:p w:rsidR="0054058B" w:rsidRDefault="0054058B" w:rsidP="0054058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Rank Average for each group is then given as</w:t>
      </w:r>
    </w:p>
    <w:p w:rsidR="0054058B" w:rsidRPr="0054058B" w:rsidRDefault="0054058B" w:rsidP="0054058B">
      <w:pPr>
        <w:pStyle w:val="ListParagraph"/>
        <w:rPr>
          <w:rFonts w:ascii="Times New Roman" w:hAnsi="Times New Roman" w:cs="Times New Roman"/>
          <w:sz w:val="24"/>
          <w:szCs w:val="24"/>
        </w:rPr>
      </w:pPr>
    </w:p>
    <w:p w:rsidR="00180822" w:rsidRDefault="00180822" w:rsidP="00180822"/>
    <w:p w:rsidR="00180822" w:rsidRDefault="00180822" w:rsidP="00180822">
      <w:pPr>
        <w:pStyle w:val="Heading2"/>
      </w:pPr>
      <w:r>
        <w:t>Average Per Group:</w:t>
      </w:r>
    </w:p>
    <w:p w:rsidR="00180822" w:rsidRDefault="00180822" w:rsidP="00180822">
      <w:r>
        <w:rPr>
          <w:noProof/>
        </w:rPr>
        <w:drawing>
          <wp:inline distT="0" distB="0" distL="0" distR="0">
            <wp:extent cx="3467100" cy="2600325"/>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3" cstate="print"/>
                    <a:stretch>
                      <a:fillRect/>
                    </a:stretch>
                  </pic:blipFill>
                  <pic:spPr>
                    <a:xfrm>
                      <a:off x="0" y="0"/>
                      <a:ext cx="3467100" cy="2600325"/>
                    </a:xfrm>
                    <a:prstGeom prst="rect">
                      <a:avLst/>
                    </a:prstGeom>
                  </pic:spPr>
                </pic:pic>
              </a:graphicData>
            </a:graphic>
          </wp:inline>
        </w:drawing>
      </w:r>
    </w:p>
    <w:p w:rsidR="00E164A7" w:rsidRDefault="00E164A7" w:rsidP="002D69BD">
      <w:pPr>
        <w:pStyle w:val="Heading1"/>
      </w:pPr>
      <w:r w:rsidRPr="00F77107">
        <w:t>Analysis of the survey responses</w:t>
      </w:r>
    </w:p>
    <w:p w:rsidR="00061187" w:rsidRPr="00061187" w:rsidRDefault="00061187" w:rsidP="00061187">
      <w:pPr>
        <w:pStyle w:val="Heading2"/>
      </w:pPr>
      <w:r>
        <w:t>Histogram of the responses:</w:t>
      </w:r>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below.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 they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lastRenderedPageBreak/>
        <w:t>Facial expressions form the most important visual non-verbal cue that individuals who are blind or visually impaired feel they do not have access to. This correlates with the studies into non-verbal communication that highlights the importance of facial cues that requires visual decoding (based on Question 6 on the survey).</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 This can be correlated to the table shown Chapter XXX, Section XXX, where body follows the face in terms of displaying non-verbal cues (based on Question 3 of the survey).</w:t>
      </w:r>
    </w:p>
    <w:p w:rsidR="00F3547E"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The responses to questions 3, 6, and 7 suggest that respondents would like to know the identities, facial expressions and body gestures of the people with whom they are communicating. 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5F40DA" w:rsidRPr="005F40DA" w:rsidRDefault="005F40DA" w:rsidP="005F40DA">
      <w:pPr>
        <w:jc w:val="both"/>
        <w:rPr>
          <w:rFonts w:ascii="Times New Roman" w:hAnsi="Times New Roman" w:cs="Times New Roman"/>
          <w:sz w:val="24"/>
          <w:szCs w:val="24"/>
        </w:rPr>
      </w:pPr>
    </w:p>
    <w:p w:rsidR="005F40DA" w:rsidRPr="005F40DA" w:rsidRDefault="005F40DA" w:rsidP="005F40DA">
      <w:pPr>
        <w:rPr>
          <w:rFonts w:ascii="Times New Roman" w:hAnsi="Times New Roman" w:cs="Times New Roman"/>
          <w:sz w:val="24"/>
          <w:szCs w:val="24"/>
        </w:rPr>
      </w:pPr>
      <w:r w:rsidRPr="005F40DA">
        <w:rPr>
          <w:rFonts w:ascii="Times New Roman" w:hAnsi="Times New Roman" w:cs="Times New Roman"/>
          <w:sz w:val="24"/>
          <w:szCs w:val="24"/>
        </w:rPr>
        <w:t>As described earlier, the 8 questions corresponding to the social needs of the individuals were identified from the focus group survey that was conducted. Thus, the questions presented in the online survey questions were biased towards the needs of everyday social interactions of individuals who are blind and visually impaired. In order to under</w:t>
      </w:r>
    </w:p>
    <w:p w:rsidR="00F3547E" w:rsidRPr="00F77107" w:rsidRDefault="00F3547E" w:rsidP="00F77107">
      <w:pPr>
        <w:jc w:val="both"/>
        <w:rPr>
          <w:rFonts w:ascii="Times New Roman" w:hAnsi="Times New Roman" w:cs="Times New Roman"/>
        </w:rPr>
      </w:pPr>
    </w:p>
    <w:p w:rsidR="005A6111" w:rsidRPr="00F77107" w:rsidRDefault="005A6111" w:rsidP="00F77107">
      <w:pPr>
        <w:pStyle w:val="Heading1"/>
        <w:jc w:val="both"/>
        <w:rPr>
          <w:rFonts w:ascii="Times New Roman" w:hAnsi="Times New Roman" w:cs="Times New Roman"/>
        </w:rPr>
      </w:pPr>
      <w:r w:rsidRPr="00F77107">
        <w:rPr>
          <w:rFonts w:ascii="Times New Roman" w:hAnsi="Times New Roman" w:cs="Times New Roman"/>
        </w:rPr>
        <w:t>Alternative Sensing Platforms for a Social Interaction Assistant</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Having determined the requirements for a Social Interaction Assistant, we next concentrated on a potential platform for the device. We observed that four important criteria had to be taken into account: (1) the device must be unobtrusive and socially acceptable; (2) the device must be lightweight and compact for easy everyday use; (3) the device should be wearable, so users have their hands free; and (4) the device should allow the user to control the direction of the wearable device unobtrusively. Based on these considerations, we investigated three different conceptual approaches, including:</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1: </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an Ultra-mobile PC (UMPC) (Fig. 2).</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lastRenderedPageBreak/>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clip on camera and small speaker</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2: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ear-mounted video camera and sound emitter (inspired by Bluetooth headsets) mounted on a small device that communicates with a UMPC (Fig. 3).</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ear-mounted video camera and speaker</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3: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which are attached to a UMPC (Fig. 4).</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tiny video camera and speaker on a pair of glasses.</w:t>
      </w:r>
    </w:p>
    <w:p w:rsidR="00593148" w:rsidRPr="00F77107" w:rsidRDefault="00593148" w:rsidP="00F77107">
      <w:pPr>
        <w:pStyle w:val="Heading1"/>
        <w:jc w:val="both"/>
        <w:rPr>
          <w:rFonts w:ascii="Times New Roman" w:hAnsi="Times New Roman" w:cs="Times New Roman"/>
        </w:rPr>
      </w:pPr>
      <w:r w:rsidRPr="00F77107">
        <w:rPr>
          <w:rFonts w:ascii="Times New Roman" w:hAnsi="Times New Roman" w:cs="Times New Roman"/>
        </w:rPr>
        <w:lastRenderedPageBreak/>
        <w:t>Social Interaction Assistant:</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593148" w:rsidP="00F77107">
      <w:pPr>
        <w:pStyle w:val="Heading2"/>
        <w:jc w:val="both"/>
        <w:rPr>
          <w:rFonts w:ascii="Times New Roman" w:hAnsi="Times New Roman" w:cs="Times New Roman"/>
        </w:rPr>
      </w:pPr>
      <w:r w:rsidRPr="00F77107">
        <w:rPr>
          <w:rFonts w:ascii="Times New Roman" w:hAnsi="Times New Roman" w:cs="Times New Roman"/>
        </w:rPr>
        <w:t>System Architecture</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The system level architecture of the proposed social interaction assistant is shown in the Figure 1. The sensor suite consists of: (1) a visual sensor (1.4 Megapixel camera), (2) a motion sensor (± 12g accelerometer), and (3) a 5-button clicker, which serves as a user interface. The social interaction assistant software (implemented on a Windows Operating System PDA) uses these sensors to collect information about the various social and behavioral mannerisms of the user and participants in the vicinity of the user. Interpretations of the social interactions generated by custom algorithms are communicated to the user through an actuator suite, consisting of: (1) a haptic belt and (2) a set of ear phones.  The haptic belt encodes information in the form of vibrotactile cues</w:t>
      </w:r>
      <w:r w:rsidRPr="00F77107" w:rsidDel="00AD669C">
        <w:rPr>
          <w:rFonts w:ascii="Times New Roman" w:hAnsi="Times New Roman" w:cs="Times New Roman"/>
          <w:sz w:val="24"/>
        </w:rPr>
        <w:t xml:space="preserve">, while the ear phones provide short </w:t>
      </w:r>
      <w:r w:rsidRPr="00F77107">
        <w:rPr>
          <w:rFonts w:ascii="Times New Roman" w:hAnsi="Times New Roman" w:cs="Times New Roman"/>
          <w:sz w:val="24"/>
        </w:rPr>
        <w:t>audio cues.</w:t>
      </w:r>
    </w:p>
    <w:p w:rsidR="00593148" w:rsidRPr="00F77107" w:rsidRDefault="00593148"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3050540" cy="2347595"/>
            <wp:effectExtent l="19050" t="0" r="0"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17" cstate="print"/>
                    <a:srcRect/>
                    <a:stretch>
                      <a:fillRect/>
                    </a:stretch>
                  </pic:blipFill>
                  <pic:spPr bwMode="auto">
                    <a:xfrm>
                      <a:off x="0" y="0"/>
                      <a:ext cx="3050540" cy="2347595"/>
                    </a:xfrm>
                    <a:prstGeom prst="rect">
                      <a:avLst/>
                    </a:prstGeom>
                    <a:noFill/>
                    <a:ln w="9525">
                      <a:noFill/>
                      <a:miter lim="800000"/>
                      <a:headEnd/>
                      <a:tailEnd/>
                    </a:ln>
                  </pic:spPr>
                </pic:pic>
              </a:graphicData>
            </a:graphic>
          </wp:inline>
        </w:drawing>
      </w:r>
    </w:p>
    <w:p w:rsidR="00593148" w:rsidRPr="00F77107" w:rsidRDefault="00593148" w:rsidP="00F77107">
      <w:pPr>
        <w:jc w:val="both"/>
        <w:rPr>
          <w:rFonts w:ascii="Times New Roman" w:hAnsi="Times New Roman" w:cs="Times New Roman"/>
        </w:rPr>
      </w:pPr>
      <w:r w:rsidRPr="00F77107">
        <w:rPr>
          <w:rFonts w:ascii="Times New Roman" w:hAnsi="Times New Roman" w:cs="Times New Roman"/>
        </w:rPr>
        <w:t>System level architecture of the Social Interaction Assistant</w:t>
      </w:r>
    </w:p>
    <w:p w:rsidR="00D463EC" w:rsidRPr="00F77107" w:rsidRDefault="00D463EC" w:rsidP="00F77107">
      <w:pPr>
        <w:pStyle w:val="Heading2"/>
        <w:jc w:val="both"/>
        <w:rPr>
          <w:rFonts w:ascii="Times New Roman" w:hAnsi="Times New Roman" w:cs="Times New Roman"/>
        </w:rPr>
      </w:pPr>
      <w:r w:rsidRPr="00F77107">
        <w:rPr>
          <w:rFonts w:ascii="Times New Roman" w:hAnsi="Times New Roman" w:cs="Times New Roman"/>
        </w:rPr>
        <w:t>Prototype System:</w:t>
      </w:r>
    </w:p>
    <w:p w:rsidR="00D463EC" w:rsidRPr="00F77107" w:rsidRDefault="00D463EC" w:rsidP="00F77107">
      <w:pPr>
        <w:jc w:val="both"/>
        <w:rPr>
          <w:rFonts w:ascii="Times New Roman" w:hAnsi="Times New Roman" w:cs="Times New Roman"/>
        </w:rPr>
      </w:pPr>
      <w:r w:rsidRPr="00F77107">
        <w:rPr>
          <w:rFonts w:ascii="Times New Roman" w:hAnsi="Times New Roman" w:cs="Times New Roman"/>
          <w:sz w:val="24"/>
          <w:szCs w:val="24"/>
        </w:rPr>
        <w:t xml:space="preserve">Figure 2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movement. (Most communicative gestures are encoded in movements of head and the most widely occurring and problematic stereotypic body mannerisms are done with the head.) </w:t>
      </w:r>
      <w:r w:rsidRPr="00F77107" w:rsidDel="00AD669C">
        <w:rPr>
          <w:rFonts w:ascii="Times New Roman" w:hAnsi="Times New Roman" w:cs="Times New Roman"/>
          <w:sz w:val="24"/>
          <w:szCs w:val="24"/>
        </w:rPr>
        <w:t>T</w:t>
      </w:r>
      <w:r w:rsidRPr="00F77107">
        <w:rPr>
          <w:rFonts w:ascii="Times New Roman" w:hAnsi="Times New Roman" w:cs="Times New Roman"/>
          <w:sz w:val="24"/>
          <w:szCs w:val="24"/>
        </w:rPr>
        <w:t>he accelerometer operates on a coin battery</w:t>
      </w:r>
      <w:r w:rsidRPr="00F77107" w:rsidDel="00AD669C">
        <w:rPr>
          <w:rFonts w:ascii="Times New Roman" w:hAnsi="Times New Roman" w:cs="Times New Roman"/>
          <w:sz w:val="24"/>
          <w:szCs w:val="24"/>
        </w:rPr>
        <w:t xml:space="preserve"> that allows</w:t>
      </w:r>
      <w:r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t>
      </w:r>
      <w:r w:rsidRPr="00F77107">
        <w:rPr>
          <w:rFonts w:ascii="Times New Roman" w:hAnsi="Times New Roman" w:cs="Times New Roman"/>
          <w:sz w:val="24"/>
          <w:szCs w:val="24"/>
        </w:rPr>
        <w:lastRenderedPageBreak/>
        <w:t>wearable, (2) portable, (3) unobtrusive, (4) self and other sensing, and (5) can be worn by the user for extended periods of time.</w:t>
      </w:r>
    </w:p>
    <w:p w:rsidR="00D463EC" w:rsidRPr="00F77107" w:rsidRDefault="00323AB6" w:rsidP="00F77107">
      <w:pPr>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36.75pt;mso-position-horizontal-relative:char;mso-position-vertical-relative:line" coordorigin="1080,1414" coordsize="10114,67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080;top:1414;width:10114;height:6735"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2058;top:1494;width:8105;height:6114">
              <v:imagedata r:id="rId18" o:title="System"/>
            </v:shape>
            <v:shapetype id="_x0000_t202" coordsize="21600,21600" o:spt="202" path="m,l,21600r21600,l21600,xe">
              <v:stroke joinstyle="miter"/>
              <v:path gradientshapeok="t" o:connecttype="rect"/>
            </v:shapetype>
            <v:shape id="_x0000_s1031" type="#_x0000_t202" style="position:absolute;left:3398;top:7608;width:5474;height:381" filled="f" stroked="f">
              <v:textbox style="mso-next-textbox:#_x0000_s1031">
                <w:txbxContent>
                  <w:p w:rsidR="00D463EC" w:rsidRDefault="00D463EC" w:rsidP="00D463EC">
                    <w:pPr>
                      <w:pStyle w:val="Caption"/>
                    </w:pPr>
                    <w:r>
                      <w:t>Figure 2: the implementation of the Social Interaction Assistant</w:t>
                    </w:r>
                  </w:p>
                  <w:p w:rsidR="00D463EC" w:rsidRDefault="00D463EC" w:rsidP="00D463EC"/>
                </w:txbxContent>
              </v:textbox>
            </v:shape>
            <w10:wrap type="none"/>
            <w10:anchorlock/>
          </v:group>
        </w:pict>
      </w:r>
    </w:p>
    <w:sectPr w:rsidR="00D463EC" w:rsidRPr="00F77107"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32B" w:rsidRDefault="0045432B" w:rsidP="00E52DF5">
      <w:pPr>
        <w:spacing w:after="0" w:line="240" w:lineRule="auto"/>
      </w:pPr>
      <w:r>
        <w:separator/>
      </w:r>
    </w:p>
  </w:endnote>
  <w:endnote w:type="continuationSeparator" w:id="0">
    <w:p w:rsidR="0045432B" w:rsidRDefault="0045432B"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32B" w:rsidRDefault="0045432B" w:rsidP="00E52DF5">
      <w:pPr>
        <w:spacing w:after="0" w:line="240" w:lineRule="auto"/>
      </w:pPr>
      <w:r>
        <w:separator/>
      </w:r>
    </w:p>
  </w:footnote>
  <w:footnote w:type="continuationSeparator" w:id="0">
    <w:p w:rsidR="0045432B" w:rsidRDefault="0045432B"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9A7E73"/>
    <w:multiLevelType w:val="hybridMultilevel"/>
    <w:tmpl w:val="1CD8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BB32C6"/>
    <w:rsid w:val="000070CB"/>
    <w:rsid w:val="00012938"/>
    <w:rsid w:val="00057C31"/>
    <w:rsid w:val="00061187"/>
    <w:rsid w:val="00064C87"/>
    <w:rsid w:val="000935BF"/>
    <w:rsid w:val="000A1589"/>
    <w:rsid w:val="000A501A"/>
    <w:rsid w:val="000B0450"/>
    <w:rsid w:val="000C0B10"/>
    <w:rsid w:val="000F0FD8"/>
    <w:rsid w:val="0010166C"/>
    <w:rsid w:val="001053F9"/>
    <w:rsid w:val="00137B6A"/>
    <w:rsid w:val="00137E7B"/>
    <w:rsid w:val="00162784"/>
    <w:rsid w:val="00171602"/>
    <w:rsid w:val="00180822"/>
    <w:rsid w:val="001974A2"/>
    <w:rsid w:val="001A274C"/>
    <w:rsid w:val="001A4A12"/>
    <w:rsid w:val="001C279B"/>
    <w:rsid w:val="001C7A4D"/>
    <w:rsid w:val="001E72B2"/>
    <w:rsid w:val="001F4C5A"/>
    <w:rsid w:val="002024E9"/>
    <w:rsid w:val="002137FF"/>
    <w:rsid w:val="002144E4"/>
    <w:rsid w:val="002423F2"/>
    <w:rsid w:val="00246403"/>
    <w:rsid w:val="0024771C"/>
    <w:rsid w:val="002631A0"/>
    <w:rsid w:val="00280930"/>
    <w:rsid w:val="002C4A67"/>
    <w:rsid w:val="002D2166"/>
    <w:rsid w:val="002D69BD"/>
    <w:rsid w:val="003055DA"/>
    <w:rsid w:val="003056BB"/>
    <w:rsid w:val="00323AB6"/>
    <w:rsid w:val="00331434"/>
    <w:rsid w:val="00334C36"/>
    <w:rsid w:val="00335E16"/>
    <w:rsid w:val="00350BC6"/>
    <w:rsid w:val="00351C35"/>
    <w:rsid w:val="00362DED"/>
    <w:rsid w:val="00371C95"/>
    <w:rsid w:val="0037541D"/>
    <w:rsid w:val="003757A8"/>
    <w:rsid w:val="00376D8B"/>
    <w:rsid w:val="00396018"/>
    <w:rsid w:val="003B5CAF"/>
    <w:rsid w:val="003C5BAE"/>
    <w:rsid w:val="003D433C"/>
    <w:rsid w:val="003D5E81"/>
    <w:rsid w:val="003E1621"/>
    <w:rsid w:val="003E4B25"/>
    <w:rsid w:val="003E7FF7"/>
    <w:rsid w:val="004227C7"/>
    <w:rsid w:val="00447582"/>
    <w:rsid w:val="00451B8C"/>
    <w:rsid w:val="0045432B"/>
    <w:rsid w:val="004812D7"/>
    <w:rsid w:val="00487AD7"/>
    <w:rsid w:val="00494EA1"/>
    <w:rsid w:val="004A3FCB"/>
    <w:rsid w:val="004B3012"/>
    <w:rsid w:val="004B6DB0"/>
    <w:rsid w:val="004D6153"/>
    <w:rsid w:val="004D629A"/>
    <w:rsid w:val="004F0ECA"/>
    <w:rsid w:val="004F2545"/>
    <w:rsid w:val="004F624C"/>
    <w:rsid w:val="00506AC1"/>
    <w:rsid w:val="00531A40"/>
    <w:rsid w:val="00537BED"/>
    <w:rsid w:val="0054058B"/>
    <w:rsid w:val="005510AE"/>
    <w:rsid w:val="0055238E"/>
    <w:rsid w:val="00553423"/>
    <w:rsid w:val="00556CAB"/>
    <w:rsid w:val="00566ED1"/>
    <w:rsid w:val="00593148"/>
    <w:rsid w:val="005A3BB3"/>
    <w:rsid w:val="005A6111"/>
    <w:rsid w:val="005C0C43"/>
    <w:rsid w:val="005C29E6"/>
    <w:rsid w:val="005D621B"/>
    <w:rsid w:val="005D73F7"/>
    <w:rsid w:val="005D7F63"/>
    <w:rsid w:val="005F40DA"/>
    <w:rsid w:val="005F7A6F"/>
    <w:rsid w:val="00606008"/>
    <w:rsid w:val="0061722B"/>
    <w:rsid w:val="00621C01"/>
    <w:rsid w:val="00626469"/>
    <w:rsid w:val="0062769B"/>
    <w:rsid w:val="00634386"/>
    <w:rsid w:val="006474AD"/>
    <w:rsid w:val="006619EA"/>
    <w:rsid w:val="00662BA6"/>
    <w:rsid w:val="006824D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332C"/>
    <w:rsid w:val="008B2807"/>
    <w:rsid w:val="008B7FBB"/>
    <w:rsid w:val="008C55FC"/>
    <w:rsid w:val="009323A0"/>
    <w:rsid w:val="009372D6"/>
    <w:rsid w:val="00962F7F"/>
    <w:rsid w:val="00974C6A"/>
    <w:rsid w:val="00976A3B"/>
    <w:rsid w:val="009965F5"/>
    <w:rsid w:val="009A7657"/>
    <w:rsid w:val="009B2A7C"/>
    <w:rsid w:val="009C1578"/>
    <w:rsid w:val="009C68FB"/>
    <w:rsid w:val="00A071FC"/>
    <w:rsid w:val="00A11F20"/>
    <w:rsid w:val="00A67CB3"/>
    <w:rsid w:val="00A711E6"/>
    <w:rsid w:val="00A748DD"/>
    <w:rsid w:val="00A87000"/>
    <w:rsid w:val="00A93971"/>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B2430"/>
    <w:rsid w:val="00BB32C6"/>
    <w:rsid w:val="00BC1810"/>
    <w:rsid w:val="00BC3CE5"/>
    <w:rsid w:val="00BC4C34"/>
    <w:rsid w:val="00BC6BB6"/>
    <w:rsid w:val="00BF698D"/>
    <w:rsid w:val="00C07B63"/>
    <w:rsid w:val="00C13CB0"/>
    <w:rsid w:val="00C26D71"/>
    <w:rsid w:val="00C407FF"/>
    <w:rsid w:val="00C418DD"/>
    <w:rsid w:val="00C75E15"/>
    <w:rsid w:val="00C761CD"/>
    <w:rsid w:val="00CA40E7"/>
    <w:rsid w:val="00CA4401"/>
    <w:rsid w:val="00CA551E"/>
    <w:rsid w:val="00CB4A4E"/>
    <w:rsid w:val="00CD073B"/>
    <w:rsid w:val="00CD264C"/>
    <w:rsid w:val="00CE68BD"/>
    <w:rsid w:val="00D01A08"/>
    <w:rsid w:val="00D107A7"/>
    <w:rsid w:val="00D11848"/>
    <w:rsid w:val="00D14694"/>
    <w:rsid w:val="00D179E7"/>
    <w:rsid w:val="00D25CFD"/>
    <w:rsid w:val="00D463EC"/>
    <w:rsid w:val="00D5367C"/>
    <w:rsid w:val="00D66B70"/>
    <w:rsid w:val="00D73000"/>
    <w:rsid w:val="00D745C1"/>
    <w:rsid w:val="00D910E1"/>
    <w:rsid w:val="00DB2B1D"/>
    <w:rsid w:val="00DE672D"/>
    <w:rsid w:val="00DE7B92"/>
    <w:rsid w:val="00E02248"/>
    <w:rsid w:val="00E10E26"/>
    <w:rsid w:val="00E164A7"/>
    <w:rsid w:val="00E218AE"/>
    <w:rsid w:val="00E26DB5"/>
    <w:rsid w:val="00E41CD1"/>
    <w:rsid w:val="00E511D1"/>
    <w:rsid w:val="00E52611"/>
    <w:rsid w:val="00E52C99"/>
    <w:rsid w:val="00E52DF5"/>
    <w:rsid w:val="00EB217C"/>
    <w:rsid w:val="00EB2FC4"/>
    <w:rsid w:val="00ED1145"/>
    <w:rsid w:val="00EE2B79"/>
    <w:rsid w:val="00EF6CC5"/>
    <w:rsid w:val="00F11EFA"/>
    <w:rsid w:val="00F2601D"/>
    <w:rsid w:val="00F26908"/>
    <w:rsid w:val="00F27EDF"/>
    <w:rsid w:val="00F3547E"/>
    <w:rsid w:val="00F35BB6"/>
    <w:rsid w:val="00F44F1E"/>
    <w:rsid w:val="00F60598"/>
    <w:rsid w:val="00F6260E"/>
    <w:rsid w:val="00F74B71"/>
    <w:rsid w:val="00F77107"/>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48F72-8A56-4D00-AF77-179F71C5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11</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16406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3</cp:revision>
  <dcterms:created xsi:type="dcterms:W3CDTF">2009-11-23T16:12:00Z</dcterms:created>
  <dcterms:modified xsi:type="dcterms:W3CDTF">2009-11-25T15:21:00Z</dcterms:modified>
</cp:coreProperties>
</file>