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824851">
        <w:rPr>
          <w:color w:val="FF0000"/>
        </w:rPr>
        <w:fldChar w:fldCharType="begin"/>
      </w:r>
      <w:r w:rsidR="000F41A2">
        <w:rPr>
          <w:color w:val="FF0000"/>
        </w:rPr>
        <w:instrText xml:space="preserve"> ADDIN ZOTERO_ITEM {"sort":true,"citationItems":[{"uri":["http://zotero.org/users/local/cBuE6Qc1/items/AQNBFQ9R"]}]} </w:instrText>
      </w:r>
      <w:r w:rsidR="00824851">
        <w:rPr>
          <w:color w:val="FF0000"/>
        </w:rPr>
        <w:fldChar w:fldCharType="separate"/>
      </w:r>
      <w:r w:rsidR="003D2255" w:rsidRPr="003D2255">
        <w:rPr>
          <w:rFonts w:cs="Times"/>
        </w:rPr>
        <w:t>[1]</w:t>
      </w:r>
      <w:r w:rsidR="00824851">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824851">
        <w:rPr>
          <w:color w:val="FF0000"/>
        </w:rPr>
        <w:fldChar w:fldCharType="begin"/>
      </w:r>
      <w:r w:rsidR="00101FBF">
        <w:rPr>
          <w:color w:val="FF0000"/>
        </w:rPr>
        <w:instrText xml:space="preserve"> ADDIN ZOTERO_ITEM {"sort":true,"citationItems":[{"uri":["http://zotero.org/users/local/cBuE6Qc1/items/U2GFDZ3N"]}]} </w:instrText>
      </w:r>
      <w:r w:rsidR="00824851">
        <w:rPr>
          <w:color w:val="FF0000"/>
        </w:rPr>
        <w:fldChar w:fldCharType="separate"/>
      </w:r>
      <w:r w:rsidR="003D2255" w:rsidRPr="003D2255">
        <w:rPr>
          <w:rFonts w:cs="Times"/>
        </w:rPr>
        <w:t>[2]</w:t>
      </w:r>
      <w:r w:rsidR="00824851">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3D2255" w:rsidRPr="003D2255">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3D2255" w:rsidRPr="003D2255">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3D2255" w:rsidRPr="003D2255">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3D2255" w:rsidRPr="003D2255">
          <w:rPr>
            <w:rFonts w:cs="Times"/>
          </w:rPr>
          <w:t>[6]</w:t>
        </w:r>
      </w:fldSimple>
      <w:r w:rsidR="002C148C">
        <w:t xml:space="preserve"> </w:t>
      </w:r>
      <w:r w:rsidR="00B503BB">
        <w:t xml:space="preserve">which a battery of tests administered to determine the socialization ability of an individual. </w:t>
      </w:r>
    </w:p>
    <w:p w:rsidR="002A5FD8" w:rsidRDefault="00824851"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rsidR="00824851">
        <w:fldChar w:fldCharType="begin"/>
      </w:r>
      <w:r w:rsidR="00637863">
        <w:instrText xml:space="preserve"> ADDIN ZOTERO_ITEM {"sort":true,"citationItems":[{"uri":["http://zotero.org/users/local/cBuE6Qc1/items/TI3NHB3Q"]}]} </w:instrText>
      </w:r>
      <w:r w:rsidR="00824851">
        <w:fldChar w:fldCharType="separate"/>
      </w:r>
      <w:r w:rsidR="003D2255" w:rsidRPr="003D2255">
        <w:rPr>
          <w:rFonts w:cs="Times"/>
        </w:rPr>
        <w:t>[7]</w:t>
      </w:r>
      <w:r w:rsidR="00824851">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3D2255" w:rsidRPr="003D2255">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3D2255" w:rsidRPr="003D2255">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sidR="0082485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[10]</w:t>
      </w:r>
      <w:r w:rsidR="0082485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82485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[11]</w:t>
      </w:r>
      <w:r w:rsidR="00824851">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824851">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[12]</w:t>
      </w:r>
      <w:r w:rsidR="0082485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82485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[13]</w:t>
      </w:r>
      <w:r w:rsidR="0082485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82485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[14]</w:t>
      </w:r>
      <w:r w:rsidR="00824851">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82485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[15]</w:t>
      </w:r>
      <w:r w:rsidR="00824851">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82485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[16]</w:t>
      </w:r>
      <w:r w:rsidR="00824851">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824851">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[17]</w:t>
      </w:r>
      <w:r w:rsidR="00824851">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sidR="0082485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[18]</w:t>
      </w:r>
      <w:r w:rsidR="0082485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sidR="0082485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824851">
        <w:rPr>
          <w:rFonts w:ascii="Times New Roman" w:eastAsiaTheme="majorEastAsia" w:hAnsi="Times New Roman" w:cs="Times New Roman"/>
          <w:bCs/>
          <w:szCs w:val="24"/>
        </w:rPr>
        <w:fldChar w:fldCharType="separate"/>
      </w:r>
      <w:r w:rsidR="003D2255" w:rsidRPr="003D2255">
        <w:rPr>
          <w:rFonts w:ascii="Times New Roman" w:hAnsi="Times New Roman" w:cs="Times New Roman"/>
        </w:rPr>
        <w:t>[19]</w:t>
      </w:r>
      <w:r w:rsidR="0082485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3D2255" w:rsidRPr="003D2255">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3D2255" w:rsidRPr="003D2255">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824851"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824851"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sidR="00824851">
        <w:rPr>
          <w:bCs/>
          <w:lang w:bidi="en-US"/>
        </w:rPr>
        <w:fldChar w:fldCharType="begin"/>
      </w:r>
      <w:r>
        <w:rPr>
          <w:bCs/>
          <w:lang w:bidi="en-US"/>
        </w:rPr>
        <w:instrText xml:space="preserve"> ADDIN ZOTERO_ITEM {"sort":true,"citationItems":[{"position":1,"uri":["http://zotero.org/users/local/cBuE6Qc1/items/U2GFDZ3N"]}]} </w:instrText>
      </w:r>
      <w:r w:rsidR="00824851">
        <w:rPr>
          <w:bCs/>
          <w:lang w:bidi="en-US"/>
        </w:rPr>
        <w:fldChar w:fldCharType="separate"/>
      </w:r>
      <w:r w:rsidR="003D2255" w:rsidRPr="003D2255">
        <w:rPr>
          <w:rFonts w:cs="Times"/>
        </w:rPr>
        <w:t>[2]</w:t>
      </w:r>
      <w:r w:rsidR="00824851">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824851">
        <w:rPr>
          <w:bCs/>
          <w:lang w:bidi="en-US"/>
        </w:rPr>
        <w:fldChar w:fldCharType="begin"/>
      </w:r>
      <w:r>
        <w:rPr>
          <w:bCs/>
          <w:lang w:bidi="en-US"/>
        </w:rPr>
        <w:instrText xml:space="preserve"> ADDIN ZOTERO_ITEM {"sort":true,"citationItems":[{"uri":["http://zotero.org/users/local/cBuE6Qc1/items/PJFT7U7T"]}]} </w:instrText>
      </w:r>
      <w:r w:rsidR="00824851">
        <w:rPr>
          <w:bCs/>
          <w:lang w:bidi="en-US"/>
        </w:rPr>
        <w:fldChar w:fldCharType="separate"/>
      </w:r>
      <w:r w:rsidR="003D2255" w:rsidRPr="003D2255">
        <w:rPr>
          <w:rFonts w:cs="Times"/>
        </w:rPr>
        <w:t>[22]</w:t>
      </w:r>
      <w:r w:rsidR="00824851">
        <w:rPr>
          <w:bCs/>
          <w:lang w:bidi="en-US"/>
        </w:rPr>
        <w:fldChar w:fldCharType="end"/>
      </w:r>
      <w:r>
        <w:rPr>
          <w:bCs/>
          <w:lang w:bidi="en-US"/>
        </w:rPr>
        <w:t xml:space="preserve"> </w:t>
      </w:r>
      <w:r w:rsidR="00824851">
        <w:rPr>
          <w:bCs/>
          <w:lang w:bidi="en-US"/>
        </w:rPr>
        <w:fldChar w:fldCharType="begin"/>
      </w:r>
      <w:r>
        <w:rPr>
          <w:bCs/>
          <w:lang w:bidi="en-US"/>
        </w:rPr>
        <w:instrText xml:space="preserve"> ADDIN ZOTERO_ITEM {"sort":true,"citationItems":[{"uri":["http://zotero.org/users/local/cBuE6Qc1/items/NKIVG3D7"]}]} </w:instrText>
      </w:r>
      <w:r w:rsidR="00824851">
        <w:rPr>
          <w:bCs/>
          <w:lang w:bidi="en-US"/>
        </w:rPr>
        <w:fldChar w:fldCharType="separate"/>
      </w:r>
      <w:r w:rsidR="003D2255" w:rsidRPr="003D2255">
        <w:rPr>
          <w:rFonts w:cs="Times"/>
        </w:rPr>
        <w:t>[23]</w:t>
      </w:r>
      <w:r w:rsidR="00824851">
        <w:rPr>
          <w:bCs/>
          <w:lang w:bidi="en-US"/>
        </w:rPr>
        <w:fldChar w:fldCharType="end"/>
      </w:r>
      <w:r w:rsidRPr="007277C5">
        <w:rPr>
          <w:bCs/>
          <w:lang w:bidi="en-US"/>
        </w:rPr>
        <w:t xml:space="preserve">. </w:t>
      </w:r>
      <w:r>
        <w:rPr>
          <w:bCs/>
          <w:lang w:bidi="en-US"/>
        </w:rPr>
        <w:t xml:space="preserve">For example, lengthy periods of extreme heat </w:t>
      </w:r>
      <w:r w:rsidR="00824851">
        <w:rPr>
          <w:bCs/>
          <w:lang w:bidi="en-US"/>
        </w:rPr>
        <w:fldChar w:fldCharType="begin"/>
      </w:r>
      <w:r w:rsidR="00D65AFD">
        <w:rPr>
          <w:bCs/>
          <w:lang w:bidi="en-US"/>
        </w:rPr>
        <w:instrText xml:space="preserve"> ADDIN ZOTERO_ITEM {"sort":true,"citationItems":[{"uri":["http://zotero.org/users/local/cBuE6Qc1/items/7DNETBDJ"]}]} </w:instrText>
      </w:r>
      <w:r w:rsidR="00824851">
        <w:rPr>
          <w:bCs/>
          <w:lang w:bidi="en-US"/>
        </w:rPr>
        <w:fldChar w:fldCharType="separate"/>
      </w:r>
      <w:r w:rsidR="003D2255" w:rsidRPr="003D2255">
        <w:rPr>
          <w:rFonts w:cs="Times"/>
        </w:rPr>
        <w:t>[24]</w:t>
      </w:r>
      <w:r w:rsidR="00824851">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824851">
        <w:rPr>
          <w:bCs/>
          <w:lang w:bidi="en-US"/>
        </w:rPr>
        <w:fldChar w:fldCharType="begin"/>
      </w:r>
      <w:r w:rsidR="00635132">
        <w:rPr>
          <w:bCs/>
          <w:lang w:bidi="en-US"/>
        </w:rPr>
        <w:instrText xml:space="preserve"> ADDIN ZOTERO_ITEM {"sort":true,"citationItems":[{"uri":["http://zotero.org/users/local/cBuE6Qc1/items/UFB9VT6C"]}]} </w:instrText>
      </w:r>
      <w:r w:rsidR="00824851">
        <w:rPr>
          <w:bCs/>
          <w:lang w:bidi="en-US"/>
        </w:rPr>
        <w:fldChar w:fldCharType="separate"/>
      </w:r>
      <w:r w:rsidR="003D2255" w:rsidRPr="003D2255">
        <w:rPr>
          <w:rFonts w:cs="Times"/>
        </w:rPr>
        <w:t>[25]</w:t>
      </w:r>
      <w:r w:rsidR="00824851">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824851"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3D2255" w:rsidRPr="003D2255">
              <w:rPr>
                <w:rFonts w:cs="Times"/>
              </w:rPr>
              <w:t>[26]</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3D2255" w:rsidRPr="003D2255">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824851"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3D2255" w:rsidRPr="003D2255">
              <w:rPr>
                <w:rFonts w:cs="Times"/>
              </w:rPr>
              <w:t>[28]</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3D2255" w:rsidRPr="003D2255">
              <w:rPr>
                <w:rFonts w:cs="Times"/>
              </w:rPr>
              <w:t>[29]</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824851"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3D2255" w:rsidRPr="003D2255">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824851"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3D2255" w:rsidRPr="003D2255">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824851"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3D2255" w:rsidRPr="003D2255">
              <w:rPr>
                <w:rFonts w:cs="Times"/>
              </w:rPr>
              <w:t>[32]</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3D2255" w:rsidRPr="003D2255">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824851"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3D2255" w:rsidRPr="003D2255">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824851"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3D2255" w:rsidRPr="003D2255">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824851">
        <w:rPr>
          <w:iCs/>
          <w:lang w:bidi="en-US"/>
        </w:rPr>
        <w:fldChar w:fldCharType="begin"/>
      </w:r>
      <w:r w:rsidR="000F5F6F">
        <w:rPr>
          <w:iCs/>
          <w:lang w:bidi="en-US"/>
        </w:rPr>
        <w:instrText xml:space="preserve"> ADDIN ZOTERO_ITEM {"sort":true,"citationItems":[{"uri":["http://zotero.org/users/local/cBuE6Qc1/items/Z4RRBHT6"]}]} </w:instrText>
      </w:r>
      <w:r w:rsidR="00824851">
        <w:rPr>
          <w:iCs/>
          <w:lang w:bidi="en-US"/>
        </w:rPr>
        <w:fldChar w:fldCharType="separate"/>
      </w:r>
      <w:r w:rsidR="003D2255" w:rsidRPr="003D2255">
        <w:rPr>
          <w:rFonts w:cs="Times"/>
        </w:rPr>
        <w:t>[35]</w:t>
      </w:r>
      <w:r w:rsidR="00824851">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824851">
        <w:rPr>
          <w:iCs/>
          <w:lang w:bidi="en-US"/>
        </w:rPr>
        <w:fldChar w:fldCharType="begin"/>
      </w:r>
      <w:r w:rsidR="00B90341">
        <w:rPr>
          <w:iCs/>
          <w:lang w:bidi="en-US"/>
        </w:rPr>
        <w:instrText xml:space="preserve"> ADDIN ZOTERO_ITEM {"sort":true,"citationItems":[{"uri":["http://zotero.org/users/local/cBuE6Qc1/items/5ZJQXSQF"]}]} </w:instrText>
      </w:r>
      <w:r w:rsidR="00824851">
        <w:rPr>
          <w:iCs/>
          <w:lang w:bidi="en-US"/>
        </w:rPr>
        <w:fldChar w:fldCharType="separate"/>
      </w:r>
      <w:r w:rsidR="003D2255" w:rsidRPr="003D2255">
        <w:rPr>
          <w:rFonts w:cs="Times"/>
        </w:rPr>
        <w:t>[36]</w:t>
      </w:r>
      <w:r w:rsidR="00824851">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824851">
        <w:rPr>
          <w:iCs/>
          <w:lang w:bidi="en-US"/>
        </w:rPr>
        <w:fldChar w:fldCharType="begin"/>
      </w:r>
      <w:r w:rsidR="00BE6FEB">
        <w:rPr>
          <w:iCs/>
          <w:lang w:bidi="en-US"/>
        </w:rPr>
        <w:instrText xml:space="preserve"> ADDIN ZOTERO_ITEM {"sort":true,"citationItems":[{"uri":["http://zotero.org/users/local/cBuE6Qc1/items/NZTRSS7A"]}]} </w:instrText>
      </w:r>
      <w:r w:rsidR="00824851">
        <w:rPr>
          <w:iCs/>
          <w:lang w:bidi="en-US"/>
        </w:rPr>
        <w:fldChar w:fldCharType="separate"/>
      </w:r>
      <w:r w:rsidR="003D2255" w:rsidRPr="003D2255">
        <w:rPr>
          <w:rFonts w:cs="Times"/>
        </w:rPr>
        <w:t>[37]</w:t>
      </w:r>
      <w:r w:rsidR="00824851">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824851"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3D2255" w:rsidRPr="003D2255">
              <w:rPr>
                <w:rFonts w:cs="Times"/>
              </w:rPr>
              <w:t>[35]</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3D2255" w:rsidRPr="003D2255">
              <w:rPr>
                <w:rFonts w:cs="Times"/>
              </w:rPr>
              <w:t>[38]</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3D2255" w:rsidRPr="003D2255">
              <w:rPr>
                <w:rFonts w:cs="Times"/>
              </w:rPr>
              <w:t>[39]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824851"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3D2255" w:rsidRPr="003D2255">
              <w:rPr>
                <w:rFonts w:cs="Times"/>
              </w:rPr>
              <w:t>[40]</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3D2255" w:rsidRPr="003D2255">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824851"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3D2255" w:rsidRPr="003D2255">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824851"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3D2255" w:rsidRPr="003D2255">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824851"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3D2255" w:rsidRPr="003D2255">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824851"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3D2255" w:rsidRPr="003D2255">
              <w:rPr>
                <w:rFonts w:cs="Times"/>
              </w:rPr>
              <w:t>[45]</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3D2255" w:rsidRPr="003D2255">
              <w:rPr>
                <w:rFonts w:cs="Times"/>
              </w:rPr>
              <w:t>[46]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3D2255" w:rsidRPr="003D2255">
              <w:rPr>
                <w:rFonts w:cs="Times"/>
              </w:rPr>
              <w:t>[47]</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824851"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3D2255" w:rsidRPr="003D2255">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824851"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3D2255" w:rsidRPr="003D2255">
              <w:rPr>
                <w:rFonts w:cs="Times"/>
              </w:rPr>
              <w:t>[36]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3D2255" w:rsidRPr="003D2255">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824851"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3D2255" w:rsidRPr="003D2255">
              <w:rPr>
                <w:rFonts w:cs="Times"/>
              </w:rPr>
              <w:t>[50]</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3D2255" w:rsidRPr="003D2255">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824851"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3D2255" w:rsidRPr="003D2255">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3D2255" w:rsidRPr="003D2255">
          <w:rPr>
            <w:rFonts w:cs="Times"/>
          </w:rPr>
          <w:t>[53]</w:t>
        </w:r>
      </w:fldSimple>
      <w:fldSimple w:instr=" ADDIN ZOTERO_ITEM {&quot;sort&quot;:true,&quot;citationItems&quot;:[{&quot;uri&quot;:[&quot;http://zotero.org/users/local/cBuE6Qc1/items/XPHTEB8T&quot;]}]} ">
        <w:r w:rsidR="003D2255" w:rsidRPr="003D2255">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3D2255" w:rsidRPr="003D2255">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3D2255" w:rsidRPr="003D2255">
          <w:rPr>
            <w:rFonts w:cs="Times"/>
          </w:rPr>
          <w:t>[56]</w:t>
        </w:r>
      </w:fldSimple>
      <w:r>
        <w:t xml:space="preserve">, submissiveness and social hierarchy </w:t>
      </w:r>
      <w:fldSimple w:instr=" ADDIN ZOTERO_ITEM {&quot;sort&quot;:true,&quot;citationItems&quot;:[{&quot;uri&quot;:[&quot;http://zotero.org/users/local/cBuE6Qc1/items/QQ56THK3&quot;]}]} ">
        <w:r w:rsidR="003D2255" w:rsidRPr="003D2255">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3D2255" w:rsidRPr="003D2255">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3D2255" w:rsidRPr="003D2255">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3D2255" w:rsidRPr="003D2255">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3D2255" w:rsidRPr="003D2255">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3D2255" w:rsidRPr="003D2255">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3D2255" w:rsidRPr="003D2255">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w:t>
      </w:r>
    </w:p>
    <w:p w:rsidR="002853C2" w:rsidRDefault="00422082" w:rsidP="000A7BD4">
      <w:r>
        <w:lastRenderedPageBreak/>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3D2255" w:rsidRPr="003D2255">
          <w:rPr>
            <w:rFonts w:cs="Times"/>
          </w:rPr>
          <w:t>[64]</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215F80" w:rsidRPr="00215F80">
          <w:rPr>
            <w:rFonts w:cs="Times"/>
          </w:rPr>
          <w:t>[65]</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Pr="00422082"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1A13D0" w:rsidRPr="001A13D0">
          <w:rPr>
            <w:rFonts w:cs="Times"/>
          </w:rPr>
          <w:t>[66]</w:t>
        </w:r>
      </w:fldSimple>
      <w:r>
        <w:t xml:space="preserve"> and Izard </w:t>
      </w:r>
      <w:fldSimple w:instr=" ADDIN ZOTERO_ITEM {&quot;sort&quot;:true,&quot;citationItems&quot;:[{&quot;uri&quot;:[&quot;http://zotero.org/users/local/cBuE6Qc1/items/RWPZXTZ6&quot;]}]} ">
        <w:r w:rsidR="001A13D0" w:rsidRPr="001A13D0">
          <w:rPr>
            <w:rFonts w:cs="Times"/>
          </w:rPr>
          <w:t>[67]</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p>
    <w:p w:rsidR="002853C2" w:rsidRPr="00B40871" w:rsidRDefault="002853C2" w:rsidP="000A7BD4">
      <w:pPr>
        <w:rPr>
          <w:color w:val="FF0000"/>
        </w:rPr>
      </w:pPr>
    </w:p>
    <w:p w:rsidR="002853C2" w:rsidRPr="00B40871" w:rsidRDefault="002853C2" w:rsidP="000A7BD4">
      <w:pPr>
        <w:rPr>
          <w:i/>
          <w:color w:val="FF0000"/>
        </w:rPr>
      </w:pPr>
      <w:r w:rsidRPr="00B40871">
        <w:rPr>
          <w:i/>
          <w:color w:val="FF0000"/>
        </w:rPr>
        <w:t>Eye:</w:t>
      </w:r>
    </w:p>
    <w:p w:rsidR="000F41A2" w:rsidRDefault="000F41A2" w:rsidP="000F41A2">
      <w:pPr>
        <w:pStyle w:val="Heading2"/>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lastRenderedPageBreak/>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824851">
        <w:rPr>
          <w:bCs/>
          <w:lang w:bidi="en-US"/>
        </w:rPr>
        <w:fldChar w:fldCharType="begin"/>
      </w:r>
      <w:r>
        <w:rPr>
          <w:bCs/>
          <w:lang w:bidi="en-US"/>
        </w:rPr>
        <w:instrText xml:space="preserve"> ADDIN ZOTERO_ITEM {"sort":true,"citationItems":[{"position":1,"uri":["http://zotero.org/users/local/cBuE6Qc1/items/64JPKIKM"]}]} </w:instrText>
      </w:r>
      <w:r w:rsidR="00824851">
        <w:rPr>
          <w:bCs/>
          <w:lang w:bidi="en-US"/>
        </w:rPr>
        <w:fldChar w:fldCharType="separate"/>
      </w:r>
      <w:r w:rsidR="003D2255" w:rsidRPr="003D2255">
        <w:rPr>
          <w:rFonts w:cs="Times"/>
        </w:rPr>
        <w:t>[3]</w:t>
      </w:r>
      <w:r w:rsidR="00824851">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t>National Center for Health Statistics reported in 2007 that the estimated number of visually impaired and blind people totals up to 21.2 million in the United States alone</w:t>
      </w:r>
      <w:r w:rsidRPr="009544F9">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9544F9">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1A13D0" w:rsidRPr="001A13D0">
          <w:rPr>
            <w:rFonts w:cs="Times"/>
          </w:rPr>
          <w:t>[68]</w:t>
        </w:r>
      </w:fldSimple>
      <w:fldSimple w:instr=" ADDIN ZOTERO_ITEM {&quot;sort&quot;:true,&quot;citationItems&quot;:[{&quot;uri&quot;:[&quot;http://zotero.org/users/local/cBuE6Qc1/items/NG6DEZTB&quot;]}]} ">
        <w:r w:rsidR="001A13D0" w:rsidRPr="001A13D0">
          <w:rPr>
            <w:rFonts w:cs="Times"/>
          </w:rPr>
          <w:t>[69]</w:t>
        </w:r>
      </w:fldSimple>
      <w:fldSimple w:instr=" ADDIN ZOTERO_ITEM {&quot;sort&quot;:true,&quot;citationItems&quot;:[{&quot;uri&quot;:[&quot;http://zotero.org/users/local/cBuE6Qc1/items/58VEVI6B&quot;]}]} ">
        <w:r w:rsidR="001A13D0" w:rsidRPr="001A13D0">
          <w:rPr>
            <w:rFonts w:cs="Times"/>
          </w:rPr>
          <w:t>[70]</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824851">
        <w:rPr>
          <w:bCs/>
          <w:lang w:bidi="en-US"/>
        </w:rPr>
        <w:fldChar w:fldCharType="begin"/>
      </w:r>
      <w:r>
        <w:rPr>
          <w:bCs/>
          <w:lang w:bidi="en-US"/>
        </w:rPr>
        <w:instrText xml:space="preserve"> ADDIN ZOTERO_ITEM {"sort":true,"citationItems":[{"position":1,"uri":["http://zotero.org/users/local/cBuE6Qc1/items/NG6DEZTB"]}]} </w:instrText>
      </w:r>
      <w:r w:rsidR="00824851">
        <w:rPr>
          <w:bCs/>
          <w:lang w:bidi="en-US"/>
        </w:rPr>
        <w:fldChar w:fldCharType="separate"/>
      </w:r>
      <w:r w:rsidR="001A13D0" w:rsidRPr="001A13D0">
        <w:rPr>
          <w:rFonts w:cs="Times"/>
        </w:rPr>
        <w:t>[69]</w:t>
      </w:r>
      <w:r w:rsidR="00824851">
        <w:rPr>
          <w:bCs/>
          <w:lang w:bidi="en-US"/>
        </w:rPr>
        <w:fldChar w:fldCharType="end"/>
      </w:r>
      <w:r w:rsidRPr="007F340B">
        <w:rPr>
          <w:bCs/>
          <w:lang w:bidi="en-US"/>
        </w:rPr>
        <w:t xml:space="preserve"> </w:t>
      </w:r>
      <w:r w:rsidR="00824851">
        <w:rPr>
          <w:bCs/>
          <w:lang w:bidi="en-US"/>
        </w:rPr>
        <w:fldChar w:fldCharType="begin"/>
      </w:r>
      <w:r>
        <w:rPr>
          <w:bCs/>
          <w:lang w:bidi="en-US"/>
        </w:rPr>
        <w:instrText xml:space="preserve"> ADDIN ZOTERO_ITEM {"sort":true,"citationItems":[{"uri":["http://zotero.org/users/local/cBuE6Qc1/items/G7P6M2GQ"]}]} </w:instrText>
      </w:r>
      <w:r w:rsidR="00824851">
        <w:rPr>
          <w:bCs/>
          <w:lang w:bidi="en-US"/>
        </w:rPr>
        <w:fldChar w:fldCharType="separate"/>
      </w:r>
      <w:r w:rsidR="001A13D0" w:rsidRPr="001A13D0">
        <w:rPr>
          <w:rFonts w:cs="Times"/>
        </w:rPr>
        <w:t>[71]</w:t>
      </w:r>
      <w:r w:rsidR="00824851">
        <w:rPr>
          <w:bCs/>
          <w:lang w:bidi="en-US"/>
        </w:rPr>
        <w:fldChar w:fldCharType="end"/>
      </w:r>
      <w:r w:rsidRPr="007F340B">
        <w:rPr>
          <w:bCs/>
          <w:lang w:bidi="en-US"/>
        </w:rPr>
        <w:t>and, at times, may stop conversing. Similar studies carried out by Celeste</w:t>
      </w:r>
      <w:r>
        <w:rPr>
          <w:bCs/>
          <w:lang w:bidi="en-US"/>
        </w:rPr>
        <w:t xml:space="preserve"> </w:t>
      </w:r>
      <w:r w:rsidR="00824851">
        <w:rPr>
          <w:bCs/>
          <w:lang w:bidi="en-US"/>
        </w:rPr>
        <w:fldChar w:fldCharType="begin"/>
      </w:r>
      <w:r>
        <w:rPr>
          <w:bCs/>
          <w:lang w:bidi="en-US"/>
        </w:rPr>
        <w:instrText xml:space="preserve"> ADDIN ZOTERO_ITEM {"sort":true,"citationItems":[{"uri":["http://zotero.org/users/local/cBuE6Qc1/items/UNRX2NJB"]}]} </w:instrText>
      </w:r>
      <w:r w:rsidR="00824851">
        <w:rPr>
          <w:bCs/>
          <w:lang w:bidi="en-US"/>
        </w:rPr>
        <w:fldChar w:fldCharType="separate"/>
      </w:r>
      <w:r w:rsidR="001A13D0" w:rsidRPr="001A13D0">
        <w:rPr>
          <w:rFonts w:cs="Times"/>
        </w:rPr>
        <w:t>[72]</w:t>
      </w:r>
      <w:r w:rsidR="00824851">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824851">
        <w:rPr>
          <w:bCs/>
          <w:lang w:bidi="en-US"/>
        </w:rPr>
        <w:fldChar w:fldCharType="begin"/>
      </w:r>
      <w:r>
        <w:rPr>
          <w:bCs/>
          <w:lang w:bidi="en-US"/>
        </w:rPr>
        <w:instrText xml:space="preserve"> ADDIN ZOTERO_ITEM {"sort":true,"citationItems":[{"uri":["http://zotero.org/users/local/cBuE6Qc1/items/RD5MAMCI"]}]} </w:instrText>
      </w:r>
      <w:r w:rsidR="00824851">
        <w:rPr>
          <w:bCs/>
          <w:lang w:bidi="en-US"/>
        </w:rPr>
        <w:fldChar w:fldCharType="separate"/>
      </w:r>
      <w:r w:rsidR="001A13D0" w:rsidRPr="001A13D0">
        <w:rPr>
          <w:rFonts w:cs="Times"/>
        </w:rPr>
        <w:t>[73]</w:t>
      </w:r>
      <w:r w:rsidR="00824851">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w:t>
      </w:r>
      <w:r w:rsidRPr="007F340B">
        <w:rPr>
          <w:bCs/>
          <w:lang w:bidi="en-US"/>
        </w:rPr>
        <w:lastRenderedPageBreak/>
        <w:t xml:space="preserve">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824851" w:rsidRPr="00824851">
        <w:rPr>
          <w:bCs/>
          <w:iCs/>
          <w:lang w:bidi="en-US"/>
        </w:rPr>
        <w:fldChar w:fldCharType="begin"/>
      </w:r>
      <w:r>
        <w:rPr>
          <w:bCs/>
          <w:iCs/>
          <w:lang w:bidi="en-US"/>
        </w:rPr>
        <w:instrText xml:space="preserve"> ADDIN ZOTERO_ITEM {"sort":true,"citationItems":[{"uri":["http://zotero.org/users/local/cBuE6Qc1/items/C4NPFPQE"]}]} </w:instrText>
      </w:r>
      <w:r w:rsidR="00824851" w:rsidRPr="00824851">
        <w:rPr>
          <w:bCs/>
          <w:iCs/>
          <w:lang w:bidi="en-US"/>
        </w:rPr>
        <w:fldChar w:fldCharType="separate"/>
      </w:r>
      <w:r w:rsidR="001A13D0" w:rsidRPr="001A13D0">
        <w:rPr>
          <w:rFonts w:cs="Times"/>
        </w:rPr>
        <w:t>[74]</w:t>
      </w:r>
      <w:r w:rsidR="00824851" w:rsidRPr="00A369E7">
        <w:rPr>
          <w:bCs/>
          <w:lang w:bidi="en-US"/>
        </w:rPr>
        <w:fldChar w:fldCharType="end"/>
      </w:r>
      <w:r w:rsidRPr="00A369E7">
        <w:rPr>
          <w:bCs/>
          <w:iCs/>
          <w:lang w:bidi="en-US"/>
        </w:rPr>
        <w:t xml:space="preserve"> issued an annoying tone in the ears of the subject while </w:t>
      </w:r>
      <w:r w:rsidR="00824851" w:rsidRPr="00824851">
        <w:rPr>
          <w:bCs/>
          <w:iCs/>
          <w:lang w:bidi="en-US"/>
        </w:rPr>
        <w:fldChar w:fldCharType="begin"/>
      </w:r>
      <w:r>
        <w:rPr>
          <w:bCs/>
          <w:iCs/>
          <w:lang w:bidi="en-US"/>
        </w:rPr>
        <w:instrText xml:space="preserve"> ADDIN ZOTERO_ITEM {"sort":true,"citationItems":[{"uri":["http://zotero.org/users/local/cBuE6Qc1/items/AEP8PZ5B"]}]} </w:instrText>
      </w:r>
      <w:r w:rsidR="00824851" w:rsidRPr="00824851">
        <w:rPr>
          <w:bCs/>
          <w:iCs/>
          <w:lang w:bidi="en-US"/>
        </w:rPr>
        <w:fldChar w:fldCharType="separate"/>
      </w:r>
      <w:r w:rsidR="001A13D0" w:rsidRPr="001A13D0">
        <w:rPr>
          <w:rFonts w:cs="Times"/>
        </w:rPr>
        <w:t>[75]</w:t>
      </w:r>
      <w:r w:rsidR="00824851"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824851" w:rsidRPr="00824851">
        <w:rPr>
          <w:bCs/>
          <w:iCs/>
          <w:lang w:bidi="en-US"/>
        </w:rPr>
        <w:fldChar w:fldCharType="begin"/>
      </w:r>
      <w:r>
        <w:rPr>
          <w:bCs/>
          <w:iCs/>
          <w:lang w:bidi="en-US"/>
        </w:rPr>
        <w:instrText xml:space="preserve"> ADDIN ZOTERO_ITEM {"sort":true,"citationItems":[{"uri":["http://zotero.org/users/local/cBuE6Qc1/items/PRWU3EDN"]}]} </w:instrText>
      </w:r>
      <w:r w:rsidR="00824851" w:rsidRPr="00824851">
        <w:rPr>
          <w:bCs/>
          <w:iCs/>
          <w:lang w:bidi="en-US"/>
        </w:rPr>
        <w:fldChar w:fldCharType="separate"/>
      </w:r>
      <w:r w:rsidR="001A13D0" w:rsidRPr="001A13D0">
        <w:rPr>
          <w:rFonts w:cs="Times"/>
        </w:rPr>
        <w:t>[76]</w:t>
      </w:r>
      <w:r w:rsidR="00824851" w:rsidRPr="00A369E7">
        <w:rPr>
          <w:bCs/>
          <w:lang w:bidi="en-US"/>
        </w:rPr>
        <w:fldChar w:fldCharType="end"/>
      </w:r>
      <w:r w:rsidRPr="00A369E7">
        <w:rPr>
          <w:bCs/>
          <w:iCs/>
          <w:lang w:bidi="en-US"/>
        </w:rPr>
        <w:t xml:space="preserve">, </w:t>
      </w:r>
      <w:r w:rsidR="00824851" w:rsidRPr="00824851">
        <w:rPr>
          <w:bCs/>
          <w:iCs/>
          <w:lang w:bidi="en-US"/>
        </w:rPr>
        <w:fldChar w:fldCharType="begin"/>
      </w:r>
      <w:r>
        <w:rPr>
          <w:bCs/>
          <w:iCs/>
          <w:lang w:bidi="en-US"/>
        </w:rPr>
        <w:instrText xml:space="preserve"> ADDIN ZOTERO_ITEM {"sort":true,"citationItems":[{"uri":["http://zotero.org/users/local/cBuE6Qc1/items/BU5P4XX9"]}]} </w:instrText>
      </w:r>
      <w:r w:rsidR="00824851" w:rsidRPr="00824851">
        <w:rPr>
          <w:bCs/>
          <w:iCs/>
          <w:lang w:bidi="en-US"/>
        </w:rPr>
        <w:fldChar w:fldCharType="separate"/>
      </w:r>
      <w:r w:rsidR="001A13D0" w:rsidRPr="001A13D0">
        <w:rPr>
          <w:rFonts w:cs="Times"/>
        </w:rPr>
        <w:t>[77]</w:t>
      </w:r>
      <w:r w:rsidR="00824851" w:rsidRPr="00A369E7">
        <w:rPr>
          <w:bCs/>
          <w:lang w:bidi="en-US"/>
        </w:rPr>
        <w:fldChar w:fldCharType="end"/>
      </w:r>
      <w:r w:rsidRPr="00A369E7">
        <w:rPr>
          <w:bCs/>
          <w:iCs/>
          <w:lang w:bidi="en-US"/>
        </w:rPr>
        <w:t xml:space="preserve"> and </w:t>
      </w:r>
      <w:r w:rsidR="00824851" w:rsidRPr="00824851">
        <w:rPr>
          <w:bCs/>
          <w:iCs/>
          <w:lang w:bidi="en-US"/>
        </w:rPr>
        <w:fldChar w:fldCharType="begin"/>
      </w:r>
      <w:r>
        <w:rPr>
          <w:bCs/>
          <w:iCs/>
          <w:lang w:bidi="en-US"/>
        </w:rPr>
        <w:instrText xml:space="preserve"> ADDIN ZOTERO_ITEM {"sort":true,"citationItems":[{"uri":["http://zotero.org/users/local/cBuE6Qc1/items/XNH49UDW"]}]} </w:instrText>
      </w:r>
      <w:r w:rsidR="00824851" w:rsidRPr="00824851">
        <w:rPr>
          <w:bCs/>
          <w:iCs/>
          <w:lang w:bidi="en-US"/>
        </w:rPr>
        <w:fldChar w:fldCharType="separate"/>
      </w:r>
      <w:r w:rsidR="001A13D0" w:rsidRPr="001A13D0">
        <w:rPr>
          <w:rFonts w:cs="Times"/>
        </w:rPr>
        <w:t>[78]</w:t>
      </w:r>
      <w:r w:rsidR="00824851"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824851" w:rsidRPr="00824851">
        <w:rPr>
          <w:bCs/>
          <w:iCs/>
          <w:lang w:bidi="en-US"/>
        </w:rPr>
        <w:fldChar w:fldCharType="begin"/>
      </w:r>
      <w:r>
        <w:rPr>
          <w:bCs/>
          <w:iCs/>
          <w:lang w:bidi="en-US"/>
        </w:rPr>
        <w:instrText xml:space="preserve"> ADDIN ZOTERO_ITEM {"sort":true,"citationItems":[{"uri":["http://zotero.org/users/local/cBuE6Qc1/items/VG5X7XVX"]}]} </w:instrText>
      </w:r>
      <w:r w:rsidR="00824851" w:rsidRPr="00824851">
        <w:rPr>
          <w:bCs/>
          <w:iCs/>
          <w:lang w:bidi="en-US"/>
        </w:rPr>
        <w:fldChar w:fldCharType="separate"/>
      </w:r>
      <w:r w:rsidR="001A13D0" w:rsidRPr="001A13D0">
        <w:rPr>
          <w:rFonts w:cs="Times"/>
        </w:rPr>
        <w:t>[79]</w:t>
      </w:r>
      <w:r w:rsidR="00824851"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w:t>
      </w:r>
      <w:r w:rsidRPr="00A369E7">
        <w:rPr>
          <w:bCs/>
          <w:iCs/>
          <w:lang w:bidi="en-US"/>
        </w:rPr>
        <w:lastRenderedPageBreak/>
        <w:t xml:space="preserve">benefit in reducing stereotypic body rocking. Shabani, Wilder and Flood </w:t>
      </w:r>
      <w:r w:rsidR="00824851" w:rsidRPr="00824851">
        <w:rPr>
          <w:bCs/>
          <w:iCs/>
          <w:lang w:bidi="en-US"/>
        </w:rPr>
        <w:fldChar w:fldCharType="begin"/>
      </w:r>
      <w:r>
        <w:rPr>
          <w:bCs/>
          <w:iCs/>
          <w:lang w:bidi="en-US"/>
        </w:rPr>
        <w:instrText xml:space="preserve"> ADDIN ZOTERO_ITEM {"sort":true,"citationItems":[{"uri":["http://zotero.org/users/local/cBuE6Qc1/items/ZPPWA6EC"]}]} </w:instrText>
      </w:r>
      <w:r w:rsidR="00824851" w:rsidRPr="00824851">
        <w:rPr>
          <w:bCs/>
          <w:iCs/>
          <w:lang w:bidi="en-US"/>
        </w:rPr>
        <w:fldChar w:fldCharType="separate"/>
      </w:r>
      <w:r w:rsidR="001A13D0" w:rsidRPr="001A13D0">
        <w:rPr>
          <w:rFonts w:cs="Times"/>
        </w:rPr>
        <w:t>[80]</w:t>
      </w:r>
      <w:r w:rsidR="00824851"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824851" w:rsidRPr="00824851">
        <w:rPr>
          <w:bCs/>
          <w:iCs/>
          <w:lang w:bidi="en-US"/>
        </w:rPr>
        <w:fldChar w:fldCharType="begin"/>
      </w:r>
      <w:r>
        <w:rPr>
          <w:bCs/>
          <w:iCs/>
          <w:lang w:bidi="en-US"/>
        </w:rPr>
        <w:instrText xml:space="preserve"> ADDIN ZOTERO_ITEM {"sort":true,"citationItems":[{"uri":["http://zotero.org/users/local/cBuE6Qc1/items/W64E37TC"]}]} </w:instrText>
      </w:r>
      <w:r w:rsidR="00824851" w:rsidRPr="00824851">
        <w:rPr>
          <w:bCs/>
          <w:iCs/>
          <w:lang w:bidi="en-US"/>
        </w:rPr>
        <w:fldChar w:fldCharType="separate"/>
      </w:r>
      <w:r w:rsidR="001A13D0" w:rsidRPr="001A13D0">
        <w:rPr>
          <w:rFonts w:cs="Times"/>
        </w:rPr>
        <w:t>[81]</w:t>
      </w:r>
      <w:r w:rsidR="00824851"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824851" w:rsidRPr="00A369E7">
        <w:rPr>
          <w:bCs/>
          <w:lang w:bidi="en-US"/>
        </w:rPr>
        <w:fldChar w:fldCharType="begin"/>
      </w:r>
      <w:r>
        <w:rPr>
          <w:bCs/>
          <w:lang w:bidi="en-US"/>
        </w:rPr>
        <w:instrText xml:space="preserve"> ADDIN ZOTERO_ITEM {"sort":true,"citationItems":[{"uri":["http://zotero.org/users/local/cBuE6Qc1/items/AGHQQZM7"]}]} </w:instrText>
      </w:r>
      <w:r w:rsidR="00824851" w:rsidRPr="00A369E7">
        <w:rPr>
          <w:bCs/>
          <w:lang w:bidi="en-US"/>
        </w:rPr>
        <w:fldChar w:fldCharType="separate"/>
      </w:r>
      <w:r w:rsidR="001A13D0" w:rsidRPr="001A13D0">
        <w:rPr>
          <w:rFonts w:cs="Times"/>
        </w:rPr>
        <w:t>[82]</w:t>
      </w:r>
      <w:r w:rsidR="00824851" w:rsidRPr="00A369E7">
        <w:rPr>
          <w:bCs/>
          <w:lang w:bidi="en-US"/>
        </w:rPr>
        <w:fldChar w:fldCharType="end"/>
      </w:r>
      <w:r w:rsidRPr="00A369E7">
        <w:rPr>
          <w:bCs/>
          <w:lang w:bidi="en-US"/>
        </w:rPr>
        <w:t xml:space="preserve">. According to </w:t>
      </w:r>
      <w:r w:rsidR="00824851" w:rsidRPr="00A369E7">
        <w:rPr>
          <w:bCs/>
          <w:lang w:bidi="en-US"/>
        </w:rPr>
        <w:fldChar w:fldCharType="begin"/>
      </w:r>
      <w:r>
        <w:rPr>
          <w:bCs/>
          <w:lang w:bidi="en-US"/>
        </w:rPr>
        <w:instrText xml:space="preserve"> ADDIN ZOTERO_ITEM {"sort":true,"citationItems":[{"uri":["http://zotero.org/users/local/cBuE6Qc1/items/2JJ6S73Q"]}]} </w:instrText>
      </w:r>
      <w:r w:rsidR="00824851" w:rsidRPr="00A369E7">
        <w:rPr>
          <w:bCs/>
          <w:lang w:bidi="en-US"/>
        </w:rPr>
        <w:fldChar w:fldCharType="separate"/>
      </w:r>
      <w:r w:rsidR="001A13D0" w:rsidRPr="001A13D0">
        <w:rPr>
          <w:rFonts w:cs="Times"/>
        </w:rPr>
        <w:t>[83]</w:t>
      </w:r>
      <w:r w:rsidR="00824851"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824851" w:rsidRPr="00A369E7">
        <w:rPr>
          <w:bCs/>
          <w:lang w:bidi="en-US"/>
        </w:rPr>
        <w:fldChar w:fldCharType="begin"/>
      </w:r>
      <w:r>
        <w:rPr>
          <w:bCs/>
          <w:lang w:bidi="en-US"/>
        </w:rPr>
        <w:instrText xml:space="preserve"> ADDIN ZOTERO_ITEM {"sort":true,"citationItems":[{"position":1,"uri":["http://zotero.org/users/local/cBuE6Qc1/items/NGX2EAF2"]}]} </w:instrText>
      </w:r>
      <w:r w:rsidR="00824851" w:rsidRPr="00A369E7">
        <w:rPr>
          <w:bCs/>
          <w:lang w:bidi="en-US"/>
        </w:rPr>
        <w:fldChar w:fldCharType="separate"/>
      </w:r>
      <w:r w:rsidR="001A13D0" w:rsidRPr="001A13D0">
        <w:rPr>
          <w:rFonts w:cs="Times"/>
        </w:rPr>
        <w:t>[68]</w:t>
      </w:r>
      <w:r w:rsidR="00824851" w:rsidRPr="00A369E7">
        <w:rPr>
          <w:bCs/>
          <w:lang w:bidi="en-US"/>
        </w:rPr>
        <w:fldChar w:fldCharType="end"/>
      </w:r>
      <w:r w:rsidR="00824851" w:rsidRPr="00A369E7">
        <w:rPr>
          <w:bCs/>
          <w:lang w:bidi="en-US"/>
        </w:rPr>
        <w:fldChar w:fldCharType="begin"/>
      </w:r>
      <w:r>
        <w:rPr>
          <w:bCs/>
          <w:lang w:bidi="en-US"/>
        </w:rPr>
        <w:instrText xml:space="preserve"> ADDIN ZOTERO_ITEM {"sort":true,"citationItems":[{"position":1,"uri":["http://zotero.org/users/local/cBuE6Qc1/items/58VEVI6B"]}]} </w:instrText>
      </w:r>
      <w:r w:rsidR="00824851" w:rsidRPr="00A369E7">
        <w:rPr>
          <w:bCs/>
          <w:lang w:bidi="en-US"/>
        </w:rPr>
        <w:fldChar w:fldCharType="separate"/>
      </w:r>
      <w:r w:rsidR="001A13D0" w:rsidRPr="001A13D0">
        <w:rPr>
          <w:rFonts w:cs="Times"/>
        </w:rPr>
        <w:t>[70]</w:t>
      </w:r>
      <w:r w:rsidR="00824851"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824851" w:rsidRPr="00A369E7">
        <w:rPr>
          <w:bCs/>
          <w:lang w:bidi="en-US"/>
        </w:rPr>
        <w:fldChar w:fldCharType="begin"/>
      </w:r>
      <w:r>
        <w:rPr>
          <w:bCs/>
          <w:lang w:bidi="en-US"/>
        </w:rPr>
        <w:instrText xml:space="preserve"> ADDIN ZOTERO_ITEM {"sort":true,"citationItems":[{"position":1,"uri":["http://zotero.org/users/local/cBuE6Qc1/items/C4NPFPQE"]}]} </w:instrText>
      </w:r>
      <w:r w:rsidR="00824851" w:rsidRPr="00A369E7">
        <w:rPr>
          <w:bCs/>
          <w:lang w:bidi="en-US"/>
        </w:rPr>
        <w:fldChar w:fldCharType="separate"/>
      </w:r>
      <w:r w:rsidR="001A13D0" w:rsidRPr="001A13D0">
        <w:rPr>
          <w:rFonts w:cs="Times"/>
        </w:rPr>
        <w:t>[74]</w:t>
      </w:r>
      <w:r w:rsidR="00824851"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A369E7" w:rsidRDefault="00A369E7" w:rsidP="00AD531E">
      <w:pPr>
        <w:pStyle w:val="ListParagraph"/>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p>
    <w:p w:rsidR="00422082" w:rsidRPr="00422082" w:rsidRDefault="00422082" w:rsidP="00422082"/>
    <w:p w:rsidR="00422082" w:rsidRDefault="00422082" w:rsidP="00422082">
      <w:pPr>
        <w:pStyle w:val="Heading2"/>
      </w:pPr>
      <w:r>
        <w:t>Summary:</w:t>
      </w:r>
    </w:p>
    <w:p w:rsidR="00422082" w:rsidRPr="00422082" w:rsidRDefault="00422082" w:rsidP="00422082"/>
    <w:p w:rsidR="00E22059" w:rsidRDefault="00F43C00" w:rsidP="006F70A3">
      <w:pPr>
        <w:pStyle w:val="Heading1"/>
      </w:pPr>
      <w:r>
        <w:lastRenderedPageBreak/>
        <w:t>Sensing Non-verbal Cues:</w:t>
      </w:r>
    </w:p>
    <w:p w:rsidR="00F43C00" w:rsidRDefault="00F43C00" w:rsidP="006F70A3">
      <w:pPr>
        <w:pStyle w:val="Heading2"/>
      </w:pPr>
      <w:r>
        <w:t>Egocentric sensing</w:t>
      </w:r>
    </w:p>
    <w:p w:rsidR="00F43C00" w:rsidRDefault="00F43C00" w:rsidP="006F70A3">
      <w:pPr>
        <w:pStyle w:val="Heading2"/>
      </w:pPr>
      <w:r>
        <w:t>Exocentric sensing</w:t>
      </w:r>
    </w:p>
    <w:p w:rsidR="00F43C00" w:rsidRDefault="00F43C00" w:rsidP="006F70A3">
      <w:pPr>
        <w:pStyle w:val="Heading2"/>
      </w:pPr>
      <w:r>
        <w:t>Summary:</w:t>
      </w:r>
    </w:p>
    <w:p w:rsidR="0012513D" w:rsidRDefault="00F43C00" w:rsidP="006F70A3">
      <w:pPr>
        <w:pStyle w:val="Heading1"/>
      </w:pPr>
      <w:r>
        <w:t>Processing Non-verbal Cues:</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1A13D0" w:rsidRDefault="00824851">
      <w:pPr>
        <w:widowControl w:val="0"/>
        <w:tabs>
          <w:tab w:val="left" w:pos="504"/>
        </w:tabs>
        <w:autoSpaceDE w:val="0"/>
        <w:autoSpaceDN w:val="0"/>
        <w:adjustRightInd w:val="0"/>
        <w:ind w:left="504" w:hanging="504"/>
        <w:rPr>
          <w:rFonts w:ascii="Times New Roman" w:hAnsi="Times New Roman" w:cs="Times New Roman"/>
          <w:szCs w:val="24"/>
        </w:rPr>
      </w:pPr>
      <w:r>
        <w:fldChar w:fldCharType="begin"/>
      </w:r>
      <w:r w:rsidR="005F7439">
        <w:instrText xml:space="preserve"> ADDIN ZOTERO_BIBL  </w:instrText>
      </w:r>
      <w:r>
        <w:fldChar w:fldCharType="separate"/>
      </w:r>
      <w:r w:rsidR="001A13D0">
        <w:rPr>
          <w:rFonts w:ascii="Times New Roman" w:hAnsi="Times New Roman" w:cs="Times New Roman"/>
          <w:szCs w:val="24"/>
        </w:rPr>
        <w:t>[1]</w:t>
      </w:r>
      <w:r w:rsidR="001A13D0">
        <w:rPr>
          <w:rFonts w:ascii="Times New Roman" w:hAnsi="Times New Roman" w:cs="Times New Roman"/>
          <w:szCs w:val="24"/>
        </w:rPr>
        <w:tab/>
        <w:t xml:space="preserve">A. Perret-Clermont, C. Pontecorvo, L.B. Resnick, T. Zittoun, and B. Burge, </w:t>
      </w:r>
      <w:r w:rsidR="001A13D0">
        <w:rPr>
          <w:rFonts w:ascii="Times New Roman" w:hAnsi="Times New Roman" w:cs="Times New Roman"/>
          <w:i/>
          <w:iCs/>
          <w:szCs w:val="24"/>
        </w:rPr>
        <w:t>Joining Society: Social Interaction and Learning in Adolescence and Youth</w:t>
      </w:r>
      <w:r w:rsidR="001A13D0">
        <w:rPr>
          <w:rFonts w:ascii="Times New Roman" w:hAnsi="Times New Roman" w:cs="Times New Roman"/>
          <w:szCs w:val="24"/>
        </w:rPr>
        <w:t>, Cambridge University Press, 2003.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Routledge, 2000.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xml:space="preserve">,  vol. 18, Mar. </w:t>
      </w:r>
      <w:r>
        <w:rPr>
          <w:rFonts w:ascii="Times New Roman" w:hAnsi="Times New Roman" w:cs="Times New Roman"/>
          <w:szCs w:val="24"/>
        </w:rPr>
        <w:lastRenderedPageBreak/>
        <w:t>1986, pp. 179-191.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[46]</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w:t>
      </w:r>
      <w:r>
        <w:rPr>
          <w:rFonts w:ascii="Times New Roman" w:hAnsi="Times New Roman" w:cs="Times New Roman"/>
          <w:szCs w:val="24"/>
        </w:rPr>
        <w:lastRenderedPageBreak/>
        <w:t>522.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P. Ekman, “Nonverbal Communication: Movements with Precise Meanings,” 1976.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“The communicative functions of touch in humans, nonhuman primates, and rats: a review and synthesis of the empirical research.(infants),” 2006.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C.E. Izard, “maximally discriminative facial movement coding system,” 1979.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[69]</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D. Jindal-Snape, “Using self-evaluation procedures to maintain social skills in a child who </w:t>
      </w:r>
      <w:r>
        <w:rPr>
          <w:rFonts w:ascii="Times New Roman" w:hAnsi="Times New Roman" w:cs="Times New Roman"/>
          <w:szCs w:val="24"/>
        </w:rPr>
        <w:lastRenderedPageBreak/>
        <w:t xml:space="preserve">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1A13D0" w:rsidRDefault="001A13D0">
      <w:pPr>
        <w:widowControl w:val="0"/>
        <w:tabs>
          <w:tab w:val="left" w:pos="504"/>
        </w:tabs>
        <w:autoSpaceDE w:val="0"/>
        <w:autoSpaceDN w:val="0"/>
        <w:adjustRightInd w:val="0"/>
        <w:ind w:left="504" w:hanging="50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5F7439" w:rsidRDefault="00824851" w:rsidP="005F7439">
      <w:pPr>
        <w:outlineLvl w:val="1"/>
      </w:pPr>
      <w:r>
        <w:fldChar w:fldCharType="end"/>
      </w:r>
    </w:p>
    <w:sectPr w:rsidR="005F7439" w:rsidSect="004458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A23" w:rsidRDefault="009A6A23" w:rsidP="00125433">
      <w:r>
        <w:separator/>
      </w:r>
    </w:p>
  </w:endnote>
  <w:endnote w:type="continuationSeparator" w:id="0">
    <w:p w:rsidR="009A6A23" w:rsidRDefault="009A6A23" w:rsidP="00125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A23" w:rsidRDefault="009A6A23" w:rsidP="00125433">
      <w:r>
        <w:separator/>
      </w:r>
    </w:p>
  </w:footnote>
  <w:footnote w:type="continuationSeparator" w:id="0">
    <w:p w:rsidR="009A6A23" w:rsidRDefault="009A6A23" w:rsidP="00125433">
      <w:r>
        <w:continuationSeparator/>
      </w:r>
    </w:p>
  </w:footnote>
  <w:footnote w:id="1">
    <w:p w:rsidR="003D2255" w:rsidRDefault="003D2255">
      <w:pPr>
        <w:pStyle w:val="FootnoteText"/>
      </w:pPr>
      <w:r w:rsidRPr="009544F9">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3D2255" w:rsidRDefault="003D2255">
      <w:pPr>
        <w:pStyle w:val="FootnoteText"/>
      </w:pPr>
      <w:r w:rsidRPr="009544F9">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F43C00"/>
    <w:rsid w:val="00004925"/>
    <w:rsid w:val="000202EC"/>
    <w:rsid w:val="00021915"/>
    <w:rsid w:val="000553D0"/>
    <w:rsid w:val="00094151"/>
    <w:rsid w:val="000A7BD4"/>
    <w:rsid w:val="000E2406"/>
    <w:rsid w:val="000F41A2"/>
    <w:rsid w:val="000F5F6F"/>
    <w:rsid w:val="00101FBF"/>
    <w:rsid w:val="0010412F"/>
    <w:rsid w:val="0012513D"/>
    <w:rsid w:val="00125433"/>
    <w:rsid w:val="00185CBB"/>
    <w:rsid w:val="001A13D0"/>
    <w:rsid w:val="00215F80"/>
    <w:rsid w:val="00254B97"/>
    <w:rsid w:val="002853C2"/>
    <w:rsid w:val="002A5FD8"/>
    <w:rsid w:val="002C148C"/>
    <w:rsid w:val="00305326"/>
    <w:rsid w:val="00320445"/>
    <w:rsid w:val="00352DE8"/>
    <w:rsid w:val="003B19D8"/>
    <w:rsid w:val="003D2255"/>
    <w:rsid w:val="003F0B28"/>
    <w:rsid w:val="003F44A4"/>
    <w:rsid w:val="004052A7"/>
    <w:rsid w:val="004121C3"/>
    <w:rsid w:val="00422082"/>
    <w:rsid w:val="004425E7"/>
    <w:rsid w:val="0044583A"/>
    <w:rsid w:val="00454340"/>
    <w:rsid w:val="0045660C"/>
    <w:rsid w:val="004628EA"/>
    <w:rsid w:val="00495064"/>
    <w:rsid w:val="00501188"/>
    <w:rsid w:val="005132FE"/>
    <w:rsid w:val="005143CE"/>
    <w:rsid w:val="005264B1"/>
    <w:rsid w:val="00533FE3"/>
    <w:rsid w:val="00553489"/>
    <w:rsid w:val="00553996"/>
    <w:rsid w:val="00596EE1"/>
    <w:rsid w:val="005E6130"/>
    <w:rsid w:val="005F7439"/>
    <w:rsid w:val="00635132"/>
    <w:rsid w:val="00637863"/>
    <w:rsid w:val="006A19E0"/>
    <w:rsid w:val="006C21E5"/>
    <w:rsid w:val="006D07BC"/>
    <w:rsid w:val="006F70A3"/>
    <w:rsid w:val="007029BD"/>
    <w:rsid w:val="00712BBA"/>
    <w:rsid w:val="0072753A"/>
    <w:rsid w:val="007277C5"/>
    <w:rsid w:val="00783AE6"/>
    <w:rsid w:val="007A7E60"/>
    <w:rsid w:val="007F29D5"/>
    <w:rsid w:val="007F340B"/>
    <w:rsid w:val="00824851"/>
    <w:rsid w:val="008C480B"/>
    <w:rsid w:val="008E7BFF"/>
    <w:rsid w:val="00933784"/>
    <w:rsid w:val="009544F9"/>
    <w:rsid w:val="009A6A23"/>
    <w:rsid w:val="009B78E0"/>
    <w:rsid w:val="00A15F50"/>
    <w:rsid w:val="00A369E7"/>
    <w:rsid w:val="00A54363"/>
    <w:rsid w:val="00A86569"/>
    <w:rsid w:val="00AC4AB6"/>
    <w:rsid w:val="00AD3428"/>
    <w:rsid w:val="00AD531E"/>
    <w:rsid w:val="00AF3BE4"/>
    <w:rsid w:val="00B40871"/>
    <w:rsid w:val="00B503BB"/>
    <w:rsid w:val="00B85972"/>
    <w:rsid w:val="00B90341"/>
    <w:rsid w:val="00BB2AE9"/>
    <w:rsid w:val="00BC6AB0"/>
    <w:rsid w:val="00BD4AB3"/>
    <w:rsid w:val="00BE6FEB"/>
    <w:rsid w:val="00C36B8E"/>
    <w:rsid w:val="00C45801"/>
    <w:rsid w:val="00CB3487"/>
    <w:rsid w:val="00CB7D5A"/>
    <w:rsid w:val="00CD2869"/>
    <w:rsid w:val="00D141E3"/>
    <w:rsid w:val="00D53F09"/>
    <w:rsid w:val="00D65AFD"/>
    <w:rsid w:val="00D76381"/>
    <w:rsid w:val="00E22059"/>
    <w:rsid w:val="00E3306A"/>
    <w:rsid w:val="00E558FD"/>
    <w:rsid w:val="00E639AF"/>
    <w:rsid w:val="00E81068"/>
    <w:rsid w:val="00EA6121"/>
    <w:rsid w:val="00F30F91"/>
    <w:rsid w:val="00F3234D"/>
    <w:rsid w:val="00F43C00"/>
    <w:rsid w:val="00F917D1"/>
    <w:rsid w:val="00FF0600"/>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s>
</file>

<file path=word/webSettings.xml><?xml version="1.0" encoding="utf-8"?>
<w:webSettings xmlns:r="http://schemas.openxmlformats.org/officeDocument/2006/relationships" xmlns:w="http://schemas.openxmlformats.org/wordprocessingml/2006/main">
  <w:divs>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18ED-BA93-4601-B305-616DE2EF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16</Pages>
  <Words>8213</Words>
  <Characters>46819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30</cp:revision>
  <dcterms:created xsi:type="dcterms:W3CDTF">2009-11-14T01:18:00Z</dcterms:created>
  <dcterms:modified xsi:type="dcterms:W3CDTF">2009-11-15T01:32:00Z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id="CgLSgfp6"/&gt;&lt;style id="http://www.zotero.org/styles/ieee" hasBibliography="0"/&gt;&lt;prefs&gt;&lt;pref name="fieldType" value="Field"/&gt;&lt;pref name="noteType" value="0"/&gt;&lt;/prefs&gt;&lt;/data&gt;</vt:lpwstr>
  </property>
</Properties>
</file>