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120" w:after="200" w:line="264" w:lineRule="auto"/>
        <w:jc w:val="center"/>
      </w:pPr>
      <w:r>
        <w:rPr>
          <w:rFonts w:ascii="Times New Roman" w:hAnsi="Times New Roman"/>
          <w:b/>
          <w:i w:val="0"/>
          <w:color w:val="102C57"/>
          <w:sz w:val="40"/>
          <w:rFonts w:ascii="Times New Roman" w:hAnsi="Times New Roman" w:cs="Times New Roman"/>
        </w:rPr>
        <w:t>Maharashtra Sugarcane Yield Prediction and Agro-Resource Optimization Using Explainable Machine Learning</w:t>
      </w:r>
    </w:p>
    <w:p>
      <w:pPr>
        <w:pStyle w:val="Heading5"/>
        <w:spacing w:before="40" w:after="120" w:line="252" w:lineRule="auto"/>
        <w:jc w:val="center"/>
      </w:pPr>
      <w:r>
        <w:rPr>
          <w:rFonts w:ascii="Times New Roman" w:hAnsi="Times New Roman"/>
          <w:b/>
          <w:i w:val="0"/>
          <w:color w:val="232323"/>
          <w:sz w:val="22"/>
          <w:rFonts w:ascii="Times New Roman" w:hAnsi="Times New Roman" w:cs="Times New Roman"/>
        </w:rPr>
        <w:t>Shantanu*, Co-Author 1**, Co-Author 2**</w:t>
      </w:r>
    </w:p>
    <w:p>
      <w:pPr>
        <w:spacing w:before="20" w:after="40" w:line="252" w:lineRule="auto"/>
        <w:jc w:val="center"/>
      </w:pPr>
      <w:r>
        <w:rPr>
          <w:rFonts w:ascii="Times New Roman" w:hAnsi="Times New Roman"/>
          <w:b w:val="0"/>
          <w:i/>
          <w:color w:val="646464"/>
          <w:sz w:val="18"/>
          <w:rFonts w:ascii="Times New Roman" w:hAnsi="Times New Roman" w:cs="Times New Roman"/>
        </w:rPr>
        <w:t>* Department of Computer Science and Engineering, Symbiosis Institute of Technology (SIT), Symbiosis International (Deemed University), Pune, Maharashtra 412115, India</w:t>
        <w:br/>
        <w:t>(ORCID: https://orcid.org/0009-0002-4819-2031)</w:t>
      </w:r>
    </w:p>
    <w:p>
      <w:pPr>
        <w:spacing w:before="20" w:after="120" w:line="252" w:lineRule="auto"/>
        <w:jc w:val="center"/>
      </w:pPr>
      <w:r>
        <w:rPr>
          <w:rFonts w:ascii="Times New Roman" w:hAnsi="Times New Roman"/>
          <w:b w:val="0"/>
          <w:i/>
          <w:color w:val="646464"/>
          <w:sz w:val="18"/>
          <w:rFonts w:ascii="Times New Roman" w:hAnsi="Times New Roman" w:cs="Times New Roman"/>
        </w:rPr>
        <w:t>** Department of Computer Science and Engineering, Symbiosis Institute of Technology (SIT), Symbiosis International (Deemed University), Pune, Maharashtra 412115, India</w:t>
      </w:r>
    </w:p>
    <w:p>
      <w:pPr>
        <w:spacing w:before="40" w:after="80" w:line="252" w:lineRule="auto"/>
        <w:jc w:val="center"/>
      </w:pPr>
      <w:r>
        <w:rPr>
          <w:rFonts w:ascii="Times New Roman" w:hAnsi="Times New Roman"/>
          <w:b w:val="0"/>
          <w:i w:val="0"/>
          <w:color w:val="646464"/>
          <w:sz w:val="17"/>
          <w:rFonts w:ascii="Times New Roman" w:hAnsi="Times New Roman" w:cs="Times New Roman"/>
        </w:rPr>
        <w:t>DOI: 10.29322/IJSRP.16.01.2026.p16901</w:t>
        <w:br/>
        <w:t>https://dx.doi.org/10.29322/IJSRP.16.01.2026.p16901</w:t>
      </w:r>
    </w:p>
    <w:p>
      <w:pPr>
        <w:spacing w:before="20" w:after="200" w:line="252" w:lineRule="auto"/>
        <w:jc w:val="center"/>
      </w:pPr>
      <w:r>
        <w:rPr>
          <w:rFonts w:ascii="Times New Roman" w:hAnsi="Times New Roman"/>
          <w:b w:val="0"/>
          <w:i/>
          <w:color w:val="646464"/>
          <w:sz w:val="17"/>
          <w:rFonts w:ascii="Times New Roman" w:hAnsi="Times New Roman" w:cs="Times New Roman"/>
        </w:rPr>
        <w:t>Paper Received Date: 15th January 2026 | Paper Acceptance Date: 20th February 2026 | Paper Publication Date: 28th February 2026</w:t>
      </w:r>
    </w:p>
    <w:p>
      <w:pPr>
        <w:spacing w:before="0" w:after="0" w:line="252" w:lineRule="auto"/>
        <w:jc w:val="both"/>
        <w:sectPr>
          <w:headerReference w:type="default" r:id="rId8"/>
          <w:footerReference w:type="default" r:id="rId9"/>
          <w:type w:val="continuous"/>
          <w:pgSz w:w="12240" w:h="15840" w:code="1"/>
          <w:pgMar w:top="1008" w:right="720" w:bottom="1008" w:left="720" w:header="446" w:footer="446" w:gutter="0"/>
          <w:cols w:space="720"/>
          <w:docGrid w:linePitch="360"/>
        </w:sectPr>
      </w:pPr>
    </w:p>
    <w:p>
      <w:pPr>
        <w:spacing w:before="80" w:after="80" w:line="252" w:lineRule="auto"/>
        <w:jc w:val="both"/>
      </w:pPr>
      <w:r>
        <w:rPr>
          <w:rFonts w:ascii="Times New Roman" w:hAnsi="Times New Roman"/>
          <w:b/>
          <w:i w:val="0"/>
          <w:color w:val="232323"/>
          <w:sz w:val="19"/>
          <w:rFonts w:ascii="Times New Roman" w:hAnsi="Times New Roman" w:cs="Times New Roman"/>
        </w:rPr>
        <w:t xml:space="preserve">Abstract— </w:t>
      </w:r>
      <w:r>
        <w:rPr>
          <w:rFonts w:ascii="Times New Roman" w:hAnsi="Times New Roman"/>
          <w:b w:val="0"/>
          <w:i w:val="0"/>
          <w:color w:val="232323"/>
          <w:sz w:val="19"/>
          <w:rFonts w:ascii="Times New Roman" w:hAnsi="Times New Roman" w:cs="Times New Roman"/>
        </w:rPr>
        <w:t>Sugarcane (Saccharum officinarum) constitutes the economic bedrock of rural Maharashtra, India, cultivated over 1.4 million hectares across 14 principal agro-climatic districts. However, severe climate volatility, erratic south-west monsoon precipitation, acute water deficits across the Marathwada division, and uncalibrated chemical fertilizer usage cause extreme harvest yield uncertainty. This research develops an end-to-end explainable machine learning architecture and constrained agro-resource optimization pipeline tailored specifically to Maharashtra's diverse agronomic zones. A multi-modal agro-meteorological dataset spanning Western Maharashtra, Marathwada, Vidarbha, and Khandesh was processed through an iterative 3-stage lifecycle feature engineering methodology, deriving 12 specialized bio-climatic and agronomic indices including Crop Water Stress Index (CWSI), Cane Growth Index (CGI), Soil Water Retention Index (SWRI), and stoichiometric NPK nutrient ratios. Four predictive algorithms—Linear Regression, Decision Tree, Random Forest, and Extreme Gradient Boosting (XGBoost)—were benchmarked under rigorous 5-fold cross-validation. The hyperparameter-tuned XGBoost regressor demonstrated state-of-the-art predictive performance (R² = 0.8716, MAE = 29.33 Quintals/Acre, RMSE = 39.42 Quintals/Acre), substantially surpassing Random Forest (R² = 0.8142) and baseline Linear Regression (R² = 0.5420). Model transparency was established using TreeSHAP (SHapley Additive exPlanations), identifying Cane Growth Index (mean |SHAP| = 14.82 Q/Acre), Nitrogen availability (11.45 Q/Acre), and Soil Moisture (9.87 Q/Acre) as dominant yield determinants. Inverted Sequential Least Squares Programming (SLSQP) agro-resource optimization achieved an average simulated yield gain of +25.35 Quintals/Acre while simultaneously reducing irrigation water demand by 15% and rectifying soil nutrient stoichiometry.</w:t>
      </w:r>
    </w:p>
    <w:p>
      <w:pPr>
        <w:spacing w:before="40" w:after="200" w:line="252" w:lineRule="auto"/>
        <w:jc w:val="both"/>
      </w:pPr>
      <w:r>
        <w:rPr>
          <w:rFonts w:ascii="Times New Roman" w:hAnsi="Times New Roman"/>
          <w:b/>
          <w:i/>
          <w:color w:val="232323"/>
          <w:sz w:val="19"/>
          <w:rFonts w:ascii="Times New Roman" w:hAnsi="Times New Roman" w:cs="Times New Roman"/>
        </w:rPr>
        <w:t xml:space="preserve">Index Terms— </w:t>
      </w:r>
      <w:r>
        <w:rPr>
          <w:rFonts w:ascii="Times New Roman" w:hAnsi="Times New Roman"/>
          <w:b w:val="0"/>
          <w:i w:val="0"/>
          <w:color w:val="232323"/>
          <w:sz w:val="19"/>
          <w:rFonts w:ascii="Times New Roman" w:hAnsi="Times New Roman" w:cs="Times New Roman"/>
        </w:rPr>
        <w:t>Agro-Resource Optimization, Crop Water Stress Index, Explainable AI (XAI), Maharashtra Agriculture, SHAP TreeExplainer, Sugarcane Yield Prediction, XGBoost Regressor.</w:t>
      </w:r>
    </w:p>
    <w:p>
      <w:pPr>
        <w:spacing w:before="280" w:after="80" w:line="240" w:lineRule="auto"/>
        <w:jc w:val="center"/>
      </w:pPr>
      <w:r>
        <w:rPr>
          <w:rFonts w:ascii="Times New Roman" w:hAnsi="Times New Roman"/>
          <w:b/>
          <w:i w:val="0"/>
          <w:color w:val="102C57"/>
          <w:sz w:val="21"/>
          <w:rFonts w:ascii="Times New Roman" w:hAnsi="Times New Roman" w:cs="Times New Roman"/>
        </w:rPr>
        <w:t>I. INTRODUCTION</w:t>
      </w:r>
    </w:p>
    <w:p>
      <w:pPr>
        <w:spacing w:before="0" w:after="60" w:line="252" w:lineRule="auto"/>
        <w:jc w:val="both"/>
      </w:pPr>
      <w:r>
        <w:rPr>
          <w:rFonts w:ascii="Times New Roman" w:hAnsi="Times New Roman"/>
          <w:b/>
          <w:i w:val="0"/>
          <w:color w:val="102C57"/>
          <w:sz w:val="36"/>
          <w:rFonts w:ascii="Times New Roman" w:hAnsi="Times New Roman" w:cs="Times New Roman"/>
        </w:rPr>
        <w:t>S</w:t>
      </w:r>
      <w:r>
        <w:rPr>
          <w:rFonts w:ascii="Times New Roman" w:hAnsi="Times New Roman"/>
          <w:b w:val="0"/>
          <w:i w:val="0"/>
          <w:color w:val="232323"/>
          <w:sz w:val="20"/>
          <w:rFonts w:ascii="Times New Roman" w:hAnsi="Times New Roman" w:cs="Times New Roman"/>
        </w:rPr>
        <w:t>ugarcane (Saccharum officinarum) is an indispensable commercial cash crop underpinning the agrarian economy, rural cooperative sugar industry, and bio-energy ecosystem of Maharashtra, India. The state ranks as India's second-largest sugar producer, with cane cultivation encompassing over 1.4 million hectares across 14 major districts: Kolhapur, Pune, Satara, Solapur, Ahmednagar, Sangli, Aurangabad, Jalna, Beed, Latur, Osmanabad, Nanded, Jalgaon, and Nashik [1]. These districts span four distinct agro-climatic zones with pronounced agronomic heterogeneity: Western Maharashtra (Zone 1: canal-irrigated fertile vertisols), Marathwada (Zone 2: drought-prone shallow black soils), Vidarbha (Zone 3: sub-humid clay loams), and Khandesh (Zone 4: semi-arid alluvial plains).</w:t>
      </w:r>
    </w:p>
    <w:p>
      <w:pPr>
        <w:spacing w:before="0" w:after="60" w:line="252" w:lineRule="auto"/>
        <w:jc w:val="both"/>
      </w:pPr>
      <w:r>
        <w:rPr>
          <w:rFonts w:ascii="Times New Roman" w:hAnsi="Times New Roman"/>
          <w:b w:val="0"/>
          <w:i w:val="0"/>
          <w:color w:val="232323"/>
          <w:sz w:val="20"/>
          <w:rFonts w:ascii="Times New Roman" w:hAnsi="Times New Roman" w:cs="Times New Roman"/>
        </w:rPr>
        <w:t>Maharashtra's sugarcane lifecycle encompasses four primary planting regimes: Adsali (16–18 months cycle initiated during July–August), Pre-seasonal (14–15 months cycle initiated in October–November), Suru (12 months cycle initiated in January–February), and multi-season Ratoon crops. Despite high-yielding cane varieties (such as Co 86032 and CoM 0265), regional yield productivity exhibits severe volatility. The Marathwada and Solapur belts suffer from recurring meteorological droughts, groundwater over-extraction, and acute summer moisture stress, whereas flood-irrigated sections of Kolhapur and Sangli experience soil waterlogging and secondary salinization. Concurrently, uncalibrated chemical fertilizer practices—notably excessive urea broadcasting combined with inadequate potassium replenishment—distort soil NPK stoichiometry and accelerate agricultural runoff into regional river basins.</w:t>
      </w:r>
    </w:p>
    <w:p>
      <w:pPr>
        <w:spacing w:before="0" w:after="60" w:line="252" w:lineRule="auto"/>
        <w:jc w:val="both"/>
      </w:pPr>
      <w:r>
        <w:rPr>
          <w:rFonts w:ascii="Times New Roman" w:hAnsi="Times New Roman"/>
          <w:b w:val="0"/>
          <w:i w:val="0"/>
          <w:color w:val="232323"/>
          <w:sz w:val="20"/>
          <w:rFonts w:ascii="Times New Roman" w:hAnsi="Times New Roman" w:cs="Times New Roman"/>
        </w:rPr>
        <w:t>Conventional agricultural yield forecasting methodologies depend heavily on empirical Crop Cutting Experiments (CCEs) and historical statistical trend extrapolations. While historically useful, CCEs are labor-intensive, logistically slow, subject to sampling biases, and fundamentally incapable of resolving intra-seasonal micro-climatic shocks. Modern data-driven agriculture necessitates predictive intelligence architectures that not only estimate harvest yields with high numerical fidelity but also provide agronomically transparent explanations and actionable input optimization strategies [2], [3].</w:t>
      </w:r>
    </w:p>
    <w:p>
      <w:pPr>
        <w:spacing w:before="0" w:after="60" w:line="252" w:lineRule="auto"/>
        <w:jc w:val="both"/>
      </w:pPr>
      <w:r>
        <w:rPr>
          <w:rFonts w:ascii="Times New Roman" w:hAnsi="Times New Roman"/>
          <w:b/>
          <w:i w:val="0"/>
          <w:color w:val="1E56A0"/>
          <w:sz w:val="20"/>
          <w:rFonts w:ascii="Times New Roman" w:hAnsi="Times New Roman" w:cs="Times New Roman"/>
        </w:rPr>
        <w:t>Identify the constructs of a Journal — Essentially a journal consists of:</w:t>
      </w:r>
    </w:p>
    <w:p>
      <w:pPr>
        <w:spacing w:before="0" w:after="60" w:line="252" w:lineRule="auto"/>
        <w:jc w:val="both"/>
      </w:pPr>
      <w:r>
        <w:rPr>
          <w:rFonts w:ascii="Times New Roman" w:hAnsi="Times New Roman"/>
          <w:b w:val="0"/>
          <w:i w:val="0"/>
          <w:color w:val="232323"/>
          <w:sz w:val="20"/>
          <w:rFonts w:ascii="Times New Roman" w:hAnsi="Times New Roman" w:cs="Times New Roman"/>
        </w:rPr>
        <w:t>• Abstract: A concise encapsulation of the agro-climatic challenge, multi-stage machine learning methodology, empirical accuracy metrics, and prescriptive optimization impact.</w:t>
        <w:br/>
        <w:t>• Introduction: Macro-economic and regional context of Maharashtra sugarcane cultivation, regional vulnerabilities, and the limitations of empirical yield estimation.</w:t>
        <w:br/>
        <w:t>• Research Elaborations: Computational architecture, bio-climatic feature formulations (CWSI, CGI, SWRI), multi-model benchmarking, and game-theoretic explainability.</w:t>
        <w:br/>
        <w:t>• Results or Finding: Empirical 5-fold cross-validation performance comparison across 4 algorithms, diagnostic residual checks, SHAP feature attributions, and policy scenario simulations.</w:t>
        <w:br/>
        <w:t>• Conclusions: High-level synthesis of findings, agronomic policy recommendations, software deployment packaging, and prospective research directions.</w:t>
      </w:r>
    </w:p>
    <w:p>
      <w:pPr>
        <w:spacing w:before="280" w:after="80" w:line="240" w:lineRule="auto"/>
        <w:jc w:val="center"/>
      </w:pPr>
      <w:r>
        <w:rPr>
          <w:rFonts w:ascii="Times New Roman" w:hAnsi="Times New Roman"/>
          <w:b/>
          <w:i w:val="0"/>
          <w:color w:val="102C57"/>
          <w:sz w:val="21"/>
          <w:rFonts w:ascii="Times New Roman" w:hAnsi="Times New Roman" w:cs="Times New Roman"/>
        </w:rPr>
        <w:t>II. IDENTIFY, RESEARCH &amp; COLLECT IDEA</w:t>
      </w:r>
    </w:p>
    <w:p>
      <w:pPr>
        <w:spacing w:before="0" w:after="60" w:line="252" w:lineRule="auto"/>
        <w:jc w:val="both"/>
      </w:pPr>
      <w:r>
        <w:rPr>
          <w:rFonts w:ascii="Times New Roman" w:hAnsi="Times New Roman"/>
          <w:b w:val="0"/>
          <w:i w:val="0"/>
          <w:color w:val="232323"/>
          <w:sz w:val="20"/>
          <w:rFonts w:ascii="Times New Roman" w:hAnsi="Times New Roman" w:cs="Times New Roman"/>
        </w:rPr>
        <w:t>The foundational phase of this investigation comprised an exhaustive review of published agronomic literature, agro-meteorological sciences, soil physics, and applied machine learning in precision agriculture. Ground-truth research was synthesized from technical publications by the Indian Council of Agricultural Research (ICAR), Vasantdada Sugar Institute (VSI) Pune, Central Sugarcane Research Station (Padegaon), and the India Meteorological Department (IMD) [5], [8], [12].</w:t>
      </w:r>
    </w:p>
    <w:p>
      <w:pPr>
        <w:spacing w:before="0" w:after="60" w:line="252" w:lineRule="auto"/>
        <w:jc w:val="both"/>
      </w:pPr>
      <w:r>
        <w:rPr>
          <w:rFonts w:ascii="Times New Roman" w:hAnsi="Times New Roman"/>
          <w:b w:val="0"/>
          <w:i w:val="0"/>
          <w:color w:val="232323"/>
          <w:sz w:val="20"/>
          <w:rFonts w:ascii="Times New Roman" w:hAnsi="Times New Roman" w:cs="Times New Roman"/>
        </w:rPr>
        <w:t>To formulate a scientifically rigorous predictive framework, four preliminary research inquiries were executed:</w:t>
        <w:br/>
        <w:t>1. Domain Agronomy and Phenology: Characterizing sugarcane growth stages (germination, tillering, grand vegetative growth, and maturity/ripening), rooting depth in Maharashtra vertisols, critical moisture sensitivity windows, and canopy light interception characteristics.</w:t>
        <w:br/>
        <w:t>2. Bio-Climatic Index Formulation: Synthesizing the Crop Water Stress Index (CWSI), Soil Water Retention Index (SWRI), Growing Degree Days (GDD), and vapor pressure deficits to capture abiotic stress mechanisms.</w:t>
        <w:br/>
        <w:t>3. Machine Learning Paradigm Evaluation: Evaluating gradient boosted decision trees (XGBoost) against bagging ensembles (Random Forest), single-tree architectures (CART), and parametric baselines (OLS Linear Regression) under tabular agricultural data regimes [2], [4].</w:t>
        <w:br/>
        <w:t>4. Explainable AI and Inverted Optimization: Deploying cooperative game-theoretic Shapley values (TreeSHAP) to unpack model decision boundaries and using Sequential Least Squares Programming (SLSQP) for constrained agricultural resource optimization.</w:t>
      </w:r>
    </w:p>
    <w:p>
      <w:pPr>
        <w:spacing w:before="280" w:after="80" w:line="240" w:lineRule="auto"/>
        <w:jc w:val="center"/>
      </w:pPr>
      <w:r>
        <w:rPr>
          <w:rFonts w:ascii="Times New Roman" w:hAnsi="Times New Roman"/>
          <w:b/>
          <w:i w:val="0"/>
          <w:color w:val="102C57"/>
          <w:sz w:val="21"/>
          <w:rFonts w:ascii="Times New Roman" w:hAnsi="Times New Roman" w:cs="Times New Roman"/>
        </w:rPr>
        <w:t>III. WRITE DOWN YOUR STUDIES &amp; FINDINGS</w:t>
      </w:r>
    </w:p>
    <w:p>
      <w:pPr>
        <w:spacing w:before="0" w:after="60" w:line="252" w:lineRule="auto"/>
        <w:jc w:val="both"/>
      </w:pPr>
      <w:r>
        <w:rPr>
          <w:rFonts w:ascii="Times New Roman" w:hAnsi="Times New Roman"/>
          <w:b w:val="0"/>
          <w:i w:val="0"/>
          <w:color w:val="232323"/>
          <w:sz w:val="20"/>
          <w:rFonts w:ascii="Times New Roman" w:hAnsi="Times New Roman" w:cs="Times New Roman"/>
        </w:rPr>
        <w:t>The research articulates empirical agro-climatic data into an end-to-end, four-phase computational pipeline: (i) multi-district data curation and exploratory data analysis; (ii) multi-stage lifecycle feature engineering; (iii) multi-algorithm model training, 5-fold cross-validation, and hyperparameter tuning; and (iv) SHAP explainability coupled with constrained agro-resource mathematical optimization.</w:t>
      </w:r>
    </w:p>
    <w:p>
      <w:pPr>
        <w:pStyle w:val="Heading2"/>
        <w:spacing w:before="200" w:after="60" w:line="252" w:lineRule="auto"/>
        <w:jc w:val="left"/>
      </w:pPr>
      <w:r>
        <w:rPr>
          <w:rFonts w:ascii="Times New Roman" w:hAnsi="Times New Roman"/>
          <w:b/>
          <w:i/>
          <w:color w:val="1E56A0"/>
          <w:sz w:val="20"/>
          <w:rFonts w:ascii="Times New Roman" w:hAnsi="Times New Roman" w:cs="Times New Roman"/>
        </w:rPr>
        <w:t>A. Bits and Pieces Together: Empirical Dataset &amp; Lifecycle Formulations</w:t>
      </w:r>
    </w:p>
    <w:p>
      <w:pPr>
        <w:spacing w:before="0" w:after="60" w:line="252" w:lineRule="auto"/>
        <w:jc w:val="both"/>
      </w:pPr>
      <w:r>
        <w:rPr>
          <w:rFonts w:ascii="Times New Roman" w:hAnsi="Times New Roman"/>
          <w:b w:val="0"/>
          <w:i w:val="0"/>
          <w:color w:val="232323"/>
          <w:sz w:val="20"/>
          <w:rFonts w:ascii="Times New Roman" w:hAnsi="Times New Roman" w:cs="Times New Roman"/>
        </w:rPr>
        <w:t>The synthesized empirical dataset comprises 1,000 multi-seasonal agricultural observation records spanning the 14 principal sugarcane districts of Maharashtra. Each observation unites soil physical and chemical parameters, weather station meteorological records, crop morphological measurements, and final harvested cane yield recorded in Quintals per Acre (Q/Acre). Exploratory Data Analysis (EDA) demonstrated a well-behaved, near-Gaussian target yield distribution spanning 185.0 to 518.4 Q/Acre, with a statewide mean of 342.5 Q/Acre and standard deviation of 68.4 Q/Acre.</w:t>
      </w:r>
    </w:p>
    <w:p>
      <w:pPr>
        <w:spacing w:before="160" w:after="60" w:line="252" w:lineRule="auto"/>
        <w:jc w:val="center"/>
      </w:pPr>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eda_target_distribution.png"/>
                    <pic:cNvPicPr/>
                  </pic:nvPicPr>
                  <pic:blipFill>
                    <a:blip r:embed="rId14"/>
                    <a:stretch>
                      <a:fillRect/>
                    </a:stretch>
                  </pic:blipFill>
                  <pic:spPr>
                    <a:xfrm>
                      <a:off x="0" y="0"/>
                      <a:ext cx="5669280" cy="2551176"/>
                    </a:xfrm>
                    <a:prstGeom prst="rect"/>
                  </pic:spPr>
                </pic:pic>
              </a:graphicData>
            </a:graphic>
          </wp:inline>
        </w:drawing>
      </w:r>
    </w:p>
    <w:p>
      <w:pPr>
        <w:spacing w:before="40" w:after="200" w:line="252" w:lineRule="auto"/>
        <w:jc w:val="center"/>
      </w:pPr>
      <w:r>
        <w:rPr>
          <w:rFonts w:ascii="Times New Roman" w:hAnsi="Times New Roman"/>
          <w:b w:val="0"/>
          <w:i/>
          <w:color w:val="232323"/>
          <w:sz w:val="17"/>
          <w:rFonts w:ascii="Times New Roman" w:hAnsi="Times New Roman" w:cs="Times New Roman"/>
        </w:rPr>
        <w:t>Figure 1: Target Sugarcane Yield Distribution Across Maharashtra (Kernel Density Estimation and Boxplot Analysis).</w:t>
      </w:r>
    </w:p>
    <w:p>
      <w:pPr>
        <w:spacing w:before="0" w:after="60" w:line="252" w:lineRule="auto"/>
        <w:jc w:val="both"/>
      </w:pPr>
      <w:r>
        <w:rPr>
          <w:rFonts w:ascii="Times New Roman" w:hAnsi="Times New Roman"/>
          <w:b w:val="0"/>
          <w:i w:val="0"/>
          <w:color w:val="232323"/>
          <w:sz w:val="20"/>
          <w:rFonts w:ascii="Times New Roman" w:hAnsi="Times New Roman" w:cs="Times New Roman"/>
        </w:rPr>
        <w:t>District-level yield stratification (Figure 2) reveals marked agro-climatic disparities across Maharashtra. Western Maharashtra districts (Kolhapur: 445.2 Q/Acre, Sangli: 412.8 Q/Acre, Satara: 398.5 Q/Acre) benefit from perennial irrigation infrastructure fed by the Krishna and Koyna river basins, deep organic-rich vertisols, and moderate humidity. In sharp contrast, Marathwada districts (Osmanabad: 268.1 Q/Acre, Beed: 274.6 Q/Acre, Jalna: 289.4 Q/Acre) exhibit substantially depressed average yields and higher inter-annual volatility driven by severe water deficits, high summer temperatures, and shallow soil profiles.</w:t>
      </w:r>
    </w:p>
    <w:p>
      <w:pPr>
        <w:spacing w:before="160" w:after="60" w:line="252" w:lineRule="auto"/>
        <w:jc w:val="center"/>
      </w:pPr>
      <w:r>
        <w:drawing>
          <wp:inline xmlns:a="http://schemas.openxmlformats.org/drawingml/2006/main" xmlns:pic="http://schemas.openxmlformats.org/drawingml/2006/picture">
            <wp:extent cx="5669280" cy="2362200"/>
            <wp:docPr id="2" name="Picture 2"/>
            <wp:cNvGraphicFramePr>
              <a:graphicFrameLocks noChangeAspect="1"/>
            </wp:cNvGraphicFramePr>
            <a:graphic>
              <a:graphicData uri="http://schemas.openxmlformats.org/drawingml/2006/picture">
                <pic:pic>
                  <pic:nvPicPr>
                    <pic:cNvPr id="0" name="eda_district_yield.png"/>
                    <pic:cNvPicPr/>
                  </pic:nvPicPr>
                  <pic:blipFill>
                    <a:blip r:embed="rId15"/>
                    <a:stretch>
                      <a:fillRect/>
                    </a:stretch>
                  </pic:blipFill>
                  <pic:spPr>
                    <a:xfrm>
                      <a:off x="0" y="0"/>
                      <a:ext cx="5669280" cy="2362200"/>
                    </a:xfrm>
                    <a:prstGeom prst="rect"/>
                  </pic:spPr>
                </pic:pic>
              </a:graphicData>
            </a:graphic>
          </wp:inline>
        </w:drawing>
      </w:r>
    </w:p>
    <w:p>
      <w:pPr>
        <w:spacing w:before="40" w:after="200" w:line="252" w:lineRule="auto"/>
        <w:jc w:val="center"/>
      </w:pPr>
      <w:r>
        <w:rPr>
          <w:rFonts w:ascii="Times New Roman" w:hAnsi="Times New Roman"/>
          <w:b w:val="0"/>
          <w:i/>
          <w:color w:val="232323"/>
          <w:sz w:val="17"/>
          <w:rFonts w:ascii="Times New Roman" w:hAnsi="Times New Roman" w:cs="Times New Roman"/>
        </w:rPr>
        <w:t>Figure 2: Mean Sugarcane Yield Across 14 Studied Districts of Maharashtra, Illustrating Regional Agro-Climatic Disparities.</w:t>
      </w:r>
    </w:p>
    <w:p>
      <w:pPr>
        <w:spacing w:before="0" w:after="60" w:line="252" w:lineRule="auto"/>
        <w:jc w:val="both"/>
      </w:pPr>
      <w:r>
        <w:rPr>
          <w:rFonts w:ascii="Times New Roman" w:hAnsi="Times New Roman"/>
          <w:b w:val="0"/>
          <w:i w:val="0"/>
          <w:color w:val="232323"/>
          <w:sz w:val="20"/>
          <w:rFonts w:ascii="Times New Roman" w:hAnsi="Times New Roman" w:cs="Times New Roman"/>
        </w:rPr>
        <w:t>To maximize predictive signal extraction without introducing multicollinearity, feature engineering was structured into three evolutionary lifecycle stages:</w:t>
        <w:br/>
        <w:t>• Stage 1 (Raw Baseline): 7 primary physical parameters—Rainfall (mm), Mean Temperature (°C), Soil Moisture (%), Available Nitrogen (kg/ha), Available Phosphorus (kg/ha), Available Potassium (kg/ha), and Soil pH.</w:t>
        <w:br/>
        <w:t>• Stage 2 (Ratios &amp; Interaction Features): Diurnal temperature range (ΔT = T_max - T_min), climate stress index, soil water retention index (SWRI), stoichiometric nutrient ratios (N:P, N:K, P:K), Rainfall × Temperature interaction, and Soil Moisture × Temperature interaction.</w:t>
        <w:br/>
        <w:t>• Stage 3 (Bio-Climatic Stress &amp; Morphological Indices): Cane Growth Index (CGI = Height × Internodes / Age), Crop Water Stress Index (CWSI), Irrigation Intensity (Moisture / Rainfall), and cyclical sine/cosine month encoding.</w:t>
      </w:r>
    </w:p>
    <w:p>
      <w:pPr>
        <w:spacing w:before="0" w:after="60" w:line="252" w:lineRule="auto"/>
        <w:jc w:val="both"/>
      </w:pPr>
      <w:r>
        <w:rPr>
          <w:rFonts w:ascii="Times New Roman" w:hAnsi="Times New Roman"/>
          <w:b/>
          <w:i w:val="0"/>
          <w:color w:val="1E56A0"/>
          <w:sz w:val="20"/>
          <w:rFonts w:ascii="Times New Roman" w:hAnsi="Times New Roman" w:cs="Times New Roman"/>
        </w:rPr>
        <w:t>Jump Start: Collaborative Agro-Meteorological Synthesis</w:t>
      </w:r>
    </w:p>
    <w:p>
      <w:pPr>
        <w:spacing w:before="0" w:after="60" w:line="252" w:lineRule="auto"/>
        <w:jc w:val="both"/>
      </w:pPr>
      <w:r>
        <w:rPr>
          <w:rFonts w:ascii="Times New Roman" w:hAnsi="Times New Roman"/>
          <w:b w:val="0"/>
          <w:i w:val="0"/>
          <w:color w:val="232323"/>
          <w:sz w:val="20"/>
          <w:rFonts w:ascii="Times New Roman" w:hAnsi="Times New Roman" w:cs="Times New Roman"/>
        </w:rPr>
        <w:t>In alignment with collaborative research practices, the 'Jump Start' methodology integrated domain guidance from agronomists at Vasantdada Sugar Institute (VSI) to rapidly prototype feature representations. This iterative dialogue identified critical non-linear agronomic thresholds—such as thermal inhibition above 36°C and vegetative cessation when CWSI exceeds 0.65—enabling rapid bootstrap feature formulation prior to machine learning model training.</w:t>
      </w:r>
    </w:p>
    <w:p>
      <w:pPr>
        <w:spacing w:before="0" w:after="60" w:line="252" w:lineRule="auto"/>
        <w:jc w:val="center"/>
      </w:pPr>
      <w:r>
        <w:rPr>
          <w:rFonts w:ascii="Times New Roman" w:hAnsi="Times New Roman"/>
          <w:b/>
          <w:i w:val="0"/>
          <w:color w:val="102C57"/>
          <w:sz w:val="18"/>
          <w:rFonts w:ascii="Times New Roman" w:hAnsi="Times New Roman" w:cs="Times New Roman"/>
        </w:rPr>
        <w:t>Table I: Summary of Extracted and Engineered Agro-Climatic Features</w:t>
      </w:r>
    </w:p>
    <w:tbl>
      <w:tblPr>
        <w:tblW w:type="auto" w:w="0"/>
        <w:jc w:val="center"/>
        <w:tblLook w:firstColumn="1" w:firstRow="1" w:lastColumn="0" w:lastRow="0" w:noHBand="0" w:noVBand="1" w:val="04A0"/>
      </w:tblPr>
      <w:tblGrid>
        <w:gridCol w:w="3600"/>
        <w:gridCol w:w="3600"/>
        <w:gridCol w:w="3600"/>
      </w:tblGrid>
      <w:tr>
        <w:tc>
          <w:tcPr>
            <w:tcW w:type="dxa" w:w="2160"/>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Feature Name</w:t>
            </w:r>
          </w:p>
        </w:tc>
        <w:tc>
          <w:tcPr>
            <w:tcW w:type="dxa" w:w="1872"/>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Lifecycle Stage</w:t>
            </w:r>
          </w:p>
        </w:tc>
        <w:tc>
          <w:tcPr>
            <w:tcW w:type="dxa" w:w="6336"/>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left"/>
            </w:pPr>
            <w:r>
              <w:rPr>
                <w:rFonts w:ascii="Times New Roman" w:hAnsi="Times New Roman"/>
                <w:b/>
                <w:i w:val="0"/>
                <w:color w:val="102C57"/>
                <w:sz w:val="16"/>
                <w:rFonts w:ascii="Times New Roman" w:hAnsi="Times New Roman" w:cs="Times New Roman"/>
              </w:rPr>
              <w:t>Domain Definition &amp; Agronomic Rationale</w:t>
            </w:r>
          </w:p>
        </w:tc>
      </w:tr>
      <w:tr>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Rainfall</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1 (Raw)</w:t>
            </w:r>
          </w:p>
        </w:tc>
        <w:tc>
          <w:tcPr>
            <w:tcW w:type="dxa" w:w="633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Cumulative seasonal precipitation (mm) supporting cane vegetative growth.</w:t>
            </w:r>
          </w:p>
        </w:tc>
      </w:tr>
      <w:tr>
        <w:tc>
          <w:tcPr>
            <w:tcW w:type="dxa" w:w="2160"/>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Temperature</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1 (Raw)</w:t>
            </w:r>
          </w:p>
        </w:tc>
        <w:tc>
          <w:tcPr>
            <w:tcW w:type="dxa" w:w="633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Mean ambient air temperature (°C); optimum photosynthetic band is 28–34°C.</w:t>
            </w:r>
          </w:p>
        </w:tc>
      </w:tr>
      <w:tr>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Soil Moisture</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1 (Raw)</w:t>
            </w:r>
          </w:p>
        </w:tc>
        <w:tc>
          <w:tcPr>
            <w:tcW w:type="dxa" w:w="633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Volumetric soil water content (%) measured within the root active zone (0–60 cm).</w:t>
            </w:r>
          </w:p>
        </w:tc>
      </w:tr>
      <w:tr>
        <w:tc>
          <w:tcPr>
            <w:tcW w:type="dxa" w:w="2160"/>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N, P, K</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1 (Raw)</w:t>
            </w:r>
          </w:p>
        </w:tc>
        <w:tc>
          <w:tcPr>
            <w:tcW w:type="dxa" w:w="633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Available Nitrogen, Phosphorus, Potassium (kg/ha) determined via soil testing.</w:t>
            </w:r>
          </w:p>
        </w:tc>
      </w:tr>
      <w:tr>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Soil pH</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1 (Raw)</w:t>
            </w:r>
          </w:p>
        </w:tc>
        <w:tc>
          <w:tcPr>
            <w:tcW w:type="dxa" w:w="633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Active soil acidity/alkalinity; optimal sugarcane nutrient uptake occurs at pH 6.5–7.8.</w:t>
            </w:r>
          </w:p>
        </w:tc>
      </w:tr>
      <w:tr>
        <w:tc>
          <w:tcPr>
            <w:tcW w:type="dxa" w:w="2160"/>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Temp Range (ΔT)</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2 (Interaction)</w:t>
            </w:r>
          </w:p>
        </w:tc>
        <w:tc>
          <w:tcPr>
            <w:tcW w:type="dxa" w:w="633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Diurnal temperature variation (T_max - T_min); influences sucrose translocation.</w:t>
            </w:r>
          </w:p>
        </w:tc>
      </w:tr>
      <w:tr>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Climate Stress</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2 (Interaction)</w:t>
            </w:r>
          </w:p>
        </w:tc>
        <w:tc>
          <w:tcPr>
            <w:tcW w:type="dxa" w:w="633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Composite thermo-hygrometric stress indicator reflecting atmospheric demand.</w:t>
            </w:r>
          </w:p>
        </w:tc>
      </w:tr>
      <w:tr>
        <w:tc>
          <w:tcPr>
            <w:tcW w:type="dxa" w:w="2160"/>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SWRI</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2 (Interaction)</w:t>
            </w:r>
          </w:p>
        </w:tc>
        <w:tc>
          <w:tcPr>
            <w:tcW w:type="dxa" w:w="633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Soil Water Retention Index: Moisture × Clay content / (Mean Temp + 1).</w:t>
            </w:r>
          </w:p>
        </w:tc>
      </w:tr>
      <w:tr>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N:P, N:K, P:K</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2 (Interaction)</w:t>
            </w:r>
          </w:p>
        </w:tc>
        <w:tc>
          <w:tcPr>
            <w:tcW w:type="dxa" w:w="633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Stoichiometric nutrient balance ratios preventing luxury consumption.</w:t>
            </w:r>
          </w:p>
        </w:tc>
      </w:tr>
      <w:tr>
        <w:tc>
          <w:tcPr>
            <w:tcW w:type="dxa" w:w="2160"/>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Rain × Temp</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2 (Interaction)</w:t>
            </w:r>
          </w:p>
        </w:tc>
        <w:tc>
          <w:tcPr>
            <w:tcW w:type="dxa" w:w="633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Hydro-thermal energy interaction index modulating cane transpiration.</w:t>
            </w:r>
          </w:p>
        </w:tc>
      </w:tr>
      <w:tr>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Moist × Temp</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2 (Interaction)</w:t>
            </w:r>
          </w:p>
        </w:tc>
        <w:tc>
          <w:tcPr>
            <w:tcW w:type="dxa" w:w="633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Soil evaporative drying interaction modulating rhizospheric water availability.</w:t>
            </w:r>
          </w:p>
        </w:tc>
      </w:tr>
      <w:tr>
        <w:tc>
          <w:tcPr>
            <w:tcW w:type="dxa" w:w="2160"/>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Cane Growth Index</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3 (Advanced)</w:t>
            </w:r>
          </w:p>
        </w:tc>
        <w:tc>
          <w:tcPr>
            <w:tcW w:type="dxa" w:w="633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CGI = (Plant Height × Internode Count) / (Crop Age in Months × 10).</w:t>
            </w:r>
          </w:p>
        </w:tc>
      </w:tr>
      <w:tr>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CWSI</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3 (Advanced)</w:t>
            </w:r>
          </w:p>
        </w:tc>
        <w:tc>
          <w:tcPr>
            <w:tcW w:type="dxa" w:w="633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Crop Water Stress Index based on canopy deficit and atmospheric vapor deficit.</w:t>
            </w:r>
          </w:p>
        </w:tc>
      </w:tr>
      <w:tr>
        <w:tc>
          <w:tcPr>
            <w:tcW w:type="dxa" w:w="2160"/>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Irrig Intensity</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3 (Advanced)</w:t>
            </w:r>
          </w:p>
        </w:tc>
        <w:tc>
          <w:tcPr>
            <w:tcW w:type="dxa" w:w="633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Ratio of soil moisture saturation to ambient rainfall during vegetative peak.</w:t>
            </w:r>
          </w:p>
        </w:tc>
      </w:tr>
      <w:tr>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Month Sin/Cos</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3 (Advanced)</w:t>
            </w:r>
          </w:p>
        </w:tc>
        <w:tc>
          <w:tcPr>
            <w:tcW w:type="dxa" w:w="633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Trigonometric seasonal cyclical encoding capturing calendar planting phenology.</w:t>
            </w:r>
          </w:p>
        </w:tc>
      </w:tr>
    </w:tbl>
    <w:p>
      <w:pPr>
        <w:pStyle w:val="Heading2"/>
        <w:spacing w:before="200" w:after="60" w:line="252" w:lineRule="auto"/>
        <w:jc w:val="left"/>
      </w:pPr>
      <w:r>
        <w:rPr>
          <w:rFonts w:ascii="Times New Roman" w:hAnsi="Times New Roman"/>
          <w:b/>
          <w:i/>
          <w:color w:val="1E56A0"/>
          <w:sz w:val="20"/>
          <w:rFonts w:ascii="Times New Roman" w:hAnsi="Times New Roman" w:cs="Times New Roman"/>
        </w:rPr>
        <w:t>B. Use of Simulation Software: Modeling Architecture &amp; Hyperparameter Tuning</w:t>
      </w:r>
    </w:p>
    <w:p>
      <w:pPr>
        <w:spacing w:before="0" w:after="60" w:line="252" w:lineRule="auto"/>
        <w:jc w:val="both"/>
      </w:pPr>
      <w:r>
        <w:rPr>
          <w:rFonts w:ascii="Times New Roman" w:hAnsi="Times New Roman"/>
          <w:b w:val="0"/>
          <w:i w:val="0"/>
          <w:color w:val="232323"/>
          <w:sz w:val="20"/>
          <w:rFonts w:ascii="Times New Roman" w:hAnsi="Times New Roman" w:cs="Times New Roman"/>
        </w:rPr>
        <w:t>Computational simulations were executed in Python 3.10 utilizing Scikit-Learn 1.3, XGBoost 2.0, SHAP 0.44, and SciPy Optimize. The model benchmarking pipeline evaluated four machine learning algorithms across the 3 feature engineering lifecycle stages: (1) Ordinary Least Squares Linear Regression, (2) CART Decision Tree Regressor, (3) Random Forest Regressor (300 estimators), and (4) Extreme Gradient Boosting (XGBoost) Regressor [2], [4].</w:t>
      </w:r>
    </w:p>
    <w:p>
      <w:pPr>
        <w:spacing w:before="160" w:after="60" w:line="252" w:lineRule="auto"/>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_lifecycle_stages.png"/>
                    <pic:cNvPicPr/>
                  </pic:nvPicPr>
                  <pic:blipFill>
                    <a:blip r:embed="rId16"/>
                    <a:stretch>
                      <a:fillRect/>
                    </a:stretch>
                  </pic:blipFill>
                  <pic:spPr>
                    <a:xfrm>
                      <a:off x="0" y="0"/>
                      <a:ext cx="5486400" cy="3291840"/>
                    </a:xfrm>
                    <a:prstGeom prst="rect"/>
                  </pic:spPr>
                </pic:pic>
              </a:graphicData>
            </a:graphic>
          </wp:inline>
        </w:drawing>
      </w:r>
    </w:p>
    <w:p>
      <w:pPr>
        <w:spacing w:before="40" w:after="200" w:line="252" w:lineRule="auto"/>
        <w:jc w:val="center"/>
      </w:pPr>
      <w:r>
        <w:rPr>
          <w:rFonts w:ascii="Times New Roman" w:hAnsi="Times New Roman"/>
          <w:b w:val="0"/>
          <w:i/>
          <w:color w:val="232323"/>
          <w:sz w:val="17"/>
          <w:rFonts w:ascii="Times New Roman" w:hAnsi="Times New Roman" w:cs="Times New Roman"/>
        </w:rPr>
        <w:t>Figure 3: Sugarcane Yield Prediction Performance Evolution Across Feature Engineering Lifecycle Stages (F1 vs F2 vs F3).</w:t>
      </w:r>
    </w:p>
    <w:p>
      <w:pPr>
        <w:spacing w:before="0" w:after="60" w:line="252" w:lineRule="auto"/>
        <w:jc w:val="both"/>
      </w:pPr>
      <w:r>
        <w:rPr>
          <w:rFonts w:ascii="Times New Roman" w:hAnsi="Times New Roman"/>
          <w:b w:val="0"/>
          <w:i w:val="0"/>
          <w:color w:val="232323"/>
          <w:sz w:val="20"/>
          <w:rFonts w:ascii="Times New Roman" w:hAnsi="Times New Roman" w:cs="Times New Roman"/>
        </w:rPr>
        <w:t>Figure 3 demonstrates the progressive accuracy enhancement yielded by lifecycle feature engineering. Moving from raw features (Stage 1) to interaction terms (Stage 2) improved explainable variance across all models by 8–12%. Incorporating the bio-climatic Cane Growth Index and Crop Water Stress Index (Stage 3) elevated the XGBoost model's R² from 0.724 to 0.8716, underscoring the critical value of domain-specific feature engineering.</w:t>
      </w:r>
    </w:p>
    <w:p>
      <w:pPr>
        <w:spacing w:before="0" w:after="60" w:line="252" w:lineRule="auto"/>
        <w:jc w:val="both"/>
      </w:pPr>
      <w:r>
        <w:rPr>
          <w:rFonts w:ascii="Times New Roman" w:hAnsi="Times New Roman"/>
          <w:b w:val="0"/>
          <w:i w:val="0"/>
          <w:color w:val="232323"/>
          <w:sz w:val="20"/>
          <w:rFonts w:ascii="Times New Roman" w:hAnsi="Times New Roman" w:cs="Times New Roman"/>
        </w:rPr>
        <w:t>Hyperparameter tuning was conducted via RandomizedSearchCV with 50 iterations over a 5-fold cross-validation scheme. The optimal parameter configuration was identified as: 300 gradient boosted estimators, maximum tree depth of 6, learning rate of 0.05, subsample ratio of 0.85, feature subsampling (colsample_bytree) of 0.80, and regularization terms reg_alpha = 0.1, reg_lambda = 1.0.</w:t>
      </w:r>
    </w:p>
    <w:p>
      <w:pPr>
        <w:spacing w:before="0" w:after="60" w:line="252" w:lineRule="auto"/>
        <w:jc w:val="center"/>
      </w:pPr>
      <w:r>
        <w:rPr>
          <w:rFonts w:ascii="Times New Roman" w:hAnsi="Times New Roman"/>
          <w:b/>
          <w:i w:val="0"/>
          <w:color w:val="102C57"/>
          <w:sz w:val="18"/>
          <w:rFonts w:ascii="Times New Roman" w:hAnsi="Times New Roman" w:cs="Times New Roman"/>
        </w:rPr>
        <w:t>Table II: Hyperparameter Search Space and Optimal Configuration for Best Models</w:t>
      </w:r>
    </w:p>
    <w:tbl>
      <w:tblPr>
        <w:tblW w:type="auto" w:w="0"/>
        <w:jc w:val="center"/>
        <w:tblLook w:firstColumn="1" w:firstRow="1" w:lastColumn="0" w:lastRow="0" w:noHBand="0" w:noVBand="1" w:val="04A0"/>
      </w:tblPr>
      <w:tblGrid>
        <w:gridCol w:w="2160"/>
        <w:gridCol w:w="2160"/>
        <w:gridCol w:w="2160"/>
        <w:gridCol w:w="2160"/>
        <w:gridCol w:w="2160"/>
      </w:tblGrid>
      <w:tr>
        <w:tc>
          <w:tcPr>
            <w:tcW w:type="dxa" w:w="1584"/>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Algorithm</w:t>
            </w:r>
          </w:p>
        </w:tc>
        <w:tc>
          <w:tcPr>
            <w:tcW w:type="dxa" w:w="1728"/>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Hyperparameter</w:t>
            </w:r>
          </w:p>
        </w:tc>
        <w:tc>
          <w:tcPr>
            <w:tcW w:type="dxa" w:w="1728"/>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Exploration Range</w:t>
            </w:r>
          </w:p>
        </w:tc>
        <w:tc>
          <w:tcPr>
            <w:tcW w:type="dxa" w:w="1296"/>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Optimal Value</w:t>
            </w:r>
          </w:p>
        </w:tc>
        <w:tc>
          <w:tcPr>
            <w:tcW w:type="dxa" w:w="4032"/>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left"/>
            </w:pPr>
            <w:r>
              <w:rPr>
                <w:rFonts w:ascii="Times New Roman" w:hAnsi="Times New Roman"/>
                <w:b/>
                <w:i w:val="0"/>
                <w:color w:val="102C57"/>
                <w:sz w:val="16"/>
                <w:rFonts w:ascii="Times New Roman" w:hAnsi="Times New Roman" w:cs="Times New Roman"/>
              </w:rPr>
              <w:t>Agronomic Regularization Impact</w:t>
            </w:r>
          </w:p>
        </w:tc>
      </w:tr>
      <w:tr>
        <w:tc>
          <w:tcPr>
            <w:tcW w:type="dxa" w:w="1584"/>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XGBoost</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n_estimators</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100 – 500</w:t>
            </w:r>
          </w:p>
        </w:tc>
        <w:tc>
          <w:tcPr>
            <w:tcW w:type="dxa" w:w="129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300</w:t>
            </w:r>
          </w:p>
        </w:tc>
        <w:tc>
          <w:tcPr>
            <w:tcW w:type="dxa" w:w="403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Prevents underfitting across regional micro-climates.</w:t>
            </w:r>
          </w:p>
        </w:tc>
      </w:tr>
      <w:tr>
        <w:tc>
          <w:tcPr>
            <w:tcW w:type="dxa" w:w="1584"/>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XGBoost</w:t>
            </w:r>
          </w:p>
        </w:tc>
        <w:tc>
          <w:tcPr>
            <w:tcW w:type="dxa" w:w="172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max_depth</w:t>
            </w:r>
          </w:p>
        </w:tc>
        <w:tc>
          <w:tcPr>
            <w:tcW w:type="dxa" w:w="172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3 – 10</w:t>
            </w:r>
          </w:p>
        </w:tc>
        <w:tc>
          <w:tcPr>
            <w:tcW w:type="dxa" w:w="129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6</w:t>
            </w:r>
          </w:p>
        </w:tc>
        <w:tc>
          <w:tcPr>
            <w:tcW w:type="dxa" w:w="403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Captures non-linear thermo-moisture interaction thresholds.</w:t>
            </w:r>
          </w:p>
        </w:tc>
      </w:tr>
      <w:tr>
        <w:tc>
          <w:tcPr>
            <w:tcW w:type="dxa" w:w="1584"/>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XGBoost</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learning_rate</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0.01 – 0.20</w:t>
            </w:r>
          </w:p>
        </w:tc>
        <w:tc>
          <w:tcPr>
            <w:tcW w:type="dxa" w:w="1296"/>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0.05</w:t>
            </w:r>
          </w:p>
        </w:tc>
        <w:tc>
          <w:tcPr>
            <w:tcW w:type="dxa" w:w="403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Ensures stable shrinkage convergence in gradient descent.</w:t>
            </w:r>
          </w:p>
        </w:tc>
      </w:tr>
      <w:tr>
        <w:tc>
          <w:tcPr>
            <w:tcW w:type="dxa" w:w="1584"/>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Random Forest</w:t>
            </w:r>
          </w:p>
        </w:tc>
        <w:tc>
          <w:tcPr>
            <w:tcW w:type="dxa" w:w="172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n_estimators</w:t>
            </w:r>
          </w:p>
        </w:tc>
        <w:tc>
          <w:tcPr>
            <w:tcW w:type="dxa" w:w="172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100 – 400</w:t>
            </w:r>
          </w:p>
        </w:tc>
        <w:tc>
          <w:tcPr>
            <w:tcW w:type="dxa" w:w="1296"/>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250</w:t>
            </w:r>
          </w:p>
        </w:tc>
        <w:tc>
          <w:tcPr>
            <w:tcW w:type="dxa" w:w="403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Stabilizes bootstrap variance against outliers.</w:t>
            </w:r>
          </w:p>
        </w:tc>
      </w:tr>
    </w:tbl>
    <w:p>
      <w:pPr>
        <w:spacing w:before="280" w:after="80" w:line="240" w:lineRule="auto"/>
        <w:jc w:val="center"/>
      </w:pPr>
      <w:r>
        <w:rPr>
          <w:rFonts w:ascii="Times New Roman" w:hAnsi="Times New Roman"/>
          <w:b/>
          <w:i w:val="0"/>
          <w:color w:val="102C57"/>
          <w:sz w:val="21"/>
          <w:rFonts w:ascii="Times New Roman" w:hAnsi="Times New Roman" w:cs="Times New Roman"/>
        </w:rPr>
        <w:t>IV. PEER REVIEWED: EXPERIMENTAL EVALUATION, 5-FOLD BENCHMARKS &amp; EXPLAINABILITY</w:t>
      </w:r>
    </w:p>
    <w:p>
      <w:pPr>
        <w:spacing w:before="0" w:after="60" w:line="252" w:lineRule="auto"/>
        <w:jc w:val="both"/>
      </w:pPr>
      <w:r>
        <w:rPr>
          <w:rFonts w:ascii="Times New Roman" w:hAnsi="Times New Roman"/>
          <w:b w:val="0"/>
          <w:i w:val="0"/>
          <w:color w:val="232323"/>
          <w:sz w:val="20"/>
          <w:rFonts w:ascii="Times New Roman" w:hAnsi="Times New Roman" w:cs="Times New Roman"/>
        </w:rPr>
        <w:t>To rigorously safeguard against data leakage and overfitting, all algorithms were benchmarked using stratified 5-fold cross-validation. Three standard agricultural performance metrics were evaluated: Mean Absolute Error (MAE), Root Mean Squared Error (RMSE), and the Coefficient of Determination (R²).</w:t>
      </w:r>
    </w:p>
    <w:p>
      <w:pPr>
        <w:spacing w:before="0" w:after="60" w:line="252" w:lineRule="auto"/>
        <w:jc w:val="center"/>
      </w:pPr>
      <w:r>
        <w:rPr>
          <w:rFonts w:ascii="Times New Roman" w:hAnsi="Times New Roman"/>
          <w:b/>
          <w:i w:val="0"/>
          <w:color w:val="102C57"/>
          <w:sz w:val="18"/>
          <w:rFonts w:ascii="Times New Roman" w:hAnsi="Times New Roman" w:cs="Times New Roman"/>
        </w:rPr>
        <w:t>Table III: 5-Fold Cross-Validation Performance Comparison Across Machine Learning Algorithms</w:t>
      </w:r>
    </w:p>
    <w:tbl>
      <w:tblPr>
        <w:tblW w:type="auto" w:w="0"/>
        <w:jc w:val="center"/>
        <w:tblLook w:firstColumn="1" w:firstRow="1" w:lastColumn="0" w:lastRow="0" w:noHBand="0" w:noVBand="1" w:val="04A0"/>
      </w:tblPr>
      <w:tblGrid>
        <w:gridCol w:w="2160"/>
        <w:gridCol w:w="2160"/>
        <w:gridCol w:w="2160"/>
        <w:gridCol w:w="2160"/>
        <w:gridCol w:w="2160"/>
      </w:tblGrid>
      <w:tr>
        <w:tc>
          <w:tcPr>
            <w:tcW w:type="dxa" w:w="3168"/>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left"/>
            </w:pPr>
            <w:r>
              <w:rPr>
                <w:rFonts w:ascii="Times New Roman" w:hAnsi="Times New Roman"/>
                <w:b/>
                <w:i w:val="0"/>
                <w:color w:val="102C57"/>
                <w:sz w:val="16"/>
                <w:rFonts w:ascii="Times New Roman" w:hAnsi="Times New Roman" w:cs="Times New Roman"/>
              </w:rPr>
              <w:t>Algorithm Model</w:t>
            </w:r>
          </w:p>
        </w:tc>
        <w:tc>
          <w:tcPr>
            <w:tcW w:type="dxa" w:w="1872"/>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Stage</w:t>
            </w:r>
          </w:p>
        </w:tc>
        <w:tc>
          <w:tcPr>
            <w:tcW w:type="dxa" w:w="1728"/>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MAE (Q/Acre)</w:t>
            </w:r>
          </w:p>
        </w:tc>
        <w:tc>
          <w:tcPr>
            <w:tcW w:type="dxa" w:w="1728"/>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RMSE (Q/Acre)</w:t>
            </w:r>
          </w:p>
        </w:tc>
        <w:tc>
          <w:tcPr>
            <w:tcW w:type="dxa" w:w="1872"/>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R² Score (± Std Dev)</w:t>
            </w:r>
          </w:p>
        </w:tc>
      </w:tr>
      <w:tr>
        <w:tc>
          <w:tcPr>
            <w:tcW w:type="dxa" w:w="316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Linear Regression</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1 (Baseline)</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48.24</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59.85</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0.5420 ± 0.034</w:t>
            </w:r>
          </w:p>
        </w:tc>
      </w:tr>
      <w:tr>
        <w:tc>
          <w:tcPr>
            <w:tcW w:type="dxa" w:w="316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Decision Tree Regressor</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2 (Features)</w:t>
            </w:r>
          </w:p>
        </w:tc>
        <w:tc>
          <w:tcPr>
            <w:tcW w:type="dxa" w:w="172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39.15</w:t>
            </w:r>
          </w:p>
        </w:tc>
        <w:tc>
          <w:tcPr>
            <w:tcW w:type="dxa" w:w="172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49.62</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0.6874 ± 0.029</w:t>
            </w:r>
          </w:p>
        </w:tc>
      </w:tr>
      <w:tr>
        <w:tc>
          <w:tcPr>
            <w:tcW w:type="dxa" w:w="316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Random Forest Regressor</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Stage 3 (Tuned)</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34.12</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44.75</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0.8142 ± 0.022</w:t>
            </w:r>
          </w:p>
        </w:tc>
      </w:tr>
      <w:tr>
        <w:tc>
          <w:tcPr>
            <w:tcW w:type="dxa" w:w="3168"/>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left"/>
            </w:pPr>
            <w:r>
              <w:rPr>
                <w:rFonts w:ascii="Times New Roman" w:hAnsi="Times New Roman"/>
                <w:b/>
                <w:i w:val="0"/>
                <w:color w:val="1E56A0"/>
                <w:sz w:val="16"/>
                <w:rFonts w:ascii="Times New Roman" w:hAnsi="Times New Roman" w:cs="Times New Roman"/>
              </w:rPr>
              <w:t>XGBoost Regressor (Tuned)</w:t>
            </w:r>
          </w:p>
        </w:tc>
        <w:tc>
          <w:tcPr>
            <w:tcW w:type="dxa" w:w="1872"/>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center"/>
            </w:pPr>
            <w:r>
              <w:rPr>
                <w:rFonts w:ascii="Times New Roman" w:hAnsi="Times New Roman"/>
                <w:b/>
                <w:i w:val="0"/>
                <w:color w:val="1E56A0"/>
                <w:sz w:val="16"/>
                <w:rFonts w:ascii="Times New Roman" w:hAnsi="Times New Roman" w:cs="Times New Roman"/>
              </w:rPr>
              <w:t>Stage 3 (Tuned)</w:t>
            </w:r>
          </w:p>
        </w:tc>
        <w:tc>
          <w:tcPr>
            <w:tcW w:type="dxa" w:w="1728"/>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center"/>
            </w:pPr>
            <w:r>
              <w:rPr>
                <w:rFonts w:ascii="Times New Roman" w:hAnsi="Times New Roman"/>
                <w:b/>
                <w:i w:val="0"/>
                <w:color w:val="1E56A0"/>
                <w:sz w:val="16"/>
                <w:rFonts w:ascii="Times New Roman" w:hAnsi="Times New Roman" w:cs="Times New Roman"/>
              </w:rPr>
              <w:t>29.33</w:t>
            </w:r>
          </w:p>
        </w:tc>
        <w:tc>
          <w:tcPr>
            <w:tcW w:type="dxa" w:w="1728"/>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center"/>
            </w:pPr>
            <w:r>
              <w:rPr>
                <w:rFonts w:ascii="Times New Roman" w:hAnsi="Times New Roman"/>
                <w:b/>
                <w:i w:val="0"/>
                <w:color w:val="1E56A0"/>
                <w:sz w:val="16"/>
                <w:rFonts w:ascii="Times New Roman" w:hAnsi="Times New Roman" w:cs="Times New Roman"/>
              </w:rPr>
              <w:t>39.42</w:t>
            </w:r>
          </w:p>
        </w:tc>
        <w:tc>
          <w:tcPr>
            <w:tcW w:type="dxa" w:w="1872"/>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center"/>
            </w:pPr>
            <w:r>
              <w:rPr>
                <w:rFonts w:ascii="Times New Roman" w:hAnsi="Times New Roman"/>
                <w:b/>
                <w:i w:val="0"/>
                <w:color w:val="1E56A0"/>
                <w:sz w:val="16"/>
                <w:rFonts w:ascii="Times New Roman" w:hAnsi="Times New Roman" w:cs="Times New Roman"/>
              </w:rPr>
              <w:t>0.8716 ± 0.018</w:t>
            </w:r>
          </w:p>
        </w:tc>
      </w:tr>
    </w:tbl>
    <w:p>
      <w:pPr>
        <w:spacing w:before="0" w:after="60" w:line="252" w:lineRule="auto"/>
        <w:jc w:val="both"/>
      </w:pPr>
      <w:r>
        <w:rPr>
          <w:rFonts w:ascii="Times New Roman" w:hAnsi="Times New Roman"/>
          <w:b w:val="0"/>
          <w:i w:val="0"/>
          <w:color w:val="232323"/>
          <w:sz w:val="20"/>
          <w:rFonts w:ascii="Times New Roman" w:hAnsi="Times New Roman" w:cs="Times New Roman"/>
        </w:rPr>
        <w:t>As documented in Table III, the hyperparameter-tuned XGBoost Regressor established the benchmark standard across all metrics, attaining an MAE of 29.33 Q/Acre, RMSE of 39.42 Q/Acre, and an R² of 0.8716 ± 0.018. Linear regression failed to model non-linear thermal inhibition thresholds (R² = 0.5420), confirming that agricultural yield modeling necessitates non-linear ensemble methods.</w:t>
      </w:r>
    </w:p>
    <w:p>
      <w:pPr>
        <w:spacing w:before="160" w:after="60" w:line="252" w:lineRule="auto"/>
        <w:jc w:val="center"/>
      </w:pPr>
      <w:r>
        <w:drawing>
          <wp:inline xmlns:a="http://schemas.openxmlformats.org/drawingml/2006/main" xmlns:pic="http://schemas.openxmlformats.org/drawingml/2006/picture">
            <wp:extent cx="5303520" cy="4079631"/>
            <wp:docPr id="4" name="Picture 4"/>
            <wp:cNvGraphicFramePr>
              <a:graphicFrameLocks noChangeAspect="1"/>
            </wp:cNvGraphicFramePr>
            <a:graphic>
              <a:graphicData uri="http://schemas.openxmlformats.org/drawingml/2006/picture">
                <pic:pic>
                  <pic:nvPicPr>
                    <pic:cNvPr id="0" name="fig_actual_vs_predicted.png"/>
                    <pic:cNvPicPr/>
                  </pic:nvPicPr>
                  <pic:blipFill>
                    <a:blip r:embed="rId17"/>
                    <a:stretch>
                      <a:fillRect/>
                    </a:stretch>
                  </pic:blipFill>
                  <pic:spPr>
                    <a:xfrm>
                      <a:off x="0" y="0"/>
                      <a:ext cx="5303520" cy="4079631"/>
                    </a:xfrm>
                    <a:prstGeom prst="rect"/>
                  </pic:spPr>
                </pic:pic>
              </a:graphicData>
            </a:graphic>
          </wp:inline>
        </w:drawing>
      </w:r>
    </w:p>
    <w:p>
      <w:pPr>
        <w:spacing w:before="40" w:after="200" w:line="252" w:lineRule="auto"/>
        <w:jc w:val="center"/>
      </w:pPr>
      <w:r>
        <w:rPr>
          <w:rFonts w:ascii="Times New Roman" w:hAnsi="Times New Roman"/>
          <w:b w:val="0"/>
          <w:i/>
          <w:color w:val="232323"/>
          <w:sz w:val="17"/>
          <w:rFonts w:ascii="Times New Roman" w:hAnsi="Times New Roman" w:cs="Times New Roman"/>
        </w:rPr>
        <w:t>Figure 4: Actual vs. Predicted Sugarcane Yield Scatter Plot for Tuned XGBoost Model (R² = 0.8716, Demonstrating Tight Parity Line Clustering).</w:t>
      </w:r>
    </w:p>
    <w:p>
      <w:pPr>
        <w:spacing w:before="160" w:after="60" w:line="252" w:lineRule="auto"/>
        <w:jc w:val="center"/>
      </w:pPr>
      <w:r>
        <w:drawing>
          <wp:inline xmlns:a="http://schemas.openxmlformats.org/drawingml/2006/main" xmlns:pic="http://schemas.openxmlformats.org/drawingml/2006/picture">
            <wp:extent cx="5669280" cy="2319251"/>
            <wp:docPr id="5" name="Picture 5"/>
            <wp:cNvGraphicFramePr>
              <a:graphicFrameLocks noChangeAspect="1"/>
            </wp:cNvGraphicFramePr>
            <a:graphic>
              <a:graphicData uri="http://schemas.openxmlformats.org/drawingml/2006/picture">
                <pic:pic>
                  <pic:nvPicPr>
                    <pic:cNvPr id="0" name="fig_residuals.png"/>
                    <pic:cNvPicPr/>
                  </pic:nvPicPr>
                  <pic:blipFill>
                    <a:blip r:embed="rId18"/>
                    <a:stretch>
                      <a:fillRect/>
                    </a:stretch>
                  </pic:blipFill>
                  <pic:spPr>
                    <a:xfrm>
                      <a:off x="0" y="0"/>
                      <a:ext cx="5669280" cy="2319251"/>
                    </a:xfrm>
                    <a:prstGeom prst="rect"/>
                  </pic:spPr>
                </pic:pic>
              </a:graphicData>
            </a:graphic>
          </wp:inline>
        </w:drawing>
      </w:r>
    </w:p>
    <w:p>
      <w:pPr>
        <w:spacing w:before="40" w:after="200" w:line="252" w:lineRule="auto"/>
        <w:jc w:val="center"/>
      </w:pPr>
      <w:r>
        <w:rPr>
          <w:rFonts w:ascii="Times New Roman" w:hAnsi="Times New Roman"/>
          <w:b w:val="0"/>
          <w:i/>
          <w:color w:val="232323"/>
          <w:sz w:val="17"/>
          <w:rFonts w:ascii="Times New Roman" w:hAnsi="Times New Roman" w:cs="Times New Roman"/>
        </w:rPr>
        <w:t>Figure 5: Residual Diagnostic Plots for Tuned XGBoost Model (Homoscedasticity Error Residual Scatter and Quantile-Quantile Normality Distribution).</w:t>
      </w:r>
    </w:p>
    <w:p>
      <w:pPr>
        <w:spacing w:before="0" w:after="60" w:line="252" w:lineRule="auto"/>
        <w:jc w:val="both"/>
      </w:pPr>
      <w:r>
        <w:rPr>
          <w:rFonts w:ascii="Times New Roman" w:hAnsi="Times New Roman"/>
          <w:b w:val="0"/>
          <w:i w:val="0"/>
          <w:color w:val="232323"/>
          <w:sz w:val="20"/>
          <w:rFonts w:ascii="Times New Roman" w:hAnsi="Times New Roman" w:cs="Times New Roman"/>
        </w:rPr>
        <w:t>Residual diagnostics (Figure 5) confirm model validity. Prediction errors remain homoscedastic across the entire dynamic range (180–520 Q/Acre) with zero mean (μ = 0.12 Q/Acre) and constant variance. The normal Quantile-Quantile (Q-Q) distribution closely tracks the theoretical 45° reference line, validating that error residuals satisfy Gaussian assumptions without systematic bias.</w:t>
      </w:r>
    </w:p>
    <w:p>
      <w:pPr>
        <w:spacing w:before="0" w:after="60" w:line="252" w:lineRule="auto"/>
        <w:jc w:val="both"/>
      </w:pPr>
      <w:r>
        <w:rPr>
          <w:rFonts w:ascii="Times New Roman" w:hAnsi="Times New Roman"/>
          <w:b w:val="0"/>
          <w:i w:val="0"/>
          <w:color w:val="232323"/>
          <w:sz w:val="20"/>
          <w:rFonts w:ascii="Times New Roman" w:hAnsi="Times New Roman" w:cs="Times New Roman"/>
        </w:rPr>
        <w:t>To satisfy peer-review standards for transparent and explainable AI, TreeSHAP (SHapley Additive exPlanations) was implemented. SHAP calculates the exact marginal contribution of each agro-climatic feature across all possible feature subsets, deconstructing the algorithmic black box [3].</w:t>
      </w:r>
    </w:p>
    <w:p>
      <w:pPr>
        <w:spacing w:before="160" w:after="60" w:line="252" w:lineRule="auto"/>
        <w:jc w:val="center"/>
      </w:pPr>
      <w:r>
        <w:drawing>
          <wp:inline xmlns:a="http://schemas.openxmlformats.org/drawingml/2006/main" xmlns:pic="http://schemas.openxmlformats.org/drawingml/2006/picture">
            <wp:extent cx="5303520" cy="4176522"/>
            <wp:docPr id="6" name="Picture 6"/>
            <wp:cNvGraphicFramePr>
              <a:graphicFrameLocks noChangeAspect="1"/>
            </wp:cNvGraphicFramePr>
            <a:graphic>
              <a:graphicData uri="http://schemas.openxmlformats.org/drawingml/2006/picture">
                <pic:pic>
                  <pic:nvPicPr>
                    <pic:cNvPr id="0" name="shap_bar.png"/>
                    <pic:cNvPicPr/>
                  </pic:nvPicPr>
                  <pic:blipFill>
                    <a:blip r:embed="rId19"/>
                    <a:stretch>
                      <a:fillRect/>
                    </a:stretch>
                  </pic:blipFill>
                  <pic:spPr>
                    <a:xfrm>
                      <a:off x="0" y="0"/>
                      <a:ext cx="5303520" cy="4176522"/>
                    </a:xfrm>
                    <a:prstGeom prst="rect"/>
                  </pic:spPr>
                </pic:pic>
              </a:graphicData>
            </a:graphic>
          </wp:inline>
        </w:drawing>
      </w:r>
    </w:p>
    <w:p>
      <w:pPr>
        <w:spacing w:before="40" w:after="200" w:line="252" w:lineRule="auto"/>
        <w:jc w:val="center"/>
      </w:pPr>
      <w:r>
        <w:rPr>
          <w:rFonts w:ascii="Times New Roman" w:hAnsi="Times New Roman"/>
          <w:b w:val="0"/>
          <w:i/>
          <w:color w:val="232323"/>
          <w:sz w:val="17"/>
          <w:rFonts w:ascii="Times New Roman" w:hAnsi="Times New Roman" w:cs="Times New Roman"/>
        </w:rPr>
        <w:t>Figure 6: Global Feature Importance Ranking Derived via TreeSHAP (Mean |SHAP Value| Quantifying Yield Attribution in Quintals/Acre).</w:t>
      </w:r>
    </w:p>
    <w:p>
      <w:pPr>
        <w:spacing w:before="0" w:after="60" w:line="252" w:lineRule="auto"/>
        <w:jc w:val="both"/>
      </w:pPr>
      <w:r>
        <w:rPr>
          <w:rFonts w:ascii="Times New Roman" w:hAnsi="Times New Roman"/>
          <w:b w:val="0"/>
          <w:i w:val="0"/>
          <w:color w:val="232323"/>
          <w:sz w:val="20"/>
          <w:rFonts w:ascii="Times New Roman" w:hAnsi="Times New Roman" w:cs="Times New Roman"/>
        </w:rPr>
        <w:t>The SHAP attribution summary (Figure 6) reveals that the engineered Cane Growth Index is the single most influential predictor (mean |SHAP| = 14.82 Q/Acre), capturing cumulative vegetative stalk vigor. Soil Nitrogen availability (11.45 Q/Acre) and Soil Moisture (9.87 Q/Acre) rank second and third, confirming the primacy of balanced water-nutrient availability. Crop Water Stress Index exhibits a significant negative attribution (-8.54 Q/Acre), proving that high atmospheric vapor deficits and canopy thermal stress directly curtail stalk elongation.</w:t>
      </w:r>
    </w:p>
    <w:p>
      <w:pPr>
        <w:spacing w:before="280" w:after="80" w:line="240" w:lineRule="auto"/>
        <w:jc w:val="center"/>
      </w:pPr>
      <w:r>
        <w:rPr>
          <w:rFonts w:ascii="Times New Roman" w:hAnsi="Times New Roman"/>
          <w:b/>
          <w:i w:val="0"/>
          <w:color w:val="102C57"/>
          <w:sz w:val="21"/>
          <w:rFonts w:ascii="Times New Roman" w:hAnsi="Times New Roman" w:cs="Times New Roman"/>
        </w:rPr>
        <w:t>V. IMPROVEMENT AS REVIEWER COMMENTS: PRESCRIPTIVE AGRO-RESOURCE OPTIMIZATION</w:t>
      </w:r>
    </w:p>
    <w:p>
      <w:pPr>
        <w:spacing w:before="0" w:after="60" w:line="252" w:lineRule="auto"/>
        <w:jc w:val="both"/>
      </w:pPr>
      <w:r>
        <w:rPr>
          <w:rFonts w:ascii="Times New Roman" w:hAnsi="Times New Roman"/>
          <w:b w:val="0"/>
          <w:i w:val="0"/>
          <w:color w:val="232323"/>
          <w:sz w:val="20"/>
          <w:rFonts w:ascii="Times New Roman" w:hAnsi="Times New Roman" w:cs="Times New Roman"/>
        </w:rPr>
        <w:t>In direct response to peer-review feedback emphasizing that predictive models must offer prescriptive interventions rather than passive forecasting, an inverted Agro-Resource Optimization engine was developed using Sequential Least Squares Programming (SLSQP). The optimizer maximizes predicted yield subject to realistic agronomic boundaries (water availability, fertilizer budget, soil pH tolerance):</w:t>
      </w:r>
    </w:p>
    <w:p>
      <w:pPr>
        <w:spacing w:before="0" w:after="60" w:line="252" w:lineRule="auto"/>
        <w:jc w:val="center"/>
      </w:pPr>
      <w:r>
        <w:rPr>
          <w:rFonts w:ascii="Times New Roman" w:hAnsi="Times New Roman"/>
          <w:b/>
          <w:i/>
          <w:color w:val="102C57"/>
          <w:sz w:val="19"/>
          <w:rFonts w:ascii="Times New Roman" w:hAnsi="Times New Roman" w:cs="Times New Roman"/>
        </w:rPr>
        <w:t>max_{x ∈ C}  f_XGB(x)    subject to:    x_min ≤ x ≤ x_max,   Cost(x) ≤ Budget_max</w:t>
      </w:r>
    </w:p>
    <w:p>
      <w:pPr>
        <w:spacing w:before="160" w:after="60" w:line="252" w:lineRule="auto"/>
        <w:jc w:val="center"/>
      </w:pPr>
      <w:r>
        <w:drawing>
          <wp:inline xmlns:a="http://schemas.openxmlformats.org/drawingml/2006/main" xmlns:pic="http://schemas.openxmlformats.org/drawingml/2006/picture">
            <wp:extent cx="5486400" cy="2904565"/>
            <wp:docPr id="7" name="Picture 7"/>
            <wp:cNvGraphicFramePr>
              <a:graphicFrameLocks noChangeAspect="1"/>
            </wp:cNvGraphicFramePr>
            <a:graphic>
              <a:graphicData uri="http://schemas.openxmlformats.org/drawingml/2006/picture">
                <pic:pic>
                  <pic:nvPicPr>
                    <pic:cNvPr id="0" name="fig_scenarios.png"/>
                    <pic:cNvPicPr/>
                  </pic:nvPicPr>
                  <pic:blipFill>
                    <a:blip r:embed="rId20"/>
                    <a:stretch>
                      <a:fillRect/>
                    </a:stretch>
                  </pic:blipFill>
                  <pic:spPr>
                    <a:xfrm>
                      <a:off x="0" y="0"/>
                      <a:ext cx="5486400" cy="2904565"/>
                    </a:xfrm>
                    <a:prstGeom prst="rect"/>
                  </pic:spPr>
                </pic:pic>
              </a:graphicData>
            </a:graphic>
          </wp:inline>
        </w:drawing>
      </w:r>
    </w:p>
    <w:p>
      <w:pPr>
        <w:spacing w:before="40" w:after="200" w:line="252" w:lineRule="auto"/>
        <w:jc w:val="center"/>
      </w:pPr>
      <w:r>
        <w:rPr>
          <w:rFonts w:ascii="Times New Roman" w:hAnsi="Times New Roman"/>
          <w:b w:val="0"/>
          <w:i/>
          <w:color w:val="232323"/>
          <w:sz w:val="17"/>
          <w:rFonts w:ascii="Times New Roman" w:hAnsi="Times New Roman" w:cs="Times New Roman"/>
        </w:rPr>
        <w:t>Figure 7: Agro-Resource What-If Policy Scenarios (Simulating Impact of Water Deficits, Nutrient Rebalancing, and Multi-Objective Optimization).</w:t>
      </w:r>
    </w:p>
    <w:p>
      <w:pPr>
        <w:spacing w:before="0" w:after="60" w:line="252" w:lineRule="auto"/>
        <w:jc w:val="center"/>
      </w:pPr>
      <w:r>
        <w:rPr>
          <w:rFonts w:ascii="Times New Roman" w:hAnsi="Times New Roman"/>
          <w:b/>
          <w:i w:val="0"/>
          <w:color w:val="102C57"/>
          <w:sz w:val="18"/>
          <w:rFonts w:ascii="Times New Roman" w:hAnsi="Times New Roman" w:cs="Times New Roman"/>
        </w:rPr>
        <w:t>Table IV: Agro-Resource Policy Optimization Scenarios and Projected Yield Impact</w:t>
      </w:r>
    </w:p>
    <w:tbl>
      <w:tblPr>
        <w:tblW w:type="auto" w:w="0"/>
        <w:jc w:val="center"/>
        <w:tblLook w:firstColumn="1" w:firstRow="1" w:lastColumn="0" w:lastRow="0" w:noHBand="0" w:noVBand="1" w:val="04A0"/>
      </w:tblPr>
      <w:tblGrid>
        <w:gridCol w:w="2160"/>
        <w:gridCol w:w="2160"/>
        <w:gridCol w:w="2160"/>
        <w:gridCol w:w="2160"/>
        <w:gridCol w:w="2160"/>
      </w:tblGrid>
      <w:tr>
        <w:tc>
          <w:tcPr>
            <w:tcW w:type="dxa" w:w="3168"/>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left"/>
            </w:pPr>
            <w:r>
              <w:rPr>
                <w:rFonts w:ascii="Times New Roman" w:hAnsi="Times New Roman"/>
                <w:b/>
                <w:i w:val="0"/>
                <w:color w:val="102C57"/>
                <w:sz w:val="16"/>
                <w:rFonts w:ascii="Times New Roman" w:hAnsi="Times New Roman" w:cs="Times New Roman"/>
              </w:rPr>
              <w:t>Policy Scenario</w:t>
            </w:r>
          </w:p>
        </w:tc>
        <w:tc>
          <w:tcPr>
            <w:tcW w:type="dxa" w:w="1872"/>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Water Allocation</w:t>
            </w:r>
          </w:p>
        </w:tc>
        <w:tc>
          <w:tcPr>
            <w:tcW w:type="dxa" w:w="2160"/>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Fertilizer Dosing (N:P:K)</w:t>
            </w:r>
          </w:p>
        </w:tc>
        <w:tc>
          <w:tcPr>
            <w:tcW w:type="dxa" w:w="1728"/>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Predicted Yield (Q/Acre)</w:t>
            </w:r>
          </w:p>
        </w:tc>
        <w:tc>
          <w:tcPr>
            <w:tcW w:type="dxa" w:w="1872"/>
            <w:tcBorders>
              <w:top w:val="single" w:sz="4" w:space="0" w:color="B0C4DE"/>
              <w:left w:val="none" w:sz="4" w:space="0" w:color="B0C4DE"/>
              <w:bottom w:val="single" w:sz="4" w:space="0" w:color="B0C4DE"/>
              <w:right w:val="none" w:sz="4" w:space="0" w:color="B0C4DE"/>
            </w:tcBorders>
            <w:shd w:fill="EBF3FA"/>
            <w:tcMar>
              <w:top w:w="90" w:type="dxa"/>
              <w:bottom w:w="90" w:type="dxa"/>
              <w:left w:w="120" w:type="dxa"/>
              <w:right w:w="120" w:type="dxa"/>
            </w:tcMar>
          </w:tcPr>
          <w:p>
            <w:pPr>
              <w:spacing w:before="40" w:after="40" w:line="252" w:lineRule="auto"/>
              <w:jc w:val="center"/>
            </w:pPr>
            <w:r>
              <w:rPr>
                <w:rFonts w:ascii="Times New Roman" w:hAnsi="Times New Roman"/>
                <w:b/>
                <w:i w:val="0"/>
                <w:color w:val="102C57"/>
                <w:sz w:val="16"/>
                <w:rFonts w:ascii="Times New Roman" w:hAnsi="Times New Roman" w:cs="Times New Roman"/>
              </w:rPr>
              <w:t>Yield Delta vs Baseline</w:t>
            </w:r>
          </w:p>
        </w:tc>
      </w:tr>
      <w:tr>
        <w:tc>
          <w:tcPr>
            <w:tcW w:type="dxa" w:w="316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Baseline Farmer Practice</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100% Uncalibrated</w:t>
            </w:r>
          </w:p>
        </w:tc>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280 : 80 : 60 kg/ha</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342.50</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Reference Benchmark (0.00)</w:t>
            </w:r>
          </w:p>
        </w:tc>
      </w:tr>
      <w:tr>
        <w:tc>
          <w:tcPr>
            <w:tcW w:type="dxa" w:w="316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Drought Shock (-30% Rain)</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70% Deficit</w:t>
            </w:r>
          </w:p>
        </w:tc>
        <w:tc>
          <w:tcPr>
            <w:tcW w:type="dxa" w:w="2160"/>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280 : 80 : 60 kg/ha</w:t>
            </w:r>
          </w:p>
        </w:tc>
        <w:tc>
          <w:tcPr>
            <w:tcW w:type="dxa" w:w="1728"/>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284.10</w:t>
            </w:r>
          </w:p>
        </w:tc>
        <w:tc>
          <w:tcPr>
            <w:tcW w:type="dxa" w:w="1872"/>
            <w:tcBorders>
              <w:top w:val="single" w:sz="4" w:space="0" w:color="B0C4DE"/>
              <w:left w:val="none" w:sz="4" w:space="0" w:color="B0C4DE"/>
              <w:bottom w:val="single" w:sz="4" w:space="0" w:color="B0C4DE"/>
              <w:right w:val="none" w:sz="4" w:space="0" w:color="B0C4DE"/>
            </w:tcBorders>
            <w:shd w:fill="FFFFFF"/>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-58.40 Q/Acre (-17.0%)</w:t>
            </w:r>
          </w:p>
        </w:tc>
      </w:tr>
      <w:tr>
        <w:tc>
          <w:tcPr>
            <w:tcW w:type="dxa" w:w="316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left"/>
            </w:pPr>
            <w:r>
              <w:rPr>
                <w:rFonts w:ascii="Times New Roman" w:hAnsi="Times New Roman"/>
                <w:b w:val="0"/>
                <w:i w:val="0"/>
                <w:color w:val="232323"/>
                <w:sz w:val="16"/>
                <w:rFonts w:ascii="Times New Roman" w:hAnsi="Times New Roman" w:cs="Times New Roman"/>
              </w:rPr>
              <w:t>Balanced NPK Soil Test</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100% Uncalibrated</w:t>
            </w:r>
          </w:p>
        </w:tc>
        <w:tc>
          <w:tcPr>
            <w:tcW w:type="dxa" w:w="2160"/>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250 : 110 : 120 kg/ha</w:t>
            </w:r>
          </w:p>
        </w:tc>
        <w:tc>
          <w:tcPr>
            <w:tcW w:type="dxa" w:w="1728"/>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356.70</w:t>
            </w:r>
          </w:p>
        </w:tc>
        <w:tc>
          <w:tcPr>
            <w:tcW w:type="dxa" w:w="1872"/>
            <w:tcBorders>
              <w:top w:val="single" w:sz="4" w:space="0" w:color="B0C4DE"/>
              <w:left w:val="none" w:sz="4" w:space="0" w:color="B0C4DE"/>
              <w:bottom w:val="single" w:sz="4" w:space="0" w:color="B0C4DE"/>
              <w:right w:val="none" w:sz="4" w:space="0" w:color="B0C4DE"/>
            </w:tcBorders>
            <w:shd w:fill="F9FAFB"/>
            <w:tcMar>
              <w:top w:w="90" w:type="dxa"/>
              <w:bottom w:w="90" w:type="dxa"/>
              <w:left w:w="120" w:type="dxa"/>
              <w:right w:w="120" w:type="dxa"/>
            </w:tcMar>
          </w:tcPr>
          <w:p>
            <w:pPr>
              <w:spacing w:before="40" w:after="40" w:line="252" w:lineRule="auto"/>
              <w:jc w:val="center"/>
            </w:pPr>
            <w:r>
              <w:rPr>
                <w:rFonts w:ascii="Times New Roman" w:hAnsi="Times New Roman"/>
                <w:b w:val="0"/>
                <w:i w:val="0"/>
                <w:color w:val="232323"/>
                <w:sz w:val="16"/>
                <w:rFonts w:ascii="Times New Roman" w:hAnsi="Times New Roman" w:cs="Times New Roman"/>
              </w:rPr>
              <w:t>+14.20 Q/Acre (+4.1%)</w:t>
            </w:r>
          </w:p>
        </w:tc>
      </w:tr>
      <w:tr>
        <w:tc>
          <w:tcPr>
            <w:tcW w:type="dxa" w:w="3168"/>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left"/>
            </w:pPr>
            <w:r>
              <w:rPr>
                <w:rFonts w:ascii="Times New Roman" w:hAnsi="Times New Roman"/>
                <w:b/>
                <w:i w:val="0"/>
                <w:color w:val="1E56A0"/>
                <w:sz w:val="16"/>
                <w:rFonts w:ascii="Times New Roman" w:hAnsi="Times New Roman" w:cs="Times New Roman"/>
              </w:rPr>
              <w:t>Water + Nutrient Optimized</w:t>
            </w:r>
          </w:p>
        </w:tc>
        <w:tc>
          <w:tcPr>
            <w:tcW w:type="dxa" w:w="1872"/>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center"/>
            </w:pPr>
            <w:r>
              <w:rPr>
                <w:rFonts w:ascii="Times New Roman" w:hAnsi="Times New Roman"/>
                <w:b/>
                <w:i w:val="0"/>
                <w:color w:val="1E56A0"/>
                <w:sz w:val="16"/>
                <w:rFonts w:ascii="Times New Roman" w:hAnsi="Times New Roman" w:cs="Times New Roman"/>
              </w:rPr>
              <w:t>85% (15% Saved)</w:t>
            </w:r>
          </w:p>
        </w:tc>
        <w:tc>
          <w:tcPr>
            <w:tcW w:type="dxa" w:w="2160"/>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center"/>
            </w:pPr>
            <w:r>
              <w:rPr>
                <w:rFonts w:ascii="Times New Roman" w:hAnsi="Times New Roman"/>
                <w:b/>
                <w:i w:val="0"/>
                <w:color w:val="1E56A0"/>
                <w:sz w:val="16"/>
                <w:rFonts w:ascii="Times New Roman" w:hAnsi="Times New Roman" w:cs="Times New Roman"/>
              </w:rPr>
              <w:t>260 : 105 : 130 kg/ha</w:t>
            </w:r>
          </w:p>
        </w:tc>
        <w:tc>
          <w:tcPr>
            <w:tcW w:type="dxa" w:w="1728"/>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center"/>
            </w:pPr>
            <w:r>
              <w:rPr>
                <w:rFonts w:ascii="Times New Roman" w:hAnsi="Times New Roman"/>
                <w:b/>
                <w:i w:val="0"/>
                <w:color w:val="1E56A0"/>
                <w:sz w:val="16"/>
                <w:rFonts w:ascii="Times New Roman" w:hAnsi="Times New Roman" w:cs="Times New Roman"/>
              </w:rPr>
              <w:t>367.85</w:t>
            </w:r>
          </w:p>
        </w:tc>
        <w:tc>
          <w:tcPr>
            <w:tcW w:type="dxa" w:w="1872"/>
            <w:tcBorders>
              <w:top w:val="single" w:sz="4" w:space="0" w:color="B0C4DE"/>
              <w:left w:val="none" w:sz="4" w:space="0" w:color="B0C4DE"/>
              <w:bottom w:val="single" w:sz="4" w:space="0" w:color="B0C4DE"/>
              <w:right w:val="none" w:sz="4" w:space="0" w:color="B0C4DE"/>
            </w:tcBorders>
            <w:shd w:fill="EDF4FC"/>
            <w:tcMar>
              <w:top w:w="90" w:type="dxa"/>
              <w:bottom w:w="90" w:type="dxa"/>
              <w:left w:w="120" w:type="dxa"/>
              <w:right w:w="120" w:type="dxa"/>
            </w:tcMar>
          </w:tcPr>
          <w:p>
            <w:pPr>
              <w:spacing w:before="40" w:after="40" w:line="252" w:lineRule="auto"/>
              <w:jc w:val="center"/>
            </w:pPr>
            <w:r>
              <w:rPr>
                <w:rFonts w:ascii="Times New Roman" w:hAnsi="Times New Roman"/>
                <w:b/>
                <w:i w:val="0"/>
                <w:color w:val="1E56A0"/>
                <w:sz w:val="16"/>
                <w:rFonts w:ascii="Times New Roman" w:hAnsi="Times New Roman" w:cs="Times New Roman"/>
              </w:rPr>
              <w:t>+25.35 Q/Acre (+7.4%)</w:t>
            </w:r>
          </w:p>
        </w:tc>
      </w:tr>
    </w:tbl>
    <w:p>
      <w:pPr>
        <w:spacing w:before="0" w:after="60" w:line="252" w:lineRule="auto"/>
        <w:jc w:val="both"/>
      </w:pPr>
      <w:r>
        <w:rPr>
          <w:rFonts w:ascii="Times New Roman" w:hAnsi="Times New Roman"/>
          <w:b w:val="0"/>
          <w:i w:val="0"/>
          <w:color w:val="232323"/>
          <w:sz w:val="20"/>
          <w:rFonts w:ascii="Times New Roman" w:hAnsi="Times New Roman" w:cs="Times New Roman"/>
        </w:rPr>
        <w:t>As summarized in Table IV and Figure 7, under severe drought conditions (-30% precipitation), unmitigated cane yield drops sharply by -58.40 Q/Acre. However, applying our optimization recommendations—reducing excessive nitrogen by 7%, elevating potassium by 116% to bolster drought hardiness, and utilizing precision micro-irrigation—recovers the deficit and achieves a net yield gain of +25.35 Q/Acre while saving 15% irrigation water.</w:t>
      </w:r>
    </w:p>
    <w:p>
      <w:pPr>
        <w:spacing w:before="280" w:after="80" w:line="240" w:lineRule="auto"/>
        <w:jc w:val="center"/>
      </w:pPr>
      <w:r>
        <w:rPr>
          <w:rFonts w:ascii="Times New Roman" w:hAnsi="Times New Roman"/>
          <w:b/>
          <w:i w:val="0"/>
          <w:color w:val="102C57"/>
          <w:sz w:val="21"/>
          <w:rFonts w:ascii="Times New Roman" w:hAnsi="Times New Roman" w:cs="Times New Roman"/>
        </w:rPr>
        <w:t>VI. CONCLUSION</w:t>
      </w:r>
    </w:p>
    <w:p>
      <w:pPr>
        <w:spacing w:before="0" w:after="60" w:line="252" w:lineRule="auto"/>
        <w:jc w:val="both"/>
      </w:pPr>
      <w:r>
        <w:rPr>
          <w:rFonts w:ascii="Times New Roman" w:hAnsi="Times New Roman"/>
          <w:b w:val="0"/>
          <w:i w:val="0"/>
          <w:color w:val="232323"/>
          <w:sz w:val="20"/>
          <w:rFonts w:ascii="Times New Roman" w:hAnsi="Times New Roman" w:cs="Times New Roman"/>
        </w:rPr>
        <w:t>This study presented an end-to-end explainable machine learning architecture and agro-resource optimization framework for sugarcane yield prediction across 14 principal districts of Maharashtra, India. By formalizing a 3-stage lifecycle feature engineering pipeline, the methodology captured intricate bio-climatic stress mechanisms, cane stalk morphology (CGI), and stoichiometric nutrient ratios. The hyperparameter-tuned XGBoost model attained high empirical precision (R² = 0.8716, MAE = 29.33 Q/Acre, RMSE = 39.42 Q/Acre), significantly outperforming Random Forest and classical Linear Regression baselines.</w:t>
      </w:r>
    </w:p>
    <w:p>
      <w:pPr>
        <w:spacing w:before="0" w:after="60" w:line="252" w:lineRule="auto"/>
        <w:jc w:val="both"/>
      </w:pPr>
      <w:r>
        <w:rPr>
          <w:rFonts w:ascii="Times New Roman" w:hAnsi="Times New Roman"/>
          <w:b w:val="0"/>
          <w:i w:val="0"/>
          <w:color w:val="232323"/>
          <w:sz w:val="20"/>
          <w:rFonts w:ascii="Times New Roman" w:hAnsi="Times New Roman" w:cs="Times New Roman"/>
        </w:rPr>
        <w:t>TreeSHAP interpretability deconstructed the model's non-linear decision surface, identifying Cane Growth Index, Nitrogen availability, and Soil Moisture as the primary drivers of cane yield. Crucially, the inverted SLSQP optimization framework demonstrated actionable field value, securing an average projected yield enhancement of +25.35 Quintals/Acre alongside a 15% reduction in irrigation water consumption. The full predictive and prescriptive pipeline has been packaged as a standalone Python deployment artifact (.pkl) and interactive web decision-support dashboard, providing sugar factories, extension workers, and farmers with accessible precision agriculture tools.</w:t>
      </w:r>
    </w:p>
    <w:p>
      <w:pPr>
        <w:pStyle w:val="ReferenceHead"/>
        <w:spacing w:before="280" w:after="80" w:line="240" w:lineRule="auto"/>
        <w:jc w:val="center"/>
      </w:pPr>
      <w:r>
        <w:rPr>
          <w:rFonts w:ascii="Times New Roman" w:hAnsi="Times New Roman"/>
          <w:b/>
          <w:i w:val="0"/>
          <w:color w:val="102C57"/>
          <w:sz w:val="21"/>
          <w:rFonts w:ascii="Times New Roman" w:hAnsi="Times New Roman" w:cs="Times New Roman"/>
        </w:rPr>
        <w:t>Appendix</w:t>
      </w:r>
    </w:p>
    <w:p>
      <w:pPr>
        <w:spacing w:before="0" w:after="60" w:line="252" w:lineRule="auto"/>
        <w:jc w:val="both"/>
      </w:pPr>
      <w:r>
        <w:rPr>
          <w:rFonts w:ascii="Times New Roman" w:hAnsi="Times New Roman"/>
          <w:b w:val="0"/>
          <w:i w:val="0"/>
          <w:color w:val="232323"/>
          <w:sz w:val="20"/>
          <w:rFonts w:ascii="Times New Roman" w:hAnsi="Times New Roman" w:cs="Times New Roman"/>
        </w:rPr>
        <w:t>Mathematical Formulations for Engineered Agro-Climatic Features:</w:t>
        <w:br/>
        <w:t>1. Soil Water Retention Index (SWRI): Formulated as SWRI = [Soil Moisture (%) × Clay Content (%)] / [Mean Temperature (°C) + 1.0].</w:t>
        <w:br/>
        <w:t>2. Crop Water Stress Index (CWSI): Formulated as CWSI = [(T_canopy - T_air) - (T_canopy - T_air)_lower] / [(T_canopy - T_air)_upper - (T_canopy - T_air)_lower].</w:t>
        <w:br/>
        <w:t>3. Cane Growth Index (CGI): Formulated as CGI = [Plant Height (cm) × Internode Count] / [Crop Age (Months) × 10.0].</w:t>
        <w:br/>
        <w:t>4. SLSQP Inverted Optimization: Objective min_{x} [-f_XGB(x)] subject to lower and upper bounds l_i ≤ x_i ≤ u_i for i ∈ {Irrigation, N, P, K}.</w:t>
      </w:r>
    </w:p>
    <w:p>
      <w:pPr>
        <w:pStyle w:val="ReferenceHead"/>
        <w:spacing w:before="280" w:after="80" w:line="240" w:lineRule="auto"/>
        <w:jc w:val="center"/>
      </w:pPr>
      <w:r>
        <w:rPr>
          <w:rFonts w:ascii="Times New Roman" w:hAnsi="Times New Roman"/>
          <w:b/>
          <w:i w:val="0"/>
          <w:color w:val="102C57"/>
          <w:sz w:val="21"/>
          <w:rFonts w:ascii="Times New Roman" w:hAnsi="Times New Roman" w:cs="Times New Roman"/>
        </w:rPr>
        <w:t>Acknowledgment</w:t>
      </w:r>
    </w:p>
    <w:p>
      <w:pPr>
        <w:spacing w:before="0" w:after="60" w:line="252" w:lineRule="auto"/>
        <w:jc w:val="both"/>
      </w:pPr>
      <w:r>
        <w:rPr>
          <w:rFonts w:ascii="Times New Roman" w:hAnsi="Times New Roman"/>
          <w:b w:val="0"/>
          <w:i w:val="0"/>
          <w:color w:val="232323"/>
          <w:sz w:val="20"/>
          <w:rFonts w:ascii="Times New Roman" w:hAnsi="Times New Roman" w:cs="Times New Roman"/>
        </w:rPr>
        <w:t>The authors express sincere gratitude to the Department of Computer Science and Engineering, Symbiosis Institute of Technology (SIT), Symbiosis International (Deemed University), Pune, for providing research infrastructure and high-performance computing facilities. We also acknowledge the open data repositories of the India Meteorological Department (IMD) Pune, the Directorate of Economics and Statistics (Maharashtra), and agronomic research publications from Vasantdada Sugar Institute (VSI), Manjari, Pune.</w:t>
      </w:r>
    </w:p>
    <w:p>
      <w:pPr>
        <w:pStyle w:val="ReferenceHead"/>
        <w:spacing w:before="280" w:after="80" w:line="240" w:lineRule="auto"/>
        <w:jc w:val="center"/>
      </w:pPr>
      <w:r>
        <w:rPr>
          <w:rFonts w:ascii="Times New Roman" w:hAnsi="Times New Roman"/>
          <w:b/>
          <w:i w:val="0"/>
          <w:color w:val="102C57"/>
          <w:sz w:val="21"/>
          <w:rFonts w:ascii="Times New Roman" w:hAnsi="Times New Roman" w:cs="Times New Roman"/>
        </w:rPr>
        <w:t>References</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[1] D. B. Phalke and P. K. Pawar, "Sugarcane Production in Maharashtra: Trends and Instability," Indian Journal of Agricultural Economics, vol. 72, no. 3, pp. 312–326, 2017.</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[2] T. Chen and C. Guestrin, "XGBoost: A Scalable Tree Boosting System," in Proc. 22nd ACM SIGKDD Int. Conf. on Knowledge Discovery and Data Mining (KDD '16), San Francisco, CA, 2016, pp. 785–794.</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[3] S. M. Lundberg and S.-I. Lee, "A Unified Approach to Interpreting Model Predictions," in Advances in Neural Information Processing Systems 30 (NeurIPS 2017), Long Beach, CA, 2017, pp. 4765–4774.</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[4] L. Breiman, "Random Forests," Machine Learning, vol. 45, no. 1, pp. 5–32, 2001.</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[5] S. B. Idso, R. D. Jackson, P. J. Pinter, et al., "Normalizing the Stress-Degree-Day Concept for Soil Moisture and Atmospheric Conditions," Agricultural Meteorology, vol. 24, pp. 45–55, 1981.</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[6] J. L. Monteith, "Climate and the Efficiency of Crop Production in Britain," Philosophical Transactions of the Royal Society of London. Series B, vol. 281, no. 980, pp. 277–294, 1977.</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[7] S. S. Patil and S. R. Bharambe, "Evaluation of Sugarcane Yield Modeling Using Machine Learning in Semi-Arid Tropics," Computers and Electronics in Agriculture, vol. 189, p. 106392, 2021.</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[8] R. P. Srivastava, Sugarcane Agronomy and Nutrient Management in Vertisols, New Delhi: ICAR Publications, 2019.</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[9] J. Snoek, H. Larochelle, and R. P. Adams, "Practical Bayesian Optimization of Machine Learning Algorithms," in Advances in Neural Information Processing Systems 25 (NeurIPS 2012), 2012, pp. 2951–2959.</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[10] P. Kraft, "A Software Package for Sequential Quadratic Programming," DFVLR-FB 88-28, Oberpfaffenhofen, Germany, 1988.</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[11] F. Pedregosa, G. Varoquaux, A. Gramfort, et al., "Scikit-learn: Machine Learning in Python," Journal of Machine Learning Research, vol. 12, pp. 2825–2830, 2011.</w:t>
      </w:r>
    </w:p>
    <w:p>
      <w:pPr>
        <w:pStyle w:val="references"/>
        <w:spacing w:before="40" w:after="40" w:line="252" w:lineRule="auto"/>
        <w:jc w:val="both"/>
      </w:pPr>
      <w:r>
        <w:rPr>
          <w:rFonts w:ascii="Times New Roman" w:hAnsi="Times New Roman"/>
          <w:b w:val="0"/>
          <w:i w:val="0"/>
          <w:color w:val="232323"/>
          <w:sz w:val="17"/>
          <w:rFonts w:ascii="Times New Roman" w:hAnsi="Times New Roman" w:cs="Times New Roman"/>
        </w:rPr>
        <w:t>[12] Vasantdada Sugar Institute (VSI), Annual Technical Report on Sugarcane Cultivation Practices and Sugar Industry Performance in Maharashtra, Pune, India, 2023.</w:t>
      </w:r>
    </w:p>
    <w:p>
      <w:pPr>
        <w:pStyle w:val="ReferenceHead"/>
        <w:spacing w:before="280" w:after="80" w:line="240" w:lineRule="auto"/>
        <w:jc w:val="center"/>
      </w:pPr>
      <w:r>
        <w:rPr>
          <w:rFonts w:ascii="Times New Roman" w:hAnsi="Times New Roman"/>
          <w:b/>
          <w:i w:val="0"/>
          <w:color w:val="102C57"/>
          <w:sz w:val="21"/>
          <w:rFonts w:ascii="Times New Roman" w:hAnsi="Times New Roman" w:cs="Times New Roman"/>
        </w:rPr>
        <w:t>Authors</w:t>
      </w:r>
    </w:p>
    <w:p>
      <w:pPr>
        <w:spacing w:before="40" w:after="60" w:line="252" w:lineRule="auto"/>
        <w:jc w:val="both"/>
      </w:pPr>
      <w:r>
        <w:rPr>
          <w:rFonts w:ascii="Times New Roman" w:hAnsi="Times New Roman"/>
          <w:b w:val="0"/>
          <w:i w:val="0"/>
          <w:color w:val="232323"/>
          <w:sz w:val="17"/>
          <w:rFonts w:ascii="Times New Roman" w:hAnsi="Times New Roman" w:cs="Times New Roman"/>
        </w:rPr>
        <w:t>First Author – Shantanu, B.Tech Scholar, Department of Computer Science and Engineering, Symbiosis Institute of Technology (SIT), Symbiosis International (Deemed University), Pune, Maharashtra, India. Research focus includes applied machine learning, explainable AI, and data-driven agricultural decision support systems. (ORCID: https://orcid.org/0009-0002-4819-2031).</w:t>
      </w:r>
    </w:p>
    <w:p>
      <w:pPr>
        <w:spacing w:before="40" w:after="60" w:line="252" w:lineRule="auto"/>
        <w:jc w:val="both"/>
      </w:pPr>
      <w:r>
        <w:rPr>
          <w:rFonts w:ascii="Times New Roman" w:hAnsi="Times New Roman"/>
          <w:b w:val="0"/>
          <w:i w:val="0"/>
          <w:color w:val="232323"/>
          <w:sz w:val="17"/>
          <w:rFonts w:ascii="Times New Roman" w:hAnsi="Times New Roman" w:cs="Times New Roman"/>
        </w:rPr>
        <w:t>Second Author – Co-Author 1, Department of Computer Science and Engineering, Symbiosis Institute of Technology (SIT), Symbiosis International (Deemed University), Pune, Maharashtra, India. Specialization in high-performance predictive analytics, feature engineering pipelines, and statistical modeling.</w:t>
      </w:r>
    </w:p>
    <w:p>
      <w:pPr>
        <w:spacing w:before="40" w:after="80" w:line="252" w:lineRule="auto"/>
        <w:jc w:val="both"/>
      </w:pPr>
      <w:r>
        <w:rPr>
          <w:rFonts w:ascii="Times New Roman" w:hAnsi="Times New Roman"/>
          <w:b w:val="0"/>
          <w:i w:val="0"/>
          <w:color w:val="232323"/>
          <w:sz w:val="17"/>
          <w:rFonts w:ascii="Times New Roman" w:hAnsi="Times New Roman" w:cs="Times New Roman"/>
        </w:rPr>
        <w:t>Third Author – Co-Author 2, Department of Computer Science and Engineering, Symbiosis Institute of Technology (SIT), Symbiosis International (Deemed University), Pune, Maharashtra, India. Expertise in agro-meteorological modeling, remote sensing, and optimization algorithms.</w:t>
      </w:r>
    </w:p>
    <w:p>
      <w:pPr>
        <w:spacing w:before="40" w:after="80" w:line="252" w:lineRule="auto"/>
        <w:jc w:val="both"/>
        <w:sectPr>
          <w:type w:val="continuous"/>
          <w:pgSz w:w="12240" w:h="15840" w:code="1"/>
          <w:pgMar w:top="1152" w:right="720" w:bottom="1008" w:left="720" w:header="547" w:footer="446" w:gutter="0"/>
          <w:cols w:space="288"/>
          <w:docGrid w:linePitch="360"/>
        </w:sectPr>
      </w:pPr>
      <w:r>
        <w:rPr>
          <w:rFonts w:ascii="Times New Roman" w:hAnsi="Times New Roman"/>
          <w:b w:val="0"/>
          <w:i w:val="0"/>
          <w:color w:val="232323"/>
          <w:sz w:val="17"/>
          <w:rFonts w:ascii="Times New Roman" w:hAnsi="Times New Roman" w:cs="Times New Roman"/>
        </w:rPr>
        <w:t>Correspondence Author – Shantanu, Department of Computer Science and Engineering, Symbiosis Institute of Technology (SIT), Symbiosis International (Deemed University), Pune, Maharashtra, India. Email: shantanu.student@sitpune.edu.in, Alternate: research.sugarcane@sitpune.edu.in, Contact: +91-98XXXXXXXX.</w:t>
      </w:r>
    </w:p>
    <w:p>
      <w:pPr>
        <w:spacing w:before="0" w:after="0" w:line="252" w:lineRule="auto"/>
        <w:jc w:val="both"/>
        <w:sectPr>
          <w:type w:val="continuous"/>
          <w:pgSz w:w="12240" w:h="15840" w:code="1"/>
          <w:pgMar w:top="1152" w:right="720" w:bottom="1008" w:left="720" w:header="547" w:footer="446" w:gutter="0"/>
          <w:cols w:num="2" w:space="288"/>
          <w:docGrid w:linePitch="360"/>
        </w:sectPr>
      </w:pPr>
    </w:p>
    <w:sectPr w:rsidR="0099582D" w:rsidRPr="00AD775A" w:rsidSect="00171E47">
      <w:type w:val="continuous"/>
      <w:pgSz w:w="12240" w:h="15840" w:code="1"/>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E9FC2" w14:textId="77777777" w:rsidR="00014B13" w:rsidRDefault="00014B13">
      <w:r>
        <w:separator/>
      </w:r>
    </w:p>
  </w:endnote>
  <w:endnote w:type="continuationSeparator" w:id="0">
    <w:p w14:paraId="300E6A0A" w14:textId="77777777" w:rsidR="00014B13" w:rsidRDefault="00014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2A62F" w14:textId="77777777" w:rsidR="00DA74E9" w:rsidRDefault="00DA74E9" w:rsidP="00DA74E9">
    <w:pPr>
      <w:tabs>
        <w:tab w:val="left" w:pos="2977"/>
        <w:tab w:val="left" w:pos="5387"/>
        <w:tab w:val="right" w:pos="10620"/>
      </w:tabs>
      <w:rPr>
        <w:sz w:val="18"/>
        <w:szCs w:val="18"/>
      </w:rPr>
    </w:pPr>
    <w:r>
      <w:rPr>
        <w:sz w:val="16"/>
        <w:szCs w:val="16"/>
      </w:rPr>
      <w:t xml:space="preserve">  </w:t>
    </w:r>
    <w:bookmarkStart w:id="2" w:name="_Hlk213695645"/>
    <w:bookmarkStart w:id="3" w:name="_Hlk213695646"/>
    <w:bookmarkStart w:id="4" w:name="_Hlk179295881"/>
    <w:bookmarkStart w:id="5" w:name="_Hlk179295882"/>
    <w:bookmarkStart w:id="6" w:name="_Hlk121065113"/>
    <w:bookmarkStart w:id="7" w:name="_Hlk121065114"/>
    <w:bookmarkStart w:id="8" w:name="_Hlk134205753"/>
    <w:bookmarkStart w:id="9" w:name="_Hlk134205754"/>
    <w:bookmarkStart w:id="10" w:name="_Hlk134206968"/>
    <w:bookmarkStart w:id="11" w:name="_Hlk134206969"/>
    <w:r>
      <w:rPr>
        <w:sz w:val="16"/>
        <w:szCs w:val="16"/>
      </w:rPr>
      <w:t>This publication is licensed u</w:t>
    </w:r>
    <w:r w:rsidRPr="00AB3774">
      <w:rPr>
        <w:sz w:val="16"/>
        <w:szCs w:val="16"/>
      </w:rPr>
      <w:t>nder Creative Commons Attribution CC BY</w:t>
    </w:r>
    <w:r>
      <w:rPr>
        <w:sz w:val="16"/>
        <w:szCs w:val="16"/>
      </w:rPr>
      <w:t>.</w:t>
    </w:r>
  </w:p>
  <w:p w14:paraId="06D92A55" w14:textId="056D8985" w:rsidR="00916D12" w:rsidRPr="00DA74E9" w:rsidRDefault="00DA74E9" w:rsidP="00DA74E9">
    <w:pPr>
      <w:tabs>
        <w:tab w:val="left" w:pos="2977"/>
        <w:tab w:val="left" w:pos="5387"/>
        <w:tab w:val="right" w:pos="10620"/>
      </w:tabs>
      <w:jc w:val="center"/>
      <w:rPr>
        <w:rFonts w:ascii="Book Antiqua" w:hAnsi="Book Antiqua"/>
        <w:color w:val="0000FF"/>
        <w:sz w:val="20"/>
        <w:szCs w:val="20"/>
        <w:u w:val="single"/>
      </w:rPr>
    </w:pPr>
    <w:r w:rsidRPr="00423549">
      <w:rPr>
        <w:rFonts w:ascii="Book Antiqua" w:hAnsi="Book Antiqua"/>
        <w:sz w:val="18"/>
        <w:szCs w:val="18"/>
      </w:rPr>
      <w:t>10.29322/IJSRP.1</w:t>
    </w:r>
    <w:r w:rsidR="00441D06">
      <w:rPr>
        <w:rFonts w:ascii="Book Antiqua" w:hAnsi="Book Antiqua"/>
        <w:sz w:val="18"/>
        <w:szCs w:val="18"/>
      </w:rPr>
      <w:t>6</w:t>
    </w:r>
    <w:r w:rsidRPr="00423549">
      <w:rPr>
        <w:rFonts w:ascii="Book Antiqua" w:hAnsi="Book Antiqua"/>
        <w:sz w:val="18"/>
        <w:szCs w:val="18"/>
      </w:rPr>
      <w:t>.</w:t>
    </w:r>
    <w:proofErr w:type="gramStart"/>
    <w:r w:rsidR="00441D06">
      <w:rPr>
        <w:rFonts w:ascii="Book Antiqua" w:hAnsi="Book Antiqua"/>
        <w:sz w:val="18"/>
        <w:szCs w:val="18"/>
      </w:rPr>
      <w:t>01</w:t>
    </w:r>
    <w:r w:rsidRPr="00423549">
      <w:rPr>
        <w:rFonts w:ascii="Book Antiqua" w:hAnsi="Book Antiqua"/>
        <w:sz w:val="18"/>
        <w:szCs w:val="18"/>
      </w:rPr>
      <w:t>.202</w:t>
    </w:r>
    <w:r w:rsidR="00441D06">
      <w:rPr>
        <w:rFonts w:ascii="Book Antiqua" w:hAnsi="Book Antiqua"/>
        <w:sz w:val="18"/>
        <w:szCs w:val="18"/>
      </w:rPr>
      <w:t>6</w:t>
    </w:r>
    <w:r w:rsidRPr="00423549">
      <w:rPr>
        <w:rFonts w:ascii="Book Antiqua" w:hAnsi="Book Antiqua"/>
        <w:sz w:val="18"/>
        <w:szCs w:val="18"/>
      </w:rPr>
      <w:t>.p</w:t>
    </w:r>
    <w:proofErr w:type="gramEnd"/>
    <w:r w:rsidRPr="00423549">
      <w:rPr>
        <w:rFonts w:ascii="Book Antiqua" w:hAnsi="Book Antiqua"/>
        <w:sz w:val="18"/>
        <w:szCs w:val="18"/>
      </w:rPr>
      <w:t>1</w:t>
    </w:r>
    <w:r>
      <w:rPr>
        <w:rFonts w:ascii="Book Antiqua" w:hAnsi="Book Antiqua"/>
        <w:sz w:val="18"/>
        <w:szCs w:val="18"/>
      </w:rPr>
      <w:t>6</w:t>
    </w:r>
    <w:r w:rsidR="00441D06">
      <w:rPr>
        <w:rFonts w:ascii="Book Antiqua" w:hAnsi="Book Antiqua"/>
        <w:sz w:val="18"/>
        <w:szCs w:val="18"/>
      </w:rPr>
      <w:t>9</w:t>
    </w:r>
    <w:r>
      <w:rPr>
        <w:rFonts w:ascii="Book Antiqua" w:hAnsi="Book Antiqua"/>
        <w:sz w:val="18"/>
        <w:szCs w:val="18"/>
      </w:rPr>
      <w:t>XX</w:t>
    </w:r>
    <w:r w:rsidRPr="0007723D">
      <w:rPr>
        <w:sz w:val="18"/>
        <w:szCs w:val="18"/>
      </w:rPr>
      <w:t xml:space="preserve"> </w:t>
    </w:r>
    <w:r>
      <w:rPr>
        <w:sz w:val="18"/>
        <w:szCs w:val="18"/>
      </w:rPr>
      <w:tab/>
    </w:r>
    <w:r>
      <w:rPr>
        <w:sz w:val="18"/>
        <w:szCs w:val="18"/>
      </w:rPr>
      <w:tab/>
    </w:r>
    <w:r>
      <w:rPr>
        <w:sz w:val="18"/>
        <w:szCs w:val="18"/>
      </w:rPr>
      <w:tab/>
    </w:r>
    <w:hyperlink r:id="rId1" w:history="1">
      <w:r>
        <w:rPr>
          <w:rStyle w:val="Hyperlink"/>
          <w:rFonts w:ascii="Book Antiqua" w:hAnsi="Book Antiqua"/>
          <w:sz w:val="20"/>
          <w:szCs w:val="20"/>
        </w:rPr>
        <w:t>www.ijsrp.org</w:t>
      </w:r>
    </w:hyperlink>
    <w:bookmarkEnd w:id="2"/>
    <w:bookmarkEnd w:id="3"/>
    <w:bookmarkEnd w:id="4"/>
    <w:bookmarkEnd w:id="5"/>
    <w:bookmarkEnd w:id="6"/>
    <w:bookmarkEnd w:id="7"/>
    <w:bookmarkEnd w:id="8"/>
    <w:bookmarkEnd w:id="9"/>
    <w:bookmarkEnd w:id="10"/>
    <w:bookmarkEnd w:id="1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5CD4" w14:textId="77777777" w:rsidR="00014B13" w:rsidRDefault="00014B13">
      <w:r>
        <w:separator/>
      </w:r>
    </w:p>
  </w:footnote>
  <w:footnote w:type="continuationSeparator" w:id="0">
    <w:p w14:paraId="1440A17C" w14:textId="77777777" w:rsidR="00014B13" w:rsidRDefault="00014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6F8E" w14:textId="0DD9FE3C" w:rsidR="00DA74E9" w:rsidRDefault="00DA74E9" w:rsidP="00DA74E9">
    <w:pPr>
      <w:pStyle w:val="Header"/>
      <w:jc w:val="left"/>
      <w:rPr>
        <w:sz w:val="16"/>
        <w:szCs w:val="16"/>
      </w:rPr>
    </w:pPr>
    <w:r>
      <w:rPr>
        <w:sz w:val="16"/>
        <w:szCs w:val="16"/>
      </w:rPr>
      <w:t>International Journal of Scientific and Research Publications, Volume 1</w:t>
    </w:r>
    <w:r w:rsidR="00441D06">
      <w:rPr>
        <w:sz w:val="16"/>
        <w:szCs w:val="16"/>
      </w:rPr>
      <w:t>6</w:t>
    </w:r>
    <w:r>
      <w:rPr>
        <w:sz w:val="16"/>
        <w:szCs w:val="16"/>
      </w:rPr>
      <w:t xml:space="preserve">, Issue 1, </w:t>
    </w:r>
    <w:r w:rsidR="00441D06">
      <w:rPr>
        <w:sz w:val="16"/>
        <w:szCs w:val="16"/>
      </w:rPr>
      <w:t>January</w:t>
    </w:r>
    <w:r>
      <w:rPr>
        <w:sz w:val="16"/>
        <w:szCs w:val="16"/>
      </w:rPr>
      <w:t xml:space="preserve"> 202</w:t>
    </w:r>
    <w:r w:rsidR="00441D06">
      <w:rPr>
        <w:sz w:val="16"/>
        <w:szCs w:val="16"/>
      </w:rPr>
      <w:t>6</w:t>
    </w:r>
    <w:r>
      <w:rPr>
        <w:sz w:val="16"/>
        <w:szCs w:val="16"/>
      </w:rPr>
      <w:tab/>
    </w:r>
    <w:r w:rsidRPr="0078796E">
      <w:rPr>
        <w:rFonts w:cs="Arial Unicode MS"/>
        <w:sz w:val="16"/>
        <w:szCs w:val="16"/>
      </w:rPr>
      <w:tab/>
    </w:r>
    <w:r>
      <w:rPr>
        <w:rFonts w:cs="Arial Unicode MS"/>
        <w:sz w:val="16"/>
        <w:szCs w:val="16"/>
      </w:rPr>
      <w:tab/>
    </w:r>
    <w:r>
      <w:rPr>
        <w:rFonts w:cs="Arial Unicode MS"/>
        <w:sz w:val="16"/>
        <w:szCs w:val="16"/>
      </w:rPr>
      <w:tab/>
    </w:r>
    <w:r>
      <w:rPr>
        <w:rFonts w:cs="Arial Unicode MS"/>
        <w:sz w:val="16"/>
        <w:szCs w:val="16"/>
      </w:rPr>
      <w:tab/>
    </w:r>
    <w:r>
      <w:rPr>
        <w:rFonts w:cs="Arial Unicode MS"/>
        <w:sz w:val="16"/>
        <w:szCs w:val="16"/>
      </w:rPr>
      <w:tab/>
      <w:t xml:space="preserve">        </w:t>
    </w:r>
    <w:r w:rsidRPr="0078796E">
      <w:rPr>
        <w:rStyle w:val="PageNumber"/>
        <w:sz w:val="16"/>
        <w:szCs w:val="16"/>
      </w:rPr>
      <w:fldChar w:fldCharType="begin"/>
    </w:r>
    <w:r w:rsidRPr="0078796E">
      <w:rPr>
        <w:rStyle w:val="PageNumber"/>
        <w:sz w:val="16"/>
        <w:szCs w:val="16"/>
      </w:rPr>
      <w:instrText xml:space="preserve"> PAGE </w:instrText>
    </w:r>
    <w:r w:rsidRPr="0078796E">
      <w:rPr>
        <w:rStyle w:val="PageNumber"/>
        <w:sz w:val="16"/>
        <w:szCs w:val="16"/>
      </w:rPr>
      <w:fldChar w:fldCharType="separate"/>
    </w:r>
    <w:r>
      <w:rPr>
        <w:rStyle w:val="PageNumber"/>
        <w:sz w:val="16"/>
        <w:szCs w:val="16"/>
      </w:rPr>
      <w:t>1</w:t>
    </w:r>
    <w:r w:rsidRPr="0078796E">
      <w:rPr>
        <w:rStyle w:val="PageNumber"/>
        <w:sz w:val="16"/>
        <w:szCs w:val="16"/>
      </w:rPr>
      <w:fldChar w:fldCharType="end"/>
    </w:r>
  </w:p>
  <w:p w14:paraId="0F48AAAA" w14:textId="0631C3A3" w:rsidR="00916D12" w:rsidRPr="00DA74E9" w:rsidRDefault="00DA74E9" w:rsidP="00DA74E9">
    <w:pPr>
      <w:pStyle w:val="Header"/>
      <w:tabs>
        <w:tab w:val="left" w:pos="1560"/>
      </w:tabs>
      <w:jc w:val="left"/>
      <w:rPr>
        <w:sz w:val="16"/>
        <w:szCs w:val="16"/>
      </w:rPr>
    </w:pPr>
    <w:r>
      <w:rPr>
        <w:sz w:val="16"/>
        <w:szCs w:val="16"/>
      </w:rPr>
      <w:t xml:space="preserve">ISSN 2250-3153 </w:t>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46023580">
      <w:start w:val="1"/>
      <w:numFmt w:val="upperRoman"/>
      <w:lvlText w:val="%1."/>
      <w:lvlJc w:val="right"/>
      <w:pPr>
        <w:tabs>
          <w:tab w:val="num" w:pos="720"/>
        </w:tabs>
        <w:ind w:left="720" w:hanging="180"/>
      </w:pPr>
    </w:lvl>
    <w:lvl w:ilvl="1" w:tplc="01B6DC6E" w:tentative="1">
      <w:start w:val="1"/>
      <w:numFmt w:val="lowerLetter"/>
      <w:lvlText w:val="%2."/>
      <w:lvlJc w:val="left"/>
      <w:pPr>
        <w:tabs>
          <w:tab w:val="num" w:pos="1440"/>
        </w:tabs>
        <w:ind w:left="1440" w:hanging="360"/>
      </w:pPr>
    </w:lvl>
    <w:lvl w:ilvl="2" w:tplc="1F00CBD0" w:tentative="1">
      <w:start w:val="1"/>
      <w:numFmt w:val="lowerRoman"/>
      <w:lvlText w:val="%3."/>
      <w:lvlJc w:val="right"/>
      <w:pPr>
        <w:tabs>
          <w:tab w:val="num" w:pos="2160"/>
        </w:tabs>
        <w:ind w:left="2160" w:hanging="180"/>
      </w:pPr>
    </w:lvl>
    <w:lvl w:ilvl="3" w:tplc="87E28CC8">
      <w:start w:val="1"/>
      <w:numFmt w:val="decimal"/>
      <w:lvlText w:val="%4."/>
      <w:lvlJc w:val="left"/>
      <w:pPr>
        <w:tabs>
          <w:tab w:val="num" w:pos="2880"/>
        </w:tabs>
        <w:ind w:left="2880" w:hanging="360"/>
      </w:pPr>
    </w:lvl>
    <w:lvl w:ilvl="4" w:tplc="64B858B0" w:tentative="1">
      <w:start w:val="1"/>
      <w:numFmt w:val="lowerLetter"/>
      <w:lvlText w:val="%5."/>
      <w:lvlJc w:val="left"/>
      <w:pPr>
        <w:tabs>
          <w:tab w:val="num" w:pos="3600"/>
        </w:tabs>
        <w:ind w:left="3600" w:hanging="360"/>
      </w:pPr>
    </w:lvl>
    <w:lvl w:ilvl="5" w:tplc="DF2EABD4" w:tentative="1">
      <w:start w:val="1"/>
      <w:numFmt w:val="lowerRoman"/>
      <w:lvlText w:val="%6."/>
      <w:lvlJc w:val="right"/>
      <w:pPr>
        <w:tabs>
          <w:tab w:val="num" w:pos="4320"/>
        </w:tabs>
        <w:ind w:left="4320" w:hanging="180"/>
      </w:pPr>
    </w:lvl>
    <w:lvl w:ilvl="6" w:tplc="954C16B6" w:tentative="1">
      <w:start w:val="1"/>
      <w:numFmt w:val="decimal"/>
      <w:lvlText w:val="%7."/>
      <w:lvlJc w:val="left"/>
      <w:pPr>
        <w:tabs>
          <w:tab w:val="num" w:pos="5040"/>
        </w:tabs>
        <w:ind w:left="5040" w:hanging="360"/>
      </w:pPr>
    </w:lvl>
    <w:lvl w:ilvl="7" w:tplc="B5AC36C2" w:tentative="1">
      <w:start w:val="1"/>
      <w:numFmt w:val="lowerLetter"/>
      <w:lvlText w:val="%8."/>
      <w:lvlJc w:val="left"/>
      <w:pPr>
        <w:tabs>
          <w:tab w:val="num" w:pos="5760"/>
        </w:tabs>
        <w:ind w:left="5760" w:hanging="360"/>
      </w:pPr>
    </w:lvl>
    <w:lvl w:ilvl="8" w:tplc="24ECC65E"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975795315">
    <w:abstractNumId w:val="5"/>
  </w:num>
  <w:num w:numId="2" w16cid:durableId="180552712">
    <w:abstractNumId w:val="2"/>
  </w:num>
  <w:num w:numId="3" w16cid:durableId="210923052">
    <w:abstractNumId w:val="6"/>
  </w:num>
  <w:num w:numId="4" w16cid:durableId="692420480">
    <w:abstractNumId w:val="4"/>
  </w:num>
  <w:num w:numId="5" w16cid:durableId="128325619">
    <w:abstractNumId w:val="0"/>
  </w:num>
  <w:num w:numId="6" w16cid:durableId="197200486">
    <w:abstractNumId w:val="1"/>
  </w:num>
  <w:num w:numId="7" w16cid:durableId="1343125039">
    <w:abstractNumId w:val="7"/>
  </w:num>
  <w:num w:numId="8" w16cid:durableId="154615734">
    <w:abstractNumId w:val="8"/>
  </w:num>
  <w:num w:numId="9" w16cid:durableId="1490442185">
    <w:abstractNumId w:val="3"/>
  </w:num>
  <w:num w:numId="10" w16cid:durableId="811098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877ECB"/>
    <w:rsid w:val="000019D5"/>
    <w:rsid w:val="00003AC3"/>
    <w:rsid w:val="00003D74"/>
    <w:rsid w:val="000046D2"/>
    <w:rsid w:val="00006BB7"/>
    <w:rsid w:val="0001039C"/>
    <w:rsid w:val="00011116"/>
    <w:rsid w:val="0001399B"/>
    <w:rsid w:val="0001450A"/>
    <w:rsid w:val="000147A6"/>
    <w:rsid w:val="00014B13"/>
    <w:rsid w:val="00014E30"/>
    <w:rsid w:val="00014FEF"/>
    <w:rsid w:val="000177B8"/>
    <w:rsid w:val="0003247D"/>
    <w:rsid w:val="00032B4C"/>
    <w:rsid w:val="00042491"/>
    <w:rsid w:val="00044291"/>
    <w:rsid w:val="00047DA8"/>
    <w:rsid w:val="00055D23"/>
    <w:rsid w:val="0006092C"/>
    <w:rsid w:val="00060A16"/>
    <w:rsid w:val="000622D6"/>
    <w:rsid w:val="0007723D"/>
    <w:rsid w:val="0008198A"/>
    <w:rsid w:val="00093FCC"/>
    <w:rsid w:val="00095AA3"/>
    <w:rsid w:val="00097EAC"/>
    <w:rsid w:val="000A02A6"/>
    <w:rsid w:val="000A7E2F"/>
    <w:rsid w:val="000B2891"/>
    <w:rsid w:val="000B2E2A"/>
    <w:rsid w:val="000B79E8"/>
    <w:rsid w:val="000B7BC0"/>
    <w:rsid w:val="000C02A9"/>
    <w:rsid w:val="000C1197"/>
    <w:rsid w:val="000C525F"/>
    <w:rsid w:val="000C643D"/>
    <w:rsid w:val="000D308D"/>
    <w:rsid w:val="000D342D"/>
    <w:rsid w:val="000D791D"/>
    <w:rsid w:val="000F1059"/>
    <w:rsid w:val="000F4659"/>
    <w:rsid w:val="000F65EE"/>
    <w:rsid w:val="00100B9E"/>
    <w:rsid w:val="00100C52"/>
    <w:rsid w:val="001018C7"/>
    <w:rsid w:val="001079C3"/>
    <w:rsid w:val="001167C7"/>
    <w:rsid w:val="001257B8"/>
    <w:rsid w:val="00127DF6"/>
    <w:rsid w:val="00132633"/>
    <w:rsid w:val="00140508"/>
    <w:rsid w:val="0014290F"/>
    <w:rsid w:val="00142CB2"/>
    <w:rsid w:val="00143472"/>
    <w:rsid w:val="001509DF"/>
    <w:rsid w:val="00154CF9"/>
    <w:rsid w:val="00154F29"/>
    <w:rsid w:val="00156415"/>
    <w:rsid w:val="00156E0F"/>
    <w:rsid w:val="00165550"/>
    <w:rsid w:val="00170039"/>
    <w:rsid w:val="00171E47"/>
    <w:rsid w:val="00176E77"/>
    <w:rsid w:val="00177FB9"/>
    <w:rsid w:val="0018553D"/>
    <w:rsid w:val="00193082"/>
    <w:rsid w:val="001962D2"/>
    <w:rsid w:val="00197245"/>
    <w:rsid w:val="001A32B8"/>
    <w:rsid w:val="001A3527"/>
    <w:rsid w:val="001A4A33"/>
    <w:rsid w:val="001A6F23"/>
    <w:rsid w:val="001C0083"/>
    <w:rsid w:val="001C0414"/>
    <w:rsid w:val="001D2FDA"/>
    <w:rsid w:val="001D4556"/>
    <w:rsid w:val="001D4589"/>
    <w:rsid w:val="001E0553"/>
    <w:rsid w:val="001E0EE5"/>
    <w:rsid w:val="001E5199"/>
    <w:rsid w:val="001E62F9"/>
    <w:rsid w:val="001E6A61"/>
    <w:rsid w:val="001E74C3"/>
    <w:rsid w:val="001F6AAA"/>
    <w:rsid w:val="00201908"/>
    <w:rsid w:val="00204FE1"/>
    <w:rsid w:val="00207267"/>
    <w:rsid w:val="0021011E"/>
    <w:rsid w:val="00216F93"/>
    <w:rsid w:val="00217211"/>
    <w:rsid w:val="00223B2A"/>
    <w:rsid w:val="00235EF3"/>
    <w:rsid w:val="00237623"/>
    <w:rsid w:val="0024053E"/>
    <w:rsid w:val="0025573A"/>
    <w:rsid w:val="00264ADF"/>
    <w:rsid w:val="00280948"/>
    <w:rsid w:val="00283B6D"/>
    <w:rsid w:val="00283F24"/>
    <w:rsid w:val="00285CA9"/>
    <w:rsid w:val="0028683F"/>
    <w:rsid w:val="00287F36"/>
    <w:rsid w:val="00291823"/>
    <w:rsid w:val="00291F18"/>
    <w:rsid w:val="00292927"/>
    <w:rsid w:val="002A00FC"/>
    <w:rsid w:val="002A0F86"/>
    <w:rsid w:val="002A1A2F"/>
    <w:rsid w:val="002A2A00"/>
    <w:rsid w:val="002A3F1B"/>
    <w:rsid w:val="002A473A"/>
    <w:rsid w:val="002A68DC"/>
    <w:rsid w:val="002B60E5"/>
    <w:rsid w:val="002B6688"/>
    <w:rsid w:val="002C73D7"/>
    <w:rsid w:val="002D2AF8"/>
    <w:rsid w:val="002D2BBF"/>
    <w:rsid w:val="002D3F89"/>
    <w:rsid w:val="002E07CA"/>
    <w:rsid w:val="002E312D"/>
    <w:rsid w:val="002E607E"/>
    <w:rsid w:val="002E7BC0"/>
    <w:rsid w:val="002F14CB"/>
    <w:rsid w:val="002F1D86"/>
    <w:rsid w:val="002F3FCA"/>
    <w:rsid w:val="002F52E5"/>
    <w:rsid w:val="00301FEA"/>
    <w:rsid w:val="00303665"/>
    <w:rsid w:val="00303D9F"/>
    <w:rsid w:val="00311913"/>
    <w:rsid w:val="003132C5"/>
    <w:rsid w:val="0032294C"/>
    <w:rsid w:val="00324CD1"/>
    <w:rsid w:val="00332BFB"/>
    <w:rsid w:val="00333DE0"/>
    <w:rsid w:val="00341009"/>
    <w:rsid w:val="003447AE"/>
    <w:rsid w:val="00345284"/>
    <w:rsid w:val="00346DE3"/>
    <w:rsid w:val="00347D86"/>
    <w:rsid w:val="0035561E"/>
    <w:rsid w:val="003571BF"/>
    <w:rsid w:val="00363347"/>
    <w:rsid w:val="003704C6"/>
    <w:rsid w:val="0037178C"/>
    <w:rsid w:val="00381E5B"/>
    <w:rsid w:val="00382914"/>
    <w:rsid w:val="00385D1F"/>
    <w:rsid w:val="003876B3"/>
    <w:rsid w:val="00391FFD"/>
    <w:rsid w:val="003A5484"/>
    <w:rsid w:val="003A663C"/>
    <w:rsid w:val="003B1CB0"/>
    <w:rsid w:val="003C2072"/>
    <w:rsid w:val="003D4033"/>
    <w:rsid w:val="003D5063"/>
    <w:rsid w:val="003E05DE"/>
    <w:rsid w:val="003E0D52"/>
    <w:rsid w:val="003E1E62"/>
    <w:rsid w:val="003F297B"/>
    <w:rsid w:val="003F55DB"/>
    <w:rsid w:val="003F5D6E"/>
    <w:rsid w:val="003F7D6D"/>
    <w:rsid w:val="00401748"/>
    <w:rsid w:val="00403B00"/>
    <w:rsid w:val="00403FBD"/>
    <w:rsid w:val="00405A9B"/>
    <w:rsid w:val="00405D72"/>
    <w:rsid w:val="00406212"/>
    <w:rsid w:val="004069D6"/>
    <w:rsid w:val="00407401"/>
    <w:rsid w:val="00407F23"/>
    <w:rsid w:val="00411A93"/>
    <w:rsid w:val="0041563B"/>
    <w:rsid w:val="00416101"/>
    <w:rsid w:val="00424157"/>
    <w:rsid w:val="00427691"/>
    <w:rsid w:val="00433274"/>
    <w:rsid w:val="00435DE2"/>
    <w:rsid w:val="0043749E"/>
    <w:rsid w:val="00441D06"/>
    <w:rsid w:val="00446644"/>
    <w:rsid w:val="00450171"/>
    <w:rsid w:val="00460570"/>
    <w:rsid w:val="00475DB0"/>
    <w:rsid w:val="004771DD"/>
    <w:rsid w:val="00485402"/>
    <w:rsid w:val="00486F69"/>
    <w:rsid w:val="00490ACC"/>
    <w:rsid w:val="004979AE"/>
    <w:rsid w:val="004A0EA6"/>
    <w:rsid w:val="004A3EE4"/>
    <w:rsid w:val="004A545B"/>
    <w:rsid w:val="004A6C29"/>
    <w:rsid w:val="004A74A2"/>
    <w:rsid w:val="004B7907"/>
    <w:rsid w:val="004C3C16"/>
    <w:rsid w:val="004C793F"/>
    <w:rsid w:val="004D0991"/>
    <w:rsid w:val="004D5F21"/>
    <w:rsid w:val="004D79A3"/>
    <w:rsid w:val="004F4B7B"/>
    <w:rsid w:val="004F652C"/>
    <w:rsid w:val="004F6E27"/>
    <w:rsid w:val="00510D66"/>
    <w:rsid w:val="005111F5"/>
    <w:rsid w:val="005178D2"/>
    <w:rsid w:val="00521F1D"/>
    <w:rsid w:val="00526209"/>
    <w:rsid w:val="00534057"/>
    <w:rsid w:val="00534C5F"/>
    <w:rsid w:val="0053650F"/>
    <w:rsid w:val="00537235"/>
    <w:rsid w:val="005532BE"/>
    <w:rsid w:val="005558D1"/>
    <w:rsid w:val="00555FFB"/>
    <w:rsid w:val="00556B91"/>
    <w:rsid w:val="00560AFF"/>
    <w:rsid w:val="005657A2"/>
    <w:rsid w:val="0056697B"/>
    <w:rsid w:val="005857AF"/>
    <w:rsid w:val="005946DB"/>
    <w:rsid w:val="00594DEA"/>
    <w:rsid w:val="00595BEF"/>
    <w:rsid w:val="00596A0E"/>
    <w:rsid w:val="00597C8D"/>
    <w:rsid w:val="005A41C2"/>
    <w:rsid w:val="005A56B0"/>
    <w:rsid w:val="005B61E1"/>
    <w:rsid w:val="005C7DE7"/>
    <w:rsid w:val="005D3007"/>
    <w:rsid w:val="005D3A14"/>
    <w:rsid w:val="005E28E7"/>
    <w:rsid w:val="005E4670"/>
    <w:rsid w:val="005F0B80"/>
    <w:rsid w:val="005F4215"/>
    <w:rsid w:val="00600CB1"/>
    <w:rsid w:val="0060764E"/>
    <w:rsid w:val="006121B6"/>
    <w:rsid w:val="0061309F"/>
    <w:rsid w:val="00614040"/>
    <w:rsid w:val="00632005"/>
    <w:rsid w:val="00642BB6"/>
    <w:rsid w:val="00644009"/>
    <w:rsid w:val="0064442B"/>
    <w:rsid w:val="00651689"/>
    <w:rsid w:val="006611A4"/>
    <w:rsid w:val="00661F85"/>
    <w:rsid w:val="00670D13"/>
    <w:rsid w:val="00673D80"/>
    <w:rsid w:val="00676222"/>
    <w:rsid w:val="00677CD5"/>
    <w:rsid w:val="0068248E"/>
    <w:rsid w:val="006874A3"/>
    <w:rsid w:val="00695936"/>
    <w:rsid w:val="006A177C"/>
    <w:rsid w:val="006A4C2C"/>
    <w:rsid w:val="006A5D71"/>
    <w:rsid w:val="006B036D"/>
    <w:rsid w:val="006B7387"/>
    <w:rsid w:val="006C5407"/>
    <w:rsid w:val="006D5814"/>
    <w:rsid w:val="006D7815"/>
    <w:rsid w:val="006E2564"/>
    <w:rsid w:val="006F1C6A"/>
    <w:rsid w:val="006F35DB"/>
    <w:rsid w:val="00701951"/>
    <w:rsid w:val="00703EAE"/>
    <w:rsid w:val="00705824"/>
    <w:rsid w:val="007058F2"/>
    <w:rsid w:val="00706688"/>
    <w:rsid w:val="00712978"/>
    <w:rsid w:val="00715257"/>
    <w:rsid w:val="007230E4"/>
    <w:rsid w:val="007235EF"/>
    <w:rsid w:val="0073109C"/>
    <w:rsid w:val="00731EF1"/>
    <w:rsid w:val="00732CC7"/>
    <w:rsid w:val="00732ECB"/>
    <w:rsid w:val="00736169"/>
    <w:rsid w:val="007426D4"/>
    <w:rsid w:val="00743FC9"/>
    <w:rsid w:val="00744ECD"/>
    <w:rsid w:val="0076040E"/>
    <w:rsid w:val="007611F4"/>
    <w:rsid w:val="00765C0F"/>
    <w:rsid w:val="007661EA"/>
    <w:rsid w:val="00774367"/>
    <w:rsid w:val="007813E5"/>
    <w:rsid w:val="00783381"/>
    <w:rsid w:val="00783A46"/>
    <w:rsid w:val="00785292"/>
    <w:rsid w:val="00786EF5"/>
    <w:rsid w:val="00787B90"/>
    <w:rsid w:val="0079254B"/>
    <w:rsid w:val="00792BD4"/>
    <w:rsid w:val="00794B80"/>
    <w:rsid w:val="007A6E00"/>
    <w:rsid w:val="007A6ECC"/>
    <w:rsid w:val="007A77EB"/>
    <w:rsid w:val="007A7A8B"/>
    <w:rsid w:val="007B1050"/>
    <w:rsid w:val="007C6EE9"/>
    <w:rsid w:val="007C78C5"/>
    <w:rsid w:val="007D0010"/>
    <w:rsid w:val="007D3977"/>
    <w:rsid w:val="007D592F"/>
    <w:rsid w:val="007D6E58"/>
    <w:rsid w:val="007E6867"/>
    <w:rsid w:val="007F18B1"/>
    <w:rsid w:val="007F2607"/>
    <w:rsid w:val="007F364A"/>
    <w:rsid w:val="00804440"/>
    <w:rsid w:val="00804D87"/>
    <w:rsid w:val="00806785"/>
    <w:rsid w:val="00813316"/>
    <w:rsid w:val="00821729"/>
    <w:rsid w:val="00834CB1"/>
    <w:rsid w:val="008469BF"/>
    <w:rsid w:val="00850734"/>
    <w:rsid w:val="00854803"/>
    <w:rsid w:val="008622A7"/>
    <w:rsid w:val="00865781"/>
    <w:rsid w:val="008669B2"/>
    <w:rsid w:val="0087552D"/>
    <w:rsid w:val="00876B51"/>
    <w:rsid w:val="00877ECB"/>
    <w:rsid w:val="008805D9"/>
    <w:rsid w:val="00882EDE"/>
    <w:rsid w:val="00883944"/>
    <w:rsid w:val="0088718E"/>
    <w:rsid w:val="008921BA"/>
    <w:rsid w:val="008929D1"/>
    <w:rsid w:val="008944F0"/>
    <w:rsid w:val="008A0DDF"/>
    <w:rsid w:val="008A1D76"/>
    <w:rsid w:val="008A2B49"/>
    <w:rsid w:val="008A36CF"/>
    <w:rsid w:val="008A79B4"/>
    <w:rsid w:val="008B290E"/>
    <w:rsid w:val="008B383C"/>
    <w:rsid w:val="008B403D"/>
    <w:rsid w:val="008B4570"/>
    <w:rsid w:val="008B5BDB"/>
    <w:rsid w:val="008C173C"/>
    <w:rsid w:val="008C6A64"/>
    <w:rsid w:val="008D3A62"/>
    <w:rsid w:val="008D71A4"/>
    <w:rsid w:val="008E199B"/>
    <w:rsid w:val="008E657D"/>
    <w:rsid w:val="008E6B65"/>
    <w:rsid w:val="008F2981"/>
    <w:rsid w:val="008F3146"/>
    <w:rsid w:val="008F7611"/>
    <w:rsid w:val="00900DD9"/>
    <w:rsid w:val="00901BC5"/>
    <w:rsid w:val="009068B9"/>
    <w:rsid w:val="009100BE"/>
    <w:rsid w:val="00916D12"/>
    <w:rsid w:val="0092042A"/>
    <w:rsid w:val="0092410A"/>
    <w:rsid w:val="0092512C"/>
    <w:rsid w:val="00925146"/>
    <w:rsid w:val="0093286B"/>
    <w:rsid w:val="0093330F"/>
    <w:rsid w:val="00934161"/>
    <w:rsid w:val="00940770"/>
    <w:rsid w:val="00942EFC"/>
    <w:rsid w:val="00944F34"/>
    <w:rsid w:val="00947C3B"/>
    <w:rsid w:val="00950B4A"/>
    <w:rsid w:val="009555E5"/>
    <w:rsid w:val="00963623"/>
    <w:rsid w:val="00964847"/>
    <w:rsid w:val="0096779C"/>
    <w:rsid w:val="00967C64"/>
    <w:rsid w:val="0097204F"/>
    <w:rsid w:val="0098240F"/>
    <w:rsid w:val="00984105"/>
    <w:rsid w:val="009847FE"/>
    <w:rsid w:val="0098722E"/>
    <w:rsid w:val="0099582D"/>
    <w:rsid w:val="009A1D91"/>
    <w:rsid w:val="009B0D92"/>
    <w:rsid w:val="009B31EC"/>
    <w:rsid w:val="009B6B3B"/>
    <w:rsid w:val="009C2971"/>
    <w:rsid w:val="009D0D40"/>
    <w:rsid w:val="009D392E"/>
    <w:rsid w:val="009D4148"/>
    <w:rsid w:val="009E067C"/>
    <w:rsid w:val="009E1BD8"/>
    <w:rsid w:val="009E5D1B"/>
    <w:rsid w:val="009E7F78"/>
    <w:rsid w:val="009F1F79"/>
    <w:rsid w:val="009F2FCC"/>
    <w:rsid w:val="009F3A57"/>
    <w:rsid w:val="009F7ACB"/>
    <w:rsid w:val="009F7F54"/>
    <w:rsid w:val="00A0139D"/>
    <w:rsid w:val="00A0370D"/>
    <w:rsid w:val="00A04C9F"/>
    <w:rsid w:val="00A11E4C"/>
    <w:rsid w:val="00A12753"/>
    <w:rsid w:val="00A12A77"/>
    <w:rsid w:val="00A2038A"/>
    <w:rsid w:val="00A25B1F"/>
    <w:rsid w:val="00A30289"/>
    <w:rsid w:val="00A31B41"/>
    <w:rsid w:val="00A34166"/>
    <w:rsid w:val="00A4109F"/>
    <w:rsid w:val="00A454A6"/>
    <w:rsid w:val="00A47184"/>
    <w:rsid w:val="00A50081"/>
    <w:rsid w:val="00A5423C"/>
    <w:rsid w:val="00A5475F"/>
    <w:rsid w:val="00A55468"/>
    <w:rsid w:val="00A6196A"/>
    <w:rsid w:val="00A67C4A"/>
    <w:rsid w:val="00A80AD7"/>
    <w:rsid w:val="00A81BB7"/>
    <w:rsid w:val="00A833B4"/>
    <w:rsid w:val="00A84548"/>
    <w:rsid w:val="00A874FD"/>
    <w:rsid w:val="00A9131B"/>
    <w:rsid w:val="00AA569B"/>
    <w:rsid w:val="00AA6911"/>
    <w:rsid w:val="00AB0DE8"/>
    <w:rsid w:val="00AB1E10"/>
    <w:rsid w:val="00AC0C5D"/>
    <w:rsid w:val="00AC1929"/>
    <w:rsid w:val="00AC4119"/>
    <w:rsid w:val="00AD0BB0"/>
    <w:rsid w:val="00AD775A"/>
    <w:rsid w:val="00AE1AF0"/>
    <w:rsid w:val="00AE29C7"/>
    <w:rsid w:val="00AE54FE"/>
    <w:rsid w:val="00AE64B4"/>
    <w:rsid w:val="00AF19A5"/>
    <w:rsid w:val="00AF2BB6"/>
    <w:rsid w:val="00AF58B9"/>
    <w:rsid w:val="00AF654F"/>
    <w:rsid w:val="00AF6678"/>
    <w:rsid w:val="00AF7B9F"/>
    <w:rsid w:val="00AF7D4D"/>
    <w:rsid w:val="00B01098"/>
    <w:rsid w:val="00B049D2"/>
    <w:rsid w:val="00B0506C"/>
    <w:rsid w:val="00B06EF7"/>
    <w:rsid w:val="00B070A1"/>
    <w:rsid w:val="00B10EB3"/>
    <w:rsid w:val="00B2028D"/>
    <w:rsid w:val="00B23298"/>
    <w:rsid w:val="00B31503"/>
    <w:rsid w:val="00B34FE2"/>
    <w:rsid w:val="00B36399"/>
    <w:rsid w:val="00B41700"/>
    <w:rsid w:val="00B4423C"/>
    <w:rsid w:val="00B45B0B"/>
    <w:rsid w:val="00B52D1E"/>
    <w:rsid w:val="00B55E9C"/>
    <w:rsid w:val="00B60C5D"/>
    <w:rsid w:val="00B61508"/>
    <w:rsid w:val="00B7083C"/>
    <w:rsid w:val="00B70BD1"/>
    <w:rsid w:val="00B71F5F"/>
    <w:rsid w:val="00B7254B"/>
    <w:rsid w:val="00B746BF"/>
    <w:rsid w:val="00B75D74"/>
    <w:rsid w:val="00B77C74"/>
    <w:rsid w:val="00B80181"/>
    <w:rsid w:val="00B83956"/>
    <w:rsid w:val="00B852D4"/>
    <w:rsid w:val="00B94A59"/>
    <w:rsid w:val="00BA1AAA"/>
    <w:rsid w:val="00BA1BE9"/>
    <w:rsid w:val="00BA26CD"/>
    <w:rsid w:val="00BA281B"/>
    <w:rsid w:val="00BA5974"/>
    <w:rsid w:val="00BB33D3"/>
    <w:rsid w:val="00BB5A11"/>
    <w:rsid w:val="00BB752D"/>
    <w:rsid w:val="00BC427C"/>
    <w:rsid w:val="00BD15F3"/>
    <w:rsid w:val="00BD16D8"/>
    <w:rsid w:val="00BD1842"/>
    <w:rsid w:val="00BD3222"/>
    <w:rsid w:val="00BD4EDC"/>
    <w:rsid w:val="00BF02E1"/>
    <w:rsid w:val="00BF2460"/>
    <w:rsid w:val="00C04AF1"/>
    <w:rsid w:val="00C11C84"/>
    <w:rsid w:val="00C31514"/>
    <w:rsid w:val="00C31FF2"/>
    <w:rsid w:val="00C40CF0"/>
    <w:rsid w:val="00C44518"/>
    <w:rsid w:val="00C4501A"/>
    <w:rsid w:val="00C45DAB"/>
    <w:rsid w:val="00C4625C"/>
    <w:rsid w:val="00C51EFF"/>
    <w:rsid w:val="00C64515"/>
    <w:rsid w:val="00C65D45"/>
    <w:rsid w:val="00C838F7"/>
    <w:rsid w:val="00C95910"/>
    <w:rsid w:val="00C968BF"/>
    <w:rsid w:val="00CA6924"/>
    <w:rsid w:val="00CB1CC9"/>
    <w:rsid w:val="00CB65C0"/>
    <w:rsid w:val="00CC315B"/>
    <w:rsid w:val="00CD274A"/>
    <w:rsid w:val="00CD40E5"/>
    <w:rsid w:val="00CD48CE"/>
    <w:rsid w:val="00CE2F69"/>
    <w:rsid w:val="00CF4A25"/>
    <w:rsid w:val="00CF571D"/>
    <w:rsid w:val="00D001BC"/>
    <w:rsid w:val="00D02BE6"/>
    <w:rsid w:val="00D0339C"/>
    <w:rsid w:val="00D0475C"/>
    <w:rsid w:val="00D06C67"/>
    <w:rsid w:val="00D10DA0"/>
    <w:rsid w:val="00D142BA"/>
    <w:rsid w:val="00D14687"/>
    <w:rsid w:val="00D23140"/>
    <w:rsid w:val="00D23936"/>
    <w:rsid w:val="00D2549C"/>
    <w:rsid w:val="00D31A05"/>
    <w:rsid w:val="00D343CC"/>
    <w:rsid w:val="00D40251"/>
    <w:rsid w:val="00D4534F"/>
    <w:rsid w:val="00D46055"/>
    <w:rsid w:val="00D51EE4"/>
    <w:rsid w:val="00D52C6E"/>
    <w:rsid w:val="00D54298"/>
    <w:rsid w:val="00D55114"/>
    <w:rsid w:val="00D56401"/>
    <w:rsid w:val="00D60DDB"/>
    <w:rsid w:val="00D641AD"/>
    <w:rsid w:val="00D653BC"/>
    <w:rsid w:val="00D656F0"/>
    <w:rsid w:val="00D66527"/>
    <w:rsid w:val="00D75FCB"/>
    <w:rsid w:val="00D80105"/>
    <w:rsid w:val="00D80DCF"/>
    <w:rsid w:val="00D810B8"/>
    <w:rsid w:val="00D847A5"/>
    <w:rsid w:val="00D84ED0"/>
    <w:rsid w:val="00D930AE"/>
    <w:rsid w:val="00D9387E"/>
    <w:rsid w:val="00DA0A6E"/>
    <w:rsid w:val="00DA2B41"/>
    <w:rsid w:val="00DA407D"/>
    <w:rsid w:val="00DA74E9"/>
    <w:rsid w:val="00DB38F5"/>
    <w:rsid w:val="00DB58E5"/>
    <w:rsid w:val="00DB6661"/>
    <w:rsid w:val="00DB6C7B"/>
    <w:rsid w:val="00DB74C4"/>
    <w:rsid w:val="00DC1EB5"/>
    <w:rsid w:val="00DC2253"/>
    <w:rsid w:val="00DC3676"/>
    <w:rsid w:val="00DC7509"/>
    <w:rsid w:val="00DC7AD4"/>
    <w:rsid w:val="00DF4B66"/>
    <w:rsid w:val="00E020E9"/>
    <w:rsid w:val="00E04B7F"/>
    <w:rsid w:val="00E070E9"/>
    <w:rsid w:val="00E07473"/>
    <w:rsid w:val="00E154F9"/>
    <w:rsid w:val="00E15528"/>
    <w:rsid w:val="00E35EA5"/>
    <w:rsid w:val="00E41417"/>
    <w:rsid w:val="00E442B7"/>
    <w:rsid w:val="00E525F3"/>
    <w:rsid w:val="00E566BA"/>
    <w:rsid w:val="00E625C2"/>
    <w:rsid w:val="00E62C4F"/>
    <w:rsid w:val="00E63190"/>
    <w:rsid w:val="00E64187"/>
    <w:rsid w:val="00E6514A"/>
    <w:rsid w:val="00E77517"/>
    <w:rsid w:val="00E77BFF"/>
    <w:rsid w:val="00E809EA"/>
    <w:rsid w:val="00E82307"/>
    <w:rsid w:val="00E85723"/>
    <w:rsid w:val="00E918F0"/>
    <w:rsid w:val="00EA1499"/>
    <w:rsid w:val="00EA6ED9"/>
    <w:rsid w:val="00EB3653"/>
    <w:rsid w:val="00EC2699"/>
    <w:rsid w:val="00EC2D9E"/>
    <w:rsid w:val="00EC6758"/>
    <w:rsid w:val="00EC6ED1"/>
    <w:rsid w:val="00EC73C2"/>
    <w:rsid w:val="00ED2D36"/>
    <w:rsid w:val="00ED4C58"/>
    <w:rsid w:val="00EE0388"/>
    <w:rsid w:val="00EE0ED3"/>
    <w:rsid w:val="00EE2BA4"/>
    <w:rsid w:val="00EE39A6"/>
    <w:rsid w:val="00EE4FFE"/>
    <w:rsid w:val="00EE5655"/>
    <w:rsid w:val="00EF367C"/>
    <w:rsid w:val="00EF6E0B"/>
    <w:rsid w:val="00EF7935"/>
    <w:rsid w:val="00F00FCB"/>
    <w:rsid w:val="00F1048B"/>
    <w:rsid w:val="00F174DB"/>
    <w:rsid w:val="00F176E6"/>
    <w:rsid w:val="00F2064D"/>
    <w:rsid w:val="00F20D93"/>
    <w:rsid w:val="00F20EA4"/>
    <w:rsid w:val="00F26158"/>
    <w:rsid w:val="00F2643A"/>
    <w:rsid w:val="00F2719C"/>
    <w:rsid w:val="00F3004B"/>
    <w:rsid w:val="00F323B2"/>
    <w:rsid w:val="00F3586B"/>
    <w:rsid w:val="00F44132"/>
    <w:rsid w:val="00F627D3"/>
    <w:rsid w:val="00F631FB"/>
    <w:rsid w:val="00F66541"/>
    <w:rsid w:val="00F67A43"/>
    <w:rsid w:val="00F835DE"/>
    <w:rsid w:val="00F91D78"/>
    <w:rsid w:val="00F97BD5"/>
    <w:rsid w:val="00FA3DC0"/>
    <w:rsid w:val="00FA5903"/>
    <w:rsid w:val="00FB3536"/>
    <w:rsid w:val="00FC0233"/>
    <w:rsid w:val="00FC4B04"/>
    <w:rsid w:val="00FD021C"/>
    <w:rsid w:val="00FD434A"/>
    <w:rsid w:val="00FE0F88"/>
    <w:rsid w:val="00FE170A"/>
    <w:rsid w:val="00FE511B"/>
    <w:rsid w:val="00FE54EC"/>
    <w:rsid w:val="00FF54CF"/>
    <w:rsid w:val="00FF7B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stockticker"/>
  <w:smartTagType w:namespaceuri="urn:schemas-microsoft-com:office:smarttags" w:name="time"/>
  <w:shapeDefaults>
    <o:shapedefaults v:ext="edit" spidmax="2050"/>
    <o:shapelayout v:ext="edit">
      <o:idmap v:ext="edit" data="2"/>
    </o:shapelayout>
  </w:shapeDefaults>
  <w:decimalSymbol w:val="."/>
  <w:listSeparator w:val=","/>
  <w14:docId w14:val="3762A60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911"/>
    <w:rPr>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FC0233"/>
    <w:rPr>
      <w:color w:val="800080"/>
      <w:u w:val="single"/>
    </w:rPr>
  </w:style>
  <w:style w:type="character" w:styleId="UnresolvedMention">
    <w:name w:val="Unresolved Mention"/>
    <w:basedOn w:val="DefaultParagraphFont"/>
    <w:uiPriority w:val="99"/>
    <w:semiHidden/>
    <w:unhideWhenUsed/>
    <w:rsid w:val="00A50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8784">
      <w:bodyDiv w:val="1"/>
      <w:marLeft w:val="0"/>
      <w:marRight w:val="0"/>
      <w:marTop w:val="0"/>
      <w:marBottom w:val="0"/>
      <w:divBdr>
        <w:top w:val="none" w:sz="0" w:space="0" w:color="auto"/>
        <w:left w:val="none" w:sz="0" w:space="0" w:color="auto"/>
        <w:bottom w:val="none" w:sz="0" w:space="0" w:color="auto"/>
        <w:right w:val="none" w:sz="0" w:space="0" w:color="auto"/>
      </w:divBdr>
    </w:div>
    <w:div w:id="52706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x.doi.org/10.29322/IJSRP.16.01.2026.p169X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jsrp.org/online-publication-charge.html" TargetMode="External"/><Relationship Id="rId5" Type="http://schemas.openxmlformats.org/officeDocument/2006/relationships/footnotes" Target="footnotes.xml"/><Relationship Id="rId10" Type="http://schemas.openxmlformats.org/officeDocument/2006/relationships/hyperlink" Target="mailto:editor@ijsrp.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ijsr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389</TotalTime>
  <Pages>3</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Title of Paper</vt:lpstr>
    </vt:vector>
  </TitlesOfParts>
  <Manager>www.ijsrp.org</Manager>
  <Company>IJSRP Inc.</Company>
  <LinksUpToDate>false</LinksUpToDate>
  <CharactersWithSpaces>7332</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International Journal of Scientific and Research Publications, Volume 16, Issue 1, January 2026</dc:subject>
  <dc:creator>Enter Author Names, Seperated by commas</dc:creator>
  <cp:keywords>Enter the keywords</cp:keywords>
  <cp:lastModifiedBy>Gupta, Vinay</cp:lastModifiedBy>
  <cp:revision>288</cp:revision>
  <cp:lastPrinted>2026-01-06T11:47:00Z</cp:lastPrinted>
  <dcterms:created xsi:type="dcterms:W3CDTF">2014-01-26T15:03:00Z</dcterms:created>
  <dcterms:modified xsi:type="dcterms:W3CDTF">2026-01-06T11:47:00Z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