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color w:val="1155cc"/>
        </w:rPr>
      </w:pPr>
      <w:r w:rsidDel="00000000" w:rsidR="00000000" w:rsidRPr="00000000">
        <w:rPr>
          <w:b w:val="1"/>
          <w:color w:val="1155cc"/>
          <w:sz w:val="32"/>
          <w:szCs w:val="32"/>
          <w:rtl w:val="0"/>
        </w:rPr>
        <w:t xml:space="preserve">Problem Statement</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Organization Name: </w:t>
      </w:r>
      <w:r w:rsidDel="00000000" w:rsidR="00000000" w:rsidRPr="00000000">
        <w:rPr>
          <w:sz w:val="28"/>
          <w:szCs w:val="28"/>
          <w:rtl w:val="0"/>
        </w:rPr>
        <w:t xml:space="preserve">Washington Traffic Safety Commission (WTSC) </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Challenge Name: </w:t>
      </w:r>
      <w:r w:rsidDel="00000000" w:rsidR="00000000" w:rsidRPr="00000000">
        <w:rPr>
          <w:sz w:val="28"/>
          <w:szCs w:val="28"/>
          <w:rtl w:val="0"/>
        </w:rPr>
        <w:t xml:space="preserve">Seattle/King County Distracted Driver Survey</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Difficulty:</w:t>
      </w:r>
      <w:r w:rsidDel="00000000" w:rsidR="00000000" w:rsidRPr="00000000">
        <w:rPr>
          <w:sz w:val="28"/>
          <w:szCs w:val="28"/>
          <w:rtl w:val="0"/>
        </w:rPr>
        <w:t xml:space="preserve"> Level 3</w:t>
      </w:r>
    </w:p>
    <w:p w:rsidR="00000000" w:rsidDel="00000000" w:rsidP="00000000" w:rsidRDefault="00000000" w:rsidRPr="00000000" w14:paraId="00000005">
      <w:pPr>
        <w:rPr/>
      </w:pPr>
      <w:r w:rsidDel="00000000" w:rsidR="00000000" w:rsidRPr="00000000">
        <w:rPr>
          <w:color w:val="1155cc"/>
          <w:sz w:val="28"/>
          <w:szCs w:val="28"/>
          <w:rtl w:val="0"/>
        </w:rPr>
        <w:t xml:space="preserve">Background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2018, Washington enacted stronger distracted driving laws (</w:t>
      </w:r>
      <w:hyperlink r:id="rId7">
        <w:r w:rsidDel="00000000" w:rsidR="00000000" w:rsidRPr="00000000">
          <w:rPr>
            <w:color w:val="0563c1"/>
            <w:u w:val="single"/>
            <w:rtl w:val="0"/>
          </w:rPr>
          <w:t xml:space="preserve">RCW 46.61.672</w:t>
        </w:r>
      </w:hyperlink>
      <w:r w:rsidDel="00000000" w:rsidR="00000000" w:rsidRPr="00000000">
        <w:rPr>
          <w:rtl w:val="0"/>
        </w:rPr>
        <w:t xml:space="preserve"> and </w:t>
      </w:r>
      <w:hyperlink r:id="rId8">
        <w:r w:rsidDel="00000000" w:rsidR="00000000" w:rsidRPr="00000000">
          <w:rPr>
            <w:color w:val="0563c1"/>
            <w:u w:val="single"/>
            <w:rtl w:val="0"/>
          </w:rPr>
          <w:t xml:space="preserve">RCW 46.61.673</w:t>
        </w:r>
      </w:hyperlink>
      <w:r w:rsidDel="00000000" w:rsidR="00000000" w:rsidRPr="00000000">
        <w:rPr>
          <w:rtl w:val="0"/>
        </w:rPr>
        <w:t xml:space="preserve">). In response, Public Health Seattle-King County (PHSKC) and the Harborview Injury Prevention and Research Center developed a survey to evaluate King County residents' understanding of the new Driving Under the Influence of Electronics Act and gather perception of harm relating to distracted driving. These annual results have been used in Community Norming messaging, media outreach, and grant application problem identification. The survey was conducted for approximately one month in June 2018, May 2019, June 2021, and April 2022 (the survey was not conducted in 2020 due to COVID).</w:t>
      </w:r>
    </w:p>
    <w:p w:rsidR="00000000" w:rsidDel="00000000" w:rsidP="00000000" w:rsidRDefault="00000000" w:rsidRPr="00000000" w14:paraId="00000007">
      <w:pPr>
        <w:rPr>
          <w:color w:val="1155cc"/>
          <w:sz w:val="28"/>
          <w:szCs w:val="28"/>
        </w:rPr>
      </w:pPr>
      <w:r w:rsidDel="00000000" w:rsidR="00000000" w:rsidRPr="00000000">
        <w:rPr>
          <w:color w:val="1155cc"/>
          <w:sz w:val="28"/>
          <w:szCs w:val="28"/>
          <w:rtl w:val="0"/>
        </w:rPr>
        <w:t xml:space="preserve">Challenge</w:t>
      </w:r>
    </w:p>
    <w:p w:rsidR="00000000" w:rsidDel="00000000" w:rsidP="00000000" w:rsidRDefault="00000000" w:rsidRPr="00000000" w14:paraId="00000008">
      <w:pPr>
        <w:rPr/>
      </w:pPr>
      <w:r w:rsidDel="00000000" w:rsidR="00000000" w:rsidRPr="00000000">
        <w:rPr>
          <w:rtl w:val="0"/>
        </w:rPr>
        <w:t xml:space="preserve">The PHSKC is interested in any significant changes over time, particularly among demographic subgroups. This data will be used to target specific zip codes and subgroups for media outreach. The development of new materials and infographics will need to be created that cover year-over-year changes or constants. Students may choose to create these outputs, or just provide the analysis that will help WTSC and PHSKC develop outreach materials. Up until now, the survey results have been presented on an annual basis compared only to the previous year.</w:t>
      </w:r>
    </w:p>
    <w:p w:rsidR="00000000" w:rsidDel="00000000" w:rsidP="00000000" w:rsidRDefault="00000000" w:rsidRPr="00000000" w14:paraId="00000009">
      <w:pPr>
        <w:pStyle w:val="Heading1"/>
        <w:spacing w:before="240" w:lineRule="auto"/>
        <w:jc w:val="both"/>
        <w:rPr>
          <w:b w:val="0"/>
          <w:color w:val="1155cc"/>
          <w:sz w:val="28"/>
          <w:szCs w:val="28"/>
        </w:rPr>
      </w:pPr>
      <w:bookmarkStart w:colFirst="0" w:colLast="0" w:name="_heading=h.htal0zm7w4cv" w:id="0"/>
      <w:bookmarkEnd w:id="0"/>
      <w:r w:rsidDel="00000000" w:rsidR="00000000" w:rsidRPr="00000000">
        <w:rPr>
          <w:b w:val="0"/>
          <w:color w:val="1155cc"/>
          <w:sz w:val="28"/>
          <w:szCs w:val="28"/>
          <w:rtl w:val="0"/>
        </w:rPr>
        <w:t xml:space="preserve">Data Considerations</w:t>
      </w:r>
    </w:p>
    <w:p w:rsidR="00000000" w:rsidDel="00000000" w:rsidP="00000000" w:rsidRDefault="00000000" w:rsidRPr="00000000" w14:paraId="0000000A">
      <w:pPr>
        <w:rPr/>
      </w:pPr>
      <w:r w:rsidDel="00000000" w:rsidR="00000000" w:rsidRPr="00000000">
        <w:rPr>
          <w:rtl w:val="0"/>
        </w:rPr>
        <w:t xml:space="preserve">The survey was conducted by SurveyUSA using a 100% phone-based respondent pool. Data has been pooled for all years into a single data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35242"/>
    <w:rPr>
      <w:color w:val="0563c1" w:themeColor="hyperlink"/>
      <w:u w:val="single"/>
    </w:rPr>
  </w:style>
  <w:style w:type="character" w:styleId="UnresolvedMention">
    <w:name w:val="Unresolved Mention"/>
    <w:basedOn w:val="DefaultParagraphFont"/>
    <w:uiPriority w:val="99"/>
    <w:semiHidden w:val="1"/>
    <w:unhideWhenUsed w:val="1"/>
    <w:rsid w:val="0003524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leg.wa.gov/RCW/default.aspx?cite=46.61.672" TargetMode="External"/><Relationship Id="rId8" Type="http://schemas.openxmlformats.org/officeDocument/2006/relationships/hyperlink" Target="https://app.leg.wa.gov/RCW/default.aspx?cite=46.61.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EfxVxucNGlzqWT7V7P3+ou0Z3Q==">AMUW2mXgR2J3tNfadCB3pmTOw9pipJEVEZOS3en6Umsd8N2TDLNkxc+phQyMXZCPj95vbQPXNeyUsTJy+0bL1m4rGxTshm3+6dH8cEQYfwtguL2tKJywEHKrhvx1LMsmJe8eM9601lxb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2022-12-05T15:59:00Z</dcterms:created>
  <dc:creator>Hoff, Staci (WTSC)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0x0101008FD06828AA45064393908269589553A4</vt:lpwstr>
  </property>
</Properties>
</file>