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brand and messaging guideline (test copy)</w:t>
      </w:r>
    </w:p>
    <w:p>
      <w:r>
        <w:t>Client supplies process control and safety systems to refineries, petrochemical plants and gas processors in Southeast Asia. Our customers are engineers and plant leaders who value specifics over slogans.</w:t>
      </w:r>
    </w:p>
    <w:p>
      <w:pPr>
        <w:pStyle w:val="Heading1"/>
      </w:pPr>
      <w:r>
        <w:t>How we sound</w:t>
      </w:r>
    </w:p>
    <w:p>
      <w:r>
        <w:t>We write in a formal register: complete sentences, courteous, never chatty. A busy engineer should be able to read any sentence at a glance, so we keep each one to twenty-two words at most, and a whole email stays within a hundred and ten. We never end a sentence with an exclamation mark.</w:t>
      </w:r>
    </w:p>
    <w:p>
      <w:r>
        <w:t>Please steer clear of hype. Words such as synergy, world-class, game-changing and revolutionary have no place in our writing, and the same goes for "best-in-class" and "cutting-edge". Openings like "Just checking in" or "I hope this email finds you well" waste the reader's first line, so we never use them.</w:t>
      </w:r>
    </w:p>
    <w:p>
      <w:r>
        <w:t>We do not talk about other suppliers. In particular, Rivalco, Acmetrol and Northstar Controls are never named in anything we send.</w:t>
      </w:r>
    </w:p>
    <w:p>
      <w:r>
        <w:t>Every message closes with the team name, Client Process Automation Team, rather than an individual's name.</w:t>
      </w:r>
    </w:p>
    <w:p>
      <w:pPr>
        <w:pStyle w:val="Heading1"/>
      </w:pPr>
      <w:r>
        <w:t>Writing for engineers</w:t>
      </w:r>
    </w:p>
    <w:p>
      <w:r>
        <w:t>Use British English spelling (modernise, programme, organisation).</w:t>
      </w:r>
    </w:p>
    <w:p>
      <w:r>
        <w:t>Name the customer's site or unit when the signal gives it, never just the company.</w:t>
      </w:r>
    </w:p>
    <w:p>
      <w:r>
        <w:t>Never promise a delivery date, a price or a saving.</w:t>
      </w:r>
    </w:p>
    <w:p>
      <w:r>
        <w:t>Write for an engineer: name the system or the unit, not "your operations".</w:t>
      </w:r>
    </w:p>
    <w:p>
      <w:pPr>
        <w:pStyle w:val="Heading1"/>
      </w:pPr>
      <w:r>
        <w:t>What we say in each situation</w:t>
      </w:r>
    </w:p>
    <w:p>
      <w:r>
        <w:t>Inquiry: Answer the question they asked while it is still live, and offer a specialist. If they say "We are only gathering information for now.", we answer: A short call now saves a round of back-and-forth later, with no commitment.</w:t>
      </w:r>
    </w:p>
    <w:p>
      <w:r>
        <w:t>Modernisation: Plan the move around one shutdown so the order of work is settled early. If they say "The current system still works.", we answer: It works today; spares and support end on a known date, so planning now keeps the choice yours.</w:t>
      </w:r>
    </w:p>
    <w:p>
      <w:r>
        <w:t>Service renewal: Check the cover still matches how the site runs before renewing. If they say "We just renew what we had.", we answer: A short review often finds cover the site no longer needs and gaps it now has.</w:t>
      </w:r>
    </w:p>
    <w:p>
      <w:r>
        <w:t>Project: Fix the control scope at front-end design, before it is expensive to change. If they say "It is too early to talk about control systems.", we answer: Front-end design is when control decisions are cheapest to make.</w:t>
      </w:r>
    </w:p>
    <w:p>
      <w:r>
        <w:t>Leadership: Offer something useful for a new leader's first months, then a light ask. If they say "I am still finding my feet.", we answer: That is why we keep it short: one page on what peers prioritised first.</w:t>
      </w:r>
    </w:p>
    <w:p>
      <w:r>
        <w:t>Engagement: Build on the topic they engaged with and relate it to their site. If they say "I was just browsing.", we answer: Then one practical example from a comparable site may be useful, nothing more.</w:t>
      </w:r>
    </w:p>
    <w:p>
      <w:pPr>
        <w:pStyle w:val="Heading1"/>
      </w:pPr>
      <w:r>
        <w:t>How we structure a message</w:t>
      </w:r>
    </w:p>
    <w:p>
      <w:r>
        <w:t>To book a first meeting (often), we use "Trigger, insight, ask": their trigger: the signal that makes it timely; then one insight or one approved claim; then one clear ask. We ask the reader to book a meeting or reply.</w:t>
      </w:r>
    </w:p>
    <w:p>
      <w:r>
        <w:t>To answer an inquiry (often), we use "Question, answer, next step": restate what they asked; then answer it in two sentences; then offer a short call with a specialist. We ask the reader to request a call.</w:t>
      </w:r>
    </w:p>
    <w:p>
      <w:r>
        <w:t>To start a migration conversation (sometimes), we use "Problem, cost of waiting, approach": the problem they face; then what waiting costs them; then the approach that solves it. We ask the reader to book a meeting or read a guide.</w:t>
      </w:r>
    </w:p>
    <w:p>
      <w:r>
        <w:t>To introduce ourselves to a new leader (sometimes), we use "Give, then ask": something useful for their first months; then a light ask. We ask the reader to read content or book a meeting.</w:t>
      </w:r>
    </w:p>
    <w:p>
      <w:pPr>
        <w:pStyle w:val="Heading1"/>
      </w:pPr>
      <w:r>
        <w:t>Background</w:t>
      </w:r>
    </w:p>
    <w:p>
      <w:r>
        <w:t>Our customers are refiners and petrochemical producers across Southeast Asia.</w:t>
      </w:r>
    </w:p>
    <w:p>
      <w:r>
        <w:t>Use the approved claims library for any number you quote.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