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enrolled in secondary education: 543,936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enrolled in TVET schools: 94,373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</w:t>
      </w:r>
      <w:bookmarkStart w:id="0" w:name="_GoBack"/>
      <w:bookmarkEnd w:id="0"/>
      <w:r>
        <w:t>nrolled in sciences combinations: 75,032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only 3,426 are taking a computer related combination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72% of the learning population are enrolled in primary school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National pupil to computer rate is 28:1 (secondary school)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Average class size per one teacher is 30 to 40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Code Club offered from Senior 4 to Senior 6. Total number of students in these grades: 207,494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HeHe works with 6 secondary schools - 4 in Kigali City and 2 outside Kigali City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Total number of students in upper secondary who are studying science is: 75,032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in vocational schools studying ICT is: 359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Literacy rate for people 15 years and older is 68.3%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Illiterate people in Kigali City is 12%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Enrollments in TVET (Technical and Vocational Schools) has increased in 2015</w:t>
      </w:r>
    </w:p>
    <w:p w:rsidR="00F86D81" w:rsidRDefault="00061AC8" w:rsidP="00061AC8">
      <w:pPr>
        <w:pStyle w:val="ListParagraph"/>
        <w:numPr>
          <w:ilvl w:val="0"/>
          <w:numId w:val="1"/>
        </w:numPr>
      </w:pPr>
      <w:r>
        <w:t>Ratio of computer science books to students is 4:1</w:t>
      </w:r>
    </w:p>
    <w:sectPr w:rsidR="00F8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70A2"/>
    <w:multiLevelType w:val="hybridMultilevel"/>
    <w:tmpl w:val="869E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87"/>
    <w:rsid w:val="00061AC8"/>
    <w:rsid w:val="00583387"/>
    <w:rsid w:val="00781897"/>
    <w:rsid w:val="00F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988B-8A0B-485B-AA25-C6E67AE1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Shantanu</dc:creator>
  <cp:keywords/>
  <dc:description/>
  <cp:lastModifiedBy>Sharma, Shantanu</cp:lastModifiedBy>
  <cp:revision>2</cp:revision>
  <dcterms:created xsi:type="dcterms:W3CDTF">2016-07-12T03:49:00Z</dcterms:created>
  <dcterms:modified xsi:type="dcterms:W3CDTF">2016-07-12T14:01:00Z</dcterms:modified>
</cp:coreProperties>
</file>